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部门所属</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一、中共石家庄市栾城区委社会工作部本级收支预算</w:t>
      </w:r>
      <w:r>
        <w:tab/>
      </w:r>
      <w:r>
        <w:fldChar w:fldCharType="end"/>
      </w:r>
      <w:r>
        <w:rPr>
          <w:rFonts w:hint="eastAsia"/>
          <w:lang w:val="en-US" w:eastAsia="zh-CN"/>
        </w:rPr>
        <w:t>2</w:t>
      </w:r>
    </w:p>
    <w:p>
      <w:pPr>
        <w:pStyle w:val="3"/>
        <w:tabs>
          <w:tab w:val="right" w:leader="dot" w:pos="14562"/>
        </w:tabs>
      </w:pPr>
      <w:r>
        <w:fldChar w:fldCharType="begin"/>
      </w:r>
      <w:r>
        <w:instrText xml:space="preserve"> HYPERLINK \l "_Toc_4_4_0000000022" </w:instrText>
      </w:r>
      <w:r>
        <w:fldChar w:fldCharType="separate"/>
      </w:r>
      <w:r>
        <w:rPr>
          <w:b w:val="0"/>
        </w:rPr>
        <w:t>二、石家庄市栾城区社会工作综合服务中心收支预算</w:t>
      </w:r>
      <w:r>
        <w:tab/>
      </w:r>
      <w:r>
        <w:rPr>
          <w:rFonts w:hint="eastAsia"/>
          <w:lang w:val="en-US" w:eastAsia="zh-CN"/>
        </w:rPr>
        <w:t>27</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一、中共石家庄市栾城区委社会工作部本级收支预算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366.01</w:t>
            </w:r>
          </w:p>
        </w:tc>
        <w:tc>
          <w:tcPr>
            <w:tcW w:w="4535" w:type="dxa"/>
            <w:vAlign w:val="center"/>
          </w:tcPr>
          <w:p>
            <w:pPr>
              <w:pStyle w:val="14"/>
            </w:pPr>
            <w:r>
              <w:t>一、一般公共服务支出</w:t>
            </w:r>
          </w:p>
        </w:tc>
        <w:tc>
          <w:tcPr>
            <w:tcW w:w="2126" w:type="dxa"/>
            <w:vAlign w:val="center"/>
          </w:tcPr>
          <w:p>
            <w:pPr>
              <w:pStyle w:val="13"/>
            </w:pPr>
            <w:r>
              <w:t>348.03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366.01</w:t>
            </w:r>
          </w:p>
        </w:tc>
        <w:tc>
          <w:tcPr>
            <w:tcW w:w="4535" w:type="dxa"/>
            <w:vAlign w:val="center"/>
          </w:tcPr>
          <w:p>
            <w:pPr>
              <w:pStyle w:val="16"/>
            </w:pPr>
            <w:r>
              <w:t>本年支出合计</w:t>
            </w:r>
          </w:p>
        </w:tc>
        <w:tc>
          <w:tcPr>
            <w:tcW w:w="2126" w:type="dxa"/>
            <w:vAlign w:val="center"/>
          </w:tcPr>
          <w:p>
            <w:pPr>
              <w:pStyle w:val="17"/>
            </w:pPr>
            <w:r>
              <w:t>366.01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366.01</w:t>
            </w:r>
          </w:p>
        </w:tc>
        <w:tc>
          <w:tcPr>
            <w:tcW w:w="4535" w:type="dxa"/>
            <w:vAlign w:val="center"/>
          </w:tcPr>
          <w:p>
            <w:pPr>
              <w:pStyle w:val="16"/>
            </w:pPr>
            <w:r>
              <w:t>支出总计</w:t>
            </w:r>
          </w:p>
        </w:tc>
        <w:tc>
          <w:tcPr>
            <w:tcW w:w="2126" w:type="dxa"/>
            <w:vAlign w:val="center"/>
          </w:tcPr>
          <w:p>
            <w:pPr>
              <w:pStyle w:val="17"/>
            </w:pPr>
            <w:r>
              <w:t>366.01</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366.01</w:t>
            </w:r>
          </w:p>
        </w:tc>
        <w:tc>
          <w:tcPr>
            <w:tcW w:w="1134" w:type="dxa"/>
            <w:vAlign w:val="center"/>
          </w:tcPr>
          <w:p>
            <w:pPr>
              <w:pStyle w:val="17"/>
            </w:pPr>
            <w:r>
              <w:t>366.01</w:t>
            </w:r>
          </w:p>
        </w:tc>
        <w:tc>
          <w:tcPr>
            <w:tcW w:w="1134" w:type="dxa"/>
            <w:vAlign w:val="center"/>
          </w:tcPr>
          <w:p>
            <w:pPr>
              <w:pStyle w:val="17"/>
            </w:pPr>
            <w:r>
              <w:t>366.01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348.03</w:t>
            </w:r>
          </w:p>
        </w:tc>
        <w:tc>
          <w:tcPr>
            <w:tcW w:w="1134" w:type="dxa"/>
            <w:vAlign w:val="center"/>
          </w:tcPr>
          <w:p>
            <w:pPr>
              <w:pStyle w:val="13"/>
            </w:pPr>
            <w:r>
              <w:t>348.03</w:t>
            </w:r>
          </w:p>
        </w:tc>
        <w:tc>
          <w:tcPr>
            <w:tcW w:w="1134" w:type="dxa"/>
            <w:vAlign w:val="center"/>
          </w:tcPr>
          <w:p>
            <w:pPr>
              <w:pStyle w:val="13"/>
            </w:pPr>
            <w:r>
              <w:t>348.03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20139</w:t>
            </w:r>
          </w:p>
        </w:tc>
        <w:tc>
          <w:tcPr>
            <w:tcW w:w="1559" w:type="dxa"/>
            <w:vAlign w:val="center"/>
          </w:tcPr>
          <w:p>
            <w:pPr>
              <w:pStyle w:val="14"/>
            </w:pPr>
            <w:r>
              <w:t>社会工作事务</w:t>
            </w:r>
          </w:p>
        </w:tc>
        <w:tc>
          <w:tcPr>
            <w:tcW w:w="1134" w:type="dxa"/>
            <w:vAlign w:val="center"/>
          </w:tcPr>
          <w:p>
            <w:pPr>
              <w:pStyle w:val="13"/>
            </w:pPr>
            <w:r>
              <w:t>345.03</w:t>
            </w:r>
          </w:p>
        </w:tc>
        <w:tc>
          <w:tcPr>
            <w:tcW w:w="1134" w:type="dxa"/>
            <w:vAlign w:val="center"/>
          </w:tcPr>
          <w:p>
            <w:pPr>
              <w:pStyle w:val="13"/>
            </w:pPr>
            <w:r>
              <w:t>345.03</w:t>
            </w:r>
          </w:p>
        </w:tc>
        <w:tc>
          <w:tcPr>
            <w:tcW w:w="1134" w:type="dxa"/>
            <w:vAlign w:val="center"/>
          </w:tcPr>
          <w:p>
            <w:pPr>
              <w:pStyle w:val="13"/>
            </w:pPr>
            <w:r>
              <w:t>345.03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2013901</w:t>
            </w:r>
          </w:p>
        </w:tc>
        <w:tc>
          <w:tcPr>
            <w:tcW w:w="1559" w:type="dxa"/>
            <w:vAlign w:val="center"/>
          </w:tcPr>
          <w:p>
            <w:pPr>
              <w:pStyle w:val="14"/>
            </w:pPr>
            <w:r>
              <w:t>行政运行</w:t>
            </w:r>
          </w:p>
        </w:tc>
        <w:tc>
          <w:tcPr>
            <w:tcW w:w="1134" w:type="dxa"/>
            <w:vAlign w:val="center"/>
          </w:tcPr>
          <w:p>
            <w:pPr>
              <w:pStyle w:val="13"/>
            </w:pPr>
            <w:r>
              <w:t>333.03</w:t>
            </w:r>
          </w:p>
        </w:tc>
        <w:tc>
          <w:tcPr>
            <w:tcW w:w="1134" w:type="dxa"/>
            <w:vAlign w:val="center"/>
          </w:tcPr>
          <w:p>
            <w:pPr>
              <w:pStyle w:val="13"/>
            </w:pPr>
            <w:r>
              <w:t>333.03</w:t>
            </w:r>
          </w:p>
        </w:tc>
        <w:tc>
          <w:tcPr>
            <w:tcW w:w="1134" w:type="dxa"/>
            <w:vAlign w:val="center"/>
          </w:tcPr>
          <w:p>
            <w:pPr>
              <w:pStyle w:val="13"/>
            </w:pPr>
            <w:r>
              <w:t>333.03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2013904</w:t>
            </w:r>
          </w:p>
        </w:tc>
        <w:tc>
          <w:tcPr>
            <w:tcW w:w="1559" w:type="dxa"/>
            <w:vAlign w:val="center"/>
          </w:tcPr>
          <w:p>
            <w:pPr>
              <w:pStyle w:val="14"/>
            </w:pPr>
            <w:r>
              <w:t>专项业务</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20199</w:t>
            </w:r>
          </w:p>
        </w:tc>
        <w:tc>
          <w:tcPr>
            <w:tcW w:w="1559" w:type="dxa"/>
            <w:vAlign w:val="center"/>
          </w:tcPr>
          <w:p>
            <w:pPr>
              <w:pStyle w:val="14"/>
            </w:pPr>
            <w:r>
              <w:t>其他一般公共服务支出</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2019999</w:t>
            </w:r>
          </w:p>
        </w:tc>
        <w:tc>
          <w:tcPr>
            <w:tcW w:w="1559" w:type="dxa"/>
            <w:vAlign w:val="center"/>
          </w:tcPr>
          <w:p>
            <w:pPr>
              <w:pStyle w:val="14"/>
            </w:pPr>
            <w:r>
              <w:t>其他一般公共服务支出</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10.68</w:t>
            </w:r>
          </w:p>
        </w:tc>
        <w:tc>
          <w:tcPr>
            <w:tcW w:w="1134" w:type="dxa"/>
            <w:vAlign w:val="center"/>
          </w:tcPr>
          <w:p>
            <w:pPr>
              <w:pStyle w:val="13"/>
            </w:pPr>
            <w:r>
              <w:t>10.68</w:t>
            </w:r>
          </w:p>
        </w:tc>
        <w:tc>
          <w:tcPr>
            <w:tcW w:w="1134" w:type="dxa"/>
            <w:vAlign w:val="center"/>
          </w:tcPr>
          <w:p>
            <w:pPr>
              <w:pStyle w:val="13"/>
            </w:pPr>
            <w:r>
              <w:t>10.68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10.13</w:t>
            </w:r>
          </w:p>
        </w:tc>
        <w:tc>
          <w:tcPr>
            <w:tcW w:w="1134" w:type="dxa"/>
            <w:vAlign w:val="center"/>
          </w:tcPr>
          <w:p>
            <w:pPr>
              <w:pStyle w:val="13"/>
            </w:pPr>
            <w:r>
              <w:t>10.13</w:t>
            </w:r>
          </w:p>
        </w:tc>
        <w:tc>
          <w:tcPr>
            <w:tcW w:w="1134" w:type="dxa"/>
            <w:vAlign w:val="center"/>
          </w:tcPr>
          <w:p>
            <w:pPr>
              <w:pStyle w:val="13"/>
            </w:pPr>
            <w:r>
              <w:t>10.13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10.13</w:t>
            </w:r>
          </w:p>
        </w:tc>
        <w:tc>
          <w:tcPr>
            <w:tcW w:w="1134" w:type="dxa"/>
            <w:vAlign w:val="center"/>
          </w:tcPr>
          <w:p>
            <w:pPr>
              <w:pStyle w:val="13"/>
            </w:pPr>
            <w:r>
              <w:t>10.13</w:t>
            </w:r>
          </w:p>
        </w:tc>
        <w:tc>
          <w:tcPr>
            <w:tcW w:w="1134" w:type="dxa"/>
            <w:vAlign w:val="center"/>
          </w:tcPr>
          <w:p>
            <w:pPr>
              <w:pStyle w:val="13"/>
            </w:pPr>
            <w:r>
              <w:t>10.13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0.55</w:t>
            </w:r>
          </w:p>
        </w:tc>
        <w:tc>
          <w:tcPr>
            <w:tcW w:w="1134" w:type="dxa"/>
            <w:vAlign w:val="center"/>
          </w:tcPr>
          <w:p>
            <w:pPr>
              <w:pStyle w:val="13"/>
            </w:pPr>
            <w:r>
              <w:t>0.55</w:t>
            </w:r>
          </w:p>
        </w:tc>
        <w:tc>
          <w:tcPr>
            <w:tcW w:w="1134" w:type="dxa"/>
            <w:vAlign w:val="center"/>
          </w:tcPr>
          <w:p>
            <w:pPr>
              <w:pStyle w:val="13"/>
            </w:pPr>
            <w:r>
              <w:t>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0.32</w:t>
            </w:r>
          </w:p>
        </w:tc>
        <w:tc>
          <w:tcPr>
            <w:tcW w:w="1134" w:type="dxa"/>
            <w:vAlign w:val="center"/>
          </w:tcPr>
          <w:p>
            <w:pPr>
              <w:pStyle w:val="13"/>
            </w:pPr>
            <w:r>
              <w:t>0.32</w:t>
            </w:r>
          </w:p>
        </w:tc>
        <w:tc>
          <w:tcPr>
            <w:tcW w:w="1134" w:type="dxa"/>
            <w:vAlign w:val="center"/>
          </w:tcPr>
          <w:p>
            <w:pPr>
              <w:pStyle w:val="13"/>
            </w:pPr>
            <w:r>
              <w:t>0.32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0.23</w:t>
            </w:r>
          </w:p>
        </w:tc>
        <w:tc>
          <w:tcPr>
            <w:tcW w:w="1134" w:type="dxa"/>
            <w:vAlign w:val="center"/>
          </w:tcPr>
          <w:p>
            <w:pPr>
              <w:pStyle w:val="13"/>
            </w:pPr>
            <w:r>
              <w:t>0.23</w:t>
            </w:r>
          </w:p>
        </w:tc>
        <w:tc>
          <w:tcPr>
            <w:tcW w:w="1134" w:type="dxa"/>
            <w:vAlign w:val="center"/>
          </w:tcPr>
          <w:p>
            <w:pPr>
              <w:pStyle w:val="13"/>
            </w:pPr>
            <w:r>
              <w:t>0.23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7.30</w:t>
            </w:r>
          </w:p>
        </w:tc>
        <w:tc>
          <w:tcPr>
            <w:tcW w:w="1134" w:type="dxa"/>
            <w:vAlign w:val="center"/>
          </w:tcPr>
          <w:p>
            <w:pPr>
              <w:pStyle w:val="13"/>
            </w:pPr>
            <w:r>
              <w:t>7.30</w:t>
            </w:r>
          </w:p>
        </w:tc>
        <w:tc>
          <w:tcPr>
            <w:tcW w:w="1134" w:type="dxa"/>
            <w:vAlign w:val="center"/>
          </w:tcPr>
          <w:p>
            <w:pPr>
              <w:pStyle w:val="13"/>
            </w:pPr>
            <w:r>
              <w:t>7.30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7.30</w:t>
            </w:r>
          </w:p>
        </w:tc>
        <w:tc>
          <w:tcPr>
            <w:tcW w:w="1134" w:type="dxa"/>
            <w:vAlign w:val="center"/>
          </w:tcPr>
          <w:p>
            <w:pPr>
              <w:pStyle w:val="13"/>
            </w:pPr>
            <w:r>
              <w:t>7.30</w:t>
            </w:r>
          </w:p>
        </w:tc>
        <w:tc>
          <w:tcPr>
            <w:tcW w:w="1134" w:type="dxa"/>
            <w:vAlign w:val="center"/>
          </w:tcPr>
          <w:p>
            <w:pPr>
              <w:pStyle w:val="13"/>
            </w:pPr>
            <w:r>
              <w:t>7.30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7.30</w:t>
            </w:r>
          </w:p>
        </w:tc>
        <w:tc>
          <w:tcPr>
            <w:tcW w:w="1134" w:type="dxa"/>
            <w:vAlign w:val="center"/>
          </w:tcPr>
          <w:p>
            <w:pPr>
              <w:pStyle w:val="13"/>
            </w:pPr>
            <w:r>
              <w:t>7.30</w:t>
            </w:r>
          </w:p>
        </w:tc>
        <w:tc>
          <w:tcPr>
            <w:tcW w:w="1134" w:type="dxa"/>
            <w:vAlign w:val="center"/>
          </w:tcPr>
          <w:p>
            <w:pPr>
              <w:pStyle w:val="13"/>
            </w:pPr>
            <w:r>
              <w:t>7.30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366.01</w:t>
            </w:r>
          </w:p>
        </w:tc>
        <w:tc>
          <w:tcPr>
            <w:tcW w:w="1361" w:type="dxa"/>
            <w:vAlign w:val="center"/>
          </w:tcPr>
          <w:p>
            <w:pPr>
              <w:pStyle w:val="17"/>
            </w:pPr>
            <w:r>
              <w:t>116.01</w:t>
            </w:r>
          </w:p>
        </w:tc>
        <w:tc>
          <w:tcPr>
            <w:tcW w:w="1361" w:type="dxa"/>
            <w:vAlign w:val="center"/>
          </w:tcPr>
          <w:p>
            <w:pPr>
              <w:pStyle w:val="17"/>
            </w:pPr>
            <w:r>
              <w:t>250.00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348.03</w:t>
            </w:r>
          </w:p>
        </w:tc>
        <w:tc>
          <w:tcPr>
            <w:tcW w:w="1361" w:type="dxa"/>
            <w:vAlign w:val="center"/>
          </w:tcPr>
          <w:p>
            <w:pPr>
              <w:pStyle w:val="13"/>
            </w:pPr>
            <w:r>
              <w:t>98.03</w:t>
            </w:r>
          </w:p>
        </w:tc>
        <w:tc>
          <w:tcPr>
            <w:tcW w:w="1361" w:type="dxa"/>
            <w:vAlign w:val="center"/>
          </w:tcPr>
          <w:p>
            <w:pPr>
              <w:pStyle w:val="13"/>
            </w:pPr>
            <w:r>
              <w:t>250.00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20139</w:t>
            </w:r>
          </w:p>
        </w:tc>
        <w:tc>
          <w:tcPr>
            <w:tcW w:w="4535" w:type="dxa"/>
            <w:vAlign w:val="center"/>
          </w:tcPr>
          <w:p>
            <w:pPr>
              <w:pStyle w:val="14"/>
            </w:pPr>
            <w:r>
              <w:t>社会工作事务</w:t>
            </w:r>
          </w:p>
        </w:tc>
        <w:tc>
          <w:tcPr>
            <w:tcW w:w="1361" w:type="dxa"/>
            <w:vAlign w:val="center"/>
          </w:tcPr>
          <w:p>
            <w:pPr>
              <w:pStyle w:val="13"/>
            </w:pPr>
            <w:r>
              <w:t>345.03</w:t>
            </w:r>
          </w:p>
        </w:tc>
        <w:tc>
          <w:tcPr>
            <w:tcW w:w="1361" w:type="dxa"/>
            <w:vAlign w:val="center"/>
          </w:tcPr>
          <w:p>
            <w:pPr>
              <w:pStyle w:val="13"/>
            </w:pPr>
            <w:r>
              <w:t>98.03</w:t>
            </w:r>
          </w:p>
        </w:tc>
        <w:tc>
          <w:tcPr>
            <w:tcW w:w="1361" w:type="dxa"/>
            <w:vAlign w:val="center"/>
          </w:tcPr>
          <w:p>
            <w:pPr>
              <w:pStyle w:val="13"/>
            </w:pPr>
            <w:r>
              <w:t>247.00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2013901</w:t>
            </w:r>
          </w:p>
        </w:tc>
        <w:tc>
          <w:tcPr>
            <w:tcW w:w="4535" w:type="dxa"/>
            <w:vAlign w:val="center"/>
          </w:tcPr>
          <w:p>
            <w:pPr>
              <w:pStyle w:val="14"/>
            </w:pPr>
            <w:r>
              <w:t>行政运行</w:t>
            </w:r>
          </w:p>
        </w:tc>
        <w:tc>
          <w:tcPr>
            <w:tcW w:w="1361" w:type="dxa"/>
            <w:vAlign w:val="center"/>
          </w:tcPr>
          <w:p>
            <w:pPr>
              <w:pStyle w:val="13"/>
            </w:pPr>
            <w:r>
              <w:t>333.03</w:t>
            </w:r>
          </w:p>
        </w:tc>
        <w:tc>
          <w:tcPr>
            <w:tcW w:w="1361" w:type="dxa"/>
            <w:vAlign w:val="center"/>
          </w:tcPr>
          <w:p>
            <w:pPr>
              <w:pStyle w:val="13"/>
            </w:pPr>
            <w:r>
              <w:t>98.03</w:t>
            </w:r>
          </w:p>
        </w:tc>
        <w:tc>
          <w:tcPr>
            <w:tcW w:w="1361" w:type="dxa"/>
            <w:vAlign w:val="center"/>
          </w:tcPr>
          <w:p>
            <w:pPr>
              <w:pStyle w:val="13"/>
            </w:pPr>
            <w:r>
              <w:t>235.00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2013904</w:t>
            </w:r>
          </w:p>
        </w:tc>
        <w:tc>
          <w:tcPr>
            <w:tcW w:w="4535" w:type="dxa"/>
            <w:vAlign w:val="center"/>
          </w:tcPr>
          <w:p>
            <w:pPr>
              <w:pStyle w:val="14"/>
            </w:pPr>
            <w:r>
              <w:t>专项业务</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20199</w:t>
            </w:r>
          </w:p>
        </w:tc>
        <w:tc>
          <w:tcPr>
            <w:tcW w:w="4535" w:type="dxa"/>
            <w:vAlign w:val="center"/>
          </w:tcPr>
          <w:p>
            <w:pPr>
              <w:pStyle w:val="14"/>
            </w:pPr>
            <w:r>
              <w:t>其他一般公共服务支出</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2019999</w:t>
            </w:r>
          </w:p>
        </w:tc>
        <w:tc>
          <w:tcPr>
            <w:tcW w:w="4535" w:type="dxa"/>
            <w:vAlign w:val="center"/>
          </w:tcPr>
          <w:p>
            <w:pPr>
              <w:pStyle w:val="14"/>
            </w:pPr>
            <w:r>
              <w:t>其他一般公共服务支出</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10.68</w:t>
            </w:r>
          </w:p>
        </w:tc>
        <w:tc>
          <w:tcPr>
            <w:tcW w:w="1361" w:type="dxa"/>
            <w:vAlign w:val="center"/>
          </w:tcPr>
          <w:p>
            <w:pPr>
              <w:pStyle w:val="13"/>
            </w:pPr>
            <w:r>
              <w:t>10.68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10.13</w:t>
            </w:r>
          </w:p>
        </w:tc>
        <w:tc>
          <w:tcPr>
            <w:tcW w:w="1361" w:type="dxa"/>
            <w:vAlign w:val="center"/>
          </w:tcPr>
          <w:p>
            <w:pPr>
              <w:pStyle w:val="13"/>
            </w:pPr>
            <w:r>
              <w:t>10.13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10.13</w:t>
            </w:r>
          </w:p>
        </w:tc>
        <w:tc>
          <w:tcPr>
            <w:tcW w:w="1361" w:type="dxa"/>
            <w:vAlign w:val="center"/>
          </w:tcPr>
          <w:p>
            <w:pPr>
              <w:pStyle w:val="13"/>
            </w:pPr>
            <w:r>
              <w:t>10.13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0.55</w:t>
            </w:r>
          </w:p>
        </w:tc>
        <w:tc>
          <w:tcPr>
            <w:tcW w:w="1361" w:type="dxa"/>
            <w:vAlign w:val="center"/>
          </w:tcPr>
          <w:p>
            <w:pPr>
              <w:pStyle w:val="13"/>
            </w:pPr>
            <w:r>
              <w:t>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0.32</w:t>
            </w:r>
          </w:p>
        </w:tc>
        <w:tc>
          <w:tcPr>
            <w:tcW w:w="1361" w:type="dxa"/>
            <w:vAlign w:val="center"/>
          </w:tcPr>
          <w:p>
            <w:pPr>
              <w:pStyle w:val="13"/>
            </w:pPr>
            <w:r>
              <w:t>0.32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0.23</w:t>
            </w:r>
          </w:p>
        </w:tc>
        <w:tc>
          <w:tcPr>
            <w:tcW w:w="1361" w:type="dxa"/>
            <w:vAlign w:val="center"/>
          </w:tcPr>
          <w:p>
            <w:pPr>
              <w:pStyle w:val="13"/>
            </w:pPr>
            <w:r>
              <w:t>0.23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7.30</w:t>
            </w:r>
          </w:p>
        </w:tc>
        <w:tc>
          <w:tcPr>
            <w:tcW w:w="1361" w:type="dxa"/>
            <w:vAlign w:val="center"/>
          </w:tcPr>
          <w:p>
            <w:pPr>
              <w:pStyle w:val="13"/>
            </w:pPr>
            <w:r>
              <w:t>7.30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7.30</w:t>
            </w:r>
          </w:p>
        </w:tc>
        <w:tc>
          <w:tcPr>
            <w:tcW w:w="1361" w:type="dxa"/>
            <w:vAlign w:val="center"/>
          </w:tcPr>
          <w:p>
            <w:pPr>
              <w:pStyle w:val="13"/>
            </w:pPr>
            <w:r>
              <w:t>7.30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7.30</w:t>
            </w:r>
          </w:p>
        </w:tc>
        <w:tc>
          <w:tcPr>
            <w:tcW w:w="1361" w:type="dxa"/>
            <w:vAlign w:val="center"/>
          </w:tcPr>
          <w:p>
            <w:pPr>
              <w:pStyle w:val="13"/>
            </w:pPr>
            <w:r>
              <w:t>7.30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366.01</w:t>
            </w:r>
          </w:p>
        </w:tc>
        <w:tc>
          <w:tcPr>
            <w:tcW w:w="3402" w:type="dxa"/>
            <w:vAlign w:val="center"/>
          </w:tcPr>
          <w:p>
            <w:pPr>
              <w:pStyle w:val="14"/>
            </w:pPr>
            <w:r>
              <w:t>一、一般公共服务支出</w:t>
            </w:r>
          </w:p>
        </w:tc>
        <w:tc>
          <w:tcPr>
            <w:tcW w:w="1474" w:type="dxa"/>
            <w:vAlign w:val="center"/>
          </w:tcPr>
          <w:p>
            <w:pPr>
              <w:pStyle w:val="13"/>
            </w:pPr>
            <w:r>
              <w:t>348.03</w:t>
            </w:r>
          </w:p>
        </w:tc>
        <w:tc>
          <w:tcPr>
            <w:tcW w:w="1474" w:type="dxa"/>
            <w:vAlign w:val="center"/>
          </w:tcPr>
          <w:p>
            <w:pPr>
              <w:pStyle w:val="13"/>
            </w:pPr>
            <w:r>
              <w:t>348.03</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10.68</w:t>
            </w:r>
          </w:p>
        </w:tc>
        <w:tc>
          <w:tcPr>
            <w:tcW w:w="1474" w:type="dxa"/>
            <w:vAlign w:val="center"/>
          </w:tcPr>
          <w:p>
            <w:pPr>
              <w:pStyle w:val="13"/>
            </w:pPr>
            <w:r>
              <w:t>10.68</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7.30</w:t>
            </w:r>
          </w:p>
        </w:tc>
        <w:tc>
          <w:tcPr>
            <w:tcW w:w="1474" w:type="dxa"/>
            <w:vAlign w:val="center"/>
          </w:tcPr>
          <w:p>
            <w:pPr>
              <w:pStyle w:val="13"/>
            </w:pPr>
            <w:r>
              <w:t>7.30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366.01</w:t>
            </w:r>
          </w:p>
        </w:tc>
        <w:tc>
          <w:tcPr>
            <w:tcW w:w="3402" w:type="dxa"/>
            <w:vAlign w:val="center"/>
          </w:tcPr>
          <w:p>
            <w:pPr>
              <w:pStyle w:val="16"/>
            </w:pPr>
            <w:r>
              <w:t>本年支出合计</w:t>
            </w:r>
          </w:p>
        </w:tc>
        <w:tc>
          <w:tcPr>
            <w:tcW w:w="1474" w:type="dxa"/>
            <w:vAlign w:val="center"/>
          </w:tcPr>
          <w:p>
            <w:pPr>
              <w:pStyle w:val="17"/>
            </w:pPr>
            <w:r>
              <w:t>366.01</w:t>
            </w:r>
          </w:p>
        </w:tc>
        <w:tc>
          <w:tcPr>
            <w:tcW w:w="1474" w:type="dxa"/>
            <w:vAlign w:val="center"/>
          </w:tcPr>
          <w:p>
            <w:pPr>
              <w:pStyle w:val="17"/>
            </w:pPr>
            <w:r>
              <w:t>366.01</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366.01</w:t>
            </w:r>
          </w:p>
        </w:tc>
        <w:tc>
          <w:tcPr>
            <w:tcW w:w="3402" w:type="dxa"/>
            <w:vAlign w:val="center"/>
          </w:tcPr>
          <w:p>
            <w:pPr>
              <w:pStyle w:val="16"/>
            </w:pPr>
            <w:r>
              <w:t>支出总计</w:t>
            </w:r>
          </w:p>
        </w:tc>
        <w:tc>
          <w:tcPr>
            <w:tcW w:w="1474" w:type="dxa"/>
            <w:vAlign w:val="center"/>
          </w:tcPr>
          <w:p>
            <w:pPr>
              <w:pStyle w:val="17"/>
            </w:pPr>
            <w:r>
              <w:t>366.01</w:t>
            </w:r>
          </w:p>
        </w:tc>
        <w:tc>
          <w:tcPr>
            <w:tcW w:w="1474" w:type="dxa"/>
            <w:vAlign w:val="center"/>
          </w:tcPr>
          <w:p>
            <w:pPr>
              <w:pStyle w:val="17"/>
            </w:pPr>
            <w:r>
              <w:t>366.01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366.01</w:t>
            </w:r>
          </w:p>
        </w:tc>
        <w:tc>
          <w:tcPr>
            <w:tcW w:w="2551" w:type="dxa"/>
            <w:vAlign w:val="center"/>
          </w:tcPr>
          <w:p>
            <w:pPr>
              <w:pStyle w:val="17"/>
            </w:pPr>
            <w:r>
              <w:t>116.01</w:t>
            </w:r>
          </w:p>
        </w:tc>
        <w:tc>
          <w:tcPr>
            <w:tcW w:w="2551" w:type="dxa"/>
            <w:vAlign w:val="center"/>
          </w:tcPr>
          <w:p>
            <w:pPr>
              <w:pStyle w:val="17"/>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348.03</w:t>
            </w:r>
          </w:p>
        </w:tc>
        <w:tc>
          <w:tcPr>
            <w:tcW w:w="2551" w:type="dxa"/>
            <w:vAlign w:val="center"/>
          </w:tcPr>
          <w:p>
            <w:pPr>
              <w:pStyle w:val="13"/>
            </w:pPr>
            <w:r>
              <w:t>98.03</w:t>
            </w:r>
          </w:p>
        </w:tc>
        <w:tc>
          <w:tcPr>
            <w:tcW w:w="2551" w:type="dxa"/>
            <w:vAlign w:val="center"/>
          </w:tcPr>
          <w:p>
            <w:pPr>
              <w:pStyle w:val="13"/>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20139</w:t>
            </w:r>
          </w:p>
        </w:tc>
        <w:tc>
          <w:tcPr>
            <w:tcW w:w="4535" w:type="dxa"/>
            <w:vAlign w:val="center"/>
          </w:tcPr>
          <w:p>
            <w:pPr>
              <w:pStyle w:val="14"/>
            </w:pPr>
            <w:r>
              <w:t>社会工作事务</w:t>
            </w:r>
          </w:p>
        </w:tc>
        <w:tc>
          <w:tcPr>
            <w:tcW w:w="2551" w:type="dxa"/>
            <w:vAlign w:val="center"/>
          </w:tcPr>
          <w:p>
            <w:pPr>
              <w:pStyle w:val="13"/>
            </w:pPr>
            <w:r>
              <w:t>345.03</w:t>
            </w:r>
          </w:p>
        </w:tc>
        <w:tc>
          <w:tcPr>
            <w:tcW w:w="2551" w:type="dxa"/>
            <w:vAlign w:val="center"/>
          </w:tcPr>
          <w:p>
            <w:pPr>
              <w:pStyle w:val="13"/>
            </w:pPr>
            <w:r>
              <w:t>98.03</w:t>
            </w:r>
          </w:p>
        </w:tc>
        <w:tc>
          <w:tcPr>
            <w:tcW w:w="2551" w:type="dxa"/>
            <w:vAlign w:val="center"/>
          </w:tcPr>
          <w:p>
            <w:pPr>
              <w:pStyle w:val="13"/>
            </w:pPr>
            <w:r>
              <w:t>247.00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2013901</w:t>
            </w:r>
          </w:p>
        </w:tc>
        <w:tc>
          <w:tcPr>
            <w:tcW w:w="4535" w:type="dxa"/>
            <w:vAlign w:val="center"/>
          </w:tcPr>
          <w:p>
            <w:pPr>
              <w:pStyle w:val="14"/>
            </w:pPr>
            <w:r>
              <w:t>行政运行</w:t>
            </w:r>
          </w:p>
        </w:tc>
        <w:tc>
          <w:tcPr>
            <w:tcW w:w="2551" w:type="dxa"/>
            <w:vAlign w:val="center"/>
          </w:tcPr>
          <w:p>
            <w:pPr>
              <w:pStyle w:val="13"/>
            </w:pPr>
            <w:r>
              <w:t>333.03</w:t>
            </w:r>
          </w:p>
        </w:tc>
        <w:tc>
          <w:tcPr>
            <w:tcW w:w="2551" w:type="dxa"/>
            <w:vAlign w:val="center"/>
          </w:tcPr>
          <w:p>
            <w:pPr>
              <w:pStyle w:val="13"/>
            </w:pPr>
            <w:r>
              <w:t>98.03</w:t>
            </w:r>
          </w:p>
        </w:tc>
        <w:tc>
          <w:tcPr>
            <w:tcW w:w="2551" w:type="dxa"/>
            <w:vAlign w:val="center"/>
          </w:tcPr>
          <w:p>
            <w:pPr>
              <w:pStyle w:val="13"/>
            </w:pPr>
            <w:r>
              <w:t>235.00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2013904</w:t>
            </w:r>
          </w:p>
        </w:tc>
        <w:tc>
          <w:tcPr>
            <w:tcW w:w="4535" w:type="dxa"/>
            <w:vAlign w:val="center"/>
          </w:tcPr>
          <w:p>
            <w:pPr>
              <w:pStyle w:val="14"/>
            </w:pPr>
            <w:r>
              <w:t>专项业务</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20199</w:t>
            </w:r>
          </w:p>
        </w:tc>
        <w:tc>
          <w:tcPr>
            <w:tcW w:w="4535" w:type="dxa"/>
            <w:vAlign w:val="center"/>
          </w:tcPr>
          <w:p>
            <w:pPr>
              <w:pStyle w:val="14"/>
            </w:pPr>
            <w:r>
              <w:t>其他一般公共服务支出</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2019999</w:t>
            </w:r>
          </w:p>
        </w:tc>
        <w:tc>
          <w:tcPr>
            <w:tcW w:w="4535" w:type="dxa"/>
            <w:vAlign w:val="center"/>
          </w:tcPr>
          <w:p>
            <w:pPr>
              <w:pStyle w:val="14"/>
            </w:pPr>
            <w:r>
              <w:t>其他一般公共服务支出</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10.68</w:t>
            </w:r>
          </w:p>
        </w:tc>
        <w:tc>
          <w:tcPr>
            <w:tcW w:w="2551" w:type="dxa"/>
            <w:vAlign w:val="center"/>
          </w:tcPr>
          <w:p>
            <w:pPr>
              <w:pStyle w:val="13"/>
            </w:pPr>
            <w:r>
              <w:t>10.68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10.13</w:t>
            </w:r>
          </w:p>
        </w:tc>
        <w:tc>
          <w:tcPr>
            <w:tcW w:w="2551" w:type="dxa"/>
            <w:vAlign w:val="center"/>
          </w:tcPr>
          <w:p>
            <w:pPr>
              <w:pStyle w:val="13"/>
            </w:pPr>
            <w:r>
              <w:t>10.13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10.13</w:t>
            </w:r>
          </w:p>
        </w:tc>
        <w:tc>
          <w:tcPr>
            <w:tcW w:w="2551" w:type="dxa"/>
            <w:vAlign w:val="center"/>
          </w:tcPr>
          <w:p>
            <w:pPr>
              <w:pStyle w:val="13"/>
            </w:pPr>
            <w:r>
              <w:t>10.13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0.55</w:t>
            </w:r>
          </w:p>
        </w:tc>
        <w:tc>
          <w:tcPr>
            <w:tcW w:w="2551" w:type="dxa"/>
            <w:vAlign w:val="center"/>
          </w:tcPr>
          <w:p>
            <w:pPr>
              <w:pStyle w:val="13"/>
            </w:pPr>
            <w:r>
              <w:t>0.55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0.32</w:t>
            </w:r>
          </w:p>
        </w:tc>
        <w:tc>
          <w:tcPr>
            <w:tcW w:w="2551" w:type="dxa"/>
            <w:vAlign w:val="center"/>
          </w:tcPr>
          <w:p>
            <w:pPr>
              <w:pStyle w:val="13"/>
            </w:pPr>
            <w:r>
              <w:t>0.32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0.23</w:t>
            </w:r>
          </w:p>
        </w:tc>
        <w:tc>
          <w:tcPr>
            <w:tcW w:w="2551" w:type="dxa"/>
            <w:vAlign w:val="center"/>
          </w:tcPr>
          <w:p>
            <w:pPr>
              <w:pStyle w:val="13"/>
            </w:pPr>
            <w:r>
              <w:t>0.23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7.30</w:t>
            </w:r>
          </w:p>
        </w:tc>
        <w:tc>
          <w:tcPr>
            <w:tcW w:w="2551" w:type="dxa"/>
            <w:vAlign w:val="center"/>
          </w:tcPr>
          <w:p>
            <w:pPr>
              <w:pStyle w:val="13"/>
            </w:pPr>
            <w:r>
              <w:t>7.30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7.30</w:t>
            </w:r>
          </w:p>
        </w:tc>
        <w:tc>
          <w:tcPr>
            <w:tcW w:w="2551" w:type="dxa"/>
            <w:vAlign w:val="center"/>
          </w:tcPr>
          <w:p>
            <w:pPr>
              <w:pStyle w:val="13"/>
            </w:pPr>
            <w:r>
              <w:t>7.30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7.30</w:t>
            </w:r>
          </w:p>
        </w:tc>
        <w:tc>
          <w:tcPr>
            <w:tcW w:w="2551" w:type="dxa"/>
            <w:vAlign w:val="center"/>
          </w:tcPr>
          <w:p>
            <w:pPr>
              <w:pStyle w:val="13"/>
            </w:pPr>
            <w:r>
              <w:t>7.30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116.01</w:t>
            </w:r>
          </w:p>
        </w:tc>
        <w:tc>
          <w:tcPr>
            <w:tcW w:w="2551" w:type="dxa"/>
            <w:vAlign w:val="center"/>
          </w:tcPr>
          <w:p>
            <w:pPr>
              <w:pStyle w:val="17"/>
            </w:pPr>
            <w:r>
              <w:t>104.29</w:t>
            </w:r>
          </w:p>
        </w:tc>
        <w:tc>
          <w:tcPr>
            <w:tcW w:w="2551" w:type="dxa"/>
            <w:vAlign w:val="center"/>
          </w:tcPr>
          <w:p>
            <w:pPr>
              <w:pStyle w:val="17"/>
            </w:pPr>
            <w:r>
              <w:t>11.72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104.07</w:t>
            </w:r>
          </w:p>
        </w:tc>
        <w:tc>
          <w:tcPr>
            <w:tcW w:w="2551" w:type="dxa"/>
            <w:vAlign w:val="center"/>
          </w:tcPr>
          <w:p>
            <w:pPr>
              <w:pStyle w:val="13"/>
            </w:pPr>
            <w:r>
              <w:t>104.07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28.52</w:t>
            </w:r>
          </w:p>
        </w:tc>
        <w:tc>
          <w:tcPr>
            <w:tcW w:w="2551" w:type="dxa"/>
            <w:vAlign w:val="center"/>
          </w:tcPr>
          <w:p>
            <w:pPr>
              <w:pStyle w:val="13"/>
            </w:pPr>
            <w:r>
              <w:t>28.52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22.75</w:t>
            </w:r>
          </w:p>
        </w:tc>
        <w:tc>
          <w:tcPr>
            <w:tcW w:w="2551" w:type="dxa"/>
            <w:vAlign w:val="center"/>
          </w:tcPr>
          <w:p>
            <w:pPr>
              <w:pStyle w:val="13"/>
            </w:pPr>
            <w:r>
              <w:t>22.75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26.19</w:t>
            </w:r>
          </w:p>
        </w:tc>
        <w:tc>
          <w:tcPr>
            <w:tcW w:w="2551" w:type="dxa"/>
            <w:vAlign w:val="center"/>
          </w:tcPr>
          <w:p>
            <w:pPr>
              <w:pStyle w:val="13"/>
            </w:pPr>
            <w:r>
              <w:t>26.19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10.13</w:t>
            </w:r>
          </w:p>
        </w:tc>
        <w:tc>
          <w:tcPr>
            <w:tcW w:w="2551" w:type="dxa"/>
            <w:vAlign w:val="center"/>
          </w:tcPr>
          <w:p>
            <w:pPr>
              <w:pStyle w:val="13"/>
            </w:pPr>
            <w:r>
              <w:t>10.13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4.11</w:t>
            </w:r>
          </w:p>
        </w:tc>
        <w:tc>
          <w:tcPr>
            <w:tcW w:w="2551" w:type="dxa"/>
            <w:vAlign w:val="center"/>
          </w:tcPr>
          <w:p>
            <w:pPr>
              <w:pStyle w:val="13"/>
            </w:pPr>
            <w:r>
              <w:t>4.11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3.18</w:t>
            </w:r>
          </w:p>
        </w:tc>
        <w:tc>
          <w:tcPr>
            <w:tcW w:w="2551" w:type="dxa"/>
            <w:vAlign w:val="center"/>
          </w:tcPr>
          <w:p>
            <w:pPr>
              <w:pStyle w:val="13"/>
            </w:pPr>
            <w:r>
              <w:t>3.18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0.55</w:t>
            </w:r>
          </w:p>
        </w:tc>
        <w:tc>
          <w:tcPr>
            <w:tcW w:w="2551" w:type="dxa"/>
            <w:vAlign w:val="center"/>
          </w:tcPr>
          <w:p>
            <w:pPr>
              <w:pStyle w:val="13"/>
            </w:pPr>
            <w:r>
              <w:t>0.55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8.63</w:t>
            </w:r>
          </w:p>
        </w:tc>
        <w:tc>
          <w:tcPr>
            <w:tcW w:w="2551" w:type="dxa"/>
            <w:vAlign w:val="center"/>
          </w:tcPr>
          <w:p>
            <w:pPr>
              <w:pStyle w:val="13"/>
            </w:pPr>
            <w:r>
              <w:t>8.63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11.72</w:t>
            </w:r>
          </w:p>
        </w:tc>
        <w:tc>
          <w:tcPr>
            <w:tcW w:w="2551" w:type="dxa"/>
            <w:vAlign w:val="center"/>
          </w:tcPr>
          <w:p>
            <w:pPr>
              <w:pStyle w:val="13"/>
            </w:pPr>
          </w:p>
        </w:tc>
        <w:tc>
          <w:tcPr>
            <w:tcW w:w="2551" w:type="dxa"/>
            <w:vAlign w:val="center"/>
          </w:tcPr>
          <w:p>
            <w:pPr>
              <w:pStyle w:val="13"/>
            </w:pPr>
            <w:r>
              <w:t>11.72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0.48</w:t>
            </w:r>
          </w:p>
        </w:tc>
        <w:tc>
          <w:tcPr>
            <w:tcW w:w="2551" w:type="dxa"/>
            <w:vAlign w:val="center"/>
          </w:tcPr>
          <w:p>
            <w:pPr>
              <w:pStyle w:val="13"/>
            </w:pPr>
          </w:p>
        </w:tc>
        <w:tc>
          <w:tcPr>
            <w:tcW w:w="2551" w:type="dxa"/>
            <w:vAlign w:val="center"/>
          </w:tcPr>
          <w:p>
            <w:pPr>
              <w:pStyle w:val="13"/>
            </w:pPr>
            <w:r>
              <w:t>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3.90</w:t>
            </w:r>
          </w:p>
        </w:tc>
        <w:tc>
          <w:tcPr>
            <w:tcW w:w="2551" w:type="dxa"/>
            <w:vAlign w:val="center"/>
          </w:tcPr>
          <w:p>
            <w:pPr>
              <w:pStyle w:val="13"/>
            </w:pPr>
          </w:p>
        </w:tc>
        <w:tc>
          <w:tcPr>
            <w:tcW w:w="2551" w:type="dxa"/>
            <w:vAlign w:val="center"/>
          </w:tcPr>
          <w:p>
            <w:pPr>
              <w:pStyle w:val="13"/>
            </w:pPr>
            <w:r>
              <w:t>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0.90</w:t>
            </w:r>
          </w:p>
        </w:tc>
        <w:tc>
          <w:tcPr>
            <w:tcW w:w="2551" w:type="dxa"/>
            <w:vAlign w:val="center"/>
          </w:tcPr>
          <w:p>
            <w:pPr>
              <w:pStyle w:val="13"/>
            </w:pPr>
          </w:p>
        </w:tc>
        <w:tc>
          <w:tcPr>
            <w:tcW w:w="2551" w:type="dxa"/>
            <w:vAlign w:val="center"/>
          </w:tcPr>
          <w:p>
            <w:pPr>
              <w:pStyle w:val="13"/>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0.24</w:t>
            </w:r>
          </w:p>
        </w:tc>
        <w:tc>
          <w:tcPr>
            <w:tcW w:w="2551" w:type="dxa"/>
            <w:vAlign w:val="center"/>
          </w:tcPr>
          <w:p>
            <w:pPr>
              <w:pStyle w:val="13"/>
            </w:pPr>
          </w:p>
        </w:tc>
        <w:tc>
          <w:tcPr>
            <w:tcW w:w="2551" w:type="dxa"/>
            <w:vAlign w:val="center"/>
          </w:tcPr>
          <w:p>
            <w:pPr>
              <w:pStyle w:val="13"/>
            </w:pPr>
            <w: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0.43</w:t>
            </w:r>
          </w:p>
        </w:tc>
        <w:tc>
          <w:tcPr>
            <w:tcW w:w="2551" w:type="dxa"/>
            <w:vAlign w:val="center"/>
          </w:tcPr>
          <w:p>
            <w:pPr>
              <w:pStyle w:val="13"/>
            </w:pPr>
          </w:p>
        </w:tc>
        <w:tc>
          <w:tcPr>
            <w:tcW w:w="2551" w:type="dxa"/>
            <w:vAlign w:val="center"/>
          </w:tcPr>
          <w:p>
            <w:pPr>
              <w:pStyle w:val="13"/>
            </w:pPr>
            <w:r>
              <w:t>0.43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0.55</w:t>
            </w:r>
          </w:p>
        </w:tc>
        <w:tc>
          <w:tcPr>
            <w:tcW w:w="2551" w:type="dxa"/>
            <w:vAlign w:val="center"/>
          </w:tcPr>
          <w:p>
            <w:pPr>
              <w:pStyle w:val="13"/>
            </w:pPr>
          </w:p>
        </w:tc>
        <w:tc>
          <w:tcPr>
            <w:tcW w:w="2551" w:type="dxa"/>
            <w:vAlign w:val="center"/>
          </w:tcPr>
          <w:p>
            <w:pPr>
              <w:pStyle w:val="13"/>
            </w:pPr>
            <w:r>
              <w:t>0.55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0.71</w:t>
            </w:r>
          </w:p>
        </w:tc>
        <w:tc>
          <w:tcPr>
            <w:tcW w:w="2551" w:type="dxa"/>
            <w:vAlign w:val="center"/>
          </w:tcPr>
          <w:p>
            <w:pPr>
              <w:pStyle w:val="13"/>
            </w:pPr>
          </w:p>
        </w:tc>
        <w:tc>
          <w:tcPr>
            <w:tcW w:w="2551" w:type="dxa"/>
            <w:vAlign w:val="center"/>
          </w:tcPr>
          <w:p>
            <w:pPr>
              <w:pStyle w:val="13"/>
            </w:pPr>
            <w:r>
              <w:t>0.71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4.14</w:t>
            </w:r>
          </w:p>
        </w:tc>
        <w:tc>
          <w:tcPr>
            <w:tcW w:w="2551" w:type="dxa"/>
            <w:vAlign w:val="center"/>
          </w:tcPr>
          <w:p>
            <w:pPr>
              <w:pStyle w:val="13"/>
            </w:pPr>
          </w:p>
        </w:tc>
        <w:tc>
          <w:tcPr>
            <w:tcW w:w="2551" w:type="dxa"/>
            <w:vAlign w:val="center"/>
          </w:tcPr>
          <w:p>
            <w:pPr>
              <w:pStyle w:val="13"/>
            </w:pPr>
            <w:r>
              <w:t>4.14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0.08</w:t>
            </w:r>
          </w:p>
        </w:tc>
        <w:tc>
          <w:tcPr>
            <w:tcW w:w="2551" w:type="dxa"/>
            <w:vAlign w:val="center"/>
          </w:tcPr>
          <w:p>
            <w:pPr>
              <w:pStyle w:val="13"/>
            </w:pPr>
          </w:p>
        </w:tc>
        <w:tc>
          <w:tcPr>
            <w:tcW w:w="2551" w:type="dxa"/>
            <w:vAlign w:val="center"/>
          </w:tcPr>
          <w:p>
            <w:pPr>
              <w:pStyle w:val="13"/>
            </w:pPr>
            <w:r>
              <w:t>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0.22</w:t>
            </w:r>
          </w:p>
        </w:tc>
        <w:tc>
          <w:tcPr>
            <w:tcW w:w="2551" w:type="dxa"/>
            <w:vAlign w:val="center"/>
          </w:tcPr>
          <w:p>
            <w:pPr>
              <w:pStyle w:val="13"/>
            </w:pPr>
            <w:r>
              <w:t>0.22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0.22</w:t>
            </w:r>
          </w:p>
        </w:tc>
        <w:tc>
          <w:tcPr>
            <w:tcW w:w="2551" w:type="dxa"/>
            <w:vAlign w:val="center"/>
          </w:tcPr>
          <w:p>
            <w:pPr>
              <w:pStyle w:val="13"/>
            </w:pPr>
            <w:r>
              <w:t>0.22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中共石家庄市栾城区委社会工作部本级2025年单位预算信息公开情况说明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按照《中华人民共和国预算法》、《地方预决算公开操作规程》和《关于进一步推进预算公开工作的实施意见》规定，现将中共石家庄市栾城区委社会工作部本级2025年单位预算公开如下：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rPr>
          <w:rFonts w:hint="eastAsia"/>
        </w:rPr>
        <w:t>负责统筹指导人民信访工作，指导人民建议征集工作，统</w:t>
      </w:r>
      <w:r>
        <w:rPr>
          <w:rFonts w:hint="eastAsia"/>
          <w:lang w:eastAsia="zh-CN"/>
        </w:rPr>
        <w:t>筹</w:t>
      </w:r>
      <w:r>
        <w:rPr>
          <w:rFonts w:hint="eastAsia"/>
        </w:rPr>
        <w:t>推进党建引领基层治理和基层政权建设,健全和落实党建引领基层治理领导体制和工作机制，统一领导全区行业协会商会党的工作，协调推动行业协会商会深化改革和转型发展，指导混合所有制企业、非公有制企业和新经济组织、新社会组织、新就业群体党建工作，负责社会工作人才队伍建设，负责志愿服务工作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中共石家庄市栾城区委社会工作部本级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keepNext w:val="0"/>
        <w:keepLines w:val="0"/>
        <w:pageBreakBefore w:val="0"/>
        <w:widowControl/>
        <w:numPr>
          <w:ilvl w:val="0"/>
          <w:numId w:val="0"/>
        </w:numPr>
        <w:kinsoku/>
        <w:wordWrap/>
        <w:overflowPunct/>
        <w:topLinePunct w:val="0"/>
        <w:autoSpaceDE/>
        <w:autoSpaceDN/>
        <w:bidi w:val="0"/>
        <w:adjustRightInd/>
        <w:snapToGrid/>
        <w:ind w:left="17" w:leftChars="7" w:firstLine="636" w:firstLineChars="199"/>
        <w:textAlignment w:val="auto"/>
        <w:rPr>
          <w:rFonts w:hint="eastAsia" w:ascii="宋体" w:hAnsi="宋体" w:eastAsia="宋体" w:cs="宋体"/>
          <w:b w:val="0"/>
          <w:bCs/>
          <w:color w:val="000000"/>
          <w:sz w:val="32"/>
          <w:szCs w:val="32"/>
          <w:lang w:val="en-US" w:eastAsia="zh-CN"/>
        </w:rPr>
      </w:pPr>
      <w:r>
        <w:rPr>
          <w:rFonts w:hint="eastAsia" w:ascii="宋体" w:hAnsi="宋体" w:eastAsia="宋体" w:cs="宋体"/>
          <w:b w:val="0"/>
          <w:bCs/>
          <w:color w:val="000000"/>
          <w:sz w:val="32"/>
          <w:szCs w:val="32"/>
          <w:lang w:val="en-US" w:eastAsia="zh-CN"/>
        </w:rPr>
        <w:t>按照预算管理有关规定，目前单位预算的编制实行综合预算管理，即全部收入和支出都反映在预算中。</w:t>
      </w:r>
    </w:p>
    <w:p>
      <w:pPr>
        <w:keepNext w:val="0"/>
        <w:keepLines w:val="0"/>
        <w:pageBreakBefore w:val="0"/>
        <w:widowControl/>
        <w:numPr>
          <w:ilvl w:val="0"/>
          <w:numId w:val="0"/>
        </w:numPr>
        <w:kinsoku/>
        <w:wordWrap/>
        <w:overflowPunct/>
        <w:topLinePunct w:val="0"/>
        <w:autoSpaceDE/>
        <w:autoSpaceDN/>
        <w:bidi w:val="0"/>
        <w:adjustRightInd/>
        <w:snapToGrid/>
        <w:ind w:left="17" w:leftChars="7" w:firstLine="557" w:firstLineChars="199"/>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zh-CN" w:bidi="ar-SA"/>
        </w:rPr>
        <w:t>收入说明</w:t>
      </w:r>
    </w:p>
    <w:p>
      <w:pPr>
        <w:keepNext w:val="0"/>
        <w:keepLines w:val="0"/>
        <w:pageBreakBefore w:val="0"/>
        <w:widowControl/>
        <w:numPr>
          <w:ilvl w:val="0"/>
          <w:numId w:val="0"/>
        </w:numPr>
        <w:kinsoku/>
        <w:wordWrap/>
        <w:overflowPunct/>
        <w:topLinePunct w:val="0"/>
        <w:autoSpaceDE/>
        <w:autoSpaceDN/>
        <w:bidi w:val="0"/>
        <w:adjustRightInd/>
        <w:snapToGrid/>
        <w:ind w:left="17" w:leftChars="7" w:firstLine="557" w:firstLineChars="199"/>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反映本</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 xml:space="preserve">当年全部收入。2025 年预算收入 </w:t>
      </w:r>
      <w:r>
        <w:rPr>
          <w:rFonts w:hint="eastAsia" w:eastAsia="方正仿宋_GBK" w:cs="Times New Roman"/>
          <w:sz w:val="28"/>
          <w:szCs w:val="24"/>
          <w:lang w:val="en-US" w:eastAsia="zh-CN" w:bidi="ar-SA"/>
        </w:rPr>
        <w:t>366.01</w:t>
      </w:r>
      <w:r>
        <w:rPr>
          <w:rFonts w:hint="eastAsia" w:ascii="Times New Roman" w:hAnsi="Times New Roman" w:eastAsia="方正仿宋_GBK" w:cs="Times New Roman"/>
          <w:sz w:val="28"/>
          <w:szCs w:val="24"/>
          <w:lang w:val="en-US" w:eastAsia="zh-CN" w:bidi="ar-SA"/>
        </w:rPr>
        <w:t xml:space="preserve"> 万元，其中：一般公共预算收入 </w:t>
      </w:r>
      <w:r>
        <w:rPr>
          <w:rFonts w:hint="eastAsia" w:eastAsia="方正仿宋_GBK" w:cs="Times New Roman"/>
          <w:sz w:val="28"/>
          <w:szCs w:val="24"/>
          <w:lang w:val="en-US" w:eastAsia="zh-CN" w:bidi="ar-SA"/>
        </w:rPr>
        <w:t>366.01</w:t>
      </w:r>
      <w:r>
        <w:rPr>
          <w:rFonts w:hint="eastAsia" w:ascii="Times New Roman" w:hAnsi="Times New Roman" w:eastAsia="方正仿宋_GBK" w:cs="Times New Roman"/>
          <w:sz w:val="28"/>
          <w:szCs w:val="24"/>
          <w:lang w:val="en-US" w:eastAsia="zh-CN" w:bidi="ar-SA"/>
        </w:rPr>
        <w:t>万元，基金预算收入0.00 万元，国有资本经营预算收入 0.00 万元，财政专户核拨收入 0.00 万元，单位资金收入0.00 万元，上年结转结余0.00 万元。</w:t>
      </w:r>
    </w:p>
    <w:p>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zh-CN" w:bidi="ar-SA"/>
        </w:rPr>
        <w:t>支出说明</w:t>
      </w:r>
    </w:p>
    <w:p>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收支预算总表支出栏、基本支出表、项目支出表按经济分类和支出功能分类科目编制，反映中共石家庄市委社会工作部年度</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预算中支出预算的总体情况。2025 年支出预算</w:t>
      </w:r>
      <w:r>
        <w:t>366.01</w:t>
      </w:r>
      <w:r>
        <w:rPr>
          <w:rFonts w:hint="eastAsia" w:ascii="Times New Roman" w:hAnsi="Times New Roman" w:eastAsia="方正仿宋_GBK" w:cs="Times New Roman"/>
          <w:sz w:val="28"/>
          <w:szCs w:val="24"/>
          <w:lang w:val="en-US" w:eastAsia="zh-CN" w:bidi="ar-SA"/>
        </w:rPr>
        <w:t>万元，其中基本支出</w:t>
      </w:r>
      <w:r>
        <w:t>116.01</w:t>
      </w:r>
      <w:r>
        <w:rPr>
          <w:rFonts w:hint="eastAsia" w:ascii="Times New Roman" w:hAnsi="Times New Roman" w:eastAsia="方正仿宋_GBK" w:cs="Times New Roman"/>
          <w:sz w:val="28"/>
          <w:szCs w:val="24"/>
          <w:lang w:val="en-US" w:eastAsia="zh-CN" w:bidi="ar-SA"/>
        </w:rPr>
        <w:t>万元，包括人员经费</w:t>
      </w:r>
      <w:r>
        <w:t>104.29</w:t>
      </w:r>
      <w:r>
        <w:rPr>
          <w:rFonts w:hint="eastAsia" w:ascii="Times New Roman" w:hAnsi="Times New Roman" w:eastAsia="方正仿宋_GBK" w:cs="Times New Roman"/>
          <w:sz w:val="28"/>
          <w:szCs w:val="24"/>
          <w:lang w:val="en-US" w:eastAsia="zh-CN" w:bidi="ar-SA"/>
        </w:rPr>
        <w:t>万元和日常公用经费</w:t>
      </w:r>
      <w:r>
        <w:t>11.72</w:t>
      </w:r>
      <w:r>
        <w:rPr>
          <w:rFonts w:hint="eastAsia" w:ascii="Times New Roman" w:hAnsi="Times New Roman" w:eastAsia="方正仿宋_GBK" w:cs="Times New Roman"/>
          <w:sz w:val="28"/>
          <w:szCs w:val="24"/>
          <w:lang w:val="en-US" w:eastAsia="zh-CN" w:bidi="ar-SA"/>
        </w:rPr>
        <w:t>万元；项目支出 250 万元</w:t>
      </w:r>
      <w:r>
        <w:rPr>
          <w:rFonts w:hint="eastAsia" w:eastAsia="方正仿宋_GBK" w:cs="Times New Roman"/>
          <w:sz w:val="28"/>
          <w:szCs w:val="24"/>
          <w:lang w:val="en-US" w:eastAsia="zh-CN" w:bidi="ar-SA"/>
        </w:rPr>
        <w:t>，主要为社会工作者经费，业务经费等</w:t>
      </w:r>
      <w:r>
        <w:rPr>
          <w:rFonts w:hint="eastAsia" w:ascii="Times New Roman" w:hAnsi="Times New Roman" w:eastAsia="方正仿宋_GBK" w:cs="Times New Roman"/>
          <w:sz w:val="28"/>
          <w:szCs w:val="24"/>
          <w:lang w:val="en-US" w:eastAsia="zh-CN" w:bidi="ar-SA"/>
        </w:rPr>
        <w:t>。</w:t>
      </w:r>
    </w:p>
    <w:p>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zh-CN" w:bidi="ar-SA"/>
        </w:rPr>
        <w:t>比上年增减情况</w:t>
      </w:r>
    </w:p>
    <w:p>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2025 年预算收支安排</w:t>
      </w:r>
      <w:r>
        <w:t>366.01</w:t>
      </w:r>
      <w:r>
        <w:rPr>
          <w:rFonts w:hint="eastAsia" w:ascii="Times New Roman" w:hAnsi="Times New Roman" w:eastAsia="方正仿宋_GBK" w:cs="Times New Roman"/>
          <w:sz w:val="28"/>
          <w:szCs w:val="24"/>
          <w:lang w:val="en-US" w:eastAsia="zh-CN" w:bidi="ar-SA"/>
        </w:rPr>
        <w:t xml:space="preserve"> 万元，较 2024 年预算增加</w:t>
      </w:r>
      <w:r>
        <w:t>366.01</w:t>
      </w:r>
      <w:r>
        <w:rPr>
          <w:rFonts w:hint="eastAsia" w:ascii="Times New Roman" w:hAnsi="Times New Roman" w:eastAsia="方正仿宋_GBK" w:cs="Times New Roman"/>
          <w:sz w:val="28"/>
          <w:szCs w:val="24"/>
          <w:lang w:val="en-US" w:eastAsia="zh-CN" w:bidi="ar-SA"/>
        </w:rPr>
        <w:t>万元，其中：基本支出增加</w:t>
      </w:r>
      <w:r>
        <w:t>116.01</w:t>
      </w:r>
      <w:r>
        <w:rPr>
          <w:rFonts w:hint="eastAsia" w:ascii="Times New Roman" w:hAnsi="Times New Roman" w:eastAsia="方正仿宋_GBK" w:cs="Times New Roman"/>
          <w:sz w:val="28"/>
          <w:szCs w:val="24"/>
          <w:lang w:val="en-US" w:eastAsia="zh-CN" w:bidi="ar-SA"/>
        </w:rPr>
        <w:t>万元，主要为 2024 年年初无预算，8 月</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新成立后追加预算。项目支出增加 250 万元，主要为2024 年年初无预算，8月</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新成立后追加预算。</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pPr>
      <w:r>
        <w:rPr>
          <w:rFonts w:hint="eastAsia" w:ascii="Times New Roman" w:hAnsi="Times New Roman" w:eastAsia="方正仿宋_GBK" w:cs="Times New Roman"/>
          <w:sz w:val="28"/>
          <w:szCs w:val="24"/>
          <w:lang w:val="en-US" w:eastAsia="zh-CN" w:bidi="ar-SA"/>
        </w:rPr>
        <w:t>2025 年，我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机关运行经费共计安排</w:t>
      </w:r>
      <w:r>
        <w:t>11.72</w:t>
      </w:r>
      <w:r>
        <w:rPr>
          <w:rFonts w:hint="eastAsia" w:ascii="Times New Roman" w:hAnsi="Times New Roman" w:eastAsia="方正仿宋_GBK" w:cs="Times New Roman"/>
          <w:sz w:val="28"/>
          <w:szCs w:val="24"/>
          <w:lang w:val="en-US" w:eastAsia="zh-CN" w:bidi="ar-SA"/>
        </w:rPr>
        <w:t>万元，主要用于日常维修、办公费、物业管理费等日常运行支出。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ascii="Times New Roman" w:hAnsi="Times New Roman" w:eastAsia="方正仿宋_GBK" w:cs="Times New Roman"/>
          <w:sz w:val="28"/>
          <w:szCs w:val="24"/>
          <w:lang w:val="en-US" w:eastAsia="zh-CN" w:bidi="ar-SA"/>
        </w:rPr>
        <w:t>2025年，我单位财政拨款“三公”经费预算安排0.00万元，其中因公出国（境）费0.00万元； 公务用车购置及运维费0.00万元（其中：公务用车购置费为0.00万元，公务用车运维费0.00万元)； 公务接待费0.00万元。与2024年相比</w:t>
      </w:r>
      <w:r>
        <w:rPr>
          <w:rFonts w:hint="eastAsia" w:cs="Times New Roman"/>
          <w:sz w:val="28"/>
          <w:szCs w:val="24"/>
          <w:lang w:val="en-US" w:eastAsia="zh-CN" w:bidi="ar-SA"/>
        </w:rPr>
        <w:t>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1、关于提前下达2025年省级财政社区建设专项资金预算的通知 石材行[2024]33号绩效目标表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13011125P00001210727C</w:t>
            </w:r>
          </w:p>
        </w:tc>
        <w:tc>
          <w:tcPr>
            <w:tcW w:w="2835" w:type="dxa"/>
            <w:vAlign w:val="center"/>
          </w:tcPr>
          <w:p>
            <w:pPr>
              <w:pStyle w:val="12"/>
            </w:pPr>
            <w:r>
              <w:t>项目名称</w:t>
            </w:r>
          </w:p>
        </w:tc>
        <w:tc>
          <w:tcPr>
            <w:tcW w:w="6095" w:type="dxa"/>
            <w:gridSpan w:val="3"/>
            <w:vAlign w:val="center"/>
          </w:tcPr>
          <w:p>
            <w:pPr>
              <w:pStyle w:val="14"/>
            </w:pPr>
            <w:r>
              <w:t>关于提前下达2025年省级财政社区建设专项资金预算的通知 石材行[2024]33号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省级财政社区建设专项资金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1.省级财政社区建设专项资金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保障单位运转</w:t>
            </w:r>
          </w:p>
        </w:tc>
        <w:tc>
          <w:tcPr>
            <w:tcW w:w="5386" w:type="dxa"/>
            <w:vAlign w:val="center"/>
          </w:tcPr>
          <w:p>
            <w:pPr>
              <w:pStyle w:val="14"/>
            </w:pPr>
            <w:r>
              <w:t>保障单位运转率</w:t>
            </w:r>
          </w:p>
        </w:tc>
        <w:tc>
          <w:tcPr>
            <w:tcW w:w="2268" w:type="dxa"/>
            <w:vAlign w:val="center"/>
          </w:tcPr>
          <w:p>
            <w:pPr>
              <w:pStyle w:val="14"/>
            </w:pPr>
            <w:r>
              <w:t>≥100%</w:t>
            </w:r>
          </w:p>
        </w:tc>
        <w:tc>
          <w:tcPr>
            <w:tcW w:w="1276" w:type="dxa"/>
            <w:vAlign w:val="center"/>
          </w:tcPr>
          <w:p>
            <w:pPr>
              <w:pStyle w:val="14"/>
            </w:pPr>
            <w:r>
              <w:t>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日常运转保障情况</w:t>
            </w:r>
          </w:p>
        </w:tc>
        <w:tc>
          <w:tcPr>
            <w:tcW w:w="5386" w:type="dxa"/>
            <w:vAlign w:val="center"/>
          </w:tcPr>
          <w:p>
            <w:pPr>
              <w:pStyle w:val="14"/>
            </w:pPr>
            <w:r>
              <w:t>日常运转保障情况</w:t>
            </w:r>
          </w:p>
        </w:tc>
        <w:tc>
          <w:tcPr>
            <w:tcW w:w="2268" w:type="dxa"/>
            <w:vAlign w:val="center"/>
          </w:tcPr>
          <w:p>
            <w:pPr>
              <w:pStyle w:val="14"/>
            </w:pPr>
            <w:r>
              <w:t>正常保障</w:t>
            </w:r>
          </w:p>
        </w:tc>
        <w:tc>
          <w:tcPr>
            <w:tcW w:w="1276" w:type="dxa"/>
            <w:vAlign w:val="center"/>
          </w:tcPr>
          <w:p>
            <w:pPr>
              <w:pStyle w:val="14"/>
            </w:pPr>
            <w:r>
              <w:t>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支付及时性</w:t>
            </w:r>
          </w:p>
        </w:tc>
        <w:tc>
          <w:tcPr>
            <w:tcW w:w="5386" w:type="dxa"/>
            <w:vAlign w:val="center"/>
          </w:tcPr>
          <w:p>
            <w:pPr>
              <w:pStyle w:val="14"/>
            </w:pPr>
            <w:r>
              <w:t>支付及时性</w:t>
            </w:r>
          </w:p>
        </w:tc>
        <w:tc>
          <w:tcPr>
            <w:tcW w:w="2268" w:type="dxa"/>
            <w:vAlign w:val="center"/>
          </w:tcPr>
          <w:p>
            <w:pPr>
              <w:pStyle w:val="14"/>
            </w:pPr>
            <w:r>
              <w:t>及时支付</w:t>
            </w:r>
          </w:p>
        </w:tc>
        <w:tc>
          <w:tcPr>
            <w:tcW w:w="1276" w:type="dxa"/>
            <w:vAlign w:val="center"/>
          </w:tcPr>
          <w:p>
            <w:pPr>
              <w:pStyle w:val="14"/>
            </w:pPr>
            <w:r>
              <w:t>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≤12万元</w:t>
            </w:r>
          </w:p>
        </w:tc>
        <w:tc>
          <w:tcPr>
            <w:tcW w:w="1276" w:type="dxa"/>
            <w:vAlign w:val="center"/>
          </w:tcPr>
          <w:p>
            <w:pPr>
              <w:pStyle w:val="14"/>
            </w:pPr>
            <w:r>
              <w:t>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提高经济效益</w:t>
            </w:r>
          </w:p>
        </w:tc>
        <w:tc>
          <w:tcPr>
            <w:tcW w:w="5386" w:type="dxa"/>
            <w:vAlign w:val="center"/>
          </w:tcPr>
          <w:p>
            <w:pPr>
              <w:pStyle w:val="14"/>
            </w:pPr>
            <w:r>
              <w:t>提高经济效益</w:t>
            </w:r>
          </w:p>
        </w:tc>
        <w:tc>
          <w:tcPr>
            <w:tcW w:w="2268" w:type="dxa"/>
            <w:vAlign w:val="center"/>
          </w:tcPr>
          <w:p>
            <w:pPr>
              <w:pStyle w:val="14"/>
            </w:pPr>
            <w:r>
              <w:t>效果显著</w:t>
            </w:r>
          </w:p>
        </w:tc>
        <w:tc>
          <w:tcPr>
            <w:tcW w:w="1276" w:type="dxa"/>
            <w:vAlign w:val="center"/>
          </w:tcPr>
          <w:p>
            <w:pPr>
              <w:pStyle w:val="14"/>
            </w:pPr>
            <w:r>
              <w:t>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提高服务水平</w:t>
            </w:r>
          </w:p>
        </w:tc>
        <w:tc>
          <w:tcPr>
            <w:tcW w:w="5386" w:type="dxa"/>
            <w:vAlign w:val="center"/>
          </w:tcPr>
          <w:p>
            <w:pPr>
              <w:pStyle w:val="14"/>
            </w:pPr>
            <w:r>
              <w:t>提高工作质量</w:t>
            </w:r>
          </w:p>
        </w:tc>
        <w:tc>
          <w:tcPr>
            <w:tcW w:w="2268" w:type="dxa"/>
            <w:vAlign w:val="center"/>
          </w:tcPr>
          <w:p>
            <w:pPr>
              <w:pStyle w:val="14"/>
            </w:pPr>
            <w:r>
              <w:t>各项工作正常开展</w:t>
            </w:r>
          </w:p>
        </w:tc>
        <w:tc>
          <w:tcPr>
            <w:tcW w:w="1276" w:type="dxa"/>
            <w:vAlign w:val="center"/>
          </w:tcPr>
          <w:p>
            <w:pPr>
              <w:pStyle w:val="14"/>
            </w:pPr>
            <w:r>
              <w:t>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维护生态文明</w:t>
            </w:r>
          </w:p>
        </w:tc>
        <w:tc>
          <w:tcPr>
            <w:tcW w:w="5386" w:type="dxa"/>
            <w:vAlign w:val="center"/>
          </w:tcPr>
          <w:p>
            <w:pPr>
              <w:pStyle w:val="14"/>
            </w:pPr>
            <w:r>
              <w:t>维护生态文明</w:t>
            </w:r>
          </w:p>
        </w:tc>
        <w:tc>
          <w:tcPr>
            <w:tcW w:w="2268" w:type="dxa"/>
            <w:vAlign w:val="center"/>
          </w:tcPr>
          <w:p>
            <w:pPr>
              <w:pStyle w:val="14"/>
            </w:pPr>
            <w:r>
              <w:t>提高改善</w:t>
            </w:r>
          </w:p>
        </w:tc>
        <w:tc>
          <w:tcPr>
            <w:tcW w:w="1276" w:type="dxa"/>
            <w:vAlign w:val="center"/>
          </w:tcPr>
          <w:p>
            <w:pPr>
              <w:pStyle w:val="14"/>
            </w:pPr>
            <w:r>
              <w:t>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保障社会稳定</w:t>
            </w:r>
          </w:p>
        </w:tc>
        <w:tc>
          <w:tcPr>
            <w:tcW w:w="5386" w:type="dxa"/>
            <w:vAlign w:val="center"/>
          </w:tcPr>
          <w:p>
            <w:pPr>
              <w:pStyle w:val="14"/>
            </w:pPr>
            <w:r>
              <w:t>保障社会稳定</w:t>
            </w:r>
          </w:p>
        </w:tc>
        <w:tc>
          <w:tcPr>
            <w:tcW w:w="2268" w:type="dxa"/>
            <w:vAlign w:val="center"/>
          </w:tcPr>
          <w:p>
            <w:pPr>
              <w:pStyle w:val="14"/>
            </w:pPr>
            <w:r>
              <w:t>效果显著</w:t>
            </w:r>
          </w:p>
        </w:tc>
        <w:tc>
          <w:tcPr>
            <w:tcW w:w="1276" w:type="dxa"/>
            <w:vAlign w:val="center"/>
          </w:tcPr>
          <w:p>
            <w:pPr>
              <w:pStyle w:val="14"/>
            </w:pPr>
            <w:r>
              <w:t>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职工满意度</w:t>
            </w:r>
          </w:p>
        </w:tc>
        <w:tc>
          <w:tcPr>
            <w:tcW w:w="5386" w:type="dxa"/>
            <w:vAlign w:val="center"/>
          </w:tcPr>
          <w:p>
            <w:pPr>
              <w:pStyle w:val="14"/>
            </w:pPr>
            <w:r>
              <w:t>职工满意度</w:t>
            </w:r>
          </w:p>
        </w:tc>
        <w:tc>
          <w:tcPr>
            <w:tcW w:w="2268" w:type="dxa"/>
            <w:vAlign w:val="center"/>
          </w:tcPr>
          <w:p>
            <w:pPr>
              <w:pStyle w:val="14"/>
            </w:pPr>
            <w:r>
              <w:t>≥98%</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2、社区工作者经费绩效目标表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13011125P00001210168P</w:t>
            </w:r>
          </w:p>
        </w:tc>
        <w:tc>
          <w:tcPr>
            <w:tcW w:w="2835" w:type="dxa"/>
            <w:vAlign w:val="center"/>
          </w:tcPr>
          <w:p>
            <w:pPr>
              <w:pStyle w:val="12"/>
            </w:pPr>
            <w:r>
              <w:t>项目名称</w:t>
            </w:r>
          </w:p>
        </w:tc>
        <w:tc>
          <w:tcPr>
            <w:tcW w:w="6095" w:type="dxa"/>
            <w:gridSpan w:val="3"/>
            <w:vAlign w:val="center"/>
          </w:tcPr>
          <w:p>
            <w:pPr>
              <w:pStyle w:val="14"/>
            </w:pPr>
            <w:r>
              <w:t>社区工作者经费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235.00</w:t>
            </w:r>
          </w:p>
        </w:tc>
        <w:tc>
          <w:tcPr>
            <w:tcW w:w="2835" w:type="dxa"/>
            <w:vAlign w:val="center"/>
          </w:tcPr>
          <w:p>
            <w:pPr>
              <w:pStyle w:val="12"/>
            </w:pPr>
            <w:r>
              <w:t>其中：财政    资金</w:t>
            </w:r>
          </w:p>
        </w:tc>
        <w:tc>
          <w:tcPr>
            <w:tcW w:w="2551" w:type="dxa"/>
            <w:vAlign w:val="center"/>
          </w:tcPr>
          <w:p>
            <w:pPr>
              <w:pStyle w:val="14"/>
            </w:pPr>
            <w:r>
              <w:t>235.00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社区工作者工资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1.保证社区工作者经费的合理使用。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社区工作人员率</w:t>
            </w:r>
          </w:p>
        </w:tc>
        <w:tc>
          <w:tcPr>
            <w:tcW w:w="5386" w:type="dxa"/>
            <w:vAlign w:val="center"/>
          </w:tcPr>
          <w:p>
            <w:pPr>
              <w:pStyle w:val="14"/>
            </w:pPr>
            <w:r>
              <w:t>社区工作人员率</w:t>
            </w:r>
          </w:p>
        </w:tc>
        <w:tc>
          <w:tcPr>
            <w:tcW w:w="2268" w:type="dxa"/>
            <w:vAlign w:val="center"/>
          </w:tcPr>
          <w:p>
            <w:pPr>
              <w:pStyle w:val="14"/>
            </w:pPr>
            <w:r>
              <w:t>≥100</w:t>
            </w:r>
          </w:p>
        </w:tc>
        <w:tc>
          <w:tcPr>
            <w:tcW w:w="1276" w:type="dxa"/>
            <w:vAlign w:val="center"/>
          </w:tcPr>
          <w:p>
            <w:pPr>
              <w:pStyle w:val="14"/>
            </w:pPr>
            <w:r>
              <w:t>社区工作者经费表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保护合法权益</w:t>
            </w:r>
          </w:p>
        </w:tc>
        <w:tc>
          <w:tcPr>
            <w:tcW w:w="5386" w:type="dxa"/>
            <w:vAlign w:val="center"/>
          </w:tcPr>
          <w:p>
            <w:pPr>
              <w:pStyle w:val="14"/>
            </w:pPr>
            <w:r>
              <w:t>保护合法权益</w:t>
            </w:r>
          </w:p>
        </w:tc>
        <w:tc>
          <w:tcPr>
            <w:tcW w:w="2268" w:type="dxa"/>
            <w:vAlign w:val="center"/>
          </w:tcPr>
          <w:p>
            <w:pPr>
              <w:pStyle w:val="14"/>
            </w:pPr>
            <w:r>
              <w:t>≥100</w:t>
            </w:r>
          </w:p>
        </w:tc>
        <w:tc>
          <w:tcPr>
            <w:tcW w:w="1276" w:type="dxa"/>
            <w:vAlign w:val="center"/>
          </w:tcPr>
          <w:p>
            <w:pPr>
              <w:pStyle w:val="14"/>
            </w:pPr>
            <w:r>
              <w:t>社区工作者经费表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≥100</w:t>
            </w:r>
          </w:p>
        </w:tc>
        <w:tc>
          <w:tcPr>
            <w:tcW w:w="1276" w:type="dxa"/>
            <w:vAlign w:val="center"/>
          </w:tcPr>
          <w:p>
            <w:pPr>
              <w:pStyle w:val="14"/>
            </w:pPr>
            <w:r>
              <w:t>社区工作者经费表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足额发放补助</w:t>
            </w:r>
          </w:p>
        </w:tc>
        <w:tc>
          <w:tcPr>
            <w:tcW w:w="5386" w:type="dxa"/>
            <w:vAlign w:val="center"/>
          </w:tcPr>
          <w:p>
            <w:pPr>
              <w:pStyle w:val="14"/>
            </w:pPr>
            <w:r>
              <w:t>足额发放补助</w:t>
            </w:r>
          </w:p>
        </w:tc>
        <w:tc>
          <w:tcPr>
            <w:tcW w:w="2268" w:type="dxa"/>
            <w:vAlign w:val="center"/>
          </w:tcPr>
          <w:p>
            <w:pPr>
              <w:pStyle w:val="14"/>
            </w:pPr>
            <w:r>
              <w:t>≥100</w:t>
            </w:r>
          </w:p>
        </w:tc>
        <w:tc>
          <w:tcPr>
            <w:tcW w:w="1276" w:type="dxa"/>
            <w:vAlign w:val="center"/>
          </w:tcPr>
          <w:p>
            <w:pPr>
              <w:pStyle w:val="14"/>
            </w:pPr>
            <w:r>
              <w:t>社区工作者经费表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5386" w:type="dxa"/>
            <w:vAlign w:val="center"/>
          </w:tcPr>
          <w:p>
            <w:pPr>
              <w:pStyle w:val="14"/>
            </w:pPr>
            <w:r>
              <w:t>提高效率</w:t>
            </w:r>
          </w:p>
        </w:tc>
        <w:tc>
          <w:tcPr>
            <w:tcW w:w="2268" w:type="dxa"/>
            <w:vAlign w:val="center"/>
          </w:tcPr>
          <w:p>
            <w:pPr>
              <w:pStyle w:val="14"/>
            </w:pPr>
            <w:r>
              <w:t>≥100</w:t>
            </w:r>
          </w:p>
        </w:tc>
        <w:tc>
          <w:tcPr>
            <w:tcW w:w="1276" w:type="dxa"/>
            <w:vAlign w:val="center"/>
          </w:tcPr>
          <w:p>
            <w:pPr>
              <w:pStyle w:val="14"/>
            </w:pPr>
            <w:r>
              <w:t>社区工作者经费表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营造良好社会氛围</w:t>
            </w:r>
          </w:p>
        </w:tc>
        <w:tc>
          <w:tcPr>
            <w:tcW w:w="5386" w:type="dxa"/>
            <w:vAlign w:val="center"/>
          </w:tcPr>
          <w:p>
            <w:pPr>
              <w:pStyle w:val="14"/>
            </w:pPr>
            <w:r>
              <w:t>营造良好社会氛围</w:t>
            </w:r>
          </w:p>
        </w:tc>
        <w:tc>
          <w:tcPr>
            <w:tcW w:w="2268" w:type="dxa"/>
            <w:vAlign w:val="center"/>
          </w:tcPr>
          <w:p>
            <w:pPr>
              <w:pStyle w:val="14"/>
            </w:pPr>
            <w:r>
              <w:t>营造良好社会氛围</w:t>
            </w:r>
          </w:p>
        </w:tc>
        <w:tc>
          <w:tcPr>
            <w:tcW w:w="1276" w:type="dxa"/>
            <w:vAlign w:val="center"/>
          </w:tcPr>
          <w:p>
            <w:pPr>
              <w:pStyle w:val="14"/>
            </w:pPr>
            <w:r>
              <w:t>社区工作者经费表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生态效益提升</w:t>
            </w:r>
          </w:p>
        </w:tc>
        <w:tc>
          <w:tcPr>
            <w:tcW w:w="5386" w:type="dxa"/>
            <w:vAlign w:val="center"/>
          </w:tcPr>
          <w:p>
            <w:pPr>
              <w:pStyle w:val="14"/>
            </w:pPr>
            <w:r>
              <w:t>生态效益提升</w:t>
            </w:r>
          </w:p>
        </w:tc>
        <w:tc>
          <w:tcPr>
            <w:tcW w:w="2268" w:type="dxa"/>
            <w:vAlign w:val="center"/>
          </w:tcPr>
          <w:p>
            <w:pPr>
              <w:pStyle w:val="14"/>
            </w:pPr>
            <w:r>
              <w:t>≥100</w:t>
            </w:r>
          </w:p>
        </w:tc>
        <w:tc>
          <w:tcPr>
            <w:tcW w:w="1276" w:type="dxa"/>
            <w:vAlign w:val="center"/>
          </w:tcPr>
          <w:p>
            <w:pPr>
              <w:pStyle w:val="14"/>
            </w:pPr>
            <w:r>
              <w:t>社区工作者经费表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5386" w:type="dxa"/>
            <w:vAlign w:val="center"/>
          </w:tcPr>
          <w:p>
            <w:pPr>
              <w:pStyle w:val="14"/>
            </w:pPr>
            <w:r>
              <w:t>维护社会稳定</w:t>
            </w:r>
          </w:p>
        </w:tc>
        <w:tc>
          <w:tcPr>
            <w:tcW w:w="2268" w:type="dxa"/>
            <w:vAlign w:val="center"/>
          </w:tcPr>
          <w:p>
            <w:pPr>
              <w:pStyle w:val="14"/>
            </w:pPr>
            <w:r>
              <w:t>≥100</w:t>
            </w:r>
          </w:p>
        </w:tc>
        <w:tc>
          <w:tcPr>
            <w:tcW w:w="1276" w:type="dxa"/>
            <w:vAlign w:val="center"/>
          </w:tcPr>
          <w:p>
            <w:pPr>
              <w:pStyle w:val="14"/>
            </w:pPr>
            <w:r>
              <w:t>社区工作者经费表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社区工作者满意度</w:t>
            </w:r>
          </w:p>
        </w:tc>
        <w:tc>
          <w:tcPr>
            <w:tcW w:w="5386" w:type="dxa"/>
            <w:vAlign w:val="center"/>
          </w:tcPr>
          <w:p>
            <w:pPr>
              <w:pStyle w:val="14"/>
            </w:pPr>
            <w:r>
              <w:t>社区工作者满意度</w:t>
            </w:r>
          </w:p>
        </w:tc>
        <w:tc>
          <w:tcPr>
            <w:tcW w:w="2268" w:type="dxa"/>
            <w:vAlign w:val="center"/>
          </w:tcPr>
          <w:p>
            <w:pPr>
              <w:pStyle w:val="14"/>
            </w:pPr>
            <w:r>
              <w:t>≥100</w:t>
            </w:r>
          </w:p>
        </w:tc>
        <w:tc>
          <w:tcPr>
            <w:tcW w:w="1276" w:type="dxa"/>
            <w:vAlign w:val="center"/>
          </w:tcPr>
          <w:p>
            <w:pPr>
              <w:pStyle w:val="14"/>
            </w:pPr>
            <w:r>
              <w:t>社区工作者经费表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3、业务经费绩效目标表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13011125P00001210574A</w:t>
            </w:r>
          </w:p>
        </w:tc>
        <w:tc>
          <w:tcPr>
            <w:tcW w:w="2835" w:type="dxa"/>
            <w:vAlign w:val="center"/>
          </w:tcPr>
          <w:p>
            <w:pPr>
              <w:pStyle w:val="12"/>
            </w:pPr>
            <w:r>
              <w:t>项目名称</w:t>
            </w:r>
          </w:p>
        </w:tc>
        <w:tc>
          <w:tcPr>
            <w:tcW w:w="6095" w:type="dxa"/>
            <w:gridSpan w:val="3"/>
            <w:vAlign w:val="center"/>
          </w:tcPr>
          <w:p>
            <w:pPr>
              <w:pStyle w:val="14"/>
            </w:pPr>
            <w:r>
              <w:t>业务经费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业务经费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1.保障日常办公业务需要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保障单位运转天数</w:t>
            </w:r>
          </w:p>
        </w:tc>
        <w:tc>
          <w:tcPr>
            <w:tcW w:w="5386" w:type="dxa"/>
            <w:vAlign w:val="center"/>
          </w:tcPr>
          <w:p>
            <w:pPr>
              <w:pStyle w:val="14"/>
            </w:pPr>
            <w:r>
              <w:t>保障单位运转天数</w:t>
            </w:r>
          </w:p>
        </w:tc>
        <w:tc>
          <w:tcPr>
            <w:tcW w:w="2268" w:type="dxa"/>
            <w:vAlign w:val="center"/>
          </w:tcPr>
          <w:p>
            <w:pPr>
              <w:pStyle w:val="14"/>
            </w:pPr>
            <w:r>
              <w:t>≥360≥360天</w:t>
            </w:r>
          </w:p>
        </w:tc>
        <w:tc>
          <w:tcPr>
            <w:tcW w:w="1276" w:type="dxa"/>
            <w:vAlign w:val="center"/>
          </w:tcPr>
          <w:p>
            <w:pPr>
              <w:pStyle w:val="14"/>
            </w:pPr>
            <w:r>
              <w:t>工作任务完成情况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日常运转保障情况</w:t>
            </w:r>
          </w:p>
        </w:tc>
        <w:tc>
          <w:tcPr>
            <w:tcW w:w="5386" w:type="dxa"/>
            <w:vAlign w:val="center"/>
          </w:tcPr>
          <w:p>
            <w:pPr>
              <w:pStyle w:val="14"/>
            </w:pPr>
            <w:r>
              <w:t>日常运转保障情况</w:t>
            </w:r>
          </w:p>
        </w:tc>
        <w:tc>
          <w:tcPr>
            <w:tcW w:w="2268" w:type="dxa"/>
            <w:vAlign w:val="center"/>
          </w:tcPr>
          <w:p>
            <w:pPr>
              <w:pStyle w:val="14"/>
            </w:pPr>
            <w:r>
              <w:t>正常保障</w:t>
            </w:r>
          </w:p>
        </w:tc>
        <w:tc>
          <w:tcPr>
            <w:tcW w:w="1276" w:type="dxa"/>
            <w:vAlign w:val="center"/>
          </w:tcPr>
          <w:p>
            <w:pPr>
              <w:pStyle w:val="14"/>
            </w:pPr>
            <w:r>
              <w:t>工作任务完成情况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支付及时性</w:t>
            </w:r>
          </w:p>
        </w:tc>
        <w:tc>
          <w:tcPr>
            <w:tcW w:w="5386" w:type="dxa"/>
            <w:vAlign w:val="center"/>
          </w:tcPr>
          <w:p>
            <w:pPr>
              <w:pStyle w:val="14"/>
            </w:pPr>
            <w:r>
              <w:t>支付及时性</w:t>
            </w:r>
          </w:p>
        </w:tc>
        <w:tc>
          <w:tcPr>
            <w:tcW w:w="2268" w:type="dxa"/>
            <w:vAlign w:val="center"/>
          </w:tcPr>
          <w:p>
            <w:pPr>
              <w:pStyle w:val="14"/>
            </w:pPr>
            <w:r>
              <w:t>及时支付</w:t>
            </w:r>
          </w:p>
        </w:tc>
        <w:tc>
          <w:tcPr>
            <w:tcW w:w="1276" w:type="dxa"/>
            <w:vAlign w:val="center"/>
          </w:tcPr>
          <w:p>
            <w:pPr>
              <w:pStyle w:val="14"/>
            </w:pPr>
            <w:r>
              <w:t>工作任务完成情况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≤3万元</w:t>
            </w:r>
          </w:p>
        </w:tc>
        <w:tc>
          <w:tcPr>
            <w:tcW w:w="1276" w:type="dxa"/>
            <w:vAlign w:val="center"/>
          </w:tcPr>
          <w:p>
            <w:pPr>
              <w:pStyle w:val="14"/>
            </w:pPr>
            <w:r>
              <w:t>工作任务完成情况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提高公务服务水平</w:t>
            </w:r>
          </w:p>
        </w:tc>
        <w:tc>
          <w:tcPr>
            <w:tcW w:w="5386" w:type="dxa"/>
            <w:vAlign w:val="center"/>
          </w:tcPr>
          <w:p>
            <w:pPr>
              <w:pStyle w:val="14"/>
            </w:pPr>
            <w:r>
              <w:t>提高公务服务水平</w:t>
            </w:r>
          </w:p>
        </w:tc>
        <w:tc>
          <w:tcPr>
            <w:tcW w:w="2268" w:type="dxa"/>
            <w:vAlign w:val="center"/>
          </w:tcPr>
          <w:p>
            <w:pPr>
              <w:pStyle w:val="14"/>
            </w:pPr>
            <w:r>
              <w:t>各项工作正常开展</w:t>
            </w:r>
          </w:p>
        </w:tc>
        <w:tc>
          <w:tcPr>
            <w:tcW w:w="1276" w:type="dxa"/>
            <w:vAlign w:val="center"/>
          </w:tcPr>
          <w:p>
            <w:pPr>
              <w:pStyle w:val="14"/>
            </w:pPr>
            <w:r>
              <w:t>工作任务完成情况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安心工作，提高经济效益</w:t>
            </w:r>
          </w:p>
        </w:tc>
        <w:tc>
          <w:tcPr>
            <w:tcW w:w="5386" w:type="dxa"/>
            <w:vAlign w:val="center"/>
          </w:tcPr>
          <w:p>
            <w:pPr>
              <w:pStyle w:val="14"/>
            </w:pPr>
            <w:r>
              <w:t>安心工作，提高经济效益</w:t>
            </w:r>
          </w:p>
        </w:tc>
        <w:tc>
          <w:tcPr>
            <w:tcW w:w="2268" w:type="dxa"/>
            <w:vAlign w:val="center"/>
          </w:tcPr>
          <w:p>
            <w:pPr>
              <w:pStyle w:val="14"/>
            </w:pPr>
            <w:r>
              <w:t>效果显著</w:t>
            </w:r>
          </w:p>
        </w:tc>
        <w:tc>
          <w:tcPr>
            <w:tcW w:w="1276" w:type="dxa"/>
            <w:vAlign w:val="center"/>
          </w:tcPr>
          <w:p>
            <w:pPr>
              <w:pStyle w:val="14"/>
            </w:pPr>
            <w:r>
              <w:t>工作任务完成情况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维护生态文明</w:t>
            </w:r>
          </w:p>
        </w:tc>
        <w:tc>
          <w:tcPr>
            <w:tcW w:w="5386" w:type="dxa"/>
            <w:vAlign w:val="center"/>
          </w:tcPr>
          <w:p>
            <w:pPr>
              <w:pStyle w:val="14"/>
            </w:pPr>
            <w:r>
              <w:t>维护生态文明</w:t>
            </w:r>
          </w:p>
        </w:tc>
        <w:tc>
          <w:tcPr>
            <w:tcW w:w="2268" w:type="dxa"/>
            <w:vAlign w:val="center"/>
          </w:tcPr>
          <w:p>
            <w:pPr>
              <w:pStyle w:val="14"/>
            </w:pPr>
            <w:r>
              <w:t>提高改善</w:t>
            </w:r>
          </w:p>
        </w:tc>
        <w:tc>
          <w:tcPr>
            <w:tcW w:w="1276" w:type="dxa"/>
            <w:vAlign w:val="center"/>
          </w:tcPr>
          <w:p>
            <w:pPr>
              <w:pStyle w:val="14"/>
            </w:pPr>
            <w:r>
              <w:t>工作任务完成情况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保障社会稳定</w:t>
            </w:r>
          </w:p>
        </w:tc>
        <w:tc>
          <w:tcPr>
            <w:tcW w:w="5386" w:type="dxa"/>
            <w:vAlign w:val="center"/>
          </w:tcPr>
          <w:p>
            <w:pPr>
              <w:pStyle w:val="14"/>
            </w:pPr>
            <w:r>
              <w:t>保障社会稳定</w:t>
            </w:r>
          </w:p>
        </w:tc>
        <w:tc>
          <w:tcPr>
            <w:tcW w:w="2268" w:type="dxa"/>
            <w:vAlign w:val="center"/>
          </w:tcPr>
          <w:p>
            <w:pPr>
              <w:pStyle w:val="14"/>
            </w:pPr>
            <w:r>
              <w:t>效果显著</w:t>
            </w:r>
          </w:p>
        </w:tc>
        <w:tc>
          <w:tcPr>
            <w:tcW w:w="1276" w:type="dxa"/>
            <w:vAlign w:val="center"/>
          </w:tcPr>
          <w:p>
            <w:pPr>
              <w:pStyle w:val="14"/>
            </w:pPr>
            <w:r>
              <w:t>工作任务完成情况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职工满意度</w:t>
            </w:r>
          </w:p>
        </w:tc>
        <w:tc>
          <w:tcPr>
            <w:tcW w:w="5386" w:type="dxa"/>
            <w:vAlign w:val="center"/>
          </w:tcPr>
          <w:p>
            <w:pPr>
              <w:pStyle w:val="14"/>
            </w:pPr>
            <w:r>
              <w:t>职工满意度</w:t>
            </w:r>
          </w:p>
        </w:tc>
        <w:tc>
          <w:tcPr>
            <w:tcW w:w="2268" w:type="dxa"/>
            <w:vAlign w:val="center"/>
          </w:tcPr>
          <w:p>
            <w:pPr>
              <w:pStyle w:val="14"/>
            </w:pPr>
            <w:r>
              <w:t>≥100%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中共石家庄市栾城区委社会工作部本级上年末固定资产金额为</w:t>
      </w:r>
      <w:r>
        <w:rPr>
          <w:rFonts w:hint="eastAsia" w:eastAsia="方正仿宋_GBK" w:cs="Times New Roman"/>
          <w:b w:val="0"/>
          <w:color w:val="000000"/>
          <w:sz w:val="28"/>
          <w:lang w:val="en-US" w:eastAsia="zh-CN"/>
        </w:rPr>
        <w:t>7.75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21</w:t>
            </w:r>
            <w:r>
              <w:rPr>
                <w:rFonts w:hint="eastAsia"/>
                <w:lang w:val="en-US" w:eastAsia="zh-CN"/>
              </w:rPr>
              <w:t>4001</w:t>
            </w:r>
            <w:r>
              <w:t>中共石家庄市栾城区委社会工作部</w:t>
            </w:r>
            <w:r>
              <w:rPr>
                <w:rFonts w:hint="eastAsia"/>
                <w:lang w:val="en-US" w:eastAsia="zh-CN"/>
              </w:rPr>
              <w:t>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4"/>
              <w:rPr>
                <w:rFonts w:hint="eastAsia"/>
              </w:rPr>
            </w:pPr>
            <w:r>
              <w:t>1、房屋（平方米）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4"/>
              <w:rPr>
                <w:rFonts w:hint="eastAsia"/>
              </w:rPr>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7.75</w:t>
            </w:r>
          </w:p>
        </w:tc>
      </w:tr>
    </w:tbl>
    <w:p>
      <w:pPr>
        <w:spacing w:before="0" w:after="0" w:line="240" w:lineRule="auto"/>
        <w:ind w:firstLine="420"/>
        <w:jc w:val="left"/>
        <w:outlineLvl w:val="9"/>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二、石家庄市栾城区社会工作综合服务中心收支预算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32.92</w:t>
            </w:r>
          </w:p>
        </w:tc>
        <w:tc>
          <w:tcPr>
            <w:tcW w:w="4535" w:type="dxa"/>
            <w:vAlign w:val="center"/>
          </w:tcPr>
          <w:p>
            <w:pPr>
              <w:pStyle w:val="14"/>
            </w:pPr>
            <w:r>
              <w:t>一、一般公共服务支出</w:t>
            </w:r>
          </w:p>
        </w:tc>
        <w:tc>
          <w:tcPr>
            <w:tcW w:w="2126" w:type="dxa"/>
            <w:vAlign w:val="center"/>
          </w:tcPr>
          <w:p>
            <w:pPr>
              <w:pStyle w:val="13"/>
            </w:pPr>
            <w:r>
              <w:t>27.52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32.92</w:t>
            </w:r>
          </w:p>
        </w:tc>
        <w:tc>
          <w:tcPr>
            <w:tcW w:w="4535" w:type="dxa"/>
            <w:vAlign w:val="center"/>
          </w:tcPr>
          <w:p>
            <w:pPr>
              <w:pStyle w:val="16"/>
            </w:pPr>
            <w:r>
              <w:t>本年支出合计</w:t>
            </w:r>
          </w:p>
        </w:tc>
        <w:tc>
          <w:tcPr>
            <w:tcW w:w="2126" w:type="dxa"/>
            <w:vAlign w:val="center"/>
          </w:tcPr>
          <w:p>
            <w:pPr>
              <w:pStyle w:val="17"/>
            </w:pPr>
            <w:r>
              <w:t>32.92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32.92</w:t>
            </w:r>
          </w:p>
        </w:tc>
        <w:tc>
          <w:tcPr>
            <w:tcW w:w="4535" w:type="dxa"/>
            <w:vAlign w:val="center"/>
          </w:tcPr>
          <w:p>
            <w:pPr>
              <w:pStyle w:val="16"/>
            </w:pPr>
            <w:r>
              <w:t>支出总计</w:t>
            </w:r>
          </w:p>
        </w:tc>
        <w:tc>
          <w:tcPr>
            <w:tcW w:w="2126" w:type="dxa"/>
            <w:vAlign w:val="center"/>
          </w:tcPr>
          <w:p>
            <w:pPr>
              <w:pStyle w:val="17"/>
            </w:pPr>
            <w:r>
              <w:t>32.92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32.92</w:t>
            </w:r>
          </w:p>
        </w:tc>
        <w:tc>
          <w:tcPr>
            <w:tcW w:w="1134" w:type="dxa"/>
            <w:vAlign w:val="center"/>
          </w:tcPr>
          <w:p>
            <w:pPr>
              <w:pStyle w:val="17"/>
            </w:pPr>
            <w:r>
              <w:t>32.92</w:t>
            </w:r>
          </w:p>
        </w:tc>
        <w:tc>
          <w:tcPr>
            <w:tcW w:w="1134" w:type="dxa"/>
            <w:vAlign w:val="center"/>
          </w:tcPr>
          <w:p>
            <w:pPr>
              <w:pStyle w:val="17"/>
            </w:pPr>
            <w:r>
              <w:t>32.92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27.52</w:t>
            </w:r>
          </w:p>
        </w:tc>
        <w:tc>
          <w:tcPr>
            <w:tcW w:w="1134" w:type="dxa"/>
            <w:vAlign w:val="center"/>
          </w:tcPr>
          <w:p>
            <w:pPr>
              <w:pStyle w:val="13"/>
            </w:pPr>
            <w:r>
              <w:t>27.52</w:t>
            </w:r>
          </w:p>
        </w:tc>
        <w:tc>
          <w:tcPr>
            <w:tcW w:w="1134" w:type="dxa"/>
            <w:vAlign w:val="center"/>
          </w:tcPr>
          <w:p>
            <w:pPr>
              <w:pStyle w:val="13"/>
            </w:pPr>
            <w:r>
              <w:t>27.52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20139</w:t>
            </w:r>
          </w:p>
        </w:tc>
        <w:tc>
          <w:tcPr>
            <w:tcW w:w="1559" w:type="dxa"/>
            <w:vAlign w:val="center"/>
          </w:tcPr>
          <w:p>
            <w:pPr>
              <w:pStyle w:val="14"/>
            </w:pPr>
            <w:r>
              <w:t>社会工作事务</w:t>
            </w:r>
          </w:p>
        </w:tc>
        <w:tc>
          <w:tcPr>
            <w:tcW w:w="1134" w:type="dxa"/>
            <w:vAlign w:val="center"/>
          </w:tcPr>
          <w:p>
            <w:pPr>
              <w:pStyle w:val="13"/>
            </w:pPr>
            <w:r>
              <w:t>27.52</w:t>
            </w:r>
          </w:p>
        </w:tc>
        <w:tc>
          <w:tcPr>
            <w:tcW w:w="1134" w:type="dxa"/>
            <w:vAlign w:val="center"/>
          </w:tcPr>
          <w:p>
            <w:pPr>
              <w:pStyle w:val="13"/>
            </w:pPr>
            <w:r>
              <w:t>27.52</w:t>
            </w:r>
          </w:p>
        </w:tc>
        <w:tc>
          <w:tcPr>
            <w:tcW w:w="1134" w:type="dxa"/>
            <w:vAlign w:val="center"/>
          </w:tcPr>
          <w:p>
            <w:pPr>
              <w:pStyle w:val="13"/>
            </w:pPr>
            <w:r>
              <w:t>27.52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2013950</w:t>
            </w:r>
          </w:p>
        </w:tc>
        <w:tc>
          <w:tcPr>
            <w:tcW w:w="1559" w:type="dxa"/>
            <w:vAlign w:val="center"/>
          </w:tcPr>
          <w:p>
            <w:pPr>
              <w:pStyle w:val="14"/>
            </w:pPr>
            <w:r>
              <w:t>事业运行</w:t>
            </w:r>
          </w:p>
        </w:tc>
        <w:tc>
          <w:tcPr>
            <w:tcW w:w="1134" w:type="dxa"/>
            <w:vAlign w:val="center"/>
          </w:tcPr>
          <w:p>
            <w:pPr>
              <w:pStyle w:val="13"/>
            </w:pPr>
            <w:r>
              <w:t>27.52</w:t>
            </w:r>
          </w:p>
        </w:tc>
        <w:tc>
          <w:tcPr>
            <w:tcW w:w="1134" w:type="dxa"/>
            <w:vAlign w:val="center"/>
          </w:tcPr>
          <w:p>
            <w:pPr>
              <w:pStyle w:val="13"/>
            </w:pPr>
            <w:r>
              <w:t>27.52</w:t>
            </w:r>
          </w:p>
        </w:tc>
        <w:tc>
          <w:tcPr>
            <w:tcW w:w="1134" w:type="dxa"/>
            <w:vAlign w:val="center"/>
          </w:tcPr>
          <w:p>
            <w:pPr>
              <w:pStyle w:val="13"/>
            </w:pPr>
            <w:r>
              <w:t>27.52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3.20</w:t>
            </w:r>
          </w:p>
        </w:tc>
        <w:tc>
          <w:tcPr>
            <w:tcW w:w="1134" w:type="dxa"/>
            <w:vAlign w:val="center"/>
          </w:tcPr>
          <w:p>
            <w:pPr>
              <w:pStyle w:val="13"/>
            </w:pPr>
            <w:r>
              <w:t>3.20</w:t>
            </w:r>
          </w:p>
        </w:tc>
        <w:tc>
          <w:tcPr>
            <w:tcW w:w="1134" w:type="dxa"/>
            <w:vAlign w:val="center"/>
          </w:tcPr>
          <w:p>
            <w:pPr>
              <w:pStyle w:val="13"/>
            </w:pPr>
            <w:r>
              <w:t>3.20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3.03</w:t>
            </w:r>
          </w:p>
        </w:tc>
        <w:tc>
          <w:tcPr>
            <w:tcW w:w="1134" w:type="dxa"/>
            <w:vAlign w:val="center"/>
          </w:tcPr>
          <w:p>
            <w:pPr>
              <w:pStyle w:val="13"/>
            </w:pPr>
            <w:r>
              <w:t>3.03</w:t>
            </w:r>
          </w:p>
        </w:tc>
        <w:tc>
          <w:tcPr>
            <w:tcW w:w="1134" w:type="dxa"/>
            <w:vAlign w:val="center"/>
          </w:tcPr>
          <w:p>
            <w:pPr>
              <w:pStyle w:val="13"/>
            </w:pPr>
            <w:r>
              <w:t>3.03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3.03</w:t>
            </w:r>
          </w:p>
        </w:tc>
        <w:tc>
          <w:tcPr>
            <w:tcW w:w="1134" w:type="dxa"/>
            <w:vAlign w:val="center"/>
          </w:tcPr>
          <w:p>
            <w:pPr>
              <w:pStyle w:val="13"/>
            </w:pPr>
            <w:r>
              <w:t>3.03</w:t>
            </w:r>
          </w:p>
        </w:tc>
        <w:tc>
          <w:tcPr>
            <w:tcW w:w="1134" w:type="dxa"/>
            <w:vAlign w:val="center"/>
          </w:tcPr>
          <w:p>
            <w:pPr>
              <w:pStyle w:val="13"/>
            </w:pPr>
            <w:r>
              <w:t>3.03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0.17</w:t>
            </w:r>
          </w:p>
        </w:tc>
        <w:tc>
          <w:tcPr>
            <w:tcW w:w="1134" w:type="dxa"/>
            <w:vAlign w:val="center"/>
          </w:tcPr>
          <w:p>
            <w:pPr>
              <w:pStyle w:val="13"/>
            </w:pPr>
            <w:r>
              <w:t>0.17</w:t>
            </w:r>
          </w:p>
        </w:tc>
        <w:tc>
          <w:tcPr>
            <w:tcW w:w="1134" w:type="dxa"/>
            <w:vAlign w:val="center"/>
          </w:tcPr>
          <w:p>
            <w:pPr>
              <w:pStyle w:val="13"/>
            </w:pPr>
            <w:r>
              <w:t>0.17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0.10</w:t>
            </w:r>
          </w:p>
        </w:tc>
        <w:tc>
          <w:tcPr>
            <w:tcW w:w="1134" w:type="dxa"/>
            <w:vAlign w:val="center"/>
          </w:tcPr>
          <w:p>
            <w:pPr>
              <w:pStyle w:val="13"/>
            </w:pPr>
            <w:r>
              <w:t>0.10</w:t>
            </w:r>
          </w:p>
        </w:tc>
        <w:tc>
          <w:tcPr>
            <w:tcW w:w="1134" w:type="dxa"/>
            <w:vAlign w:val="center"/>
          </w:tcPr>
          <w:p>
            <w:pPr>
              <w:pStyle w:val="13"/>
            </w:pPr>
            <w:r>
              <w:t>0.10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0.07</w:t>
            </w:r>
          </w:p>
        </w:tc>
        <w:tc>
          <w:tcPr>
            <w:tcW w:w="1134" w:type="dxa"/>
            <w:vAlign w:val="center"/>
          </w:tcPr>
          <w:p>
            <w:pPr>
              <w:pStyle w:val="13"/>
            </w:pPr>
            <w:r>
              <w:t>0.07</w:t>
            </w:r>
          </w:p>
        </w:tc>
        <w:tc>
          <w:tcPr>
            <w:tcW w:w="1134" w:type="dxa"/>
            <w:vAlign w:val="center"/>
          </w:tcPr>
          <w:p>
            <w:pPr>
              <w:pStyle w:val="13"/>
            </w:pPr>
            <w:r>
              <w:t>0.07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2.20</w:t>
            </w:r>
          </w:p>
        </w:tc>
        <w:tc>
          <w:tcPr>
            <w:tcW w:w="1134" w:type="dxa"/>
            <w:vAlign w:val="center"/>
          </w:tcPr>
          <w:p>
            <w:pPr>
              <w:pStyle w:val="13"/>
            </w:pPr>
            <w:r>
              <w:t>2.20</w:t>
            </w:r>
          </w:p>
        </w:tc>
        <w:tc>
          <w:tcPr>
            <w:tcW w:w="1134" w:type="dxa"/>
            <w:vAlign w:val="center"/>
          </w:tcPr>
          <w:p>
            <w:pPr>
              <w:pStyle w:val="13"/>
            </w:pPr>
            <w:r>
              <w:t>2.20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2.20</w:t>
            </w:r>
          </w:p>
        </w:tc>
        <w:tc>
          <w:tcPr>
            <w:tcW w:w="1134" w:type="dxa"/>
            <w:vAlign w:val="center"/>
          </w:tcPr>
          <w:p>
            <w:pPr>
              <w:pStyle w:val="13"/>
            </w:pPr>
            <w:r>
              <w:t>2.20</w:t>
            </w:r>
          </w:p>
        </w:tc>
        <w:tc>
          <w:tcPr>
            <w:tcW w:w="1134" w:type="dxa"/>
            <w:vAlign w:val="center"/>
          </w:tcPr>
          <w:p>
            <w:pPr>
              <w:pStyle w:val="13"/>
            </w:pPr>
            <w:r>
              <w:t>2.20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2.20</w:t>
            </w:r>
          </w:p>
        </w:tc>
        <w:tc>
          <w:tcPr>
            <w:tcW w:w="1134" w:type="dxa"/>
            <w:vAlign w:val="center"/>
          </w:tcPr>
          <w:p>
            <w:pPr>
              <w:pStyle w:val="13"/>
            </w:pPr>
            <w:r>
              <w:t>2.20</w:t>
            </w:r>
          </w:p>
        </w:tc>
        <w:tc>
          <w:tcPr>
            <w:tcW w:w="1134" w:type="dxa"/>
            <w:vAlign w:val="center"/>
          </w:tcPr>
          <w:p>
            <w:pPr>
              <w:pStyle w:val="13"/>
            </w:pPr>
            <w:r>
              <w:t>2.20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32.92</w:t>
            </w:r>
          </w:p>
        </w:tc>
        <w:tc>
          <w:tcPr>
            <w:tcW w:w="1361" w:type="dxa"/>
            <w:vAlign w:val="center"/>
          </w:tcPr>
          <w:p>
            <w:pPr>
              <w:pStyle w:val="17"/>
            </w:pPr>
            <w:r>
              <w:t>32.92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27.52</w:t>
            </w:r>
          </w:p>
        </w:tc>
        <w:tc>
          <w:tcPr>
            <w:tcW w:w="1361" w:type="dxa"/>
            <w:vAlign w:val="center"/>
          </w:tcPr>
          <w:p>
            <w:pPr>
              <w:pStyle w:val="13"/>
            </w:pPr>
            <w:r>
              <w:t>27.52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20139</w:t>
            </w:r>
          </w:p>
        </w:tc>
        <w:tc>
          <w:tcPr>
            <w:tcW w:w="4535" w:type="dxa"/>
            <w:vAlign w:val="center"/>
          </w:tcPr>
          <w:p>
            <w:pPr>
              <w:pStyle w:val="14"/>
            </w:pPr>
            <w:r>
              <w:t>社会工作事务</w:t>
            </w:r>
          </w:p>
        </w:tc>
        <w:tc>
          <w:tcPr>
            <w:tcW w:w="1361" w:type="dxa"/>
            <w:vAlign w:val="center"/>
          </w:tcPr>
          <w:p>
            <w:pPr>
              <w:pStyle w:val="13"/>
            </w:pPr>
            <w:r>
              <w:t>27.52</w:t>
            </w:r>
          </w:p>
        </w:tc>
        <w:tc>
          <w:tcPr>
            <w:tcW w:w="1361" w:type="dxa"/>
            <w:vAlign w:val="center"/>
          </w:tcPr>
          <w:p>
            <w:pPr>
              <w:pStyle w:val="13"/>
            </w:pPr>
            <w:r>
              <w:t>27.52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2013950</w:t>
            </w:r>
          </w:p>
        </w:tc>
        <w:tc>
          <w:tcPr>
            <w:tcW w:w="4535" w:type="dxa"/>
            <w:vAlign w:val="center"/>
          </w:tcPr>
          <w:p>
            <w:pPr>
              <w:pStyle w:val="14"/>
            </w:pPr>
            <w:r>
              <w:t>事业运行</w:t>
            </w:r>
          </w:p>
        </w:tc>
        <w:tc>
          <w:tcPr>
            <w:tcW w:w="1361" w:type="dxa"/>
            <w:vAlign w:val="center"/>
          </w:tcPr>
          <w:p>
            <w:pPr>
              <w:pStyle w:val="13"/>
            </w:pPr>
            <w:r>
              <w:t>27.52</w:t>
            </w:r>
          </w:p>
        </w:tc>
        <w:tc>
          <w:tcPr>
            <w:tcW w:w="1361" w:type="dxa"/>
            <w:vAlign w:val="center"/>
          </w:tcPr>
          <w:p>
            <w:pPr>
              <w:pStyle w:val="13"/>
            </w:pPr>
            <w:r>
              <w:t>27.52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3.20</w:t>
            </w:r>
          </w:p>
        </w:tc>
        <w:tc>
          <w:tcPr>
            <w:tcW w:w="1361" w:type="dxa"/>
            <w:vAlign w:val="center"/>
          </w:tcPr>
          <w:p>
            <w:pPr>
              <w:pStyle w:val="13"/>
            </w:pPr>
            <w:r>
              <w:t>3.20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3.03</w:t>
            </w:r>
          </w:p>
        </w:tc>
        <w:tc>
          <w:tcPr>
            <w:tcW w:w="1361" w:type="dxa"/>
            <w:vAlign w:val="center"/>
          </w:tcPr>
          <w:p>
            <w:pPr>
              <w:pStyle w:val="13"/>
            </w:pPr>
            <w:r>
              <w:t>3.03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3.03</w:t>
            </w:r>
          </w:p>
        </w:tc>
        <w:tc>
          <w:tcPr>
            <w:tcW w:w="1361" w:type="dxa"/>
            <w:vAlign w:val="center"/>
          </w:tcPr>
          <w:p>
            <w:pPr>
              <w:pStyle w:val="13"/>
            </w:pPr>
            <w:r>
              <w:t>3.03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0.17</w:t>
            </w:r>
          </w:p>
        </w:tc>
        <w:tc>
          <w:tcPr>
            <w:tcW w:w="1361" w:type="dxa"/>
            <w:vAlign w:val="center"/>
          </w:tcPr>
          <w:p>
            <w:pPr>
              <w:pStyle w:val="13"/>
            </w:pPr>
            <w:r>
              <w:t>0.17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0.10</w:t>
            </w:r>
          </w:p>
        </w:tc>
        <w:tc>
          <w:tcPr>
            <w:tcW w:w="1361" w:type="dxa"/>
            <w:vAlign w:val="center"/>
          </w:tcPr>
          <w:p>
            <w:pPr>
              <w:pStyle w:val="13"/>
            </w:pPr>
            <w:r>
              <w:t>0.10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0.07</w:t>
            </w:r>
          </w:p>
        </w:tc>
        <w:tc>
          <w:tcPr>
            <w:tcW w:w="1361" w:type="dxa"/>
            <w:vAlign w:val="center"/>
          </w:tcPr>
          <w:p>
            <w:pPr>
              <w:pStyle w:val="13"/>
            </w:pPr>
            <w:r>
              <w:t>0.07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2.20</w:t>
            </w:r>
          </w:p>
        </w:tc>
        <w:tc>
          <w:tcPr>
            <w:tcW w:w="1361" w:type="dxa"/>
            <w:vAlign w:val="center"/>
          </w:tcPr>
          <w:p>
            <w:pPr>
              <w:pStyle w:val="13"/>
            </w:pPr>
            <w:r>
              <w:t>2.20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2.20</w:t>
            </w:r>
          </w:p>
        </w:tc>
        <w:tc>
          <w:tcPr>
            <w:tcW w:w="1361" w:type="dxa"/>
            <w:vAlign w:val="center"/>
          </w:tcPr>
          <w:p>
            <w:pPr>
              <w:pStyle w:val="13"/>
            </w:pPr>
            <w:r>
              <w:t>2.20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2.20</w:t>
            </w:r>
          </w:p>
        </w:tc>
        <w:tc>
          <w:tcPr>
            <w:tcW w:w="1361" w:type="dxa"/>
            <w:vAlign w:val="center"/>
          </w:tcPr>
          <w:p>
            <w:pPr>
              <w:pStyle w:val="13"/>
            </w:pPr>
            <w:r>
              <w:t>2.20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32.92</w:t>
            </w:r>
          </w:p>
        </w:tc>
        <w:tc>
          <w:tcPr>
            <w:tcW w:w="3402" w:type="dxa"/>
            <w:vAlign w:val="center"/>
          </w:tcPr>
          <w:p>
            <w:pPr>
              <w:pStyle w:val="14"/>
            </w:pPr>
            <w:r>
              <w:t>一、一般公共服务支出</w:t>
            </w:r>
          </w:p>
        </w:tc>
        <w:tc>
          <w:tcPr>
            <w:tcW w:w="1474" w:type="dxa"/>
            <w:vAlign w:val="center"/>
          </w:tcPr>
          <w:p>
            <w:pPr>
              <w:pStyle w:val="13"/>
            </w:pPr>
            <w:r>
              <w:t>27.52</w:t>
            </w:r>
          </w:p>
        </w:tc>
        <w:tc>
          <w:tcPr>
            <w:tcW w:w="1474" w:type="dxa"/>
            <w:vAlign w:val="center"/>
          </w:tcPr>
          <w:p>
            <w:pPr>
              <w:pStyle w:val="13"/>
            </w:pPr>
            <w:r>
              <w:t>27.52</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3.20</w:t>
            </w:r>
          </w:p>
        </w:tc>
        <w:tc>
          <w:tcPr>
            <w:tcW w:w="1474" w:type="dxa"/>
            <w:vAlign w:val="center"/>
          </w:tcPr>
          <w:p>
            <w:pPr>
              <w:pStyle w:val="13"/>
            </w:pPr>
            <w:r>
              <w:t>3.20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2.20</w:t>
            </w:r>
          </w:p>
        </w:tc>
        <w:tc>
          <w:tcPr>
            <w:tcW w:w="1474" w:type="dxa"/>
            <w:vAlign w:val="center"/>
          </w:tcPr>
          <w:p>
            <w:pPr>
              <w:pStyle w:val="13"/>
            </w:pPr>
            <w:r>
              <w:t>2.20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32.92</w:t>
            </w:r>
          </w:p>
        </w:tc>
        <w:tc>
          <w:tcPr>
            <w:tcW w:w="3402" w:type="dxa"/>
            <w:vAlign w:val="center"/>
          </w:tcPr>
          <w:p>
            <w:pPr>
              <w:pStyle w:val="16"/>
            </w:pPr>
            <w:r>
              <w:t>本年支出合计</w:t>
            </w:r>
          </w:p>
        </w:tc>
        <w:tc>
          <w:tcPr>
            <w:tcW w:w="1474" w:type="dxa"/>
            <w:vAlign w:val="center"/>
          </w:tcPr>
          <w:p>
            <w:pPr>
              <w:pStyle w:val="17"/>
            </w:pPr>
            <w:r>
              <w:t>32.92</w:t>
            </w:r>
          </w:p>
        </w:tc>
        <w:tc>
          <w:tcPr>
            <w:tcW w:w="1474" w:type="dxa"/>
            <w:vAlign w:val="center"/>
          </w:tcPr>
          <w:p>
            <w:pPr>
              <w:pStyle w:val="17"/>
            </w:pPr>
            <w:r>
              <w:t>32.92</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32.92</w:t>
            </w:r>
          </w:p>
        </w:tc>
        <w:tc>
          <w:tcPr>
            <w:tcW w:w="3402" w:type="dxa"/>
            <w:vAlign w:val="center"/>
          </w:tcPr>
          <w:p>
            <w:pPr>
              <w:pStyle w:val="16"/>
            </w:pPr>
            <w:r>
              <w:t>支出总计</w:t>
            </w:r>
          </w:p>
        </w:tc>
        <w:tc>
          <w:tcPr>
            <w:tcW w:w="1474" w:type="dxa"/>
            <w:vAlign w:val="center"/>
          </w:tcPr>
          <w:p>
            <w:pPr>
              <w:pStyle w:val="17"/>
            </w:pPr>
            <w:r>
              <w:t>32.92</w:t>
            </w:r>
          </w:p>
        </w:tc>
        <w:tc>
          <w:tcPr>
            <w:tcW w:w="1474" w:type="dxa"/>
            <w:vAlign w:val="center"/>
          </w:tcPr>
          <w:p>
            <w:pPr>
              <w:pStyle w:val="17"/>
            </w:pPr>
            <w:r>
              <w:t>32.92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32.92</w:t>
            </w:r>
          </w:p>
        </w:tc>
        <w:tc>
          <w:tcPr>
            <w:tcW w:w="2551" w:type="dxa"/>
            <w:vAlign w:val="center"/>
          </w:tcPr>
          <w:p>
            <w:pPr>
              <w:pStyle w:val="17"/>
            </w:pPr>
            <w:r>
              <w:t>32.92</w:t>
            </w:r>
          </w:p>
        </w:tc>
        <w:tc>
          <w:tcPr>
            <w:tcW w:w="255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27.52</w:t>
            </w:r>
          </w:p>
        </w:tc>
        <w:tc>
          <w:tcPr>
            <w:tcW w:w="2551" w:type="dxa"/>
            <w:vAlign w:val="center"/>
          </w:tcPr>
          <w:p>
            <w:pPr>
              <w:pStyle w:val="13"/>
            </w:pPr>
            <w:r>
              <w:t>27.52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20139</w:t>
            </w:r>
          </w:p>
        </w:tc>
        <w:tc>
          <w:tcPr>
            <w:tcW w:w="4535" w:type="dxa"/>
            <w:vAlign w:val="center"/>
          </w:tcPr>
          <w:p>
            <w:pPr>
              <w:pStyle w:val="14"/>
            </w:pPr>
            <w:r>
              <w:t>社会工作事务</w:t>
            </w:r>
          </w:p>
        </w:tc>
        <w:tc>
          <w:tcPr>
            <w:tcW w:w="2551" w:type="dxa"/>
            <w:vAlign w:val="center"/>
          </w:tcPr>
          <w:p>
            <w:pPr>
              <w:pStyle w:val="13"/>
            </w:pPr>
            <w:r>
              <w:t>27.52</w:t>
            </w:r>
          </w:p>
        </w:tc>
        <w:tc>
          <w:tcPr>
            <w:tcW w:w="2551" w:type="dxa"/>
            <w:vAlign w:val="center"/>
          </w:tcPr>
          <w:p>
            <w:pPr>
              <w:pStyle w:val="13"/>
            </w:pPr>
            <w:r>
              <w:t>27.52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2013950</w:t>
            </w:r>
          </w:p>
        </w:tc>
        <w:tc>
          <w:tcPr>
            <w:tcW w:w="4535" w:type="dxa"/>
            <w:vAlign w:val="center"/>
          </w:tcPr>
          <w:p>
            <w:pPr>
              <w:pStyle w:val="14"/>
            </w:pPr>
            <w:r>
              <w:t>事业运行</w:t>
            </w:r>
          </w:p>
        </w:tc>
        <w:tc>
          <w:tcPr>
            <w:tcW w:w="2551" w:type="dxa"/>
            <w:vAlign w:val="center"/>
          </w:tcPr>
          <w:p>
            <w:pPr>
              <w:pStyle w:val="13"/>
            </w:pPr>
            <w:r>
              <w:t>27.52</w:t>
            </w:r>
          </w:p>
        </w:tc>
        <w:tc>
          <w:tcPr>
            <w:tcW w:w="2551" w:type="dxa"/>
            <w:vAlign w:val="center"/>
          </w:tcPr>
          <w:p>
            <w:pPr>
              <w:pStyle w:val="13"/>
            </w:pPr>
            <w:r>
              <w:t>27.52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3.20</w:t>
            </w:r>
          </w:p>
        </w:tc>
        <w:tc>
          <w:tcPr>
            <w:tcW w:w="2551" w:type="dxa"/>
            <w:vAlign w:val="center"/>
          </w:tcPr>
          <w:p>
            <w:pPr>
              <w:pStyle w:val="13"/>
            </w:pPr>
            <w:r>
              <w:t>3.20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3.03</w:t>
            </w:r>
          </w:p>
        </w:tc>
        <w:tc>
          <w:tcPr>
            <w:tcW w:w="2551" w:type="dxa"/>
            <w:vAlign w:val="center"/>
          </w:tcPr>
          <w:p>
            <w:pPr>
              <w:pStyle w:val="13"/>
            </w:pPr>
            <w:r>
              <w:t>3.03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3.03</w:t>
            </w:r>
          </w:p>
        </w:tc>
        <w:tc>
          <w:tcPr>
            <w:tcW w:w="2551" w:type="dxa"/>
            <w:vAlign w:val="center"/>
          </w:tcPr>
          <w:p>
            <w:pPr>
              <w:pStyle w:val="13"/>
            </w:pPr>
            <w:r>
              <w:t>3.03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0.17</w:t>
            </w:r>
          </w:p>
        </w:tc>
        <w:tc>
          <w:tcPr>
            <w:tcW w:w="2551" w:type="dxa"/>
            <w:vAlign w:val="center"/>
          </w:tcPr>
          <w:p>
            <w:pPr>
              <w:pStyle w:val="13"/>
            </w:pPr>
            <w:r>
              <w:t>0.17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0.10</w:t>
            </w:r>
          </w:p>
        </w:tc>
        <w:tc>
          <w:tcPr>
            <w:tcW w:w="2551" w:type="dxa"/>
            <w:vAlign w:val="center"/>
          </w:tcPr>
          <w:p>
            <w:pPr>
              <w:pStyle w:val="13"/>
            </w:pPr>
            <w:r>
              <w:t>0.10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0.07</w:t>
            </w:r>
          </w:p>
        </w:tc>
        <w:tc>
          <w:tcPr>
            <w:tcW w:w="2551" w:type="dxa"/>
            <w:vAlign w:val="center"/>
          </w:tcPr>
          <w:p>
            <w:pPr>
              <w:pStyle w:val="13"/>
            </w:pPr>
            <w:r>
              <w:t>0.07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2.20</w:t>
            </w:r>
          </w:p>
        </w:tc>
        <w:tc>
          <w:tcPr>
            <w:tcW w:w="2551" w:type="dxa"/>
            <w:vAlign w:val="center"/>
          </w:tcPr>
          <w:p>
            <w:pPr>
              <w:pStyle w:val="13"/>
            </w:pPr>
            <w:r>
              <w:t>2.20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2.20</w:t>
            </w:r>
          </w:p>
        </w:tc>
        <w:tc>
          <w:tcPr>
            <w:tcW w:w="2551" w:type="dxa"/>
            <w:vAlign w:val="center"/>
          </w:tcPr>
          <w:p>
            <w:pPr>
              <w:pStyle w:val="13"/>
            </w:pPr>
            <w:r>
              <w:t>2.20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2.20</w:t>
            </w:r>
          </w:p>
        </w:tc>
        <w:tc>
          <w:tcPr>
            <w:tcW w:w="2551" w:type="dxa"/>
            <w:vAlign w:val="center"/>
          </w:tcPr>
          <w:p>
            <w:pPr>
              <w:pStyle w:val="13"/>
            </w:pPr>
            <w:r>
              <w:t>2.20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32.92</w:t>
            </w:r>
          </w:p>
        </w:tc>
        <w:tc>
          <w:tcPr>
            <w:tcW w:w="2551" w:type="dxa"/>
            <w:vAlign w:val="center"/>
          </w:tcPr>
          <w:p>
            <w:pPr>
              <w:pStyle w:val="17"/>
            </w:pPr>
            <w:r>
              <w:t>31.60</w:t>
            </w:r>
          </w:p>
        </w:tc>
        <w:tc>
          <w:tcPr>
            <w:tcW w:w="2551" w:type="dxa"/>
            <w:vAlign w:val="center"/>
          </w:tcPr>
          <w:p>
            <w:pPr>
              <w:pStyle w:val="17"/>
            </w:pPr>
            <w:r>
              <w:t>1.32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31.52</w:t>
            </w:r>
          </w:p>
        </w:tc>
        <w:tc>
          <w:tcPr>
            <w:tcW w:w="2551" w:type="dxa"/>
            <w:vAlign w:val="center"/>
          </w:tcPr>
          <w:p>
            <w:pPr>
              <w:pStyle w:val="13"/>
            </w:pPr>
            <w:r>
              <w:t>31.52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8.20</w:t>
            </w:r>
          </w:p>
        </w:tc>
        <w:tc>
          <w:tcPr>
            <w:tcW w:w="2551" w:type="dxa"/>
            <w:vAlign w:val="center"/>
          </w:tcPr>
          <w:p>
            <w:pPr>
              <w:pStyle w:val="13"/>
            </w:pPr>
            <w:r>
              <w:t>8.20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1.69</w:t>
            </w:r>
          </w:p>
        </w:tc>
        <w:tc>
          <w:tcPr>
            <w:tcW w:w="2551" w:type="dxa"/>
            <w:vAlign w:val="center"/>
          </w:tcPr>
          <w:p>
            <w:pPr>
              <w:pStyle w:val="13"/>
            </w:pPr>
            <w:r>
              <w:t>1.69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2.86</w:t>
            </w:r>
          </w:p>
        </w:tc>
        <w:tc>
          <w:tcPr>
            <w:tcW w:w="2551" w:type="dxa"/>
            <w:vAlign w:val="center"/>
          </w:tcPr>
          <w:p>
            <w:pPr>
              <w:pStyle w:val="13"/>
            </w:pPr>
            <w:r>
              <w:t>2.86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10.75</w:t>
            </w:r>
          </w:p>
        </w:tc>
        <w:tc>
          <w:tcPr>
            <w:tcW w:w="2551" w:type="dxa"/>
            <w:vAlign w:val="center"/>
          </w:tcPr>
          <w:p>
            <w:pPr>
              <w:pStyle w:val="13"/>
            </w:pPr>
            <w:r>
              <w:t>10.75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3.03</w:t>
            </w:r>
          </w:p>
        </w:tc>
        <w:tc>
          <w:tcPr>
            <w:tcW w:w="2551" w:type="dxa"/>
            <w:vAlign w:val="center"/>
          </w:tcPr>
          <w:p>
            <w:pPr>
              <w:pStyle w:val="13"/>
            </w:pPr>
            <w:r>
              <w:t>3.03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2.20</w:t>
            </w:r>
          </w:p>
        </w:tc>
        <w:tc>
          <w:tcPr>
            <w:tcW w:w="2551" w:type="dxa"/>
            <w:vAlign w:val="center"/>
          </w:tcPr>
          <w:p>
            <w:pPr>
              <w:pStyle w:val="13"/>
            </w:pPr>
            <w:r>
              <w:t>2.20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0.17</w:t>
            </w:r>
          </w:p>
        </w:tc>
        <w:tc>
          <w:tcPr>
            <w:tcW w:w="2551" w:type="dxa"/>
            <w:vAlign w:val="center"/>
          </w:tcPr>
          <w:p>
            <w:pPr>
              <w:pStyle w:val="13"/>
            </w:pPr>
            <w:r>
              <w:t>0.17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2.62</w:t>
            </w:r>
          </w:p>
        </w:tc>
        <w:tc>
          <w:tcPr>
            <w:tcW w:w="2551" w:type="dxa"/>
            <w:vAlign w:val="center"/>
          </w:tcPr>
          <w:p>
            <w:pPr>
              <w:pStyle w:val="13"/>
            </w:pPr>
            <w:r>
              <w:t>2.62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1.32</w:t>
            </w:r>
          </w:p>
        </w:tc>
        <w:tc>
          <w:tcPr>
            <w:tcW w:w="2551" w:type="dxa"/>
            <w:vAlign w:val="center"/>
          </w:tcPr>
          <w:p>
            <w:pPr>
              <w:pStyle w:val="13"/>
            </w:pPr>
          </w:p>
        </w:tc>
        <w:tc>
          <w:tcPr>
            <w:tcW w:w="2551" w:type="dxa"/>
            <w:vAlign w:val="center"/>
          </w:tcPr>
          <w:p>
            <w:pPr>
              <w:pStyle w:val="13"/>
            </w:pPr>
            <w:r>
              <w:t>1.32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0.16</w:t>
            </w:r>
          </w:p>
        </w:tc>
        <w:tc>
          <w:tcPr>
            <w:tcW w:w="2551" w:type="dxa"/>
            <w:vAlign w:val="center"/>
          </w:tcPr>
          <w:p>
            <w:pPr>
              <w:pStyle w:val="13"/>
            </w:pPr>
          </w:p>
        </w:tc>
        <w:tc>
          <w:tcPr>
            <w:tcW w:w="2551" w:type="dxa"/>
            <w:vAlign w:val="center"/>
          </w:tcPr>
          <w:p>
            <w:pPr>
              <w:pStyle w:val="13"/>
            </w:pPr>
            <w:r>
              <w:t>0.16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0.16</w:t>
            </w:r>
          </w:p>
        </w:tc>
        <w:tc>
          <w:tcPr>
            <w:tcW w:w="2551" w:type="dxa"/>
            <w:vAlign w:val="center"/>
          </w:tcPr>
          <w:p>
            <w:pPr>
              <w:pStyle w:val="13"/>
            </w:pPr>
          </w:p>
        </w:tc>
        <w:tc>
          <w:tcPr>
            <w:tcW w:w="2551" w:type="dxa"/>
            <w:vAlign w:val="center"/>
          </w:tcPr>
          <w:p>
            <w:pPr>
              <w:pStyle w:val="13"/>
            </w:pPr>
            <w:r>
              <w:t>0.16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0.10</w:t>
            </w:r>
          </w:p>
        </w:tc>
        <w:tc>
          <w:tcPr>
            <w:tcW w:w="2551" w:type="dxa"/>
            <w:vAlign w:val="center"/>
          </w:tcPr>
          <w:p>
            <w:pPr>
              <w:pStyle w:val="13"/>
            </w:pPr>
          </w:p>
        </w:tc>
        <w:tc>
          <w:tcPr>
            <w:tcW w:w="2551" w:type="dxa"/>
            <w:vAlign w:val="center"/>
          </w:tcPr>
          <w:p>
            <w:pPr>
              <w:pStyle w:val="13"/>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0.08</w:t>
            </w:r>
          </w:p>
        </w:tc>
        <w:tc>
          <w:tcPr>
            <w:tcW w:w="2551" w:type="dxa"/>
            <w:vAlign w:val="center"/>
          </w:tcPr>
          <w:p>
            <w:pPr>
              <w:pStyle w:val="13"/>
            </w:pPr>
          </w:p>
        </w:tc>
        <w:tc>
          <w:tcPr>
            <w:tcW w:w="2551" w:type="dxa"/>
            <w:vAlign w:val="center"/>
          </w:tcPr>
          <w:p>
            <w:pPr>
              <w:pStyle w:val="13"/>
            </w:pPr>
            <w:r>
              <w:t>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0.12</w:t>
            </w:r>
          </w:p>
        </w:tc>
        <w:tc>
          <w:tcPr>
            <w:tcW w:w="2551" w:type="dxa"/>
            <w:vAlign w:val="center"/>
          </w:tcPr>
          <w:p>
            <w:pPr>
              <w:pStyle w:val="13"/>
            </w:pPr>
          </w:p>
        </w:tc>
        <w:tc>
          <w:tcPr>
            <w:tcW w:w="2551" w:type="dxa"/>
            <w:vAlign w:val="center"/>
          </w:tcPr>
          <w:p>
            <w:pPr>
              <w:pStyle w:val="13"/>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0.17</w:t>
            </w:r>
          </w:p>
        </w:tc>
        <w:tc>
          <w:tcPr>
            <w:tcW w:w="2551" w:type="dxa"/>
            <w:vAlign w:val="center"/>
          </w:tcPr>
          <w:p>
            <w:pPr>
              <w:pStyle w:val="13"/>
            </w:pPr>
          </w:p>
        </w:tc>
        <w:tc>
          <w:tcPr>
            <w:tcW w:w="2551" w:type="dxa"/>
            <w:vAlign w:val="center"/>
          </w:tcPr>
          <w:p>
            <w:pPr>
              <w:pStyle w:val="13"/>
            </w:pPr>
            <w:r>
              <w:t>0.17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0.21</w:t>
            </w:r>
          </w:p>
        </w:tc>
        <w:tc>
          <w:tcPr>
            <w:tcW w:w="2551" w:type="dxa"/>
            <w:vAlign w:val="center"/>
          </w:tcPr>
          <w:p>
            <w:pPr>
              <w:pStyle w:val="13"/>
            </w:pPr>
          </w:p>
        </w:tc>
        <w:tc>
          <w:tcPr>
            <w:tcW w:w="2551" w:type="dxa"/>
            <w:vAlign w:val="center"/>
          </w:tcPr>
          <w:p>
            <w:pPr>
              <w:pStyle w:val="13"/>
            </w:pPr>
            <w:r>
              <w:t>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0.03</w:t>
            </w:r>
          </w:p>
        </w:tc>
        <w:tc>
          <w:tcPr>
            <w:tcW w:w="2551" w:type="dxa"/>
            <w:vAlign w:val="center"/>
          </w:tcPr>
          <w:p>
            <w:pPr>
              <w:pStyle w:val="13"/>
            </w:pPr>
          </w:p>
        </w:tc>
        <w:tc>
          <w:tcPr>
            <w:tcW w:w="2551" w:type="dxa"/>
            <w:vAlign w:val="center"/>
          </w:tcPr>
          <w:p>
            <w:pPr>
              <w:pStyle w:val="13"/>
            </w:pPr>
            <w:r>
              <w:t>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0.07</w:t>
            </w:r>
          </w:p>
        </w:tc>
        <w:tc>
          <w:tcPr>
            <w:tcW w:w="2551" w:type="dxa"/>
            <w:vAlign w:val="center"/>
          </w:tcPr>
          <w:p>
            <w:pPr>
              <w:pStyle w:val="13"/>
            </w:pPr>
            <w:r>
              <w:t>0.07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0.07</w:t>
            </w:r>
          </w:p>
        </w:tc>
        <w:tc>
          <w:tcPr>
            <w:tcW w:w="2551" w:type="dxa"/>
            <w:vAlign w:val="center"/>
          </w:tcPr>
          <w:p>
            <w:pPr>
              <w:pStyle w:val="13"/>
            </w:pPr>
            <w:r>
              <w:t>0.07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石家庄市栾城区社会工作综合服务中心2025年单位预算信息公开情况说明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按照《中华人民共和国预算法》、《地方预决算公开操作规程》和《关于进一步推进预算公开工作的实施意见》规定，现将石家庄市栾城区社会工作综合服务中心2025年单位预算公开如下：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rPr>
          <w:rFonts w:hint="eastAsia"/>
        </w:rPr>
        <w:t>负责统筹指导人民信访工作，指导人民建议征集工作，统</w:t>
      </w:r>
      <w:r>
        <w:rPr>
          <w:rFonts w:hint="eastAsia"/>
          <w:lang w:eastAsia="zh-CN"/>
        </w:rPr>
        <w:t>筹</w:t>
      </w:r>
      <w:r>
        <w:rPr>
          <w:rFonts w:hint="eastAsia"/>
        </w:rPr>
        <w:t>推进党建引领基层治理和基层政权建设,健全和落实党建引领基层治理领导体制和工作机制，统一领导全区行业协会商会党的工作，协调推动行业协会商会深化改革和转型发展，指导混合所有制企业、非公有制企业和新经济组织、新社会组织、新就业群体党建工作，负责社会工作人才队伍建设，负责志愿服务工作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石家庄市栾城区社会工作综合服务中心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keepNext w:val="0"/>
        <w:keepLines w:val="0"/>
        <w:pageBreakBefore w:val="0"/>
        <w:widowControl/>
        <w:numPr>
          <w:ilvl w:val="0"/>
          <w:numId w:val="0"/>
        </w:numPr>
        <w:kinsoku/>
        <w:wordWrap/>
        <w:overflowPunct/>
        <w:topLinePunct w:val="0"/>
        <w:autoSpaceDE/>
        <w:autoSpaceDN/>
        <w:bidi w:val="0"/>
        <w:adjustRightInd/>
        <w:snapToGrid/>
        <w:ind w:leftChars="0" w:firstLine="640" w:firstLineChars="200"/>
        <w:textAlignment w:val="auto"/>
        <w:rPr>
          <w:rFonts w:hint="eastAsia" w:ascii="Times New Roman" w:hAnsi="Times New Roman" w:eastAsia="方正仿宋_GBK" w:cs="Times New Roman"/>
          <w:sz w:val="28"/>
          <w:szCs w:val="24"/>
          <w:lang w:val="en-US" w:eastAsia="zh-CN" w:bidi="ar-SA"/>
        </w:rPr>
      </w:pPr>
      <w:r>
        <w:rPr>
          <w:rFonts w:hint="eastAsia" w:ascii="宋体" w:hAnsi="宋体" w:eastAsia="宋体" w:cs="宋体"/>
          <w:b w:val="0"/>
          <w:bCs/>
          <w:color w:val="000000"/>
          <w:sz w:val="32"/>
          <w:szCs w:val="32"/>
          <w:lang w:val="en-US" w:eastAsia="zh-CN"/>
        </w:rPr>
        <w:t>按照预算管理有关规定，目前单位预算的编制实行综合预算管理，即全部收入和支出都反映在预算中。</w:t>
      </w:r>
    </w:p>
    <w:p>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zh-CN" w:bidi="ar-SA"/>
        </w:rPr>
        <w:t>收入说明</w:t>
      </w:r>
    </w:p>
    <w:p>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反映本</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当年全部收入。2025 年预算收入</w:t>
      </w:r>
      <w:r>
        <w:rPr>
          <w:rFonts w:hint="eastAsia" w:eastAsia="方正仿宋_GBK" w:cs="Times New Roman"/>
          <w:sz w:val="28"/>
          <w:szCs w:val="24"/>
          <w:lang w:val="en-US" w:eastAsia="zh-CN" w:bidi="ar-SA"/>
        </w:rPr>
        <w:t>32.92</w:t>
      </w:r>
      <w:r>
        <w:rPr>
          <w:rFonts w:hint="eastAsia" w:ascii="Times New Roman" w:hAnsi="Times New Roman" w:eastAsia="方正仿宋_GBK" w:cs="Times New Roman"/>
          <w:sz w:val="28"/>
          <w:szCs w:val="24"/>
          <w:lang w:val="en-US" w:eastAsia="zh-CN" w:bidi="ar-SA"/>
        </w:rPr>
        <w:t>万元，其中：一般公共预算收入</w:t>
      </w:r>
      <w:r>
        <w:rPr>
          <w:rFonts w:hint="eastAsia" w:eastAsia="方正仿宋_GBK" w:cs="Times New Roman"/>
          <w:sz w:val="28"/>
          <w:szCs w:val="24"/>
          <w:lang w:val="en-US" w:eastAsia="zh-CN" w:bidi="ar-SA"/>
        </w:rPr>
        <w:t>32.92</w:t>
      </w:r>
      <w:r>
        <w:rPr>
          <w:rFonts w:hint="eastAsia" w:ascii="Times New Roman" w:hAnsi="Times New Roman" w:eastAsia="方正仿宋_GBK" w:cs="Times New Roman"/>
          <w:sz w:val="28"/>
          <w:szCs w:val="24"/>
          <w:lang w:val="en-US" w:eastAsia="zh-CN" w:bidi="ar-SA"/>
        </w:rPr>
        <w:t>万元，基金预算收入0.00 万元，国有资本经营预算收入 0.00 万元，财政专户核拨收入 0.00 万元，单位资金收入0.00 万元，上年结转结余0.00 万元。</w:t>
      </w:r>
    </w:p>
    <w:p>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zh-CN" w:bidi="ar-SA"/>
        </w:rPr>
        <w:t>支出说明</w:t>
      </w:r>
    </w:p>
    <w:p>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收支预算总表支出栏、基本支出表、项目支出表按经济分类和支出功能分类科目编制，反映中共石家庄市委社会工作部年度</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预算中支出预算的总体情况。2025 年支出预算</w:t>
      </w:r>
      <w:r>
        <w:rPr>
          <w:rFonts w:hint="eastAsia" w:eastAsia="方正仿宋_GBK" w:cs="Times New Roman"/>
          <w:sz w:val="28"/>
          <w:szCs w:val="24"/>
          <w:lang w:val="en-US" w:eastAsia="zh-CN" w:bidi="ar-SA"/>
        </w:rPr>
        <w:t>32.92</w:t>
      </w:r>
      <w:r>
        <w:rPr>
          <w:rFonts w:hint="eastAsia" w:ascii="Times New Roman" w:hAnsi="Times New Roman" w:eastAsia="方正仿宋_GBK" w:cs="Times New Roman"/>
          <w:sz w:val="28"/>
          <w:szCs w:val="24"/>
          <w:lang w:val="en-US" w:eastAsia="zh-CN" w:bidi="ar-SA"/>
        </w:rPr>
        <w:t>万元，其中基本支出</w:t>
      </w:r>
      <w:r>
        <w:rPr>
          <w:rFonts w:hint="eastAsia" w:eastAsia="方正仿宋_GBK" w:cs="Times New Roman"/>
          <w:sz w:val="28"/>
          <w:szCs w:val="24"/>
          <w:lang w:val="en-US" w:eastAsia="zh-CN" w:bidi="ar-SA"/>
        </w:rPr>
        <w:t>32.92</w:t>
      </w:r>
      <w:r>
        <w:rPr>
          <w:rFonts w:hint="eastAsia" w:ascii="Times New Roman" w:hAnsi="Times New Roman" w:eastAsia="方正仿宋_GBK" w:cs="Times New Roman"/>
          <w:sz w:val="28"/>
          <w:szCs w:val="24"/>
          <w:lang w:val="en-US" w:eastAsia="zh-CN" w:bidi="ar-SA"/>
        </w:rPr>
        <w:t>万元，包括人员经费</w:t>
      </w:r>
      <w:r>
        <w:rPr>
          <w:rFonts w:hint="eastAsia" w:eastAsia="方正仿宋_GBK" w:cs="Times New Roman"/>
          <w:sz w:val="28"/>
          <w:szCs w:val="24"/>
          <w:lang w:val="en-US" w:eastAsia="zh-CN" w:bidi="ar-SA"/>
        </w:rPr>
        <w:t>31.6</w:t>
      </w:r>
      <w:r>
        <w:rPr>
          <w:rFonts w:hint="eastAsia" w:ascii="Times New Roman" w:hAnsi="Times New Roman" w:eastAsia="方正仿宋_GBK" w:cs="Times New Roman"/>
          <w:sz w:val="28"/>
          <w:szCs w:val="24"/>
          <w:lang w:val="en-US" w:eastAsia="zh-CN" w:bidi="ar-SA"/>
        </w:rPr>
        <w:t>万元和日常公用经费</w:t>
      </w:r>
      <w:r>
        <w:t>1.32</w:t>
      </w:r>
      <w:r>
        <w:rPr>
          <w:rFonts w:hint="eastAsia" w:ascii="Times New Roman" w:hAnsi="Times New Roman" w:eastAsia="方正仿宋_GBK" w:cs="Times New Roman"/>
          <w:sz w:val="28"/>
          <w:szCs w:val="24"/>
          <w:lang w:val="en-US" w:eastAsia="zh-CN" w:bidi="ar-SA"/>
        </w:rPr>
        <w:t>万元。</w:t>
      </w:r>
    </w:p>
    <w:p>
      <w:pPr>
        <w:pStyle w:val="28"/>
        <w:rPr>
          <w:rFonts w:hint="eastAsia" w:ascii="Times New Roman" w:hAnsi="Times New Roman" w:eastAsia="方正仿宋_GBK" w:cs="Times New Roman"/>
          <w:sz w:val="28"/>
          <w:szCs w:val="24"/>
          <w:lang w:val="en-US" w:eastAsia="zh-CN" w:bidi="ar-SA"/>
        </w:rPr>
      </w:pPr>
      <w:r>
        <w:rPr>
          <w:rFonts w:hint="eastAsia" w:cs="Times New Roman"/>
          <w:sz w:val="28"/>
          <w:szCs w:val="24"/>
          <w:lang w:val="en-US" w:eastAsia="zh-CN" w:bidi="ar-SA"/>
        </w:rPr>
        <w:t>3、</w:t>
      </w:r>
      <w:r>
        <w:rPr>
          <w:rFonts w:hint="eastAsia" w:ascii="Times New Roman" w:hAnsi="Times New Roman" w:eastAsia="方正仿宋_GBK" w:cs="Times New Roman"/>
          <w:sz w:val="28"/>
          <w:szCs w:val="24"/>
          <w:lang w:val="en-US" w:eastAsia="zh-CN" w:bidi="ar-SA"/>
        </w:rPr>
        <w:t>比上年增减情况</w:t>
      </w:r>
    </w:p>
    <w:p>
      <w:pPr>
        <w:pStyle w:val="28"/>
      </w:pPr>
      <w:r>
        <w:rPr>
          <w:rFonts w:hint="eastAsia" w:ascii="Times New Roman" w:hAnsi="Times New Roman" w:eastAsia="方正仿宋_GBK" w:cs="Times New Roman"/>
          <w:sz w:val="28"/>
          <w:szCs w:val="24"/>
          <w:lang w:val="en-US" w:eastAsia="zh-CN" w:bidi="ar-SA"/>
        </w:rPr>
        <w:t>2025 年预算收支安排</w:t>
      </w:r>
      <w:r>
        <w:rPr>
          <w:rFonts w:hint="eastAsia" w:eastAsia="方正仿宋_GBK"/>
          <w:lang w:val="en-US" w:eastAsia="zh-CN"/>
        </w:rPr>
        <w:t>32.92</w:t>
      </w:r>
      <w:r>
        <w:rPr>
          <w:rFonts w:hint="eastAsia" w:ascii="Times New Roman" w:hAnsi="Times New Roman" w:eastAsia="方正仿宋_GBK" w:cs="Times New Roman"/>
          <w:sz w:val="28"/>
          <w:szCs w:val="24"/>
          <w:lang w:val="en-US" w:eastAsia="zh-CN" w:bidi="ar-SA"/>
        </w:rPr>
        <w:t xml:space="preserve"> 万元，较 2024 年预算增加</w:t>
      </w:r>
      <w:r>
        <w:rPr>
          <w:rFonts w:hint="eastAsia" w:eastAsia="方正仿宋_GBK"/>
          <w:lang w:val="en-US" w:eastAsia="zh-CN"/>
        </w:rPr>
        <w:t>32.92</w:t>
      </w:r>
      <w:r>
        <w:rPr>
          <w:rFonts w:hint="eastAsia" w:ascii="Times New Roman" w:hAnsi="Times New Roman" w:eastAsia="方正仿宋_GBK" w:cs="Times New Roman"/>
          <w:sz w:val="28"/>
          <w:szCs w:val="24"/>
          <w:lang w:val="en-US" w:eastAsia="zh-CN" w:bidi="ar-SA"/>
        </w:rPr>
        <w:t>万元，其中：基本支出增加</w:t>
      </w:r>
      <w:r>
        <w:rPr>
          <w:rFonts w:hint="eastAsia" w:eastAsia="方正仿宋_GBK"/>
          <w:lang w:val="en-US" w:eastAsia="zh-CN"/>
        </w:rPr>
        <w:t>32.92</w:t>
      </w:r>
      <w:r>
        <w:rPr>
          <w:rFonts w:hint="eastAsia" w:ascii="Times New Roman" w:hAnsi="Times New Roman" w:eastAsia="方正仿宋_GBK" w:cs="Times New Roman"/>
          <w:sz w:val="28"/>
          <w:szCs w:val="24"/>
          <w:lang w:val="en-US" w:eastAsia="zh-CN" w:bidi="ar-SA"/>
        </w:rPr>
        <w:t>万元，主要为 2024 年年初无预算，8 月</w:t>
      </w:r>
      <w:r>
        <w:rPr>
          <w:rFonts w:hint="eastAsia"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新成立后追加预算。</w:t>
      </w:r>
    </w:p>
    <w:p>
      <w:pPr>
        <w:spacing w:before="10" w:after="10" w:line="240" w:lineRule="auto"/>
        <w:ind w:firstLine="640"/>
        <w:jc w:val="left"/>
        <w:outlineLvl w:val="5"/>
      </w:pPr>
      <w:r>
        <w:rPr>
          <w:rFonts w:ascii="黑体" w:hAnsi="黑体" w:eastAsia="黑体" w:cs="黑体"/>
          <w:color w:val="000000"/>
          <w:sz w:val="32"/>
        </w:rPr>
        <w:t>三、机关运行经费安排情况</w:t>
      </w:r>
    </w:p>
    <w:p>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pPr>
      <w:r>
        <w:rPr>
          <w:rFonts w:hint="eastAsia" w:ascii="Times New Roman" w:hAnsi="Times New Roman" w:eastAsia="方正仿宋_GBK" w:cs="Times New Roman"/>
          <w:sz w:val="28"/>
          <w:szCs w:val="24"/>
          <w:lang w:val="en-US" w:eastAsia="zh-CN" w:bidi="ar-SA"/>
        </w:rPr>
        <w:t>2025 年，我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机关运行经费共计安排</w:t>
      </w:r>
      <w:r>
        <w:rPr>
          <w:rFonts w:hint="eastAsia" w:eastAsia="方正仿宋_GBK"/>
          <w:lang w:val="en-US" w:eastAsia="zh-CN"/>
        </w:rPr>
        <w:t>1.32</w:t>
      </w:r>
      <w:r>
        <w:rPr>
          <w:rFonts w:hint="eastAsia" w:ascii="Times New Roman" w:hAnsi="Times New Roman" w:eastAsia="方正仿宋_GBK" w:cs="Times New Roman"/>
          <w:sz w:val="28"/>
          <w:szCs w:val="24"/>
          <w:lang w:val="en-US" w:eastAsia="zh-CN" w:bidi="ar-SA"/>
        </w:rPr>
        <w:t>万元，主要用于日常维修、办公费、物业管理费等日常运行支出。</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ascii="Times New Roman" w:hAnsi="Times New Roman" w:eastAsia="方正仿宋_GBK" w:cs="Times New Roman"/>
          <w:sz w:val="28"/>
          <w:szCs w:val="24"/>
          <w:lang w:val="en-US" w:eastAsia="zh-CN" w:bidi="ar-SA"/>
        </w:rPr>
        <w:t>2025年，我单位财政拨款“三公”经费预算安排0.00万元，其中因公出国（境）费0.00万元； 公务用车购置及运维费0.00万元（其中：公务用车购置费为0.00万元，公务用车运维费0.00万元)； 公务接待费0.00万元。与2024年相比</w:t>
      </w:r>
      <w:r>
        <w:rPr>
          <w:rFonts w:hint="eastAsia" w:cs="Times New Roman"/>
          <w:sz w:val="28"/>
          <w:szCs w:val="24"/>
          <w:lang w:val="en-US" w:eastAsia="zh-CN" w:bidi="ar-SA"/>
        </w:rPr>
        <w:t>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ind w:firstLine="1280" w:firstLineChars="400"/>
        <w:jc w:val="left"/>
        <w:outlineLvl w:val="9"/>
        <w:rPr>
          <w:rFonts w:hint="eastAsia" w:ascii="黑体" w:hAnsi="黑体" w:eastAsia="黑体" w:cs="黑体"/>
          <w:color w:val="000000"/>
          <w:sz w:val="32"/>
          <w:lang w:eastAsia="zh-CN"/>
        </w:rPr>
      </w:pPr>
      <w:bookmarkStart w:id="2" w:name="_GoBack"/>
      <w:r>
        <w:rPr>
          <w:rFonts w:hint="eastAsia" w:ascii="黑体" w:hAnsi="黑体" w:eastAsia="黑体" w:cs="黑体"/>
          <w:color w:val="000000"/>
          <w:sz w:val="32"/>
          <w:lang w:eastAsia="zh-CN"/>
        </w:rPr>
        <w:t>无</w:t>
      </w:r>
    </w:p>
    <w:bookmarkEnd w:id="2"/>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石家庄市栾城区社会工作综合服务中心上年末固定资产金额为0.00万元（详见下表）。本年度拟购置固定资产总额为0.00万元，已按要求列入政府采购预算，详见政府采购预算表。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20AA37"/>
    <w:multiLevelType w:val="singleLevel"/>
    <w:tmpl w:val="0720AA37"/>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7A43FC"/>
    <w:rsid w:val="19D95485"/>
    <w:rsid w:val="1DF0665E"/>
    <w:rsid w:val="1DF71AC8"/>
    <w:rsid w:val="24CC572F"/>
    <w:rsid w:val="2BFA0DAF"/>
    <w:rsid w:val="3ED100BA"/>
    <w:rsid w:val="42202F4A"/>
    <w:rsid w:val="5FE377F5"/>
    <w:rsid w:val="67E70261"/>
    <w:rsid w:val="692E78DD"/>
    <w:rsid w:val="7F5A09C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44</Pages>
  <Words>8306</Words>
  <Characters>9894</Characters>
  <TotalTime>2</TotalTime>
  <ScaleCrop>false</ScaleCrop>
  <LinksUpToDate>false</LinksUpToDate>
  <CharactersWithSpaces>10095</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2025-01-22T09:08:00Z</dcterms:created>
  <dc:creator>Administrator</dc:creator>
  <cp:lastModifiedBy>Administrator</cp:lastModifiedBy>
  <dcterms:modified xsi:type="dcterms:W3CDTF">2025-02-13T03:10:44Z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eyJoZGlkIjoiN2MxNmZkMjM0MWRhODliZTJhNGQ5MmMxZDBiOTA4ZjkiLCJ1c2VySWQiOiI4MDgyMzYzNjMifQ==</vt:lpwstr>
  </property>
  <property fmtid="{D5CDD505-2E9C-101B-9397-08002B2CF9AE}" pid="3" name="KSOProductBuildVer">
    <vt:lpwstr>2052-11.1.0.9021</vt:lpwstr>
  </property>
  <property fmtid="{D5CDD505-2E9C-101B-9397-08002B2CF9AE}" pid="4" name="ICV">
    <vt:lpwstr>B6C6E274005B485BB6DC508EFF894591_13</vt:lpwstr>
  </property>
</Properties>
</file>