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667016">
      <w:pPr>
        <w:spacing w:line="56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</w:p>
    <w:p w14:paraId="060FFBFC">
      <w:pPr>
        <w:spacing w:line="56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</w:p>
    <w:p w14:paraId="778C9FD1">
      <w:pPr>
        <w:spacing w:line="56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</w:p>
    <w:p w14:paraId="4241B23A">
      <w:pPr>
        <w:spacing w:line="56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</w:p>
    <w:p w14:paraId="5C94EC0F">
      <w:pPr>
        <w:spacing w:line="56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</w:p>
    <w:p w14:paraId="0DA16324">
      <w:pPr>
        <w:spacing w:line="560" w:lineRule="exact"/>
        <w:jc w:val="center"/>
        <w:rPr>
          <w:rFonts w:hint="eastAsia" w:ascii="方正小标宋_GBK" w:hAnsi="Times New Roman" w:eastAsia="方正小标宋_GBK" w:cs="Times New Roman"/>
          <w:bCs/>
          <w:sz w:val="44"/>
          <w:szCs w:val="44"/>
        </w:rPr>
      </w:pPr>
      <w:r>
        <w:rPr>
          <w:rFonts w:ascii="Times New Roman" w:hAnsi="Times New Roman" w:eastAsia="方正小标宋_GBK" w:cs="Times New Roman"/>
          <w:bCs/>
          <w:sz w:val="44"/>
          <w:szCs w:val="44"/>
        </w:rPr>
        <w:t>202</w:t>
      </w:r>
      <w:r>
        <w:rPr>
          <w:rFonts w:hint="eastAsia" w:ascii="Times New Roman" w:hAnsi="Times New Roman" w:eastAsia="方正小标宋_GBK" w:cs="Times New Roman"/>
          <w:bCs/>
          <w:sz w:val="44"/>
          <w:szCs w:val="44"/>
          <w:lang w:val="en-US" w:eastAsia="zh-CN"/>
        </w:rPr>
        <w:t>5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年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eastAsia="zh-CN"/>
        </w:rPr>
        <w:t>度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石家庄市栾城区第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val="en-US" w:eastAsia="zh-CN"/>
        </w:rPr>
        <w:t>十五次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跨部门</w:t>
      </w:r>
    </w:p>
    <w:p w14:paraId="7978CE75">
      <w:pPr>
        <w:spacing w:line="560" w:lineRule="exact"/>
        <w:jc w:val="center"/>
        <w:rPr>
          <w:rFonts w:ascii="宋体" w:hAnsi="宋体" w:eastAsia="宋体" w:cs="宋体"/>
          <w:b/>
          <w:color w:val="222222"/>
          <w:sz w:val="44"/>
        </w:rPr>
      </w:pP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“双随机、一公开”联合抽查实施方案</w:t>
      </w:r>
    </w:p>
    <w:p w14:paraId="7CDA580D">
      <w:pPr>
        <w:pStyle w:val="4"/>
        <w:kinsoku w:val="0"/>
        <w:overflowPunct w:val="0"/>
        <w:spacing w:line="560" w:lineRule="exact"/>
        <w:ind w:right="18"/>
        <w:rPr>
          <w:rFonts w:ascii="仿宋" w:hAnsi="仿宋" w:eastAsia="仿宋" w:cs="Times New Roman"/>
        </w:rPr>
      </w:pPr>
    </w:p>
    <w:p w14:paraId="0B5D0C3F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为深入推进“双随机、一公开”监管与企业信用风险分级分类监管有机结合，提高双随机抽查的精准性和靶向性，根据《石家庄市栾城区202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</w:rPr>
        <w:t>年度“双随机、一公开”监管工作实施方案》、《石家庄市栾城区202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</w:rPr>
        <w:t>年度随机抽查工作计划》，</w:t>
      </w:r>
      <w:r>
        <w:rPr>
          <w:rFonts w:hint="eastAsia" w:ascii="仿宋" w:hAnsi="仿宋" w:eastAsia="仿宋" w:cs="仿宋"/>
          <w:bCs/>
          <w:szCs w:val="32"/>
          <w:lang w:eastAsia="zh-CN"/>
        </w:rPr>
        <w:t>我局</w:t>
      </w:r>
      <w:r>
        <w:rPr>
          <w:rFonts w:hint="eastAsia" w:ascii="仿宋" w:hAnsi="仿宋" w:eastAsia="仿宋" w:cs="仿宋"/>
          <w:bCs/>
          <w:szCs w:val="32"/>
        </w:rPr>
        <w:t>决定组织开展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2025年度石家庄市栾城区第十五</w:t>
      </w:r>
      <w:r>
        <w:rPr>
          <w:rFonts w:hint="eastAsia" w:ascii="仿宋" w:hAnsi="仿宋" w:eastAsia="仿宋" w:cs="仿宋"/>
          <w:bCs/>
          <w:szCs w:val="32"/>
        </w:rPr>
        <w:t>次跨部门联合抽查。特制定本方案。</w:t>
      </w:r>
    </w:p>
    <w:p w14:paraId="5AD063A5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一、抽查时间</w:t>
      </w:r>
    </w:p>
    <w:p w14:paraId="2243130F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  <w:lang w:eastAsia="zh-CN"/>
        </w:rPr>
        <w:t>年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bCs/>
          <w:szCs w:val="32"/>
        </w:rPr>
        <w:t>月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28</w:t>
      </w:r>
      <w:r>
        <w:rPr>
          <w:rFonts w:hint="eastAsia" w:ascii="仿宋" w:hAnsi="仿宋" w:eastAsia="仿宋" w:cs="仿宋"/>
          <w:bCs/>
          <w:szCs w:val="32"/>
        </w:rPr>
        <w:t>日至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bCs/>
          <w:szCs w:val="32"/>
        </w:rPr>
        <w:t>月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31</w:t>
      </w:r>
      <w:r>
        <w:rPr>
          <w:rFonts w:hint="eastAsia" w:ascii="仿宋" w:hAnsi="仿宋" w:eastAsia="仿宋" w:cs="仿宋"/>
          <w:bCs/>
          <w:szCs w:val="32"/>
        </w:rPr>
        <w:t xml:space="preserve">日。 </w:t>
      </w:r>
    </w:p>
    <w:p w14:paraId="04FFB5EF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二、抽查事项内容</w:t>
      </w:r>
    </w:p>
    <w:p w14:paraId="200CB2A9">
      <w:pPr>
        <w:adjustRightInd w:val="0"/>
        <w:snapToGrid w:val="0"/>
        <w:spacing w:line="540" w:lineRule="exact"/>
        <w:ind w:firstLine="640" w:firstLineChars="200"/>
        <w:rPr>
          <w:rFonts w:hint="eastAsia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>区文化广电体育和旅游局：文物购销、拍卖经营检查；全省广播电视广告、频率频道、互联网视听节目监督检查；全省广播电视播出、传输情况监督检查；互联网上网服务营业场所“双随机”抽查；互联网文化“双随机”抽查；艺术考级机构“双随机”抽查；在线旅游平台经营者“双随机”抽查；对旅行社的监督检查；A级景区监督管理；出版物印刷复制企业“双随机”抽查；娱乐场所“双随机”抽查；对旅游从业者的监督检查；艺术品“双随机”抽查；出版物发行单位“双随机”抽查；电影发行放映单位“双随机”抽查；对高危体育项目经营场所安全经营事项的监督检查；广播电视节目制作经营管理；全省卫星电视广播地面接收设施管理工作监督检查；对彩票代销者行为检查。</w:t>
      </w:r>
    </w:p>
    <w:p w14:paraId="58D12648">
      <w:pPr>
        <w:adjustRightInd w:val="0"/>
        <w:snapToGrid w:val="0"/>
        <w:spacing w:line="540" w:lineRule="exact"/>
        <w:ind w:firstLine="640" w:firstLineChars="200"/>
        <w:rPr>
          <w:rFonts w:hint="eastAsia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>区公安局：娱乐场所和特种行业检查；互联网上网服务营业场所信息网络安全检查。</w:t>
      </w:r>
    </w:p>
    <w:p w14:paraId="5337B115">
      <w:pPr>
        <w:adjustRightInd w:val="0"/>
        <w:snapToGrid w:val="0"/>
        <w:spacing w:line="540" w:lineRule="exact"/>
        <w:ind w:firstLine="640" w:firstLineChars="200"/>
        <w:rPr>
          <w:rFonts w:hint="eastAsia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>区市场监督管理局：登记事项检查，公示信息检查。</w:t>
      </w:r>
      <w:bookmarkStart w:id="0" w:name="_GoBack"/>
      <w:bookmarkEnd w:id="0"/>
    </w:p>
    <w:p w14:paraId="699255D2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三、抽查对象范围及比例</w:t>
      </w:r>
    </w:p>
    <w:p w14:paraId="06D5CBB3">
      <w:pPr>
        <w:spacing w:line="540" w:lineRule="exact"/>
        <w:ind w:firstLine="640" w:firstLineChars="200"/>
        <w:rPr>
          <w:rFonts w:hint="eastAsia" w:ascii="仿宋" w:hAnsi="仿宋" w:eastAsia="仿宋" w:cs="仿宋"/>
          <w:bCs/>
          <w:szCs w:val="32"/>
          <w:lang w:eastAsia="zh-CN"/>
        </w:rPr>
      </w:pPr>
      <w:r>
        <w:rPr>
          <w:rFonts w:hint="eastAsia" w:ascii="仿宋" w:hAnsi="仿宋" w:eastAsia="仿宋" w:cs="仿宋"/>
          <w:bCs/>
          <w:szCs w:val="32"/>
        </w:rPr>
        <w:t>抽查对象范围：</w:t>
      </w:r>
      <w:r>
        <w:rPr>
          <w:rFonts w:hint="eastAsia" w:ascii="仿宋" w:hAnsi="仿宋" w:eastAsia="仿宋" w:cs="仿宋"/>
          <w:bCs/>
          <w:szCs w:val="32"/>
          <w:lang w:eastAsia="zh-CN"/>
        </w:rPr>
        <w:t>旅游行业、出版行业、文化娱乐等行业。</w:t>
      </w:r>
    </w:p>
    <w:p w14:paraId="27C89BE0">
      <w:pPr>
        <w:spacing w:line="540" w:lineRule="exact"/>
        <w:ind w:firstLine="640" w:firstLineChars="200"/>
        <w:rPr>
          <w:rFonts w:ascii="仿宋_GB2312" w:hAnsi="仿宋_GB2312" w:eastAsia="仿宋_GB2312" w:cs="仿宋_GB2312"/>
          <w:color w:val="000000"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抽取比例：</w:t>
      </w:r>
      <w:r>
        <w:rPr>
          <w:rFonts w:hint="eastAsia" w:ascii="Times New Roman" w:hAnsi="Times New Roman" w:eastAsia="仿宋" w:cs="Times New Roman"/>
          <w:bCs/>
          <w:szCs w:val="32"/>
        </w:rPr>
        <w:t>按照信用风险分级分类等级抽取涉及行业共计不低于</w:t>
      </w:r>
      <w:r>
        <w:rPr>
          <w:rFonts w:hint="eastAsia" w:ascii="Times New Roman" w:hAnsi="Times New Roman" w:eastAsia="仿宋" w:cs="Times New Roman"/>
          <w:bCs/>
          <w:szCs w:val="32"/>
          <w:lang w:val="en-US" w:eastAsia="zh-CN"/>
        </w:rPr>
        <w:t>3</w:t>
      </w:r>
      <w:r>
        <w:rPr>
          <w:rFonts w:hint="eastAsia" w:ascii="Times New Roman" w:hAnsi="Times New Roman" w:eastAsia="仿宋" w:cs="Times New Roman"/>
          <w:bCs/>
          <w:szCs w:val="32"/>
        </w:rPr>
        <w:t>%。</w:t>
      </w:r>
    </w:p>
    <w:p w14:paraId="44D804FE">
      <w:pPr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四、名单抽取及派发</w:t>
      </w:r>
    </w:p>
    <w:p w14:paraId="04D36613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（一）区“双随机、一公开”监管工作领导小组办公室通过“河北省双随机执法监管平台”从检查对象名录库抽取确定被检查对象，由“河北省双随机执法监管平台”自动派发到各监管单位，由各单位的管理员在两个工作日内完成比对和确认。</w:t>
      </w:r>
    </w:p>
    <w:p w14:paraId="1CCB4C2A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（二）各监管单位通过“河北省双随机执法监管平台”对被检查对象进行认领，从执法人员名录库中随机抽取执法检查人员进行匹配编组。</w:t>
      </w:r>
    </w:p>
    <w:p w14:paraId="2A1A2930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（三）被检查对象和检查人员确定后，由“河北省双随机执法监管平台”随机匹配，自动生成一户企业一份随机抽查联合检查记录表（简称“一企一表”），并自动派发到执法检查人员（可直接在APP端查看），实施检查。</w:t>
      </w:r>
    </w:p>
    <w:p w14:paraId="0B380E75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五、组织实施</w:t>
      </w:r>
    </w:p>
    <w:p w14:paraId="2FDC3A98">
      <w:pPr>
        <w:adjustRightInd w:val="0"/>
        <w:snapToGrid w:val="0"/>
        <w:spacing w:line="540" w:lineRule="exact"/>
        <w:ind w:firstLine="643" w:firstLineChars="200"/>
        <w:rPr>
          <w:rFonts w:ascii="楷体" w:hAnsi="楷体" w:eastAsia="楷体" w:cs="楷体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（一）任务分工</w:t>
      </w:r>
    </w:p>
    <w:p w14:paraId="443CF901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1.本次联合抽查由区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文化广电体育和旅游局</w:t>
      </w:r>
      <w:r>
        <w:rPr>
          <w:rFonts w:hint="eastAsia" w:ascii="仿宋" w:hAnsi="仿宋" w:eastAsia="仿宋" w:cs="仿宋"/>
          <w:bCs/>
          <w:szCs w:val="32"/>
        </w:rPr>
        <w:t>牵头，纳入跨部门“双随机、一公开”联合抽查的区有关部门为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区公安局、区市场监督管理局、区栾城镇</w:t>
      </w:r>
      <w:r>
        <w:rPr>
          <w:rFonts w:hint="eastAsia" w:ascii="仿宋" w:hAnsi="仿宋" w:eastAsia="仿宋" w:cs="仿宋"/>
          <w:bCs/>
          <w:szCs w:val="32"/>
        </w:rPr>
        <w:t>。各部门负责并具体落实本系统“双随机、一公开”联合抽查工作。</w:t>
      </w:r>
    </w:p>
    <w:p w14:paraId="424E3F66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2.随机抽取的执法人员，无法独立完成专业抽查事项的，由执法检查人员所在部门选派专业人员协助指导完成工作。</w:t>
      </w:r>
    </w:p>
    <w:p w14:paraId="738DD46C">
      <w:pPr>
        <w:adjustRightInd w:val="0"/>
        <w:snapToGrid w:val="0"/>
        <w:spacing w:line="540" w:lineRule="exact"/>
        <w:ind w:firstLine="643" w:firstLineChars="200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（二）检查方式</w:t>
      </w:r>
    </w:p>
    <w:p w14:paraId="46686FBE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1.现场检查一般采取信息比对、实地核查等方法；</w:t>
      </w:r>
    </w:p>
    <w:p w14:paraId="3CC86AAD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2.通知检查对象，</w:t>
      </w:r>
      <w:r>
        <w:rPr>
          <w:rFonts w:hint="eastAsia" w:ascii="仿宋" w:hAnsi="仿宋" w:eastAsia="仿宋" w:cs="仿宋"/>
          <w:bCs/>
          <w:szCs w:val="32"/>
          <w:lang w:eastAsia="zh-CN"/>
        </w:rPr>
        <w:t>需</w:t>
      </w:r>
      <w:r>
        <w:rPr>
          <w:rFonts w:hint="eastAsia" w:ascii="仿宋" w:hAnsi="仿宋" w:eastAsia="仿宋" w:cs="仿宋"/>
          <w:bCs/>
          <w:szCs w:val="32"/>
        </w:rPr>
        <w:t>下达检查通知书，告知被检查对象检查内容及需要检查对象配合的事宜。</w:t>
      </w:r>
    </w:p>
    <w:p w14:paraId="6AB4D733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3.对企业进行实地核查时，应当出示相应证件，检查人员应当填写“一企一表”，并由被检查企业法定代表人签字或盖章确认；被检查对象拒绝签字的应当在“一企一表”上如实记录；以上操作可在“河北省双随机执法监管平台”手机APP上完成。</w:t>
      </w:r>
    </w:p>
    <w:p w14:paraId="4FAD8066">
      <w:pPr>
        <w:adjustRightInd w:val="0"/>
        <w:snapToGrid w:val="0"/>
        <w:spacing w:line="540" w:lineRule="exact"/>
        <w:ind w:firstLine="643" w:firstLineChars="200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（三）抽查结果公示</w:t>
      </w:r>
    </w:p>
    <w:p w14:paraId="14127384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执法检查人员要自完成“双随机、一公开”联合抽查工作结束之日起20个工作日内，在“河北省双随机执法监管平台”完成录入、审核，抽查结果由系统完成数据交换自动归集到市场主体名下，通过“河北省双随机执法监管平台”自动交换到“国家市场主体信用信息公示系统”（河北）向社会公示。</w:t>
      </w:r>
    </w:p>
    <w:p w14:paraId="4B14771E">
      <w:pPr>
        <w:adjustRightInd w:val="0"/>
        <w:snapToGrid w:val="0"/>
        <w:spacing w:line="540" w:lineRule="exact"/>
        <w:ind w:firstLine="643" w:firstLineChars="200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（四）后续结果处置</w:t>
      </w:r>
    </w:p>
    <w:p w14:paraId="4D70794D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  <w:lang w:eastAsia="zh-CN"/>
        </w:rPr>
        <w:t>各单位</w:t>
      </w:r>
      <w:r>
        <w:rPr>
          <w:rFonts w:hint="eastAsia" w:ascii="仿宋" w:hAnsi="仿宋" w:eastAsia="仿宋" w:cs="仿宋"/>
          <w:bCs/>
          <w:szCs w:val="32"/>
        </w:rPr>
        <w:t>要根据职责和管辖权限，对检查中发现的违法线索，及时依法处理或移交有关部门，并在20个工作日内将后续处置结果录入“河北省双随机执法监管平台”中“后续处置”模块，确保后续监管到位，形成监管闭环。</w:t>
      </w:r>
    </w:p>
    <w:p w14:paraId="6E620A78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 xml:space="preserve"> 六、工作要求</w:t>
      </w:r>
    </w:p>
    <w:p w14:paraId="34622B26">
      <w:pPr>
        <w:adjustRightInd w:val="0"/>
        <w:snapToGrid w:val="0"/>
        <w:spacing w:line="540" w:lineRule="exact"/>
        <w:ind w:firstLine="643" w:firstLineChars="200"/>
        <w:rPr>
          <w:rFonts w:hint="eastAsia"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（一）明确工作职责，做好组织保障。</w:t>
      </w:r>
      <w:r>
        <w:rPr>
          <w:rFonts w:hint="eastAsia" w:ascii="仿宋" w:hAnsi="仿宋" w:eastAsia="仿宋" w:cs="仿宋"/>
          <w:bCs/>
          <w:szCs w:val="32"/>
        </w:rPr>
        <w:t>加强对“双随机、一公开”联合抽查工作的组织领导，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文广体旅</w:t>
      </w:r>
      <w:r>
        <w:rPr>
          <w:rFonts w:hint="eastAsia" w:ascii="仿宋" w:hAnsi="仿宋" w:eastAsia="仿宋" w:cs="仿宋"/>
          <w:bCs/>
          <w:szCs w:val="32"/>
          <w:lang w:eastAsia="zh-CN"/>
        </w:rPr>
        <w:t>局</w:t>
      </w:r>
      <w:r>
        <w:rPr>
          <w:rFonts w:hint="eastAsia" w:ascii="仿宋" w:hAnsi="仿宋" w:eastAsia="仿宋" w:cs="仿宋"/>
          <w:bCs/>
          <w:szCs w:val="32"/>
        </w:rPr>
        <w:t>做好牵头工作；各有关部门要加强对本系统抽查任务的业务指导。</w:t>
      </w:r>
    </w:p>
    <w:p w14:paraId="6B420BEA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（二）周密制定计划，认真抓好落实。</w:t>
      </w:r>
      <w:r>
        <w:rPr>
          <w:rFonts w:hint="eastAsia" w:ascii="仿宋" w:hAnsi="仿宋" w:eastAsia="仿宋" w:cs="仿宋"/>
          <w:bCs/>
          <w:szCs w:val="32"/>
        </w:rPr>
        <w:t>各有关单位要按照</w:t>
      </w:r>
      <w:r>
        <w:rPr>
          <w:rFonts w:hint="eastAsia" w:ascii="仿宋" w:hAnsi="仿宋" w:eastAsia="仿宋" w:cs="仿宋"/>
          <w:bCs/>
          <w:szCs w:val="32"/>
          <w:lang w:eastAsia="zh-CN"/>
        </w:rPr>
        <w:t>上级</w:t>
      </w:r>
      <w:r>
        <w:rPr>
          <w:rFonts w:hint="eastAsia" w:ascii="仿宋" w:hAnsi="仿宋" w:eastAsia="仿宋" w:cs="仿宋"/>
          <w:bCs/>
          <w:szCs w:val="32"/>
        </w:rPr>
        <w:t>统一部署，积极筹划，精心组织，加强宣传，认真制定具体工作方案，严格按照《石家庄市人民政府关于在市场监管领域全面推行部门联合“双随机、一公开”监管的实施意见》要求，按时完成各项检查工作。</w:t>
      </w:r>
    </w:p>
    <w:p w14:paraId="5B8FA9DF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（三）落实“应联尽联”，提高检查效率。</w:t>
      </w:r>
      <w:r>
        <w:rPr>
          <w:rFonts w:hint="eastAsia" w:ascii="仿宋" w:hAnsi="仿宋" w:eastAsia="仿宋" w:cs="仿宋"/>
          <w:bCs/>
          <w:szCs w:val="32"/>
        </w:rPr>
        <w:t>牵头部门的执法检查人员负责组织协调管理，统一安排检查日程、检查方式，组织实施联合检查。其他检查人员应各司其职，配合、服从安排，分工协作完成检查任务，实现“进一次门、查多项事”，避免多头执法、重复检查，减轻企业负担。</w:t>
      </w:r>
    </w:p>
    <w:p w14:paraId="552864C7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(四)寓监管于服务，减轻企业负担。</w:t>
      </w:r>
      <w:r>
        <w:rPr>
          <w:rFonts w:hint="eastAsia" w:ascii="仿宋" w:hAnsi="仿宋" w:eastAsia="仿宋" w:cs="仿宋"/>
          <w:bCs/>
          <w:szCs w:val="32"/>
        </w:rPr>
        <w:t>在联合抽查工作中，各有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 w14:paraId="4EEC8CB2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(五)按时公示结果，促进信用监管。</w:t>
      </w:r>
      <w:r>
        <w:rPr>
          <w:rFonts w:hint="eastAsia" w:ascii="仿宋" w:hAnsi="仿宋" w:eastAsia="仿宋" w:cs="仿宋"/>
          <w:bCs/>
          <w:szCs w:val="32"/>
        </w:rPr>
        <w:t>联合抽查工作要做好检查结果的公示，严格按照《石家庄市栾城区202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</w:rPr>
        <w:t>年度“双随机、一公开”监管工作实施方案》的要求，及时录入并公示检查结果。同时，对抽查中发现的问题依法依规处置，及时回填后续处理结果，形成完整闭环。</w:t>
      </w:r>
    </w:p>
    <w:p w14:paraId="5773255E">
      <w:pPr>
        <w:pStyle w:val="2"/>
        <w:rPr>
          <w:rFonts w:ascii="Times New Roman" w:hAnsi="Times New Roman" w:eastAsia="仿宋" w:cs="Times New Roman"/>
          <w:bCs/>
          <w:szCs w:val="32"/>
        </w:rPr>
      </w:pPr>
    </w:p>
    <w:p w14:paraId="356EB61C">
      <w:pPr>
        <w:pStyle w:val="2"/>
        <w:rPr>
          <w:rFonts w:ascii="Times New Roman" w:hAnsi="Times New Roman" w:eastAsia="仿宋" w:cs="Times New Roman"/>
          <w:bCs/>
          <w:szCs w:val="32"/>
        </w:rPr>
      </w:pPr>
    </w:p>
    <w:p w14:paraId="09D1DF8F">
      <w:pPr>
        <w:spacing w:line="540" w:lineRule="exact"/>
        <w:ind w:right="92" w:rightChars="0"/>
        <w:jc w:val="left"/>
        <w:rPr>
          <w:rFonts w:hint="eastAsia" w:ascii="仿宋" w:hAnsi="仿宋" w:eastAsia="仿宋" w:cs="仿宋"/>
          <w:lang w:eastAsia="zh-CN"/>
        </w:rPr>
      </w:pPr>
      <w:r>
        <w:rPr>
          <w:rFonts w:hint="eastAsia" w:ascii="仿宋" w:hAnsi="仿宋" w:eastAsia="仿宋" w:cs="仿宋"/>
          <w:lang w:val="en-US" w:eastAsia="zh-CN"/>
        </w:rPr>
        <w:t xml:space="preserve">                               </w:t>
      </w:r>
      <w:r>
        <w:rPr>
          <w:rFonts w:hint="eastAsia" w:ascii="仿宋" w:hAnsi="仿宋" w:eastAsia="仿宋" w:cs="仿宋"/>
        </w:rPr>
        <w:t>石家庄市栾城区</w:t>
      </w:r>
      <w:r>
        <w:rPr>
          <w:rFonts w:hint="eastAsia" w:ascii="仿宋" w:hAnsi="仿宋" w:eastAsia="仿宋" w:cs="仿宋"/>
          <w:lang w:eastAsia="zh-CN"/>
        </w:rPr>
        <w:t>文化广电</w:t>
      </w:r>
    </w:p>
    <w:p w14:paraId="55C5CB99">
      <w:pPr>
        <w:spacing w:line="540" w:lineRule="exact"/>
        <w:ind w:left="5760" w:leftChars="1800" w:right="92" w:rightChars="0" w:firstLine="320" w:firstLineChars="100"/>
        <w:jc w:val="left"/>
        <w:rPr>
          <w:rFonts w:ascii="仿宋" w:hAnsi="仿宋" w:eastAsia="仿宋" w:cs="仿宋"/>
        </w:rPr>
        <w:sectPr>
          <w:pgSz w:w="11906" w:h="16838"/>
          <w:pgMar w:top="1440" w:right="1587" w:bottom="1440" w:left="1587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lang w:eastAsia="zh-CN"/>
        </w:rPr>
        <w:t>体育和旅游局</w:t>
      </w:r>
      <w:r>
        <w:rPr>
          <w:rFonts w:hint="eastAsia" w:ascii="仿宋" w:hAnsi="仿宋" w:eastAsia="仿宋" w:cs="仿宋"/>
        </w:rPr>
        <w:t xml:space="preserve">                             202</w:t>
      </w:r>
      <w:r>
        <w:rPr>
          <w:rFonts w:hint="eastAsia" w:ascii="仿宋" w:hAnsi="仿宋" w:eastAsia="仿宋" w:cs="仿宋"/>
          <w:lang w:val="en-US" w:eastAsia="zh-CN"/>
        </w:rPr>
        <w:t>5</w:t>
      </w:r>
      <w:r>
        <w:rPr>
          <w:rFonts w:hint="eastAsia" w:ascii="仿宋" w:hAnsi="仿宋" w:eastAsia="仿宋" w:cs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9</w:t>
      </w:r>
      <w:r>
        <w:rPr>
          <w:rFonts w:hint="eastAsia" w:ascii="仿宋" w:hAnsi="仿宋" w:eastAsia="仿宋" w:cs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28</w:t>
      </w:r>
      <w:r>
        <w:rPr>
          <w:rFonts w:hint="eastAsia" w:ascii="仿宋" w:hAnsi="仿宋" w:eastAsia="仿宋" w:cs="仿宋"/>
        </w:rPr>
        <w:t>日</w:t>
      </w:r>
    </w:p>
    <w:p w14:paraId="5A1C2025">
      <w:pPr>
        <w:spacing w:line="220" w:lineRule="atLeast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附件：</w:t>
      </w:r>
    </w:p>
    <w:p w14:paraId="5A348D96">
      <w:pPr>
        <w:spacing w:line="560" w:lineRule="exact"/>
        <w:jc w:val="center"/>
        <w:rPr>
          <w:rFonts w:ascii="宋体" w:hAnsi="宋体" w:eastAsia="宋体" w:cs="宋体"/>
          <w:b/>
          <w:spacing w:val="-6"/>
          <w:sz w:val="44"/>
        </w:rPr>
      </w:pPr>
      <w:r>
        <w:rPr>
          <w:rFonts w:hint="eastAsia" w:ascii="宋体" w:hAnsi="宋体" w:eastAsia="宋体" w:cs="宋体"/>
          <w:b/>
          <w:spacing w:val="-6"/>
          <w:sz w:val="44"/>
        </w:rPr>
        <w:t>石家庄市栾城区</w:t>
      </w:r>
    </w:p>
    <w:p w14:paraId="081A8695">
      <w:pPr>
        <w:spacing w:line="560" w:lineRule="exact"/>
        <w:jc w:val="center"/>
        <w:rPr>
          <w:rFonts w:ascii="宋体" w:hAnsi="宋体" w:eastAsia="宋体" w:cs="宋体"/>
          <w:b/>
          <w:spacing w:val="-6"/>
          <w:sz w:val="44"/>
        </w:rPr>
      </w:pPr>
      <w:r>
        <w:rPr>
          <w:rFonts w:hint="eastAsia" w:ascii="宋体" w:hAnsi="宋体" w:eastAsia="宋体" w:cs="宋体"/>
          <w:b/>
          <w:spacing w:val="-6"/>
          <w:sz w:val="44"/>
        </w:rPr>
        <w:t>202</w:t>
      </w:r>
      <w:r>
        <w:rPr>
          <w:rFonts w:hint="eastAsia" w:ascii="宋体" w:hAnsi="宋体" w:eastAsia="宋体" w:cs="宋体"/>
          <w:b/>
          <w:spacing w:val="-6"/>
          <w:sz w:val="44"/>
          <w:lang w:val="en-US" w:eastAsia="zh-CN"/>
        </w:rPr>
        <w:t>5</w:t>
      </w:r>
      <w:r>
        <w:rPr>
          <w:rFonts w:hint="eastAsia" w:ascii="宋体" w:hAnsi="宋体" w:eastAsia="宋体" w:cs="宋体"/>
          <w:b/>
          <w:spacing w:val="-6"/>
          <w:sz w:val="44"/>
        </w:rPr>
        <w:t>年第</w:t>
      </w:r>
      <w:r>
        <w:rPr>
          <w:rFonts w:hint="eastAsia" w:ascii="宋体" w:hAnsi="宋体" w:eastAsia="宋体" w:cs="宋体"/>
          <w:b/>
          <w:spacing w:val="-6"/>
          <w:sz w:val="44"/>
          <w:lang w:val="en-US" w:eastAsia="zh-CN"/>
        </w:rPr>
        <w:t>十五</w:t>
      </w:r>
      <w:r>
        <w:rPr>
          <w:rFonts w:hint="eastAsia" w:ascii="宋体" w:hAnsi="宋体" w:eastAsia="宋体" w:cs="宋体"/>
          <w:b/>
          <w:spacing w:val="-6"/>
          <w:sz w:val="44"/>
        </w:rPr>
        <w:t>次跨部门“双随机、一公开”</w:t>
      </w:r>
    </w:p>
    <w:p w14:paraId="0DC47AF5">
      <w:pPr>
        <w:spacing w:line="560" w:lineRule="exact"/>
        <w:jc w:val="center"/>
        <w:rPr>
          <w:rFonts w:ascii="宋体" w:hAnsi="宋体" w:eastAsia="宋体" w:cs="宋体"/>
          <w:b/>
          <w:spacing w:val="-6"/>
          <w:sz w:val="44"/>
        </w:rPr>
      </w:pPr>
      <w:r>
        <w:rPr>
          <w:rFonts w:hint="eastAsia" w:ascii="宋体" w:hAnsi="宋体" w:eastAsia="宋体" w:cs="宋体"/>
          <w:b/>
          <w:spacing w:val="-6"/>
          <w:sz w:val="44"/>
        </w:rPr>
        <w:t>联合抽查情况统计表</w:t>
      </w:r>
    </w:p>
    <w:p w14:paraId="3C89EF31">
      <w:pPr>
        <w:pStyle w:val="10"/>
        <w:ind w:left="640" w:firstLine="560"/>
      </w:pPr>
    </w:p>
    <w:tbl>
      <w:tblPr>
        <w:tblStyle w:val="8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11A75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79768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随机抽查企业（户）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7C60B6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3A8DFA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75D02A8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B5962B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517D56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EAD1CC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 w14:paraId="226F5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1CEDA5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D4900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05504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8D768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1D9DCF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797E51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发现问题企业（户）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22E3ABA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02A08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CFE9F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17F76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0916A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AA65C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0EA55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417B9B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F5FC10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7AFD3B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B7765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D3F65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C89C1B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5DDCD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89A9A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467C9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09A16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CE2A35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70515F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ECB4B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96582C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EB616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6ED67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7D9D8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4E19A8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383A92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6E8E3F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295D0D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A9050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78E85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8AA3A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99C41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F4B0E8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02275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B204C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1E84C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1C7CF8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2BF72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F26D9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0E854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49C1C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CA949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01272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31FDD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76E35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6FFA2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303A50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315C1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107973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C9CF47A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C7829F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D68F1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9F4C9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D1A07F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851EE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330CA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A3680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D4DCD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F3A11C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7621B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DCC07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537F6A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24413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5C7E4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E4FE6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4FB35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4305B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9FA2D8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DAADF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52B14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</w:tbl>
    <w:p w14:paraId="42DFE4CE"/>
    <w:p w14:paraId="2561891E"/>
    <w:sectPr>
      <w:headerReference r:id="rId3" w:type="default"/>
      <w:footerReference r:id="rId4" w:type="default"/>
      <w:pgSz w:w="16838" w:h="11906" w:orient="landscape"/>
      <w:pgMar w:top="1588" w:right="1440" w:bottom="1588" w:left="1440" w:header="851" w:footer="992" w:gutter="0"/>
      <w:cols w:space="425" w:num="1"/>
      <w:docGrid w:type="linesAndChar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11EAB48-BF17-4832-A31B-584B19C7A7F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6C0B4495-179B-4B7B-83DD-7CBF5751C41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5EA5AE35-B381-42D7-A4FD-720C557100F9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  <w:embedRegular r:id="rId4" w:fontKey="{7ACA2D6E-3286-4EA4-BA88-0E11AD84EE56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325A0DAC-89D5-4D30-9573-6F26041B825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841C84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2842D7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hODM2NTZhMzVhNWNhNTZhZTFjMDI2ZmUyYTRhN2UifQ=="/>
  </w:docVars>
  <w:rsids>
    <w:rsidRoot w:val="00000000"/>
    <w:rsid w:val="435C3B1F"/>
    <w:rsid w:val="44C62DBB"/>
    <w:rsid w:val="5E3E0D7B"/>
    <w:rsid w:val="69F43272"/>
    <w:rsid w:val="76995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200" w:firstLineChars="200"/>
    </w:pPr>
  </w:style>
  <w:style w:type="paragraph" w:styleId="3">
    <w:name w:val="Body Text Indent"/>
    <w:basedOn w:val="1"/>
    <w:qFormat/>
    <w:uiPriority w:val="0"/>
    <w:pPr>
      <w:spacing w:after="120"/>
      <w:ind w:left="200" w:leftChars="200"/>
    </w:pPr>
  </w:style>
  <w:style w:type="paragraph" w:styleId="4">
    <w:name w:val="Body Text"/>
    <w:basedOn w:val="1"/>
    <w:next w:val="5"/>
    <w:qFormat/>
    <w:uiPriority w:val="1"/>
    <w:pPr>
      <w:ind w:left="108"/>
    </w:pPr>
    <w:rPr>
      <w:rFonts w:ascii="宋体" w:eastAsia="宋体" w:cs="宋体"/>
      <w:szCs w:val="32"/>
    </w:rPr>
  </w:style>
  <w:style w:type="paragraph" w:styleId="5">
    <w:name w:val="Title"/>
    <w:basedOn w:val="1"/>
    <w:next w:val="1"/>
    <w:qFormat/>
    <w:uiPriority w:val="0"/>
    <w:pPr>
      <w:spacing w:before="3"/>
      <w:ind w:left="65" w:right="164"/>
      <w:jc w:val="center"/>
    </w:pPr>
    <w:rPr>
      <w:rFonts w:ascii="宋体" w:hAnsi="宋体" w:eastAsia="宋体" w:cs="宋体"/>
      <w:sz w:val="100"/>
      <w:szCs w:val="100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0">
    <w:name w:val="正文首行缩进 21"/>
    <w:basedOn w:val="11"/>
    <w:next w:val="12"/>
    <w:qFormat/>
    <w:uiPriority w:val="0"/>
    <w:pPr>
      <w:ind w:firstLine="420" w:firstLineChars="200"/>
    </w:pPr>
    <w:rPr>
      <w:rFonts w:eastAsia="宋体"/>
      <w:w w:val="88"/>
      <w:szCs w:val="21"/>
    </w:rPr>
  </w:style>
  <w:style w:type="paragraph" w:customStyle="1" w:styleId="11">
    <w:name w:val="正文文本缩进1"/>
    <w:basedOn w:val="1"/>
    <w:qFormat/>
    <w:uiPriority w:val="0"/>
    <w:pPr>
      <w:spacing w:after="120"/>
      <w:ind w:left="420" w:leftChars="200"/>
    </w:pPr>
  </w:style>
  <w:style w:type="paragraph" w:customStyle="1" w:styleId="12">
    <w:name w:val="正文首行缩进1"/>
    <w:basedOn w:val="4"/>
    <w:next w:val="1"/>
    <w:qFormat/>
    <w:uiPriority w:val="0"/>
    <w:pPr>
      <w:spacing w:line="500" w:lineRule="exact"/>
      <w:ind w:firstLine="420"/>
    </w:pPr>
    <w:rPr>
      <w:sz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2306</Words>
  <Characters>2346</Characters>
  <Lines>0</Lines>
  <Paragraphs>0</Paragraphs>
  <TotalTime>33</TotalTime>
  <ScaleCrop>false</ScaleCrop>
  <LinksUpToDate>false</LinksUpToDate>
  <CharactersWithSpaces>2408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2025-09-09T02:58:00Z</dcterms:created>
  <dc:creator>Administrator</dc:creator>
  <cp:lastModifiedBy>WPS_1627184270</cp:lastModifiedBy>
  <dcterms:modified xsi:type="dcterms:W3CDTF">2025-09-30T08:40:02Z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A25F20CD6AD440398180FA346BFDD59A_13</vt:lpwstr>
  </property>
  <property fmtid="{D5CDD505-2E9C-101B-9397-08002B2CF9AE}" pid="4" name="KSOTemplateDocerSaveRecord">
    <vt:lpwstr>eyJoZGlkIjoiZmMxYjE0ZjM3MWM2ZGY0MzQxYWQwMTFjZmEwOWVmZmMiLCJ1c2VySWQiOiIxMjM5OTI0NTQ5In0=</vt:lpwstr>
  </property>
</Properties>
</file>