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0310785">
      <w:pPr>
        <w:pStyle w:val="172"/>
        <w:rPr>
          <w:rFonts w:hint="eastAsia" w:ascii="Times New Roman" w:hAnsi="Times New Roman" w:eastAsia="宋体" w:cs="Times New Roman"/>
          <w:smallCaps w:val="0"/>
          <w:color w:val="auto"/>
          <w:spacing w:val="0"/>
          <w:highlight w:val="none"/>
          <w:lang w:val="en-US" w:eastAsia="zh-CN"/>
        </w:rPr>
      </w:pPr>
    </w:p>
    <w:p w14:paraId="441FF164">
      <w:pPr>
        <w:pStyle w:val="172"/>
        <w:ind w:firstLine="480"/>
        <w:rPr>
          <w:rFonts w:hint="default" w:ascii="Times New Roman" w:hAnsi="Times New Roman" w:cs="Times New Roman"/>
          <w:smallCaps w:val="0"/>
          <w:color w:val="auto"/>
          <w:spacing w:val="0"/>
          <w:highlight w:val="none"/>
        </w:rPr>
      </w:pPr>
    </w:p>
    <w:p w14:paraId="43051C55">
      <w:pPr>
        <w:pStyle w:val="19"/>
        <w:rPr>
          <w:rFonts w:hint="default" w:ascii="Times New Roman" w:hAnsi="Times New Roman" w:cs="Times New Roman"/>
          <w:smallCaps w:val="0"/>
          <w:color w:val="auto"/>
          <w:spacing w:val="0"/>
          <w:highlight w:val="none"/>
        </w:rPr>
      </w:pPr>
    </w:p>
    <w:p w14:paraId="2773DB06">
      <w:pPr>
        <w:rPr>
          <w:rFonts w:hint="default" w:ascii="Times New Roman" w:hAnsi="Times New Roman" w:cs="Times New Roman"/>
          <w:smallCaps w:val="0"/>
          <w:color w:val="auto"/>
          <w:spacing w:val="0"/>
          <w:highlight w:val="none"/>
        </w:rPr>
      </w:pPr>
    </w:p>
    <w:p w14:paraId="0E04A883">
      <w:pPr>
        <w:pStyle w:val="46"/>
        <w:ind w:firstLine="480"/>
        <w:rPr>
          <w:rFonts w:hint="default" w:ascii="Times New Roman" w:hAnsi="Times New Roman" w:cs="Times New Roman"/>
          <w:smallCaps w:val="0"/>
          <w:color w:val="auto"/>
          <w:spacing w:val="0"/>
          <w:highlight w:val="none"/>
        </w:rPr>
      </w:pPr>
    </w:p>
    <w:p w14:paraId="01FFEE0F">
      <w:pPr>
        <w:adjustRightInd w:val="0"/>
        <w:snapToGrid w:val="0"/>
        <w:jc w:val="center"/>
        <w:outlineLvl w:val="0"/>
        <w:rPr>
          <w:rFonts w:hint="default" w:ascii="Times New Roman" w:hAnsi="Times New Roman" w:eastAsia="方正小标宋_GBK" w:cs="Times New Roman"/>
          <w:bCs/>
          <w:smallCaps w:val="0"/>
          <w:color w:val="auto"/>
          <w:spacing w:val="0"/>
          <w:sz w:val="72"/>
          <w:szCs w:val="72"/>
          <w:highlight w:val="none"/>
        </w:rPr>
      </w:pPr>
      <w:bookmarkStart w:id="0" w:name="_Toc14493"/>
      <w:bookmarkStart w:id="1" w:name="_Toc116550324"/>
      <w:bookmarkStart w:id="2" w:name="_Toc8361"/>
      <w:r>
        <w:rPr>
          <w:rFonts w:hint="default" w:ascii="Times New Roman" w:hAnsi="Times New Roman" w:eastAsia="方正小标宋_GBK" w:cs="Times New Roman"/>
          <w:bCs/>
          <w:smallCaps w:val="0"/>
          <w:color w:val="auto"/>
          <w:spacing w:val="0"/>
          <w:sz w:val="72"/>
          <w:szCs w:val="72"/>
          <w:highlight w:val="none"/>
        </w:rPr>
        <w:t>建设项目环境影响报告表</w:t>
      </w:r>
      <w:bookmarkEnd w:id="0"/>
      <w:bookmarkEnd w:id="1"/>
      <w:bookmarkEnd w:id="2"/>
    </w:p>
    <w:p w14:paraId="6C1293D4">
      <w:pPr>
        <w:adjustRightInd w:val="0"/>
        <w:snapToGrid w:val="0"/>
        <w:spacing w:before="192" w:beforeLines="80"/>
        <w:jc w:val="center"/>
        <w:rPr>
          <w:rFonts w:hint="default" w:ascii="Times New Roman" w:hAnsi="Times New Roman" w:eastAsia="楷体_GB2312" w:cs="Times New Roman"/>
          <w:bCs/>
          <w:smallCaps w:val="0"/>
          <w:color w:val="auto"/>
          <w:spacing w:val="0"/>
          <w:sz w:val="48"/>
          <w:szCs w:val="48"/>
          <w:highlight w:val="none"/>
        </w:rPr>
      </w:pPr>
      <w:r>
        <w:rPr>
          <w:rFonts w:hint="default" w:ascii="Times New Roman" w:hAnsi="Times New Roman" w:eastAsia="楷体_GB2312" w:cs="Times New Roman"/>
          <w:bCs/>
          <w:smallCaps w:val="0"/>
          <w:color w:val="auto"/>
          <w:spacing w:val="0"/>
          <w:sz w:val="48"/>
          <w:szCs w:val="48"/>
          <w:highlight w:val="none"/>
        </w:rPr>
        <w:t>（污染影响类）</w:t>
      </w:r>
    </w:p>
    <w:p w14:paraId="232CFCD5">
      <w:pPr>
        <w:pStyle w:val="172"/>
        <w:ind w:firstLine="480"/>
        <w:rPr>
          <w:rFonts w:hint="default" w:ascii="Times New Roman" w:hAnsi="Times New Roman" w:cs="Times New Roman"/>
          <w:smallCaps w:val="0"/>
          <w:color w:val="auto"/>
          <w:spacing w:val="0"/>
          <w:highlight w:val="none"/>
        </w:rPr>
      </w:pPr>
    </w:p>
    <w:p w14:paraId="00C315BD">
      <w:pPr>
        <w:tabs>
          <w:tab w:val="left" w:pos="5460"/>
        </w:tabs>
        <w:jc w:val="center"/>
        <w:rPr>
          <w:rFonts w:hint="default" w:ascii="Times New Roman" w:hAnsi="Times New Roman" w:eastAsia="仿宋" w:cs="Times New Roman"/>
          <w:smallCaps w:val="0"/>
          <w:color w:val="auto"/>
          <w:spacing w:val="0"/>
          <w:sz w:val="52"/>
          <w:szCs w:val="52"/>
          <w:highlight w:val="none"/>
        </w:rPr>
      </w:pPr>
    </w:p>
    <w:p w14:paraId="496E63F0">
      <w:pPr>
        <w:ind w:firstLine="1040"/>
        <w:rPr>
          <w:rFonts w:hint="default" w:ascii="Times New Roman" w:hAnsi="Times New Roman" w:eastAsia="仿宋" w:cs="Times New Roman"/>
          <w:smallCaps w:val="0"/>
          <w:color w:val="auto"/>
          <w:spacing w:val="0"/>
          <w:sz w:val="44"/>
          <w:szCs w:val="44"/>
          <w:highlight w:val="none"/>
        </w:rPr>
      </w:pPr>
    </w:p>
    <w:p w14:paraId="3804A514">
      <w:pPr>
        <w:pStyle w:val="5"/>
        <w:rPr>
          <w:rFonts w:hint="default" w:ascii="Times New Roman" w:hAnsi="Times New Roman" w:eastAsia="仿宋" w:cs="Times New Roman"/>
          <w:smallCaps w:val="0"/>
          <w:color w:val="auto"/>
          <w:spacing w:val="0"/>
          <w:sz w:val="44"/>
          <w:szCs w:val="44"/>
          <w:highlight w:val="none"/>
        </w:rPr>
      </w:pPr>
    </w:p>
    <w:p w14:paraId="5CD1E51F">
      <w:pPr>
        <w:pStyle w:val="7"/>
        <w:rPr>
          <w:rFonts w:hint="default" w:ascii="Times New Roman" w:hAnsi="Times New Roman" w:cs="Times New Roman"/>
          <w:color w:val="auto"/>
          <w:highlight w:val="none"/>
        </w:rPr>
      </w:pPr>
    </w:p>
    <w:p w14:paraId="576D2E97">
      <w:pPr>
        <w:ind w:firstLine="1040"/>
        <w:rPr>
          <w:rFonts w:hint="default" w:ascii="Times New Roman" w:hAnsi="Times New Roman" w:cs="Times New Roman"/>
          <w:smallCaps w:val="0"/>
          <w:color w:val="auto"/>
          <w:spacing w:val="0"/>
          <w:sz w:val="44"/>
          <w:szCs w:val="44"/>
          <w:highlight w:val="none"/>
        </w:rPr>
      </w:pPr>
    </w:p>
    <w:p w14:paraId="04180F28">
      <w:pPr>
        <w:keepNext w:val="0"/>
        <w:keepLines w:val="0"/>
        <w:pageBreakBefore w:val="0"/>
        <w:widowControl w:val="0"/>
        <w:kinsoku/>
        <w:wordWrap/>
        <w:overflowPunct/>
        <w:topLinePunct w:val="0"/>
        <w:autoSpaceDE/>
        <w:autoSpaceDN/>
        <w:bidi w:val="0"/>
        <w:adjustRightInd w:val="0"/>
        <w:snapToGrid w:val="0"/>
        <w:spacing w:line="288" w:lineRule="auto"/>
        <w:ind w:left="735" w:leftChars="350"/>
        <w:textAlignment w:val="auto"/>
        <w:rPr>
          <w:rFonts w:hint="default" w:ascii="Times New Roman" w:hAnsi="Times New Roman" w:cs="Times New Roman"/>
          <w:smallCaps w:val="0"/>
          <w:color w:val="auto"/>
          <w:spacing w:val="0"/>
          <w:sz w:val="36"/>
          <w:szCs w:val="36"/>
          <w:highlight w:val="none"/>
          <w:u w:val="single"/>
        </w:rPr>
      </w:pPr>
      <w:r>
        <w:rPr>
          <w:rFonts w:hint="default" w:ascii="Times New Roman" w:hAnsi="Times New Roman" w:cs="Times New Roman"/>
          <w:smallCaps w:val="0"/>
          <w:color w:val="auto"/>
          <w:spacing w:val="0"/>
          <w:sz w:val="36"/>
          <w:szCs w:val="36"/>
          <w:highlight w:val="none"/>
        </w:rPr>
        <w:t>项目名称：</w:t>
      </w:r>
      <w:r>
        <w:rPr>
          <w:rFonts w:hint="eastAsia" w:cs="Times New Roman"/>
          <w:smallCaps w:val="0"/>
          <w:color w:val="auto"/>
          <w:spacing w:val="0"/>
          <w:sz w:val="36"/>
          <w:szCs w:val="36"/>
          <w:highlight w:val="none"/>
          <w:u w:val="single"/>
          <w:lang w:val="en-US" w:eastAsia="zh-CN"/>
        </w:rPr>
        <w:t xml:space="preserve">  </w:t>
      </w:r>
      <w:r>
        <w:rPr>
          <w:rFonts w:hint="default" w:ascii="Times New Roman" w:hAnsi="Times New Roman" w:cs="Times New Roman"/>
          <w:smallCaps w:val="0"/>
          <w:color w:val="auto"/>
          <w:spacing w:val="0"/>
          <w:sz w:val="36"/>
          <w:szCs w:val="36"/>
          <w:highlight w:val="none"/>
          <w:u w:val="single"/>
        </w:rPr>
        <w:t xml:space="preserve"> </w:t>
      </w:r>
      <w:r>
        <w:rPr>
          <w:rFonts w:hint="eastAsia" w:cs="Times New Roman"/>
          <w:smallCaps w:val="0"/>
          <w:color w:val="auto"/>
          <w:spacing w:val="0"/>
          <w:sz w:val="36"/>
          <w:szCs w:val="36"/>
          <w:highlight w:val="none"/>
          <w:u w:val="single"/>
          <w:lang w:eastAsia="zh-CN"/>
        </w:rPr>
        <w:t>石家庄旭照电子科技有限公司</w:t>
      </w:r>
      <w:r>
        <w:rPr>
          <w:rFonts w:hint="eastAsia" w:cs="Times New Roman"/>
          <w:smallCaps w:val="0"/>
          <w:color w:val="auto"/>
          <w:spacing w:val="0"/>
          <w:sz w:val="36"/>
          <w:szCs w:val="36"/>
          <w:highlight w:val="none"/>
          <w:u w:val="single"/>
          <w:lang w:val="en-US" w:eastAsia="zh-CN"/>
        </w:rPr>
        <w:t xml:space="preserve">   </w:t>
      </w:r>
    </w:p>
    <w:p w14:paraId="45CDE915">
      <w:pPr>
        <w:keepNext w:val="0"/>
        <w:keepLines w:val="0"/>
        <w:pageBreakBefore w:val="0"/>
        <w:widowControl w:val="0"/>
        <w:kinsoku/>
        <w:wordWrap/>
        <w:overflowPunct/>
        <w:topLinePunct w:val="0"/>
        <w:autoSpaceDE/>
        <w:autoSpaceDN/>
        <w:bidi w:val="0"/>
        <w:adjustRightInd w:val="0"/>
        <w:snapToGrid w:val="0"/>
        <w:spacing w:line="288" w:lineRule="auto"/>
        <w:ind w:left="735" w:leftChars="350" w:firstLine="1800" w:firstLineChars="500"/>
        <w:textAlignment w:val="auto"/>
        <w:rPr>
          <w:rFonts w:hint="default" w:ascii="Times New Roman" w:hAnsi="Times New Roman" w:cs="Times New Roman"/>
          <w:smallCaps w:val="0"/>
          <w:color w:val="auto"/>
          <w:spacing w:val="0"/>
          <w:sz w:val="36"/>
          <w:szCs w:val="36"/>
          <w:highlight w:val="none"/>
          <w:u w:val="single"/>
        </w:rPr>
      </w:pPr>
      <w:r>
        <w:rPr>
          <w:rFonts w:hint="eastAsia" w:cs="Times New Roman"/>
          <w:smallCaps w:val="0"/>
          <w:color w:val="auto"/>
          <w:spacing w:val="0"/>
          <w:sz w:val="36"/>
          <w:szCs w:val="36"/>
          <w:highlight w:val="none"/>
          <w:u w:val="single"/>
          <w:lang w:val="en-US" w:eastAsia="zh-CN"/>
        </w:rPr>
        <w:t xml:space="preserve">     汽车塑料配件改扩建项目    </w:t>
      </w:r>
      <w:r>
        <w:rPr>
          <w:rFonts w:hint="default" w:ascii="Times New Roman" w:hAnsi="Times New Roman" w:cs="Times New Roman"/>
          <w:smallCaps w:val="0"/>
          <w:color w:val="auto"/>
          <w:spacing w:val="0"/>
          <w:sz w:val="36"/>
          <w:szCs w:val="36"/>
          <w:highlight w:val="none"/>
          <w:u w:val="single"/>
        </w:rPr>
        <w:t xml:space="preserve"> </w:t>
      </w:r>
    </w:p>
    <w:p w14:paraId="582E1FF1">
      <w:pPr>
        <w:keepNext w:val="0"/>
        <w:keepLines w:val="0"/>
        <w:pageBreakBefore w:val="0"/>
        <w:widowControl w:val="0"/>
        <w:kinsoku/>
        <w:wordWrap/>
        <w:overflowPunct/>
        <w:topLinePunct w:val="0"/>
        <w:autoSpaceDE/>
        <w:autoSpaceDN/>
        <w:bidi w:val="0"/>
        <w:adjustRightInd w:val="0"/>
        <w:snapToGrid w:val="0"/>
        <w:spacing w:line="288" w:lineRule="auto"/>
        <w:ind w:left="735" w:leftChars="350"/>
        <w:textAlignment w:val="auto"/>
        <w:rPr>
          <w:rFonts w:hint="default" w:ascii="Times New Roman" w:hAnsi="Times New Roman" w:cs="Times New Roman"/>
          <w:smallCaps w:val="0"/>
          <w:color w:val="auto"/>
          <w:spacing w:val="0"/>
          <w:sz w:val="36"/>
          <w:szCs w:val="36"/>
          <w:highlight w:val="none"/>
          <w:u w:val="single"/>
        </w:rPr>
      </w:pPr>
      <w:r>
        <w:rPr>
          <w:rFonts w:hint="default" w:ascii="Times New Roman" w:hAnsi="Times New Roman" w:cs="Times New Roman"/>
          <w:smallCaps w:val="0"/>
          <w:color w:val="auto"/>
          <w:spacing w:val="0"/>
          <w:sz w:val="36"/>
          <w:szCs w:val="36"/>
          <w:highlight w:val="none"/>
        </w:rPr>
        <w:t>建设单位：</w:t>
      </w:r>
      <w:r>
        <w:rPr>
          <w:rFonts w:hint="eastAsia" w:cs="Times New Roman"/>
          <w:smallCaps w:val="0"/>
          <w:color w:val="auto"/>
          <w:spacing w:val="0"/>
          <w:sz w:val="36"/>
          <w:szCs w:val="36"/>
          <w:highlight w:val="none"/>
          <w:u w:val="single"/>
          <w:lang w:val="en-US" w:eastAsia="zh-CN"/>
        </w:rPr>
        <w:t xml:space="preserve">  </w:t>
      </w:r>
      <w:r>
        <w:rPr>
          <w:rFonts w:hint="default" w:ascii="Times New Roman" w:hAnsi="Times New Roman" w:cs="Times New Roman"/>
          <w:smallCaps w:val="0"/>
          <w:color w:val="auto"/>
          <w:spacing w:val="0"/>
          <w:sz w:val="36"/>
          <w:szCs w:val="36"/>
          <w:highlight w:val="none"/>
          <w:u w:val="single"/>
        </w:rPr>
        <w:t xml:space="preserve"> </w:t>
      </w:r>
      <w:r>
        <w:rPr>
          <w:rFonts w:hint="eastAsia" w:cs="Times New Roman"/>
          <w:smallCaps w:val="0"/>
          <w:color w:val="auto"/>
          <w:spacing w:val="0"/>
          <w:sz w:val="36"/>
          <w:szCs w:val="36"/>
          <w:highlight w:val="none"/>
          <w:u w:val="single"/>
          <w:lang w:eastAsia="zh-CN"/>
        </w:rPr>
        <w:t>石家庄旭照电子科技有限公司</w:t>
      </w:r>
      <w:r>
        <w:rPr>
          <w:rFonts w:hint="eastAsia" w:cs="Times New Roman"/>
          <w:smallCaps w:val="0"/>
          <w:color w:val="auto"/>
          <w:spacing w:val="0"/>
          <w:sz w:val="36"/>
          <w:szCs w:val="36"/>
          <w:highlight w:val="none"/>
          <w:u w:val="single"/>
          <w:lang w:val="en-US" w:eastAsia="zh-CN"/>
        </w:rPr>
        <w:t xml:space="preserve">   </w:t>
      </w:r>
    </w:p>
    <w:p w14:paraId="1765A761">
      <w:pPr>
        <w:keepNext w:val="0"/>
        <w:keepLines w:val="0"/>
        <w:pageBreakBefore w:val="0"/>
        <w:widowControl w:val="0"/>
        <w:kinsoku/>
        <w:wordWrap/>
        <w:overflowPunct/>
        <w:topLinePunct w:val="0"/>
        <w:autoSpaceDE/>
        <w:autoSpaceDN/>
        <w:bidi w:val="0"/>
        <w:adjustRightInd w:val="0"/>
        <w:snapToGrid w:val="0"/>
        <w:spacing w:line="288" w:lineRule="auto"/>
        <w:ind w:left="735" w:leftChars="350"/>
        <w:textAlignment w:val="auto"/>
        <w:rPr>
          <w:rFonts w:hint="default" w:ascii="Times New Roman" w:hAnsi="Times New Roman" w:cs="Times New Roman"/>
          <w:smallCaps w:val="0"/>
          <w:color w:val="auto"/>
          <w:spacing w:val="0"/>
          <w:sz w:val="36"/>
          <w:szCs w:val="36"/>
          <w:highlight w:val="none"/>
          <w:u w:val="single"/>
        </w:rPr>
      </w:pPr>
      <w:r>
        <w:rPr>
          <w:rFonts w:hint="default" w:ascii="Times New Roman" w:hAnsi="Times New Roman" w:cs="Times New Roman"/>
          <w:smallCaps w:val="0"/>
          <w:color w:val="auto"/>
          <w:spacing w:val="0"/>
          <w:sz w:val="36"/>
          <w:szCs w:val="36"/>
          <w:highlight w:val="none"/>
        </w:rPr>
        <w:t>编制日期：</w:t>
      </w:r>
      <w:r>
        <w:rPr>
          <w:rFonts w:hint="default" w:ascii="Times New Roman" w:hAnsi="Times New Roman" w:cs="Times New Roman"/>
          <w:smallCaps w:val="0"/>
          <w:color w:val="auto"/>
          <w:spacing w:val="0"/>
          <w:sz w:val="36"/>
          <w:szCs w:val="36"/>
          <w:highlight w:val="none"/>
          <w:u w:val="single"/>
        </w:rPr>
        <w:t xml:space="preserve">       </w:t>
      </w:r>
      <w:r>
        <w:rPr>
          <w:rFonts w:hint="eastAsia" w:cs="Times New Roman"/>
          <w:smallCaps w:val="0"/>
          <w:color w:val="auto"/>
          <w:spacing w:val="0"/>
          <w:sz w:val="36"/>
          <w:szCs w:val="36"/>
          <w:highlight w:val="none"/>
          <w:u w:val="single"/>
          <w:lang w:val="en-US" w:eastAsia="zh-CN"/>
        </w:rPr>
        <w:t xml:space="preserve">   </w:t>
      </w:r>
      <w:r>
        <w:rPr>
          <w:rFonts w:hint="default" w:ascii="Times New Roman" w:hAnsi="Times New Roman" w:cs="Times New Roman"/>
          <w:smallCaps w:val="0"/>
          <w:color w:val="auto"/>
          <w:spacing w:val="0"/>
          <w:sz w:val="36"/>
          <w:szCs w:val="36"/>
          <w:highlight w:val="none"/>
          <w:u w:val="single"/>
        </w:rPr>
        <w:t>202</w:t>
      </w:r>
      <w:r>
        <w:rPr>
          <w:rFonts w:hint="eastAsia" w:cs="Times New Roman"/>
          <w:smallCaps w:val="0"/>
          <w:color w:val="auto"/>
          <w:spacing w:val="0"/>
          <w:sz w:val="36"/>
          <w:szCs w:val="36"/>
          <w:highlight w:val="none"/>
          <w:u w:val="single"/>
          <w:lang w:val="en-US" w:eastAsia="zh-CN"/>
        </w:rPr>
        <w:t>5</w:t>
      </w:r>
      <w:r>
        <w:rPr>
          <w:rFonts w:hint="default" w:ascii="Times New Roman" w:hAnsi="Times New Roman" w:cs="Times New Roman"/>
          <w:smallCaps w:val="0"/>
          <w:color w:val="auto"/>
          <w:spacing w:val="0"/>
          <w:sz w:val="36"/>
          <w:szCs w:val="36"/>
          <w:highlight w:val="none"/>
          <w:u w:val="single"/>
        </w:rPr>
        <w:t>年</w:t>
      </w:r>
      <w:r>
        <w:rPr>
          <w:rFonts w:hint="eastAsia" w:cs="Times New Roman"/>
          <w:smallCaps w:val="0"/>
          <w:color w:val="auto"/>
          <w:spacing w:val="0"/>
          <w:sz w:val="36"/>
          <w:szCs w:val="36"/>
          <w:highlight w:val="none"/>
          <w:u w:val="single"/>
          <w:lang w:val="en-US" w:eastAsia="zh-CN"/>
        </w:rPr>
        <w:t>12</w:t>
      </w:r>
      <w:r>
        <w:rPr>
          <w:rFonts w:hint="default" w:ascii="Times New Roman" w:hAnsi="Times New Roman" w:cs="Times New Roman"/>
          <w:smallCaps w:val="0"/>
          <w:color w:val="auto"/>
          <w:spacing w:val="0"/>
          <w:sz w:val="36"/>
          <w:szCs w:val="36"/>
          <w:highlight w:val="none"/>
          <w:u w:val="single"/>
        </w:rPr>
        <w:t xml:space="preserve">月    </w:t>
      </w:r>
      <w:r>
        <w:rPr>
          <w:rFonts w:hint="eastAsia" w:cs="Times New Roman"/>
          <w:smallCaps w:val="0"/>
          <w:color w:val="auto"/>
          <w:spacing w:val="0"/>
          <w:sz w:val="36"/>
          <w:szCs w:val="36"/>
          <w:highlight w:val="none"/>
          <w:u w:val="single"/>
          <w:lang w:val="en-US" w:eastAsia="zh-CN"/>
        </w:rPr>
        <w:t xml:space="preserve"> </w:t>
      </w:r>
      <w:r>
        <w:rPr>
          <w:rFonts w:hint="default" w:ascii="Times New Roman" w:hAnsi="Times New Roman" w:cs="Times New Roman"/>
          <w:smallCaps w:val="0"/>
          <w:color w:val="auto"/>
          <w:spacing w:val="0"/>
          <w:sz w:val="36"/>
          <w:szCs w:val="36"/>
          <w:highlight w:val="none"/>
          <w:u w:val="single"/>
        </w:rPr>
        <w:t xml:space="preserve">      </w:t>
      </w:r>
    </w:p>
    <w:p w14:paraId="2BDA18BA">
      <w:pPr>
        <w:adjustRightInd w:val="0"/>
        <w:snapToGrid w:val="0"/>
        <w:spacing w:line="288" w:lineRule="auto"/>
        <w:ind w:firstLine="1040"/>
        <w:rPr>
          <w:rFonts w:hint="default" w:ascii="Times New Roman" w:hAnsi="Times New Roman" w:eastAsia="仿宋_GB2312" w:cs="Times New Roman"/>
          <w:smallCaps w:val="0"/>
          <w:color w:val="auto"/>
          <w:spacing w:val="0"/>
          <w:sz w:val="36"/>
          <w:szCs w:val="36"/>
          <w:highlight w:val="none"/>
          <w:u w:val="single"/>
        </w:rPr>
      </w:pPr>
      <w:bookmarkStart w:id="3" w:name="_Hlk57884087"/>
    </w:p>
    <w:p w14:paraId="1BACCEA4">
      <w:pPr>
        <w:adjustRightInd w:val="0"/>
        <w:snapToGrid w:val="0"/>
        <w:spacing w:line="288" w:lineRule="auto"/>
        <w:ind w:firstLine="1040"/>
        <w:rPr>
          <w:rFonts w:hint="default" w:ascii="Times New Roman" w:hAnsi="Times New Roman" w:eastAsia="仿宋_GB2312" w:cs="Times New Roman"/>
          <w:smallCaps w:val="0"/>
          <w:color w:val="auto"/>
          <w:spacing w:val="0"/>
          <w:sz w:val="36"/>
          <w:szCs w:val="36"/>
          <w:highlight w:val="none"/>
        </w:rPr>
      </w:pPr>
    </w:p>
    <w:p w14:paraId="7C356710">
      <w:pPr>
        <w:adjustRightInd w:val="0"/>
        <w:snapToGrid w:val="0"/>
        <w:spacing w:line="288" w:lineRule="auto"/>
        <w:ind w:firstLine="1040"/>
        <w:rPr>
          <w:rFonts w:hint="default" w:ascii="Times New Roman" w:hAnsi="Times New Roman" w:eastAsia="仿宋_GB2312" w:cs="Times New Roman"/>
          <w:smallCaps w:val="0"/>
          <w:color w:val="auto"/>
          <w:spacing w:val="0"/>
          <w:sz w:val="36"/>
          <w:szCs w:val="36"/>
          <w:highlight w:val="none"/>
        </w:rPr>
      </w:pPr>
    </w:p>
    <w:p w14:paraId="1EDBEAFB">
      <w:pPr>
        <w:adjustRightInd w:val="0"/>
        <w:snapToGrid w:val="0"/>
        <w:spacing w:line="288" w:lineRule="auto"/>
        <w:rPr>
          <w:rFonts w:hint="default" w:ascii="Times New Roman" w:hAnsi="Times New Roman" w:eastAsia="仿宋_GB2312" w:cs="Times New Roman"/>
          <w:smallCaps w:val="0"/>
          <w:color w:val="auto"/>
          <w:spacing w:val="0"/>
          <w:sz w:val="36"/>
          <w:szCs w:val="36"/>
          <w:highlight w:val="none"/>
        </w:rPr>
      </w:pPr>
    </w:p>
    <w:bookmarkEnd w:id="3"/>
    <w:p w14:paraId="42112390">
      <w:pPr>
        <w:adjustRightInd w:val="0"/>
        <w:snapToGrid w:val="0"/>
        <w:spacing w:line="288" w:lineRule="auto"/>
        <w:jc w:val="center"/>
        <w:rPr>
          <w:rFonts w:hint="default" w:ascii="Times New Roman" w:hAnsi="Times New Roman" w:eastAsia="楷体_GB2312" w:cs="Times New Roman"/>
          <w:smallCaps w:val="0"/>
          <w:color w:val="auto"/>
          <w:spacing w:val="0"/>
          <w:sz w:val="36"/>
          <w:szCs w:val="36"/>
          <w:highlight w:val="none"/>
        </w:rPr>
      </w:pPr>
      <w:r>
        <w:rPr>
          <w:rFonts w:hint="default" w:ascii="Times New Roman" w:hAnsi="Times New Roman" w:eastAsia="楷体_GB2312" w:cs="Times New Roman"/>
          <w:smallCaps w:val="0"/>
          <w:color w:val="auto"/>
          <w:spacing w:val="0"/>
          <w:sz w:val="36"/>
          <w:szCs w:val="36"/>
          <w:highlight w:val="none"/>
        </w:rPr>
        <w:t>中华人民共和国生态环境部制</w:t>
      </w:r>
    </w:p>
    <w:p w14:paraId="516EB8FF">
      <w:pPr>
        <w:pStyle w:val="46"/>
        <w:ind w:firstLine="480"/>
        <w:rPr>
          <w:rFonts w:hint="default" w:ascii="Times New Roman" w:hAnsi="Times New Roman" w:cs="Times New Roman"/>
          <w:smallCaps w:val="0"/>
          <w:color w:val="auto"/>
          <w:spacing w:val="0"/>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26FAA3C5">
      <w:pPr>
        <w:pStyle w:val="45"/>
        <w:rPr>
          <w:rFonts w:hint="default" w:ascii="Times New Roman" w:hAnsi="Times New Roman" w:cs="Times New Roman"/>
          <w:color w:val="auto"/>
          <w:highlight w:val="none"/>
        </w:rPr>
        <w:sectPr>
          <w:pgSz w:w="11906" w:h="16838"/>
          <w:pgMar w:top="1701" w:right="1531" w:bottom="1701" w:left="1531" w:header="851" w:footer="1077" w:gutter="0"/>
          <w:pgNumType w:start="3"/>
          <w:cols w:space="720" w:num="1"/>
          <w:docGrid w:linePitch="312" w:charSpace="0"/>
        </w:sectPr>
      </w:pPr>
    </w:p>
    <w:sdt>
      <w:sdtPr>
        <w:rPr>
          <w:rFonts w:hint="default" w:ascii="Times New Roman" w:hAnsi="Times New Roman" w:eastAsia="宋体" w:cs="Times New Roman"/>
          <w:smallCaps w:val="0"/>
          <w:color w:val="auto"/>
          <w:spacing w:val="0"/>
          <w:kern w:val="2"/>
          <w:sz w:val="21"/>
          <w:szCs w:val="20"/>
          <w:highlight w:val="none"/>
          <w:lang w:val="zh-CN"/>
        </w:rPr>
        <w:id w:val="-2144186691"/>
        <w:docPartObj>
          <w:docPartGallery w:val="Table of Contents"/>
          <w:docPartUnique/>
        </w:docPartObj>
      </w:sdtPr>
      <w:sdtEndPr>
        <w:rPr>
          <w:rFonts w:hint="default" w:ascii="Times New Roman" w:hAnsi="Times New Roman" w:eastAsia="宋体" w:cs="Times New Roman"/>
          <w:b/>
          <w:bCs/>
          <w:smallCaps w:val="0"/>
          <w:color w:val="auto"/>
          <w:spacing w:val="0"/>
          <w:kern w:val="2"/>
          <w:sz w:val="21"/>
          <w:szCs w:val="20"/>
          <w:highlight w:val="none"/>
          <w:lang w:val="zh-CN"/>
        </w:rPr>
      </w:sdtEndPr>
      <w:sdtContent>
        <w:p w14:paraId="7094F689">
          <w:pPr>
            <w:pStyle w:val="218"/>
            <w:spacing w:line="500" w:lineRule="exact"/>
            <w:jc w:val="center"/>
            <w:rPr>
              <w:rFonts w:hint="default" w:ascii="Times New Roman" w:hAnsi="Times New Roman" w:cs="Times New Roman" w:eastAsiaTheme="majorEastAsia"/>
              <w:b/>
              <w:bCs/>
              <w:smallCaps w:val="0"/>
              <w:color w:val="auto"/>
              <w:spacing w:val="0"/>
              <w:kern w:val="0"/>
              <w:sz w:val="24"/>
              <w:szCs w:val="32"/>
              <w:highlight w:val="none"/>
              <w:lang w:val="zh-CN" w:eastAsia="zh-CN" w:bidi="ar-SA"/>
            </w:rPr>
          </w:pPr>
          <w:r>
            <w:rPr>
              <w:rFonts w:hint="default" w:ascii="Times New Roman" w:hAnsi="Times New Roman" w:eastAsia="宋体" w:cs="Times New Roman"/>
              <w:smallCaps w:val="0"/>
              <w:color w:val="auto"/>
              <w:spacing w:val="0"/>
              <w:sz w:val="40"/>
              <w:highlight w:val="none"/>
              <w:lang w:val="zh-CN"/>
            </w:rPr>
            <w:t>目  录</w:t>
          </w:r>
          <w:r>
            <w:rPr>
              <w:rFonts w:hint="default" w:ascii="Times New Roman" w:hAnsi="Times New Roman" w:eastAsia="宋体" w:cs="Times New Roman"/>
              <w:b/>
              <w:bCs/>
              <w:smallCaps w:val="0"/>
              <w:color w:val="auto"/>
              <w:spacing w:val="0"/>
              <w:sz w:val="40"/>
              <w:highlight w:val="none"/>
              <w:lang w:val="zh-CN"/>
            </w:rPr>
            <w:fldChar w:fldCharType="begin"/>
          </w:r>
          <w:r>
            <w:rPr>
              <w:rFonts w:hint="default" w:ascii="Times New Roman" w:hAnsi="Times New Roman" w:eastAsia="宋体" w:cs="Times New Roman"/>
              <w:b/>
              <w:bCs/>
              <w:smallCaps w:val="0"/>
              <w:color w:val="auto"/>
              <w:spacing w:val="0"/>
              <w:sz w:val="40"/>
              <w:highlight w:val="none"/>
              <w:lang w:val="zh-CN"/>
            </w:rPr>
            <w:instrText xml:space="preserve"> TOC \o "1-3" \h \z \u </w:instrText>
          </w:r>
          <w:r>
            <w:rPr>
              <w:rFonts w:hint="default" w:ascii="Times New Roman" w:hAnsi="Times New Roman" w:eastAsia="宋体" w:cs="Times New Roman"/>
              <w:b/>
              <w:bCs/>
              <w:smallCaps w:val="0"/>
              <w:color w:val="auto"/>
              <w:spacing w:val="0"/>
              <w:sz w:val="40"/>
              <w:highlight w:val="none"/>
              <w:lang w:val="zh-CN"/>
            </w:rPr>
            <w:fldChar w:fldCharType="separate"/>
          </w:r>
        </w:p>
        <w:p w14:paraId="737127E3">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_Toc1950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一、建设项目基本情况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_Toc1950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6C1D1167">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_Toc27745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二、建设项目工程分析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_Toc27745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40</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27F1592C">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_Toc22540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三、区域环境质量现状、环境保护目标及评价标准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_Toc22540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56</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71B9D17C">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_Toc10441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四、主要环境影响和保护措施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_Toc10441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64</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242D0469">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_Toc18955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五、环境保护措施监督检查清单</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_Toc18955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102</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72981FFC">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_Toc5925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mallCaps w:val="0"/>
              <w:snapToGrid w:val="0"/>
              <w:color w:val="auto"/>
              <w:spacing w:val="0"/>
              <w:szCs w:val="30"/>
              <w:highlight w:val="none"/>
            </w:rPr>
            <w:t>六、结论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_Toc5925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106</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19DA8468">
          <w:pPr>
            <w:pStyle w:val="3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bCs/>
              <w:smallCaps w:val="0"/>
              <w:color w:val="auto"/>
              <w:spacing w:val="0"/>
              <w:highlight w:val="none"/>
              <w:lang w:val="zh-CN"/>
            </w:rPr>
            <w:fldChar w:fldCharType="begin"/>
          </w:r>
          <w:r>
            <w:rPr>
              <w:rFonts w:hint="default" w:ascii="Times New Roman" w:hAnsi="Times New Roman" w:eastAsia="宋体" w:cs="Times New Roman"/>
              <w:bCs/>
              <w:smallCaps w:val="0"/>
              <w:color w:val="auto"/>
              <w:spacing w:val="0"/>
              <w:highlight w:val="none"/>
              <w:lang w:val="zh-CN"/>
            </w:rPr>
            <w:instrText xml:space="preserve"> HYPERLINK \l _Toc27848 </w:instrText>
          </w:r>
          <w:r>
            <w:rPr>
              <w:rFonts w:hint="default" w:ascii="Times New Roman" w:hAnsi="Times New Roman" w:eastAsia="宋体" w:cs="Times New Roman"/>
              <w:bCs/>
              <w:smallCaps w:val="0"/>
              <w:color w:val="auto"/>
              <w:spacing w:val="0"/>
              <w:highlight w:val="none"/>
              <w:lang w:val="zh-CN"/>
            </w:rPr>
            <w:fldChar w:fldCharType="separate"/>
          </w:r>
          <w:r>
            <w:rPr>
              <w:rFonts w:hint="default" w:ascii="Times New Roman" w:hAnsi="Times New Roman" w:eastAsia="宋体" w:cs="Times New Roman"/>
              <w:snapToGrid w:val="0"/>
              <w:color w:val="auto"/>
              <w:szCs w:val="32"/>
              <w:highlight w:val="none"/>
            </w:rPr>
            <w:t>附表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_Toc27848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107</w:t>
          </w:r>
          <w:r>
            <w:rPr>
              <w:rFonts w:hint="default" w:ascii="Times New Roman" w:hAnsi="Times New Roman" w:eastAsia="宋体" w:cs="Times New Roman"/>
              <w:color w:val="auto"/>
            </w:rPr>
            <w:fldChar w:fldCharType="end"/>
          </w:r>
          <w:r>
            <w:rPr>
              <w:rFonts w:hint="default" w:ascii="Times New Roman" w:hAnsi="Times New Roman" w:eastAsia="宋体" w:cs="Times New Roman"/>
              <w:bCs/>
              <w:smallCaps w:val="0"/>
              <w:color w:val="auto"/>
              <w:spacing w:val="0"/>
              <w:highlight w:val="none"/>
              <w:lang w:val="zh-CN"/>
            </w:rPr>
            <w:fldChar w:fldCharType="end"/>
          </w:r>
        </w:p>
        <w:p w14:paraId="1CE3A33A">
          <w:pPr>
            <w:spacing w:line="500" w:lineRule="exact"/>
            <w:jc w:val="center"/>
            <w:rPr>
              <w:rFonts w:hint="default" w:ascii="Times New Roman" w:hAnsi="Times New Roman" w:cs="Times New Roman"/>
              <w:smallCaps w:val="0"/>
              <w:color w:val="auto"/>
              <w:spacing w:val="0"/>
              <w:highlight w:val="none"/>
            </w:rPr>
          </w:pPr>
          <w:r>
            <w:rPr>
              <w:rFonts w:hint="default" w:ascii="Times New Roman" w:hAnsi="Times New Roman" w:cs="Times New Roman"/>
              <w:b/>
              <w:bCs/>
              <w:smallCaps w:val="0"/>
              <w:color w:val="auto"/>
              <w:spacing w:val="0"/>
              <w:sz w:val="24"/>
              <w:highlight w:val="none"/>
              <w:lang w:val="zh-CN"/>
            </w:rPr>
            <w:fldChar w:fldCharType="end"/>
          </w:r>
        </w:p>
      </w:sdtContent>
    </w:sdt>
    <w:p w14:paraId="04835C71">
      <w:pPr>
        <w:pStyle w:val="172"/>
        <w:ind w:left="0" w:leftChars="0" w:firstLine="0" w:firstLineChars="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lang w:val="en-US" w:eastAsia="zh-CN"/>
        </w:rPr>
        <w:t>附图：</w:t>
      </w:r>
    </w:p>
    <w:p w14:paraId="54BE72FC">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附图1：项目地理位置图</w:t>
      </w:r>
    </w:p>
    <w:p w14:paraId="5B3E6AC9">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附图2：项目周边关系图</w:t>
      </w:r>
    </w:p>
    <w:p w14:paraId="4E8DE3B5">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附图3：项目与洨河位置关系图</w:t>
      </w:r>
    </w:p>
    <w:p w14:paraId="5DEE7FEC">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附图4：项目厂区平面布置图</w:t>
      </w:r>
    </w:p>
    <w:p w14:paraId="2CA20A0F">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附图5：项目分区防渗图</w:t>
      </w:r>
    </w:p>
    <w:p w14:paraId="375A5290">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w:t>
      </w:r>
      <w:r>
        <w:rPr>
          <w:rFonts w:hint="eastAsia" w:cs="Times New Roman"/>
          <w:smallCaps w:val="0"/>
          <w:color w:val="auto"/>
          <w:spacing w:val="0"/>
          <w:highlight w:val="none"/>
          <w:lang w:val="en-US" w:eastAsia="zh-CN"/>
        </w:rPr>
        <w:t>6</w:t>
      </w:r>
      <w:r>
        <w:rPr>
          <w:rFonts w:hint="default" w:ascii="Times New Roman" w:hAnsi="Times New Roman" w:cs="Times New Roman"/>
          <w:smallCaps w:val="0"/>
          <w:color w:val="auto"/>
          <w:spacing w:val="0"/>
          <w:highlight w:val="none"/>
        </w:rPr>
        <w:t>：项目与环境空气质量现状监测布点关系图</w:t>
      </w:r>
    </w:p>
    <w:p w14:paraId="7E944BAA">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附图</w:t>
      </w:r>
      <w:r>
        <w:rPr>
          <w:rFonts w:hint="eastAsia" w:cs="Times New Roman"/>
          <w:smallCaps w:val="0"/>
          <w:color w:val="auto"/>
          <w:spacing w:val="0"/>
          <w:highlight w:val="none"/>
          <w:lang w:val="en-US" w:eastAsia="zh-CN"/>
        </w:rPr>
        <w:t>7</w:t>
      </w:r>
      <w:r>
        <w:rPr>
          <w:rFonts w:hint="default" w:ascii="Times New Roman" w:hAnsi="Times New Roman" w:cs="Times New Roman"/>
          <w:smallCaps w:val="0"/>
          <w:color w:val="auto"/>
          <w:spacing w:val="0"/>
          <w:highlight w:val="none"/>
        </w:rPr>
        <w:t>：项目与石家庄市生态环境分区管控位置关系图</w:t>
      </w:r>
    </w:p>
    <w:p w14:paraId="6E3F126C">
      <w:pPr>
        <w:pStyle w:val="172"/>
        <w:ind w:firstLine="48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附图</w:t>
      </w:r>
      <w:r>
        <w:rPr>
          <w:rFonts w:hint="eastAsia" w:cs="Times New Roman"/>
          <w:smallCaps w:val="0"/>
          <w:color w:val="auto"/>
          <w:spacing w:val="0"/>
          <w:highlight w:val="none"/>
          <w:lang w:val="en-US" w:eastAsia="zh-CN"/>
        </w:rPr>
        <w:t>8</w:t>
      </w:r>
      <w:r>
        <w:rPr>
          <w:rFonts w:hint="default" w:ascii="Times New Roman" w:hAnsi="Times New Roman" w:cs="Times New Roman"/>
          <w:smallCaps w:val="0"/>
          <w:color w:val="auto"/>
          <w:spacing w:val="0"/>
          <w:highlight w:val="none"/>
        </w:rPr>
        <w:t>：项目与石家庄市声环境功能区位置关系图</w:t>
      </w:r>
    </w:p>
    <w:p w14:paraId="2EF5286E">
      <w:pPr>
        <w:pStyle w:val="172"/>
        <w:ind w:firstLine="48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附图</w:t>
      </w:r>
      <w:r>
        <w:rPr>
          <w:rFonts w:hint="eastAsia" w:cs="Times New Roman"/>
          <w:smallCaps w:val="0"/>
          <w:color w:val="auto"/>
          <w:spacing w:val="0"/>
          <w:highlight w:val="none"/>
          <w:lang w:val="en-US" w:eastAsia="zh-CN"/>
        </w:rPr>
        <w:t>9</w:t>
      </w:r>
      <w:r>
        <w:rPr>
          <w:rFonts w:hint="default" w:ascii="Times New Roman" w:hAnsi="Times New Roman" w:cs="Times New Roman"/>
          <w:smallCaps w:val="0"/>
          <w:color w:val="auto"/>
          <w:spacing w:val="0"/>
          <w:highlight w:val="none"/>
        </w:rPr>
        <w:t>：项目与沙区范围位置关系图</w:t>
      </w:r>
    </w:p>
    <w:p w14:paraId="2D9EB738">
      <w:pPr>
        <w:pStyle w:val="172"/>
        <w:ind w:firstLine="480"/>
        <w:rPr>
          <w:rFonts w:hint="eastAsia"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附图</w:t>
      </w:r>
      <w:r>
        <w:rPr>
          <w:rFonts w:hint="eastAsia" w:cs="Times New Roman"/>
          <w:smallCaps w:val="0"/>
          <w:color w:val="auto"/>
          <w:spacing w:val="0"/>
          <w:highlight w:val="none"/>
          <w:lang w:val="en-US" w:eastAsia="zh-CN"/>
        </w:rPr>
        <w:t>10</w:t>
      </w:r>
      <w:r>
        <w:rPr>
          <w:rFonts w:hint="default" w:ascii="Times New Roman" w:hAnsi="Times New Roman" w:cs="Times New Roman"/>
          <w:smallCaps w:val="0"/>
          <w:color w:val="auto"/>
          <w:spacing w:val="0"/>
          <w:highlight w:val="none"/>
        </w:rPr>
        <w:t>：项目与</w:t>
      </w:r>
      <w:r>
        <w:rPr>
          <w:rFonts w:hint="eastAsia" w:cs="Times New Roman"/>
          <w:smallCaps w:val="0"/>
          <w:color w:val="auto"/>
          <w:spacing w:val="0"/>
          <w:highlight w:val="none"/>
          <w:lang w:val="en-US" w:eastAsia="zh-CN"/>
        </w:rPr>
        <w:t>生态保护红线位置关系图</w:t>
      </w:r>
    </w:p>
    <w:p w14:paraId="1ED0816C">
      <w:pPr>
        <w:pStyle w:val="172"/>
        <w:ind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附图11：项目与园区产业布局指引位置关系图</w:t>
      </w:r>
    </w:p>
    <w:p w14:paraId="099614D1">
      <w:pPr>
        <w:pStyle w:val="172"/>
        <w:ind w:firstLine="48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附图12：项目与园区用地布局规划位置关系图</w:t>
      </w:r>
    </w:p>
    <w:p w14:paraId="663BB2DD">
      <w:pPr>
        <w:pStyle w:val="172"/>
        <w:ind w:left="0" w:leftChars="0" w:firstLine="0" w:firstLineChars="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lang w:val="en-US" w:eastAsia="zh-CN"/>
        </w:rPr>
        <w:t>附件：</w:t>
      </w:r>
    </w:p>
    <w:p w14:paraId="6C8CDAC4">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附件1：备案信息</w:t>
      </w:r>
    </w:p>
    <w:p w14:paraId="488155FC">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附件2：建设单位营业执照</w:t>
      </w:r>
    </w:p>
    <w:p w14:paraId="3797B163">
      <w:pPr>
        <w:pStyle w:val="172"/>
        <w:ind w:firstLine="480"/>
        <w:rPr>
          <w:rFonts w:hint="eastAsia"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附件3：</w:t>
      </w:r>
      <w:r>
        <w:rPr>
          <w:rFonts w:hint="eastAsia" w:cs="Times New Roman"/>
          <w:smallCaps w:val="0"/>
          <w:color w:val="auto"/>
          <w:spacing w:val="0"/>
          <w:highlight w:val="none"/>
          <w:lang w:val="en-US" w:eastAsia="zh-CN"/>
        </w:rPr>
        <w:t>土地手续</w:t>
      </w:r>
    </w:p>
    <w:p w14:paraId="14FF51D0">
      <w:pPr>
        <w:pStyle w:val="172"/>
        <w:ind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附件4：关于河北石家庄装备制造产业园总体规划（2022-2030年）环境影响评价报告书的审查意见</w:t>
      </w:r>
    </w:p>
    <w:p w14:paraId="0FA69B72">
      <w:pPr>
        <w:pStyle w:val="172"/>
        <w:ind w:firstLine="48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附件5：引用现状检测报告</w:t>
      </w:r>
    </w:p>
    <w:p w14:paraId="45BC83B0">
      <w:pPr>
        <w:pStyle w:val="172"/>
        <w:ind w:firstLine="48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附件6：现有工程环保手续</w:t>
      </w:r>
    </w:p>
    <w:p w14:paraId="4631B558">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附件</w:t>
      </w:r>
      <w:r>
        <w:rPr>
          <w:rFonts w:hint="eastAsia" w:cs="Times New Roman"/>
          <w:smallCaps w:val="0"/>
          <w:color w:val="auto"/>
          <w:spacing w:val="0"/>
          <w:highlight w:val="none"/>
          <w:lang w:val="en-US" w:eastAsia="zh-CN"/>
        </w:rPr>
        <w:t>7</w:t>
      </w:r>
      <w:r>
        <w:rPr>
          <w:rFonts w:hint="default" w:ascii="Times New Roman" w:hAnsi="Times New Roman" w:cs="Times New Roman"/>
          <w:smallCaps w:val="0"/>
          <w:color w:val="auto"/>
          <w:spacing w:val="0"/>
          <w:highlight w:val="none"/>
        </w:rPr>
        <w:t>：无违法情况说明</w:t>
      </w:r>
    </w:p>
    <w:p w14:paraId="0649E424">
      <w:pPr>
        <w:pStyle w:val="172"/>
        <w:ind w:firstLine="480"/>
        <w:rPr>
          <w:rFonts w:hint="eastAsia"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附件</w:t>
      </w:r>
      <w:r>
        <w:rPr>
          <w:rFonts w:hint="eastAsia" w:cs="Times New Roman"/>
          <w:smallCaps w:val="0"/>
          <w:color w:val="auto"/>
          <w:spacing w:val="0"/>
          <w:highlight w:val="none"/>
          <w:lang w:val="en-US" w:eastAsia="zh-CN"/>
        </w:rPr>
        <w:t>8</w:t>
      </w:r>
      <w:r>
        <w:rPr>
          <w:rFonts w:hint="default" w:ascii="Times New Roman" w:hAnsi="Times New Roman" w:cs="Times New Roman"/>
          <w:smallCaps w:val="0"/>
          <w:color w:val="auto"/>
          <w:spacing w:val="0"/>
          <w:highlight w:val="none"/>
        </w:rPr>
        <w:t>：搬迁承诺书</w:t>
      </w:r>
    </w:p>
    <w:p w14:paraId="5FFEF50A">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附件</w:t>
      </w:r>
      <w:r>
        <w:rPr>
          <w:rFonts w:hint="eastAsia" w:cs="Times New Roman"/>
          <w:smallCaps w:val="0"/>
          <w:color w:val="auto"/>
          <w:spacing w:val="0"/>
          <w:highlight w:val="none"/>
          <w:lang w:val="en-US" w:eastAsia="zh-CN"/>
        </w:rPr>
        <w:t>9</w:t>
      </w:r>
      <w:r>
        <w:rPr>
          <w:rFonts w:hint="default" w:ascii="Times New Roman" w:hAnsi="Times New Roman" w:cs="Times New Roman"/>
          <w:smallCaps w:val="0"/>
          <w:color w:val="auto"/>
          <w:spacing w:val="0"/>
          <w:highlight w:val="none"/>
        </w:rPr>
        <w:t>：委托书</w:t>
      </w:r>
    </w:p>
    <w:p w14:paraId="1304E037">
      <w:pPr>
        <w:pStyle w:val="172"/>
        <w:ind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附件</w:t>
      </w:r>
      <w:r>
        <w:rPr>
          <w:rFonts w:hint="eastAsia" w:cs="Times New Roman"/>
          <w:smallCaps w:val="0"/>
          <w:color w:val="auto"/>
          <w:spacing w:val="0"/>
          <w:highlight w:val="none"/>
          <w:lang w:val="en-US" w:eastAsia="zh-CN"/>
        </w:rPr>
        <w:t>10</w:t>
      </w:r>
      <w:r>
        <w:rPr>
          <w:rFonts w:hint="default" w:ascii="Times New Roman" w:hAnsi="Times New Roman" w:cs="Times New Roman"/>
          <w:smallCaps w:val="0"/>
          <w:color w:val="auto"/>
          <w:spacing w:val="0"/>
          <w:highlight w:val="none"/>
        </w:rPr>
        <w:t>：企业承诺书</w:t>
      </w:r>
    </w:p>
    <w:p w14:paraId="7763325E">
      <w:pPr>
        <w:pStyle w:val="172"/>
        <w:ind w:firstLine="480"/>
        <w:rPr>
          <w:rFonts w:hint="eastAsia" w:ascii="Times New Roman" w:hAnsi="Times New Roman" w:eastAsia="宋体" w:cs="Times New Roman"/>
          <w:smallCaps w:val="0"/>
          <w:color w:val="auto"/>
          <w:spacing w:val="0"/>
          <w:highlight w:val="none"/>
          <w:lang w:val="en-US" w:eastAsia="zh-CN"/>
        </w:rPr>
        <w:sectPr>
          <w:pgSz w:w="11906" w:h="16838"/>
          <w:pgMar w:top="1701" w:right="1531" w:bottom="1701" w:left="1531" w:header="851" w:footer="1077" w:gutter="0"/>
          <w:pgNumType w:start="3"/>
          <w:cols w:space="720" w:num="1"/>
          <w:docGrid w:linePitch="312" w:charSpace="0"/>
        </w:sectPr>
      </w:pPr>
      <w:r>
        <w:rPr>
          <w:rFonts w:hint="default" w:ascii="Times New Roman" w:hAnsi="Times New Roman" w:cs="Times New Roman"/>
          <w:smallCaps w:val="0"/>
          <w:color w:val="auto"/>
          <w:spacing w:val="0"/>
          <w:highlight w:val="none"/>
        </w:rPr>
        <w:t>附件</w:t>
      </w:r>
      <w:r>
        <w:rPr>
          <w:rFonts w:hint="eastAsia" w:cs="Times New Roman"/>
          <w:smallCaps w:val="0"/>
          <w:color w:val="auto"/>
          <w:spacing w:val="0"/>
          <w:highlight w:val="none"/>
          <w:lang w:val="en-US" w:eastAsia="zh-CN"/>
        </w:rPr>
        <w:t>11</w:t>
      </w:r>
      <w:r>
        <w:rPr>
          <w:rFonts w:hint="default" w:ascii="Times New Roman" w:hAnsi="Times New Roman" w:cs="Times New Roman"/>
          <w:smallCaps w:val="0"/>
          <w:color w:val="auto"/>
          <w:spacing w:val="0"/>
          <w:highlight w:val="none"/>
        </w:rPr>
        <w:t>：环评承诺书</w:t>
      </w:r>
    </w:p>
    <w:p w14:paraId="0D498EF7">
      <w:pPr>
        <w:pStyle w:val="41"/>
        <w:jc w:val="center"/>
        <w:outlineLvl w:val="0"/>
        <w:rPr>
          <w:rFonts w:hint="default" w:ascii="Times New Roman" w:hAnsi="Times New Roman" w:eastAsia="黑体" w:cs="Times New Roman"/>
          <w:smallCaps w:val="0"/>
          <w:snapToGrid w:val="0"/>
          <w:color w:val="auto"/>
          <w:spacing w:val="0"/>
          <w:sz w:val="30"/>
          <w:szCs w:val="30"/>
          <w:highlight w:val="none"/>
        </w:rPr>
      </w:pPr>
      <w:bookmarkStart w:id="4" w:name="_Toc1950"/>
      <w:r>
        <w:rPr>
          <w:rFonts w:hint="default" w:ascii="Times New Roman" w:hAnsi="Times New Roman" w:eastAsia="黑体" w:cs="Times New Roman"/>
          <w:smallCaps w:val="0"/>
          <w:snapToGrid w:val="0"/>
          <w:color w:val="auto"/>
          <w:spacing w:val="0"/>
          <w:sz w:val="30"/>
          <w:szCs w:val="30"/>
          <w:highlight w:val="none"/>
        </w:rPr>
        <w:t>一、建设项目基本情况</w:t>
      </w:r>
      <w:bookmarkEnd w:id="4"/>
    </w:p>
    <w:tbl>
      <w:tblPr>
        <w:tblStyle w:val="47"/>
        <w:tblW w:w="53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9"/>
        <w:gridCol w:w="1824"/>
        <w:gridCol w:w="2155"/>
        <w:gridCol w:w="3889"/>
      </w:tblGrid>
      <w:tr w14:paraId="5FF5F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827" w:type="pct"/>
            <w:tcMar>
              <w:top w:w="16" w:type="dxa"/>
              <w:left w:w="16" w:type="dxa"/>
              <w:right w:w="16" w:type="dxa"/>
            </w:tcMar>
            <w:vAlign w:val="center"/>
          </w:tcPr>
          <w:p w14:paraId="11C36A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建设项目名称</w:t>
            </w:r>
          </w:p>
        </w:tc>
        <w:tc>
          <w:tcPr>
            <w:tcW w:w="4172" w:type="pct"/>
            <w:gridSpan w:val="3"/>
            <w:vAlign w:val="center"/>
          </w:tcPr>
          <w:p w14:paraId="4E339366">
            <w:pPr>
              <w:pStyle w:val="172"/>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smallCaps w:val="0"/>
                <w:color w:val="auto"/>
                <w:spacing w:val="0"/>
                <w:highlight w:val="none"/>
                <w:lang w:eastAsia="zh-CN"/>
              </w:rPr>
            </w:pPr>
            <w:r>
              <w:rPr>
                <w:rFonts w:hint="eastAsia" w:cs="Times New Roman"/>
                <w:smallCaps w:val="0"/>
                <w:color w:val="auto"/>
                <w:spacing w:val="0"/>
                <w:highlight w:val="none"/>
                <w:lang w:eastAsia="zh-CN"/>
              </w:rPr>
              <w:t>石家庄旭照电子科技有限公司汽车塑料配件改扩建项目</w:t>
            </w:r>
          </w:p>
        </w:tc>
      </w:tr>
      <w:tr w14:paraId="7683E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827" w:type="pct"/>
            <w:tcMar>
              <w:top w:w="16" w:type="dxa"/>
              <w:left w:w="16" w:type="dxa"/>
              <w:right w:w="16" w:type="dxa"/>
            </w:tcMar>
            <w:vAlign w:val="center"/>
          </w:tcPr>
          <w:p w14:paraId="7D657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项目代码</w:t>
            </w:r>
          </w:p>
        </w:tc>
        <w:tc>
          <w:tcPr>
            <w:tcW w:w="4172" w:type="pct"/>
            <w:gridSpan w:val="3"/>
          </w:tcPr>
          <w:p w14:paraId="69FC5357">
            <w:pPr>
              <w:pStyle w:val="172"/>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smallCaps w:val="0"/>
                <w:color w:val="auto"/>
                <w:spacing w:val="0"/>
                <w:highlight w:val="none"/>
                <w:lang w:eastAsia="zh-CN"/>
              </w:rPr>
            </w:pPr>
            <w:r>
              <w:rPr>
                <w:rFonts w:hint="eastAsia" w:cs="Times New Roman"/>
                <w:smallCaps w:val="0"/>
                <w:color w:val="auto"/>
                <w:spacing w:val="0"/>
                <w:highlight w:val="none"/>
                <w:lang w:eastAsia="zh-CN"/>
              </w:rPr>
              <w:t>2509-130111-89-05-172968</w:t>
            </w:r>
          </w:p>
        </w:tc>
      </w:tr>
      <w:tr w14:paraId="554A2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827" w:type="pct"/>
            <w:tcMar>
              <w:top w:w="16" w:type="dxa"/>
              <w:left w:w="16" w:type="dxa"/>
              <w:right w:w="16" w:type="dxa"/>
            </w:tcMar>
            <w:vAlign w:val="center"/>
          </w:tcPr>
          <w:p w14:paraId="34279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i w:val="0"/>
                <w:iCs w:val="0"/>
                <w:smallCaps w:val="0"/>
                <w:color w:val="auto"/>
                <w:spacing w:val="0"/>
                <w:sz w:val="24"/>
                <w:szCs w:val="24"/>
                <w:highlight w:val="none"/>
              </w:rPr>
            </w:pPr>
            <w:r>
              <w:rPr>
                <w:rFonts w:hint="default" w:ascii="Times New Roman" w:hAnsi="Times New Roman" w:cs="Times New Roman"/>
                <w:i w:val="0"/>
                <w:iCs w:val="0"/>
                <w:smallCaps w:val="0"/>
                <w:color w:val="auto"/>
                <w:spacing w:val="0"/>
                <w:sz w:val="24"/>
                <w:szCs w:val="24"/>
                <w:highlight w:val="none"/>
              </w:rPr>
              <w:t>建设单位联系人</w:t>
            </w:r>
          </w:p>
        </w:tc>
        <w:tc>
          <w:tcPr>
            <w:tcW w:w="967" w:type="pct"/>
            <w:vAlign w:val="center"/>
          </w:tcPr>
          <w:p w14:paraId="76E954C7">
            <w:pPr>
              <w:keepNext w:val="0"/>
              <w:keepLines w:val="0"/>
              <w:suppressLineNumbers w:val="0"/>
              <w:adjustRightInd w:val="0"/>
              <w:snapToGrid w:val="0"/>
              <w:spacing w:before="0" w:beforeAutospacing="0" w:after="0" w:afterAutospacing="0"/>
              <w:ind w:left="0" w:right="0" w:firstLine="720" w:firstLineChars="300"/>
              <w:rPr>
                <w:rFonts w:hint="default" w:ascii="Times New Roman" w:hAnsi="Times New Roman" w:eastAsia="宋体" w:cs="Times New Roman"/>
                <w:i w:val="0"/>
                <w:iCs w:val="0"/>
                <w:smallCaps w:val="0"/>
                <w:color w:val="auto"/>
                <w:spacing w:val="0"/>
                <w:sz w:val="24"/>
                <w:szCs w:val="24"/>
                <w:highlight w:val="none"/>
                <w:lang w:val="en-US" w:eastAsia="zh-CN"/>
              </w:rPr>
            </w:pPr>
            <w:r>
              <w:rPr>
                <w:rFonts w:hint="eastAsia" w:cs="Times New Roman"/>
                <w:i w:val="0"/>
                <w:iCs w:val="0"/>
                <w:smallCaps w:val="0"/>
                <w:color w:val="auto"/>
                <w:spacing w:val="0"/>
                <w:sz w:val="24"/>
                <w:szCs w:val="24"/>
                <w:highlight w:val="none"/>
                <w:lang w:val="en-US" w:eastAsia="zh-CN"/>
              </w:rPr>
              <w:t>xxx</w:t>
            </w:r>
          </w:p>
        </w:tc>
        <w:tc>
          <w:tcPr>
            <w:tcW w:w="1143" w:type="pct"/>
            <w:vAlign w:val="center"/>
          </w:tcPr>
          <w:p w14:paraId="082465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i w:val="0"/>
                <w:iCs w:val="0"/>
                <w:smallCaps w:val="0"/>
                <w:color w:val="auto"/>
                <w:spacing w:val="0"/>
                <w:sz w:val="24"/>
                <w:szCs w:val="24"/>
                <w:highlight w:val="none"/>
              </w:rPr>
            </w:pPr>
            <w:r>
              <w:rPr>
                <w:rFonts w:hint="default" w:ascii="Times New Roman" w:hAnsi="Times New Roman" w:cs="Times New Roman"/>
                <w:i w:val="0"/>
                <w:iCs w:val="0"/>
                <w:smallCaps w:val="0"/>
                <w:color w:val="auto"/>
                <w:spacing w:val="0"/>
                <w:sz w:val="24"/>
                <w:szCs w:val="24"/>
                <w:highlight w:val="none"/>
              </w:rPr>
              <w:t>联系方式</w:t>
            </w:r>
          </w:p>
        </w:tc>
        <w:tc>
          <w:tcPr>
            <w:tcW w:w="2061" w:type="pct"/>
            <w:vAlign w:val="center"/>
          </w:tcPr>
          <w:p w14:paraId="551EDE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smallCaps w:val="0"/>
                <w:color w:val="auto"/>
                <w:spacing w:val="0"/>
                <w:sz w:val="24"/>
                <w:szCs w:val="24"/>
                <w:highlight w:val="none"/>
                <w:lang w:val="en-US" w:eastAsia="zh-CN"/>
              </w:rPr>
            </w:pPr>
            <w:r>
              <w:rPr>
                <w:rFonts w:hint="eastAsia" w:cs="Times New Roman"/>
                <w:i w:val="0"/>
                <w:iCs w:val="0"/>
                <w:smallCaps w:val="0"/>
                <w:color w:val="auto"/>
                <w:spacing w:val="0"/>
                <w:sz w:val="24"/>
                <w:szCs w:val="24"/>
                <w:highlight w:val="none"/>
                <w:lang w:val="en-US" w:eastAsia="zh-CN"/>
              </w:rPr>
              <w:t>xxx</w:t>
            </w:r>
            <w:bookmarkStart w:id="43" w:name="_GoBack"/>
            <w:bookmarkEnd w:id="43"/>
          </w:p>
        </w:tc>
      </w:tr>
      <w:tr w14:paraId="03A0F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27" w:type="pct"/>
            <w:tcMar>
              <w:top w:w="16" w:type="dxa"/>
              <w:left w:w="16" w:type="dxa"/>
              <w:right w:w="16" w:type="dxa"/>
            </w:tcMar>
            <w:vAlign w:val="center"/>
          </w:tcPr>
          <w:p w14:paraId="24C065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建设地点</w:t>
            </w:r>
          </w:p>
        </w:tc>
        <w:tc>
          <w:tcPr>
            <w:tcW w:w="4172" w:type="pct"/>
            <w:gridSpan w:val="3"/>
            <w:vAlign w:val="center"/>
          </w:tcPr>
          <w:p w14:paraId="7F9F4BE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 w:val="24"/>
                <w:szCs w:val="24"/>
                <w:highlight w:val="none"/>
                <w:lang w:eastAsia="zh-CN"/>
              </w:rPr>
            </w:pPr>
            <w:r>
              <w:rPr>
                <w:rFonts w:hint="default" w:ascii="Times New Roman" w:hAnsi="Times New Roman" w:cs="Times New Roman"/>
                <w:smallCaps w:val="0"/>
                <w:color w:val="auto"/>
                <w:spacing w:val="0"/>
                <w:sz w:val="24"/>
                <w:szCs w:val="24"/>
                <w:highlight w:val="none"/>
                <w:u w:val="single"/>
              </w:rPr>
              <w:t>河北</w:t>
            </w:r>
            <w:r>
              <w:rPr>
                <w:rFonts w:hint="default" w:ascii="Times New Roman" w:hAnsi="Times New Roman" w:cs="Times New Roman"/>
                <w:smallCaps w:val="0"/>
                <w:color w:val="auto"/>
                <w:spacing w:val="0"/>
                <w:sz w:val="24"/>
                <w:szCs w:val="24"/>
                <w:highlight w:val="none"/>
              </w:rPr>
              <w:t>省（自治区）</w:t>
            </w:r>
            <w:r>
              <w:rPr>
                <w:rFonts w:hint="default" w:ascii="Times New Roman" w:hAnsi="Times New Roman" w:cs="Times New Roman"/>
                <w:smallCaps w:val="0"/>
                <w:color w:val="auto"/>
                <w:spacing w:val="0"/>
                <w:sz w:val="24"/>
                <w:szCs w:val="24"/>
                <w:highlight w:val="none"/>
                <w:u w:val="single"/>
              </w:rPr>
              <w:t>石家庄</w:t>
            </w:r>
            <w:r>
              <w:rPr>
                <w:rFonts w:hint="default" w:ascii="Times New Roman" w:hAnsi="Times New Roman" w:cs="Times New Roman"/>
                <w:smallCaps w:val="0"/>
                <w:color w:val="auto"/>
                <w:spacing w:val="0"/>
                <w:sz w:val="24"/>
                <w:szCs w:val="24"/>
                <w:highlight w:val="none"/>
              </w:rPr>
              <w:t>市</w:t>
            </w:r>
            <w:r>
              <w:rPr>
                <w:rFonts w:hint="eastAsia" w:cs="Times New Roman"/>
                <w:smallCaps w:val="0"/>
                <w:color w:val="auto"/>
                <w:spacing w:val="0"/>
                <w:sz w:val="24"/>
                <w:szCs w:val="24"/>
                <w:highlight w:val="none"/>
                <w:u w:val="single"/>
                <w:lang w:val="en-US" w:eastAsia="zh-CN"/>
              </w:rPr>
              <w:t>栾城</w:t>
            </w:r>
            <w:r>
              <w:rPr>
                <w:rFonts w:hint="default" w:ascii="Times New Roman" w:hAnsi="Times New Roman" w:cs="Times New Roman"/>
                <w:smallCaps w:val="0"/>
                <w:color w:val="auto"/>
                <w:spacing w:val="0"/>
                <w:sz w:val="24"/>
                <w:szCs w:val="24"/>
                <w:highlight w:val="none"/>
              </w:rPr>
              <w:t>区</w:t>
            </w:r>
            <w:r>
              <w:rPr>
                <w:rFonts w:hint="eastAsia" w:cs="Times New Roman"/>
                <w:smallCaps w:val="0"/>
                <w:color w:val="auto"/>
                <w:spacing w:val="0"/>
                <w:sz w:val="24"/>
                <w:szCs w:val="24"/>
                <w:highlight w:val="none"/>
                <w:u w:val="single"/>
                <w:lang w:eastAsia="zh-CN"/>
              </w:rPr>
              <w:t>窦妪村装备制造产业园区奥翔街6-1号（院内3号房）</w:t>
            </w:r>
          </w:p>
        </w:tc>
      </w:tr>
      <w:tr w14:paraId="15CF9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827" w:type="pct"/>
            <w:tcMar>
              <w:top w:w="16" w:type="dxa"/>
              <w:left w:w="16" w:type="dxa"/>
              <w:right w:w="16" w:type="dxa"/>
            </w:tcMar>
            <w:vAlign w:val="center"/>
          </w:tcPr>
          <w:p w14:paraId="764324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地理坐标</w:t>
            </w:r>
          </w:p>
        </w:tc>
        <w:tc>
          <w:tcPr>
            <w:tcW w:w="4172" w:type="pct"/>
            <w:gridSpan w:val="3"/>
            <w:vAlign w:val="center"/>
          </w:tcPr>
          <w:p w14:paraId="6D9B98B7">
            <w:pPr>
              <w:keepNext w:val="0"/>
              <w:keepLines w:val="0"/>
              <w:suppressLineNumbers w:val="0"/>
              <w:tabs>
                <w:tab w:val="left" w:pos="3150"/>
              </w:tabs>
              <w:spacing w:before="0" w:beforeAutospacing="0" w:after="0" w:afterAutospacing="0"/>
              <w:ind w:left="0" w:right="0"/>
              <w:jc w:val="center"/>
              <w:rPr>
                <w:rFonts w:hint="eastAsia" w:ascii="Times New Roman" w:hAnsi="Times New Roman" w:eastAsia="宋体" w:cs="Times New Roman"/>
                <w:smallCaps w:val="0"/>
                <w:color w:val="auto"/>
                <w:spacing w:val="0"/>
                <w:sz w:val="24"/>
                <w:szCs w:val="24"/>
                <w:highlight w:val="none"/>
                <w:lang w:eastAsia="zh-CN"/>
              </w:rPr>
            </w:pPr>
            <w:r>
              <w:rPr>
                <w:rFonts w:hint="default" w:ascii="Times New Roman" w:hAnsi="Times New Roman" w:cs="Times New Roman"/>
                <w:smallCaps w:val="0"/>
                <w:color w:val="auto"/>
                <w:spacing w:val="0"/>
                <w:sz w:val="24"/>
                <w:szCs w:val="24"/>
                <w:highlight w:val="none"/>
                <w:lang w:eastAsia="zh-CN"/>
              </w:rPr>
              <w:t>东经114°30′49.861″，北纬37°54′26.679″</w:t>
            </w:r>
          </w:p>
        </w:tc>
      </w:tr>
      <w:tr w14:paraId="54BC3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27" w:type="pct"/>
            <w:tcMar>
              <w:top w:w="16" w:type="dxa"/>
              <w:left w:w="16" w:type="dxa"/>
              <w:right w:w="16" w:type="dxa"/>
            </w:tcMar>
            <w:vAlign w:val="center"/>
          </w:tcPr>
          <w:p w14:paraId="73A26344">
            <w:pPr>
              <w:pStyle w:val="17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国民经济行业类别</w:t>
            </w:r>
          </w:p>
        </w:tc>
        <w:tc>
          <w:tcPr>
            <w:tcW w:w="967" w:type="pct"/>
            <w:vAlign w:val="center"/>
          </w:tcPr>
          <w:p w14:paraId="19F22A68">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eastAsia="zh-CN"/>
              </w:rPr>
              <w:t>C2929塑料零件及其他塑料制品制造、</w:t>
            </w:r>
            <w:r>
              <w:rPr>
                <w:rFonts w:hint="eastAsia" w:cs="Times New Roman"/>
                <w:smallCaps w:val="0"/>
                <w:color w:val="auto"/>
                <w:spacing w:val="0"/>
                <w:highlight w:val="none"/>
                <w:lang w:val="en-US" w:eastAsia="zh-CN"/>
              </w:rPr>
              <w:t>C3311金属结构制造</w:t>
            </w:r>
          </w:p>
        </w:tc>
        <w:tc>
          <w:tcPr>
            <w:tcW w:w="1143" w:type="pct"/>
            <w:vAlign w:val="center"/>
          </w:tcPr>
          <w:p w14:paraId="4D9066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color w:val="auto"/>
                <w:spacing w:val="0"/>
                <w:sz w:val="24"/>
                <w:szCs w:val="24"/>
                <w:highlight w:val="none"/>
                <w:lang w:val="en-US" w:eastAsia="zh-CN"/>
              </w:rPr>
            </w:pPr>
            <w:bookmarkStart w:id="5" w:name="_Hlk49843745"/>
            <w:r>
              <w:rPr>
                <w:rFonts w:hint="default" w:ascii="Times New Roman" w:hAnsi="Times New Roman" w:cs="Times New Roman"/>
                <w:smallCaps w:val="0"/>
                <w:color w:val="auto"/>
                <w:spacing w:val="0"/>
                <w:sz w:val="24"/>
                <w:szCs w:val="24"/>
                <w:highlight w:val="none"/>
              </w:rPr>
              <w:t>建设项目</w:t>
            </w:r>
          </w:p>
          <w:p w14:paraId="104937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行业类别</w:t>
            </w:r>
            <w:bookmarkEnd w:id="5"/>
          </w:p>
        </w:tc>
        <w:tc>
          <w:tcPr>
            <w:tcW w:w="2061" w:type="pct"/>
            <w:vAlign w:val="center"/>
          </w:tcPr>
          <w:p w14:paraId="46A734E8">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二十六、橡胶和塑料制品业29-53、塑料制品业292-其他（年用非溶剂型低VOCs含量涂料10吨以下的除外）；三十、金属制品业33-66、结构性金属制品制造331-其他（仅分割、焊接、组装的除外；年用非溶剂型低VOCs含量涂料10吨以下的除外）</w:t>
            </w:r>
          </w:p>
        </w:tc>
      </w:tr>
      <w:tr w14:paraId="30783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27" w:type="pct"/>
            <w:tcMar>
              <w:top w:w="16" w:type="dxa"/>
              <w:left w:w="16" w:type="dxa"/>
              <w:right w:w="16" w:type="dxa"/>
            </w:tcMar>
            <w:vAlign w:val="center"/>
          </w:tcPr>
          <w:p w14:paraId="03D83B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建设性质</w:t>
            </w:r>
          </w:p>
        </w:tc>
        <w:tc>
          <w:tcPr>
            <w:tcW w:w="967" w:type="pct"/>
            <w:vAlign w:val="center"/>
          </w:tcPr>
          <w:p w14:paraId="1D212A8C">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□新建（迁建）</w:t>
            </w:r>
          </w:p>
          <w:p w14:paraId="00F8E9BA">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eastAsia" w:cs="Times New Roman"/>
                <w:smallCaps w:val="0"/>
                <w:color w:val="auto"/>
                <w:spacing w:val="0"/>
                <w:sz w:val="24"/>
                <w:szCs w:val="24"/>
                <w:highlight w:val="none"/>
                <w:lang w:eastAsia="zh-CN"/>
              </w:rPr>
              <w:t>☑</w:t>
            </w:r>
            <w:r>
              <w:rPr>
                <w:rFonts w:hint="default" w:ascii="Times New Roman" w:hAnsi="Times New Roman" w:cs="Times New Roman"/>
                <w:smallCaps w:val="0"/>
                <w:color w:val="auto"/>
                <w:spacing w:val="0"/>
                <w:sz w:val="24"/>
                <w:szCs w:val="24"/>
                <w:highlight w:val="none"/>
              </w:rPr>
              <w:t>改建</w:t>
            </w:r>
          </w:p>
          <w:p w14:paraId="4E24B373">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□扩建</w:t>
            </w:r>
          </w:p>
          <w:p w14:paraId="637A2DE0">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□技术改造</w:t>
            </w:r>
          </w:p>
        </w:tc>
        <w:tc>
          <w:tcPr>
            <w:tcW w:w="1143" w:type="pct"/>
            <w:vAlign w:val="center"/>
          </w:tcPr>
          <w:p w14:paraId="16CE0C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建设项目</w:t>
            </w:r>
          </w:p>
          <w:p w14:paraId="61748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申报情形</w:t>
            </w:r>
          </w:p>
        </w:tc>
        <w:tc>
          <w:tcPr>
            <w:tcW w:w="2061" w:type="pct"/>
            <w:vAlign w:val="center"/>
          </w:tcPr>
          <w:p w14:paraId="0CE8F1A5">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 xml:space="preserve">☑首次申报项目             </w:t>
            </w:r>
          </w:p>
          <w:p w14:paraId="76EE7732">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□不予批准后再次申报项目</w:t>
            </w:r>
          </w:p>
          <w:p w14:paraId="13C07F59">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 xml:space="preserve">□超五年重新审核项目     </w:t>
            </w:r>
          </w:p>
          <w:p w14:paraId="1BB12E45">
            <w:pPr>
              <w:keepNext w:val="0"/>
              <w:keepLines w:val="0"/>
              <w:suppressLineNumbers w:val="0"/>
              <w:spacing w:before="0" w:beforeAutospacing="0" w:after="0" w:afterAutospacing="0"/>
              <w:ind w:left="0" w:right="0"/>
              <w:jc w:val="left"/>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□重大变动重新报批项目</w:t>
            </w:r>
          </w:p>
        </w:tc>
      </w:tr>
      <w:tr w14:paraId="15994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27" w:type="pct"/>
            <w:tcMar>
              <w:top w:w="16" w:type="dxa"/>
              <w:left w:w="16" w:type="dxa"/>
              <w:right w:w="16" w:type="dxa"/>
            </w:tcMar>
            <w:vAlign w:val="center"/>
          </w:tcPr>
          <w:p w14:paraId="643BB9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项目审批（核准/备案）部门（选填）</w:t>
            </w:r>
          </w:p>
        </w:tc>
        <w:tc>
          <w:tcPr>
            <w:tcW w:w="967" w:type="pct"/>
            <w:vAlign w:val="center"/>
          </w:tcPr>
          <w:p w14:paraId="7B5F3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color w:val="auto"/>
                <w:spacing w:val="0"/>
                <w:sz w:val="24"/>
                <w:szCs w:val="24"/>
                <w:highlight w:val="none"/>
                <w:lang w:eastAsia="zh-CN"/>
              </w:rPr>
            </w:pPr>
            <w:r>
              <w:rPr>
                <w:rFonts w:hint="eastAsia" w:cs="Times New Roman"/>
                <w:smallCaps w:val="0"/>
                <w:color w:val="auto"/>
                <w:spacing w:val="0"/>
                <w:sz w:val="24"/>
                <w:szCs w:val="24"/>
                <w:highlight w:val="none"/>
                <w:lang w:eastAsia="zh-CN"/>
              </w:rPr>
              <w:t>河北石家庄装备制造产业园管理委员会</w:t>
            </w:r>
          </w:p>
        </w:tc>
        <w:tc>
          <w:tcPr>
            <w:tcW w:w="1143" w:type="pct"/>
            <w:vAlign w:val="center"/>
          </w:tcPr>
          <w:p w14:paraId="22BE3E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项目审批（核准/</w:t>
            </w:r>
          </w:p>
          <w:p w14:paraId="4477C2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备案）文号（选填）</w:t>
            </w:r>
          </w:p>
        </w:tc>
        <w:tc>
          <w:tcPr>
            <w:tcW w:w="2061" w:type="pct"/>
            <w:vAlign w:val="center"/>
          </w:tcPr>
          <w:p w14:paraId="42D62BC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sz w:val="24"/>
                <w:szCs w:val="24"/>
                <w:highlight w:val="none"/>
                <w:lang w:eastAsia="zh-CN"/>
              </w:rPr>
            </w:pPr>
            <w:r>
              <w:rPr>
                <w:rFonts w:hint="eastAsia" w:cs="Times New Roman"/>
                <w:smallCaps w:val="0"/>
                <w:color w:val="auto"/>
                <w:spacing w:val="0"/>
                <w:sz w:val="24"/>
                <w:szCs w:val="24"/>
                <w:highlight w:val="none"/>
                <w:lang w:eastAsia="zh-CN"/>
              </w:rPr>
              <w:t>装管委投资备字〔2025〕5号</w:t>
            </w:r>
          </w:p>
        </w:tc>
      </w:tr>
      <w:tr w14:paraId="5E0DD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827" w:type="pct"/>
            <w:tcMar>
              <w:top w:w="16" w:type="dxa"/>
              <w:left w:w="16" w:type="dxa"/>
              <w:right w:w="16" w:type="dxa"/>
            </w:tcMar>
            <w:vAlign w:val="center"/>
          </w:tcPr>
          <w:p w14:paraId="56DD8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总投资（万元）</w:t>
            </w:r>
          </w:p>
        </w:tc>
        <w:tc>
          <w:tcPr>
            <w:tcW w:w="967" w:type="pct"/>
            <w:vAlign w:val="center"/>
          </w:tcPr>
          <w:p w14:paraId="3BA4260F">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50</w:t>
            </w:r>
          </w:p>
        </w:tc>
        <w:tc>
          <w:tcPr>
            <w:tcW w:w="1143" w:type="pct"/>
            <w:tcMar>
              <w:top w:w="16" w:type="dxa"/>
              <w:left w:w="16" w:type="dxa"/>
              <w:right w:w="16" w:type="dxa"/>
            </w:tcMar>
            <w:vAlign w:val="center"/>
          </w:tcPr>
          <w:p w14:paraId="3B47C3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环保投资（万元）</w:t>
            </w:r>
          </w:p>
        </w:tc>
        <w:tc>
          <w:tcPr>
            <w:tcW w:w="2061" w:type="pct"/>
            <w:vAlign w:val="center"/>
          </w:tcPr>
          <w:p w14:paraId="0EB6816B">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5</w:t>
            </w:r>
          </w:p>
        </w:tc>
      </w:tr>
      <w:tr w14:paraId="5A38B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27" w:type="pct"/>
            <w:tcMar>
              <w:top w:w="16" w:type="dxa"/>
              <w:left w:w="16" w:type="dxa"/>
              <w:right w:w="16" w:type="dxa"/>
            </w:tcMar>
            <w:vAlign w:val="center"/>
          </w:tcPr>
          <w:p w14:paraId="0F68F4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环保投资占比（%）</w:t>
            </w:r>
          </w:p>
        </w:tc>
        <w:tc>
          <w:tcPr>
            <w:tcW w:w="967" w:type="pct"/>
            <w:vAlign w:val="center"/>
          </w:tcPr>
          <w:p w14:paraId="2FE8D669">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10</w:t>
            </w:r>
          </w:p>
        </w:tc>
        <w:tc>
          <w:tcPr>
            <w:tcW w:w="1143" w:type="pct"/>
            <w:tcMar>
              <w:top w:w="16" w:type="dxa"/>
              <w:left w:w="16" w:type="dxa"/>
              <w:right w:w="16" w:type="dxa"/>
            </w:tcMar>
            <w:vAlign w:val="center"/>
          </w:tcPr>
          <w:p w14:paraId="1E58FA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施工工期</w:t>
            </w:r>
          </w:p>
        </w:tc>
        <w:tc>
          <w:tcPr>
            <w:tcW w:w="2061" w:type="pct"/>
            <w:vAlign w:val="center"/>
          </w:tcPr>
          <w:p w14:paraId="2D9BB68C">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2</w:t>
            </w:r>
            <w:r>
              <w:rPr>
                <w:rFonts w:hint="default" w:ascii="Times New Roman" w:hAnsi="Times New Roman" w:cs="Times New Roman"/>
                <w:smallCaps w:val="0"/>
                <w:color w:val="auto"/>
                <w:spacing w:val="0"/>
                <w:highlight w:val="none"/>
              </w:rPr>
              <w:t>个月</w:t>
            </w:r>
          </w:p>
        </w:tc>
      </w:tr>
      <w:tr w14:paraId="09978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27" w:type="pct"/>
            <w:shd w:val="clear" w:color="auto" w:fill="auto"/>
            <w:tcMar>
              <w:top w:w="16" w:type="dxa"/>
              <w:left w:w="16" w:type="dxa"/>
              <w:right w:w="16" w:type="dxa"/>
            </w:tcMar>
            <w:vAlign w:val="center"/>
          </w:tcPr>
          <w:p w14:paraId="4753CB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是否开工建设</w:t>
            </w:r>
          </w:p>
        </w:tc>
        <w:tc>
          <w:tcPr>
            <w:tcW w:w="967" w:type="pct"/>
            <w:shd w:val="clear" w:color="auto" w:fill="auto"/>
            <w:vAlign w:val="center"/>
          </w:tcPr>
          <w:p w14:paraId="55CBFFC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☑否</w:t>
            </w:r>
          </w:p>
          <w:p w14:paraId="4890D3C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□是</w:t>
            </w:r>
          </w:p>
        </w:tc>
        <w:tc>
          <w:tcPr>
            <w:tcW w:w="1143" w:type="pct"/>
            <w:tcMar>
              <w:top w:w="16" w:type="dxa"/>
              <w:left w:w="16" w:type="dxa"/>
              <w:right w:w="16" w:type="dxa"/>
            </w:tcMar>
            <w:vAlign w:val="center"/>
          </w:tcPr>
          <w:p w14:paraId="28FF2F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用地（用海）</w:t>
            </w:r>
          </w:p>
          <w:p w14:paraId="709E3B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4"/>
                <w:szCs w:val="24"/>
                <w:highlight w:val="none"/>
              </w:rPr>
            </w:pPr>
            <w:r>
              <w:rPr>
                <w:rFonts w:hint="default" w:ascii="Times New Roman" w:hAnsi="Times New Roman" w:cs="Times New Roman"/>
                <w:smallCaps w:val="0"/>
                <w:color w:val="auto"/>
                <w:spacing w:val="0"/>
                <w:sz w:val="24"/>
                <w:szCs w:val="24"/>
                <w:highlight w:val="none"/>
              </w:rPr>
              <w:t>面积（m</w:t>
            </w:r>
            <w:r>
              <w:rPr>
                <w:rFonts w:hint="default" w:ascii="Times New Roman" w:hAnsi="Times New Roman" w:cs="Times New Roman"/>
                <w:smallCaps w:val="0"/>
                <w:color w:val="auto"/>
                <w:spacing w:val="0"/>
                <w:sz w:val="24"/>
                <w:szCs w:val="24"/>
                <w:highlight w:val="none"/>
                <w:vertAlign w:val="superscript"/>
              </w:rPr>
              <w:t>2</w:t>
            </w:r>
            <w:r>
              <w:rPr>
                <w:rFonts w:hint="default" w:ascii="Times New Roman" w:hAnsi="Times New Roman" w:cs="Times New Roman"/>
                <w:smallCaps w:val="0"/>
                <w:color w:val="auto"/>
                <w:spacing w:val="0"/>
                <w:sz w:val="24"/>
                <w:szCs w:val="24"/>
                <w:highlight w:val="none"/>
              </w:rPr>
              <w:t>）</w:t>
            </w:r>
          </w:p>
        </w:tc>
        <w:tc>
          <w:tcPr>
            <w:tcW w:w="2061" w:type="pct"/>
            <w:vAlign w:val="center"/>
          </w:tcPr>
          <w:p w14:paraId="6B9888C6">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880</w:t>
            </w:r>
          </w:p>
        </w:tc>
      </w:tr>
      <w:tr w14:paraId="4F968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7" w:type="pct"/>
            <w:vAlign w:val="center"/>
          </w:tcPr>
          <w:p w14:paraId="0AB4D7A9">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专项评价设置情况</w:t>
            </w:r>
          </w:p>
        </w:tc>
        <w:tc>
          <w:tcPr>
            <w:tcW w:w="4172" w:type="pct"/>
            <w:gridSpan w:val="3"/>
            <w:vAlign w:val="center"/>
          </w:tcPr>
          <w:p w14:paraId="26F62A9B">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无</w:t>
            </w:r>
          </w:p>
        </w:tc>
      </w:tr>
      <w:tr w14:paraId="52B1C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27" w:type="pct"/>
            <w:vAlign w:val="center"/>
          </w:tcPr>
          <w:p w14:paraId="464CCC46">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规划情况</w:t>
            </w:r>
          </w:p>
        </w:tc>
        <w:tc>
          <w:tcPr>
            <w:tcW w:w="4172" w:type="pct"/>
            <w:gridSpan w:val="3"/>
            <w:shd w:val="clear" w:color="auto" w:fill="auto"/>
            <w:vAlign w:val="center"/>
          </w:tcPr>
          <w:p w14:paraId="5E464E5A">
            <w:pPr>
              <w:pStyle w:val="230"/>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cs="Times New Roman"/>
                <w:color w:val="auto"/>
                <w:highlight w:val="none"/>
              </w:rPr>
              <w:t>产业园区规划名称：河北石家庄装备制造产业园总体规划（2022-2030）</w:t>
            </w:r>
          </w:p>
        </w:tc>
      </w:tr>
      <w:tr w14:paraId="642CE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7" w:type="pct"/>
            <w:vAlign w:val="center"/>
          </w:tcPr>
          <w:p w14:paraId="10456B46">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规划环境影响评价情况</w:t>
            </w:r>
          </w:p>
        </w:tc>
        <w:tc>
          <w:tcPr>
            <w:tcW w:w="4172" w:type="pct"/>
            <w:gridSpan w:val="3"/>
            <w:shd w:val="clear" w:color="auto" w:fill="auto"/>
            <w:vAlign w:val="center"/>
          </w:tcPr>
          <w:p w14:paraId="5539F03A">
            <w:pPr>
              <w:pStyle w:val="230"/>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规划环境影响评价文件名称：《</w:t>
            </w:r>
            <w:r>
              <w:rPr>
                <w:rFonts w:hint="eastAsia" w:cs="Times New Roman"/>
                <w:color w:val="auto"/>
                <w:highlight w:val="none"/>
                <w:lang w:eastAsia="zh-CN"/>
              </w:rPr>
              <w:t>河北石家庄装备制造产业园总体规划（2022-2030年）环境影响评价报告书</w:t>
            </w:r>
            <w:r>
              <w:rPr>
                <w:rFonts w:hint="default" w:ascii="Times New Roman" w:hAnsi="Times New Roman" w:cs="Times New Roman"/>
                <w:color w:val="auto"/>
                <w:highlight w:val="none"/>
              </w:rPr>
              <w:t>》；</w:t>
            </w:r>
          </w:p>
          <w:p w14:paraId="4275B49A">
            <w:pPr>
              <w:pStyle w:val="230"/>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审查机关：</w:t>
            </w:r>
            <w:r>
              <w:rPr>
                <w:rFonts w:hint="eastAsia" w:cs="Times New Roman"/>
                <w:color w:val="auto"/>
                <w:highlight w:val="none"/>
                <w:lang w:eastAsia="zh-CN"/>
              </w:rPr>
              <w:t>河北省生态环境厅</w:t>
            </w:r>
            <w:r>
              <w:rPr>
                <w:rFonts w:hint="default" w:ascii="Times New Roman" w:hAnsi="Times New Roman" w:cs="Times New Roman"/>
                <w:color w:val="auto"/>
                <w:highlight w:val="none"/>
              </w:rPr>
              <w:t>；</w:t>
            </w:r>
          </w:p>
          <w:p w14:paraId="035995A4">
            <w:pPr>
              <w:pStyle w:val="230"/>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kern w:val="0"/>
                <w:sz w:val="24"/>
                <w:szCs w:val="20"/>
                <w:highlight w:val="none"/>
                <w:lang w:val="en-US" w:eastAsia="zh-CN" w:bidi="ar-SA"/>
              </w:rPr>
            </w:pPr>
            <w:r>
              <w:rPr>
                <w:rFonts w:hint="default" w:ascii="Times New Roman" w:hAnsi="Times New Roman" w:cs="Times New Roman"/>
                <w:color w:val="auto"/>
                <w:highlight w:val="none"/>
              </w:rPr>
              <w:t>审查文件名称及文号：《</w:t>
            </w:r>
            <w:r>
              <w:rPr>
                <w:rFonts w:hint="eastAsia" w:cs="Times New Roman"/>
                <w:color w:val="auto"/>
                <w:highlight w:val="none"/>
                <w:lang w:val="en-US" w:eastAsia="zh-CN"/>
              </w:rPr>
              <w:t>河北省生态环境厅&lt;</w:t>
            </w:r>
            <w:r>
              <w:rPr>
                <w:rFonts w:hint="eastAsia" w:cs="Times New Roman"/>
                <w:color w:val="auto"/>
                <w:highlight w:val="none"/>
                <w:lang w:eastAsia="zh-CN"/>
              </w:rPr>
              <w:t>关于河北石家庄装备制造产业园总体规划（2022-2030年）环境影响评价报告书</w:t>
            </w:r>
            <w:r>
              <w:rPr>
                <w:rFonts w:hint="eastAsia" w:cs="Times New Roman"/>
                <w:color w:val="auto"/>
                <w:highlight w:val="none"/>
                <w:lang w:val="en-US" w:eastAsia="zh-CN"/>
              </w:rPr>
              <w:t>&gt;</w:t>
            </w:r>
            <w:r>
              <w:rPr>
                <w:rFonts w:hint="eastAsia" w:cs="Times New Roman"/>
                <w:color w:val="auto"/>
                <w:highlight w:val="none"/>
                <w:lang w:eastAsia="zh-CN"/>
              </w:rPr>
              <w:t>的审查意见</w:t>
            </w:r>
            <w:r>
              <w:rPr>
                <w:rFonts w:hint="default" w:ascii="Times New Roman" w:hAnsi="Times New Roman" w:cs="Times New Roman"/>
                <w:color w:val="auto"/>
                <w:highlight w:val="none"/>
              </w:rPr>
              <w:t>》（</w:t>
            </w:r>
            <w:r>
              <w:rPr>
                <w:rFonts w:hint="eastAsia" w:cs="Times New Roman"/>
                <w:color w:val="auto"/>
                <w:highlight w:val="none"/>
                <w:lang w:eastAsia="zh-CN"/>
              </w:rPr>
              <w:t>冀环环评函〔2025〕1839号</w:t>
            </w:r>
            <w:r>
              <w:rPr>
                <w:rFonts w:hint="default" w:ascii="Times New Roman" w:hAnsi="Times New Roman" w:cs="Times New Roman"/>
                <w:color w:val="auto"/>
                <w:highlight w:val="none"/>
              </w:rPr>
              <w:t>）。</w:t>
            </w:r>
          </w:p>
        </w:tc>
      </w:tr>
      <w:tr w14:paraId="63CE2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827" w:type="pct"/>
            <w:vAlign w:val="center"/>
          </w:tcPr>
          <w:p w14:paraId="74E71D20">
            <w:pPr>
              <w:pStyle w:val="17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规划及规划环境影响评价符合性分析</w:t>
            </w:r>
          </w:p>
        </w:tc>
        <w:tc>
          <w:tcPr>
            <w:tcW w:w="4172" w:type="pct"/>
            <w:gridSpan w:val="3"/>
            <w:shd w:val="clear" w:color="auto" w:fill="auto"/>
            <w:vAlign w:val="center"/>
          </w:tcPr>
          <w:p w14:paraId="0F28196F">
            <w:pPr>
              <w:pStyle w:val="230"/>
              <w:keepNext w:val="0"/>
              <w:keepLines w:val="0"/>
              <w:suppressLineNumbers w:val="0"/>
              <w:spacing w:before="0" w:beforeAutospacing="0" w:after="0" w:afterAutospacing="0"/>
              <w:ind w:left="0" w:right="0" w:firstLine="482"/>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t>1、规划</w:t>
            </w:r>
            <w:r>
              <w:rPr>
                <w:rFonts w:hint="eastAsia" w:cs="Times New Roman"/>
                <w:b/>
                <w:bCs/>
                <w:color w:val="auto"/>
                <w:highlight w:val="none"/>
                <w:lang w:val="en-US" w:eastAsia="zh-CN"/>
              </w:rPr>
              <w:t>符合性分析</w:t>
            </w:r>
          </w:p>
          <w:p w14:paraId="1C19917D">
            <w:pPr>
              <w:pStyle w:val="230"/>
              <w:keepNext w:val="0"/>
              <w:keepLines w:val="0"/>
              <w:suppressLineNumbers w:val="0"/>
              <w:spacing w:before="0" w:beforeAutospacing="0" w:after="0" w:afterAutospacing="0"/>
              <w:ind w:left="0" w:right="0" w:firstLine="480"/>
              <w:rPr>
                <w:rFonts w:hint="eastAsia" w:cs="Times New Roman"/>
                <w:color w:val="auto"/>
                <w:highlight w:val="none"/>
                <w:lang w:eastAsia="zh-CN"/>
              </w:rPr>
            </w:pPr>
            <w:r>
              <w:rPr>
                <w:rFonts w:hint="default" w:ascii="Times New Roman" w:hAnsi="Times New Roman" w:cs="Times New Roman"/>
                <w:color w:val="auto"/>
                <w:highlight w:val="none"/>
              </w:rPr>
              <w:t>依据《</w:t>
            </w:r>
            <w:r>
              <w:rPr>
                <w:rFonts w:hint="eastAsia" w:cs="Times New Roman"/>
                <w:color w:val="auto"/>
                <w:highlight w:val="none"/>
                <w:lang w:eastAsia="zh-CN"/>
              </w:rPr>
              <w:t>河北石家庄装备制造产业园总体规划（2022-2030年）环境影响评价报告书</w:t>
            </w:r>
            <w:r>
              <w:rPr>
                <w:rFonts w:hint="default" w:ascii="Times New Roman" w:hAnsi="Times New Roman" w:cs="Times New Roman"/>
                <w:color w:val="auto"/>
                <w:highlight w:val="none"/>
              </w:rPr>
              <w:t>》内容，规划期限为规划期限：2022-2030年，其中，近期：2022-2025年，远期：2026-2030年。基准年为2022年</w:t>
            </w:r>
            <w:r>
              <w:rPr>
                <w:rFonts w:hint="eastAsia" w:cs="Times New Roman"/>
                <w:color w:val="auto"/>
                <w:highlight w:val="none"/>
                <w:lang w:eastAsia="zh-CN"/>
              </w:rPr>
              <w:t>。</w:t>
            </w:r>
          </w:p>
          <w:p w14:paraId="16310453">
            <w:pPr>
              <w:pStyle w:val="230"/>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规划定位、规划范围、规划用地布局、产业发展概述如下：</w:t>
            </w:r>
          </w:p>
          <w:p w14:paraId="7CA4E17B">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b/>
                <w:bCs/>
                <w:color w:val="auto"/>
                <w:highlight w:val="none"/>
                <w:lang w:val="en-US" w:eastAsia="zh-CN"/>
              </w:rPr>
            </w:pPr>
            <w:r>
              <w:rPr>
                <w:rFonts w:hint="eastAsia" w:cs="Times New Roman"/>
                <w:b/>
                <w:bCs/>
                <w:color w:val="auto"/>
                <w:highlight w:val="none"/>
                <w:lang w:val="en-US" w:eastAsia="zh-CN"/>
              </w:rPr>
              <w:t>表1-1  规划符合性分析一览表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3539"/>
              <w:gridCol w:w="2352"/>
              <w:gridCol w:w="980"/>
            </w:tblGrid>
            <w:tr w14:paraId="752D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9" w:type="pct"/>
                  <w:gridSpan w:val="2"/>
                  <w:vAlign w:val="center"/>
                </w:tcPr>
                <w:p w14:paraId="3526780F">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规划内容</w:t>
                  </w:r>
                </w:p>
              </w:tc>
              <w:tc>
                <w:tcPr>
                  <w:tcW w:w="1539" w:type="pct"/>
                  <w:vAlign w:val="center"/>
                </w:tcPr>
                <w:p w14:paraId="4E275C28">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项目情况</w:t>
                  </w:r>
                </w:p>
              </w:tc>
              <w:tc>
                <w:tcPr>
                  <w:tcW w:w="641" w:type="pct"/>
                  <w:vAlign w:val="center"/>
                </w:tcPr>
                <w:p w14:paraId="2924DE32">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符合性</w:t>
                  </w:r>
                </w:p>
              </w:tc>
            </w:tr>
            <w:tr w14:paraId="2AF2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9" w:type="pct"/>
                  <w:gridSpan w:val="2"/>
                  <w:vAlign w:val="center"/>
                </w:tcPr>
                <w:p w14:paraId="5B6465D7">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rPr>
                    <w:t>规划范围</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rPr>
                    <w:t>河北石家庄装备制造产业园规划总用地面积43.72平方公里，其中栾城境内40.33平方公里、元氏境内3.39平方公里，规划范围北至南三环、西至107国道、南至规划337省道、东至石栾大街。规划范围内包含城镇开发边界36.10平方公里。</w:t>
                  </w:r>
                </w:p>
              </w:tc>
              <w:tc>
                <w:tcPr>
                  <w:tcW w:w="1539" w:type="pct"/>
                  <w:vAlign w:val="center"/>
                </w:tcPr>
                <w:p w14:paraId="358B1638">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cs="Times New Roman"/>
                      <w:b/>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项目位于</w:t>
                  </w:r>
                  <w:r>
                    <w:rPr>
                      <w:rFonts w:hint="eastAsia" w:ascii="Times New Roman" w:hAnsi="Times New Roman" w:eastAsia="宋体" w:cs="Times New Roman"/>
                      <w:color w:val="auto"/>
                      <w:sz w:val="21"/>
                      <w:szCs w:val="21"/>
                      <w:highlight w:val="none"/>
                      <w:lang w:val="en-US" w:eastAsia="zh-CN"/>
                    </w:rPr>
                    <w:t>石家庄市栾城区窦妪村装备制造产业园区奥翔街6-1号（院内3号房）</w:t>
                  </w:r>
                  <w:r>
                    <w:rPr>
                      <w:rFonts w:hint="default" w:ascii="Times New Roman" w:hAnsi="Times New Roman" w:cs="Times New Roman"/>
                      <w:b w:val="0"/>
                      <w:bCs w:val="0"/>
                      <w:color w:val="auto"/>
                      <w:sz w:val="21"/>
                      <w:szCs w:val="21"/>
                      <w:highlight w:val="none"/>
                    </w:rPr>
                    <w:t>，位于规划范围内</w:t>
                  </w:r>
                  <w:r>
                    <w:rPr>
                      <w:rFonts w:hint="eastAsia" w:cs="Times New Roman"/>
                      <w:color w:val="auto"/>
                      <w:sz w:val="21"/>
                      <w:szCs w:val="21"/>
                      <w:highlight w:val="none"/>
                      <w:lang w:val="en-US" w:eastAsia="zh-CN"/>
                    </w:rPr>
                    <w:t>。</w:t>
                  </w:r>
                </w:p>
              </w:tc>
              <w:tc>
                <w:tcPr>
                  <w:tcW w:w="641" w:type="pct"/>
                  <w:vAlign w:val="center"/>
                </w:tcPr>
                <w:p w14:paraId="7008CF3E">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5CDA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9" w:type="pct"/>
                  <w:gridSpan w:val="2"/>
                  <w:vAlign w:val="center"/>
                </w:tcPr>
                <w:p w14:paraId="770A1A5C">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rPr>
                    <w:t>规划定位</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rPr>
                    <w:t>国家外贸转型升级基地，北方地区工业无人机研发、生产基地，河北省装备制造产业聚集区，石家庄市六大产业基地之一，以装备制造产业为主导的集生物医药大健康产业、物流产业、配套服务产业及现代城市居住功能于一体的综合性产业基地</w:t>
                  </w:r>
                </w:p>
              </w:tc>
              <w:tc>
                <w:tcPr>
                  <w:tcW w:w="1539" w:type="pct"/>
                  <w:vAlign w:val="center"/>
                </w:tcPr>
                <w:p w14:paraId="1BB8901D">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cs="Times New Roman"/>
                      <w:b/>
                      <w:bCs/>
                      <w:color w:val="auto"/>
                      <w:sz w:val="21"/>
                      <w:szCs w:val="21"/>
                      <w:highlight w:val="none"/>
                      <w:vertAlign w:val="baseline"/>
                      <w:lang w:val="en-US" w:eastAsia="zh-CN"/>
                    </w:rPr>
                  </w:pPr>
                  <w:r>
                    <w:rPr>
                      <w:rFonts w:hint="eastAsia" w:cs="Times New Roman"/>
                      <w:color w:val="auto"/>
                      <w:sz w:val="21"/>
                      <w:szCs w:val="21"/>
                      <w:highlight w:val="none"/>
                      <w:lang w:val="en-US" w:eastAsia="zh-CN"/>
                    </w:rPr>
                    <w:t>本项目位于石家庄栾城区装备制造产业园内，窦妪村装备制造产业园区奥翔街6-1号（院内3号房），本项目为改建项目，项目产品为汽车塑料配件，属于汽车零部件，符合园区规划定位。</w:t>
                  </w:r>
                </w:p>
              </w:tc>
              <w:tc>
                <w:tcPr>
                  <w:tcW w:w="641" w:type="pct"/>
                  <w:vAlign w:val="center"/>
                </w:tcPr>
                <w:p w14:paraId="1023E5FF">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5991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9" w:type="pct"/>
                  <w:gridSpan w:val="2"/>
                  <w:vAlign w:val="center"/>
                </w:tcPr>
                <w:p w14:paraId="1766D882">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rPr>
                    <w:t>规划用地布局</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rPr>
                    <w:t>规划总用地面积4372.05公顷，其中城镇建设用地3502.78公顷，占总规划用地的80.12%；区域基础设施用地106.76公顷，占总规划用地的2.4%；其他建设用地9.36公顷，占总规划用地的0.21%；非建设用地753.15，占总规划用地的17.23%。</w:t>
                  </w:r>
                </w:p>
              </w:tc>
              <w:tc>
                <w:tcPr>
                  <w:tcW w:w="1539" w:type="pct"/>
                  <w:vAlign w:val="center"/>
                </w:tcPr>
                <w:p w14:paraId="55BA1928">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cs="Times New Roman"/>
                      <w:b/>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租赁现有厂房进行建设汽车塑料配件改扩建项目，根据不动产权证，占地为工业用地，符合用地规划</w:t>
                  </w:r>
                  <w:r>
                    <w:rPr>
                      <w:rFonts w:hint="default" w:ascii="Times New Roman" w:hAnsi="Times New Roman" w:cs="Times New Roman"/>
                      <w:color w:val="auto"/>
                      <w:sz w:val="21"/>
                      <w:szCs w:val="21"/>
                      <w:highlight w:val="none"/>
                    </w:rPr>
                    <w:t>。</w:t>
                  </w:r>
                </w:p>
              </w:tc>
              <w:tc>
                <w:tcPr>
                  <w:tcW w:w="641" w:type="pct"/>
                  <w:vAlign w:val="center"/>
                </w:tcPr>
                <w:p w14:paraId="1D958D64">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12A3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503" w:type="pct"/>
                  <w:vMerge w:val="restart"/>
                  <w:vAlign w:val="center"/>
                </w:tcPr>
                <w:p w14:paraId="2762DD25">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产业发展：规划形成西部、东部两大工业组团，包含四大产业园区。</w:t>
                  </w:r>
                </w:p>
              </w:tc>
              <w:tc>
                <w:tcPr>
                  <w:tcW w:w="3539" w:type="dxa"/>
                  <w:vAlign w:val="center"/>
                </w:tcPr>
                <w:p w14:paraId="303E135D">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①装备制造产业园区：位于环北路以南、中兴大道以北、</w:t>
                  </w:r>
                  <w:r>
                    <w:rPr>
                      <w:rFonts w:hint="default" w:ascii="Times New Roman" w:hAnsi="Times New Roman" w:eastAsia="宋体" w:cs="Times New Roman"/>
                      <w:b w:val="0"/>
                      <w:bCs w:val="0"/>
                      <w:color w:val="auto"/>
                      <w:sz w:val="21"/>
                      <w:szCs w:val="21"/>
                      <w:highlight w:val="none"/>
                      <w:lang w:val="en-US" w:eastAsia="zh-CN"/>
                    </w:rPr>
                    <w:t>107</w:t>
                  </w:r>
                  <w:r>
                    <w:rPr>
                      <w:rFonts w:hint="eastAsia" w:ascii="Times New Roman" w:hAnsi="Times New Roman" w:eastAsia="宋体" w:cs="Times New Roman"/>
                      <w:b w:val="0"/>
                      <w:bCs w:val="0"/>
                      <w:color w:val="auto"/>
                      <w:sz w:val="21"/>
                      <w:szCs w:val="21"/>
                      <w:highlight w:val="none"/>
                      <w:lang w:val="en-US" w:eastAsia="zh-CN"/>
                    </w:rPr>
                    <w:t>国道以东、方西大街以西，约占园区总用地的40.12%。规划以发展汽车及零部件制造、铁路运输设备生产与维修、通用设备制造、金属制品制造、专用设备制造、电气机械和器材制造等装备制造产业为主，以发展装备制造产业配套的包装印刷、橡胶、塑料制品制造和仓储物流业为辅，并培育发展智能化设备产业集群和小微企业孵化。</w:t>
                  </w:r>
                </w:p>
              </w:tc>
              <w:tc>
                <w:tcPr>
                  <w:tcW w:w="1539" w:type="pct"/>
                  <w:vMerge w:val="restart"/>
                  <w:vAlign w:val="center"/>
                </w:tcPr>
                <w:p w14:paraId="353B57E1">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对照园区产业布局指引图，项目位于产业转型升级示范区内，项目产品为汽车塑料配件，属于汽车零部件，为汽车制造的配套产业，符合产业发展方向。</w:t>
                  </w:r>
                </w:p>
              </w:tc>
              <w:tc>
                <w:tcPr>
                  <w:tcW w:w="641" w:type="pct"/>
                  <w:vMerge w:val="restart"/>
                  <w:vAlign w:val="center"/>
                </w:tcPr>
                <w:p w14:paraId="2C763E21">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0B87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503" w:type="pct"/>
                  <w:vMerge w:val="continue"/>
                  <w:vAlign w:val="center"/>
                </w:tcPr>
                <w:p w14:paraId="4A4D8C81">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c>
                <w:tcPr>
                  <w:tcW w:w="3539" w:type="dxa"/>
                  <w:vAlign w:val="center"/>
                </w:tcPr>
                <w:p w14:paraId="4CECBA9D">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②产业转型升级示范区：位于</w:t>
                  </w:r>
                  <w:r>
                    <w:rPr>
                      <w:rFonts w:hint="default" w:ascii="Times New Roman" w:hAnsi="Times New Roman" w:eastAsia="宋体" w:cs="Times New Roman"/>
                      <w:b w:val="0"/>
                      <w:bCs w:val="0"/>
                      <w:color w:val="auto"/>
                      <w:sz w:val="21"/>
                      <w:szCs w:val="21"/>
                      <w:highlight w:val="none"/>
                      <w:lang w:val="en-US" w:eastAsia="zh-CN"/>
                    </w:rPr>
                    <w:t>107</w:t>
                  </w:r>
                  <w:r>
                    <w:rPr>
                      <w:rFonts w:hint="eastAsia" w:ascii="Times New Roman" w:hAnsi="Times New Roman" w:eastAsia="宋体" w:cs="Times New Roman"/>
                      <w:b w:val="0"/>
                      <w:bCs w:val="0"/>
                      <w:color w:val="auto"/>
                      <w:sz w:val="21"/>
                      <w:szCs w:val="21"/>
                      <w:highlight w:val="none"/>
                      <w:lang w:val="en-US" w:eastAsia="zh-CN"/>
                    </w:rPr>
                    <w:t>国道以东、洨河以西，约占园区总用地的16.42%。规划以现状汽车制造、机械制造、食品生产、再生资源综合利用、仓储物流、化工原料和化学制造等现有产业转型升级为主。其中，化工产业依托重点化工监控点打造生态环保、绿色环保、节能安全的化工连片区，并培育小微企业孵化。</w:t>
                  </w:r>
                </w:p>
              </w:tc>
              <w:tc>
                <w:tcPr>
                  <w:tcW w:w="1539" w:type="pct"/>
                  <w:vMerge w:val="continue"/>
                  <w:vAlign w:val="center"/>
                </w:tcPr>
                <w:p w14:paraId="4DA70807">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c>
                <w:tcPr>
                  <w:tcW w:w="641" w:type="pct"/>
                  <w:vMerge w:val="continue"/>
                  <w:vAlign w:val="center"/>
                </w:tcPr>
                <w:p w14:paraId="0528FDD7">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r>
            <w:tr w14:paraId="6B95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503" w:type="pct"/>
                  <w:vMerge w:val="continue"/>
                  <w:vAlign w:val="center"/>
                </w:tcPr>
                <w:p w14:paraId="113CDFB9">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c>
                <w:tcPr>
                  <w:tcW w:w="3539" w:type="dxa"/>
                  <w:vAlign w:val="center"/>
                </w:tcPr>
                <w:p w14:paraId="22FAA357">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③通用飞机产业园区：位于复兴大街以东、</w:t>
                  </w:r>
                  <w:r>
                    <w:rPr>
                      <w:rFonts w:hint="default" w:ascii="Times New Roman" w:hAnsi="Times New Roman" w:eastAsia="宋体" w:cs="Times New Roman"/>
                      <w:b w:val="0"/>
                      <w:bCs w:val="0"/>
                      <w:color w:val="auto"/>
                      <w:sz w:val="21"/>
                      <w:szCs w:val="21"/>
                      <w:highlight w:val="none"/>
                      <w:lang w:val="en-US" w:eastAsia="zh-CN"/>
                    </w:rPr>
                    <w:t>308</w:t>
                  </w:r>
                  <w:r>
                    <w:rPr>
                      <w:rFonts w:hint="eastAsia" w:ascii="Times New Roman" w:hAnsi="Times New Roman" w:eastAsia="宋体" w:cs="Times New Roman"/>
                      <w:b w:val="0"/>
                      <w:bCs w:val="0"/>
                      <w:color w:val="auto"/>
                      <w:sz w:val="21"/>
                      <w:szCs w:val="21"/>
                      <w:highlight w:val="none"/>
                      <w:lang w:val="en-US" w:eastAsia="zh-CN"/>
                    </w:rPr>
                    <w:t>国道以北，约占园区总用地的4.71%。石家庄栾城机场位于其中。规划发展通用飞机整机及部件生产和无人机研发和生产，逐步培育飞机研制和航空培训配套服务等综合性航空产业和低空经济产业为主，并培育小微企业孵化。</w:t>
                  </w:r>
                </w:p>
              </w:tc>
              <w:tc>
                <w:tcPr>
                  <w:tcW w:w="1539" w:type="pct"/>
                  <w:vMerge w:val="continue"/>
                  <w:vAlign w:val="center"/>
                </w:tcPr>
                <w:p w14:paraId="2A2056E3">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c>
                <w:tcPr>
                  <w:tcW w:w="641" w:type="pct"/>
                  <w:vMerge w:val="continue"/>
                  <w:vAlign w:val="center"/>
                </w:tcPr>
                <w:p w14:paraId="30AE93C5">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r>
            <w:tr w14:paraId="4113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503" w:type="pct"/>
                  <w:vMerge w:val="continue"/>
                  <w:vAlign w:val="center"/>
                </w:tcPr>
                <w:p w14:paraId="1680364F">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color w:val="auto"/>
                      <w:sz w:val="21"/>
                      <w:szCs w:val="21"/>
                      <w:highlight w:val="none"/>
                      <w:lang w:val="en-US" w:eastAsia="zh-CN"/>
                    </w:rPr>
                  </w:pPr>
                </w:p>
              </w:tc>
              <w:tc>
                <w:tcPr>
                  <w:tcW w:w="3539" w:type="dxa"/>
                  <w:vAlign w:val="center"/>
                </w:tcPr>
                <w:p w14:paraId="3508367C">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④食品和医药产业园区：位于</w:t>
                  </w:r>
                  <w:r>
                    <w:rPr>
                      <w:rFonts w:hint="default" w:ascii="Times New Roman" w:hAnsi="Times New Roman" w:eastAsia="宋体" w:cs="Times New Roman"/>
                      <w:b w:val="0"/>
                      <w:bCs w:val="0"/>
                      <w:color w:val="auto"/>
                      <w:sz w:val="21"/>
                      <w:szCs w:val="21"/>
                      <w:highlight w:val="none"/>
                      <w:lang w:val="en-US" w:eastAsia="zh-CN"/>
                    </w:rPr>
                    <w:t>337</w:t>
                  </w:r>
                  <w:r>
                    <w:rPr>
                      <w:rFonts w:hint="eastAsia" w:ascii="Times New Roman" w:hAnsi="Times New Roman" w:eastAsia="宋体" w:cs="Times New Roman"/>
                      <w:b w:val="0"/>
                      <w:bCs w:val="0"/>
                      <w:color w:val="auto"/>
                      <w:sz w:val="21"/>
                      <w:szCs w:val="21"/>
                      <w:highlight w:val="none"/>
                      <w:lang w:val="en-US" w:eastAsia="zh-CN"/>
                    </w:rPr>
                    <w:t>省道以北、</w:t>
                  </w:r>
                  <w:r>
                    <w:rPr>
                      <w:rFonts w:hint="default" w:ascii="Times New Roman" w:hAnsi="Times New Roman" w:eastAsia="宋体" w:cs="Times New Roman"/>
                      <w:b w:val="0"/>
                      <w:bCs w:val="0"/>
                      <w:color w:val="auto"/>
                      <w:sz w:val="21"/>
                      <w:szCs w:val="21"/>
                      <w:highlight w:val="none"/>
                      <w:lang w:val="en-US" w:eastAsia="zh-CN"/>
                    </w:rPr>
                    <w:t>308</w:t>
                  </w:r>
                  <w:r>
                    <w:rPr>
                      <w:rFonts w:hint="eastAsia" w:ascii="Times New Roman" w:hAnsi="Times New Roman" w:eastAsia="宋体" w:cs="Times New Roman"/>
                      <w:b w:val="0"/>
                      <w:bCs w:val="0"/>
                      <w:color w:val="auto"/>
                      <w:sz w:val="21"/>
                      <w:szCs w:val="21"/>
                      <w:highlight w:val="none"/>
                      <w:lang w:val="en-US" w:eastAsia="zh-CN"/>
                    </w:rPr>
                    <w:t>国道以东、石栾大街以西、惠源路以南，约占园区总用地的18.81%。规划以医药制造产业和食品制造产业为主，以发展医药制造、食品制造产业配套的包装印刷、橡胶和塑料制品制造为辅，培育发展大健康产业和小微企业孵化。其中，列入重点化工监控点的企业在项目审批、建设和管理方面参照省、市规定执行。其他现有化工企业，允许建设安全、环保、节能和智能化改造项目。</w:t>
                  </w:r>
                </w:p>
              </w:tc>
              <w:tc>
                <w:tcPr>
                  <w:tcW w:w="1539" w:type="pct"/>
                  <w:vMerge w:val="continue"/>
                  <w:vAlign w:val="center"/>
                </w:tcPr>
                <w:p w14:paraId="46DC50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p>
              </w:tc>
              <w:tc>
                <w:tcPr>
                  <w:tcW w:w="641" w:type="pct"/>
                  <w:vMerge w:val="continue"/>
                  <w:vAlign w:val="center"/>
                </w:tcPr>
                <w:p w14:paraId="75F549B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p>
              </w:tc>
            </w:tr>
          </w:tbl>
          <w:p w14:paraId="039FAB33">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textAlignment w:val="baseline"/>
              <w:rPr>
                <w:rFonts w:hint="default" w:cs="Times New Roman"/>
                <w:color w:val="auto"/>
                <w:highlight w:val="none"/>
                <w:lang w:val="en-US" w:eastAsia="zh-CN"/>
              </w:rPr>
            </w:pPr>
            <w:r>
              <w:rPr>
                <w:rFonts w:hint="eastAsia" w:cs="Times New Roman"/>
                <w:color w:val="auto"/>
                <w:highlight w:val="none"/>
                <w:lang w:val="en-US" w:eastAsia="zh-CN"/>
              </w:rPr>
              <w:t>（2）园区基础设施见下：</w:t>
            </w:r>
          </w:p>
          <w:p w14:paraId="21BE8203">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cs="Times New Roman"/>
                <w:b/>
                <w:bCs/>
                <w:color w:val="auto"/>
                <w:highlight w:val="none"/>
                <w:lang w:val="en-US" w:eastAsia="zh-CN"/>
              </w:rPr>
            </w:pPr>
            <w:r>
              <w:rPr>
                <w:rFonts w:hint="eastAsia" w:cs="Times New Roman"/>
                <w:b/>
                <w:bCs/>
                <w:color w:val="auto"/>
                <w:highlight w:val="none"/>
                <w:lang w:val="en-US" w:eastAsia="zh-CN"/>
              </w:rPr>
              <w:t>表1-2  园区基础设施符合性分析一览表</w:t>
            </w:r>
          </w:p>
          <w:tbl>
            <w:tblPr>
              <w:tblStyle w:val="48"/>
              <w:tblW w:w="7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633"/>
              <w:gridCol w:w="1601"/>
              <w:gridCol w:w="981"/>
            </w:tblGrid>
            <w:tr w14:paraId="7D03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9" w:type="dxa"/>
                  <w:gridSpan w:val="2"/>
                  <w:vAlign w:val="center"/>
                </w:tcPr>
                <w:p w14:paraId="53C0DE3C">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规划内容</w:t>
                  </w:r>
                </w:p>
              </w:tc>
              <w:tc>
                <w:tcPr>
                  <w:tcW w:w="1601" w:type="dxa"/>
                  <w:vAlign w:val="center"/>
                </w:tcPr>
                <w:p w14:paraId="4FC23A49">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项目情况</w:t>
                  </w:r>
                </w:p>
              </w:tc>
              <w:tc>
                <w:tcPr>
                  <w:tcW w:w="981" w:type="dxa"/>
                  <w:vAlign w:val="center"/>
                </w:tcPr>
                <w:p w14:paraId="3268ACBB">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符合性</w:t>
                  </w:r>
                </w:p>
              </w:tc>
            </w:tr>
            <w:tr w14:paraId="19BD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Align w:val="center"/>
                </w:tcPr>
                <w:p w14:paraId="2A1EC990">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rPr>
                    <w:t>给水</w:t>
                  </w:r>
                </w:p>
              </w:tc>
              <w:tc>
                <w:tcPr>
                  <w:tcW w:w="4633" w:type="dxa"/>
                  <w:vAlign w:val="center"/>
                </w:tcPr>
                <w:p w14:paraId="7A3CAB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规划区远期最高日总用水量为11.70万m</w:t>
                  </w:r>
                  <w:r>
                    <w:rPr>
                      <w:rFonts w:hint="eastAsia"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d，其中栾城区境内用水量为10.93万m</w:t>
                  </w:r>
                  <w:r>
                    <w:rPr>
                      <w:rFonts w:hint="eastAsia"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d、元氏县境内用水量为0.77万m</w:t>
                  </w:r>
                  <w:r>
                    <w:rPr>
                      <w:rFonts w:hint="eastAsia"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d。规划新建园区东地表水厂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石家庄装备制造产业园第一水厂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，扩建城区地表水厂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栾城区供水服务中心</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，保留中瀚水务地表水厂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栾城区供水服务中心</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和栾城区第一水厂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苏邱供水厂</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，将原绿源污水处理厂改建为再生水厂。</w:t>
                  </w:r>
                </w:p>
                <w:p w14:paraId="7CD0C8D3">
                  <w:pPr>
                    <w:keepNext w:val="0"/>
                    <w:keepLines w:val="0"/>
                    <w:widowControl/>
                    <w:suppressLineNumbers w:val="0"/>
                    <w:spacing w:before="0" w:beforeAutospacing="0" w:after="0" w:afterAutospacing="0"/>
                    <w:ind w:left="0" w:right="0"/>
                    <w:jc w:val="center"/>
                    <w:rPr>
                      <w:rFonts w:hint="eastAsia" w:ascii="Times New Roman" w:hAnsi="Times New Roman" w:cs="Times New Roman"/>
                      <w:b/>
                      <w:bCs/>
                      <w:i w:val="0"/>
                      <w:i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园区方西大街以西栾城区境内由中瀚水务地表水厂、园区东地表水厂联合供给，方西大街以西元氏境内由元氏县华电水厂供给，方西大街以东由城区地表水厂供给，栾城区第一供水厂作为应急水源。</w:t>
                  </w:r>
                </w:p>
              </w:tc>
              <w:tc>
                <w:tcPr>
                  <w:tcW w:w="1601" w:type="dxa"/>
                  <w:vAlign w:val="center"/>
                </w:tcPr>
                <w:p w14:paraId="1352FCB2">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i w:val="0"/>
                      <w:iCs w:val="0"/>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rPr>
                    <w:t>项目新鲜水由园区供水管网供给</w:t>
                  </w:r>
                  <w:r>
                    <w:rPr>
                      <w:rFonts w:hint="eastAsia" w:cs="Times New Roman"/>
                      <w:i w:val="0"/>
                      <w:iCs w:val="0"/>
                      <w:color w:val="auto"/>
                      <w:sz w:val="21"/>
                      <w:szCs w:val="21"/>
                      <w:highlight w:val="none"/>
                      <w:lang w:eastAsia="zh-CN"/>
                    </w:rPr>
                    <w:t>，</w:t>
                  </w:r>
                  <w:r>
                    <w:rPr>
                      <w:rFonts w:hint="eastAsia" w:ascii="Times New Roman" w:hAnsi="Times New Roman" w:eastAsia="宋体" w:cs="Times New Roman"/>
                      <w:i w:val="0"/>
                      <w:iCs w:val="0"/>
                      <w:color w:val="auto"/>
                      <w:sz w:val="21"/>
                      <w:szCs w:val="21"/>
                      <w:highlight w:val="none"/>
                      <w:lang w:val="en-US" w:eastAsia="zh-CN"/>
                    </w:rPr>
                    <w:t>取水水源为</w:t>
                  </w:r>
                  <w:r>
                    <w:rPr>
                      <w:rFonts w:hint="eastAsia" w:ascii="Times New Roman" w:hAnsi="Times New Roman" w:eastAsia="宋体" w:cs="Times New Roman"/>
                      <w:i w:val="0"/>
                      <w:iCs w:val="0"/>
                      <w:color w:val="auto"/>
                      <w:kern w:val="0"/>
                      <w:sz w:val="21"/>
                      <w:szCs w:val="21"/>
                      <w:highlight w:val="none"/>
                      <w:lang w:val="en-US" w:eastAsia="zh-CN" w:bidi="ar-SA"/>
                    </w:rPr>
                    <w:t>中瀚水务地表水厂</w:t>
                  </w:r>
                  <w:r>
                    <w:rPr>
                      <w:rFonts w:hint="eastAsia" w:cs="Times New Roman"/>
                      <w:i w:val="0"/>
                      <w:iCs w:val="0"/>
                      <w:color w:val="auto"/>
                      <w:kern w:val="0"/>
                      <w:sz w:val="21"/>
                      <w:szCs w:val="21"/>
                      <w:highlight w:val="none"/>
                      <w:lang w:val="en-US" w:eastAsia="zh-CN" w:bidi="ar-SA"/>
                    </w:rPr>
                    <w:t>供给</w:t>
                  </w:r>
                  <w:r>
                    <w:rPr>
                      <w:rFonts w:hint="eastAsia" w:cs="Times New Roman"/>
                      <w:i w:val="0"/>
                      <w:iCs w:val="0"/>
                      <w:color w:val="auto"/>
                      <w:sz w:val="21"/>
                      <w:szCs w:val="21"/>
                      <w:highlight w:val="none"/>
                      <w:lang w:val="en-US" w:eastAsia="zh-CN"/>
                    </w:rPr>
                    <w:t>。</w:t>
                  </w:r>
                </w:p>
              </w:tc>
              <w:tc>
                <w:tcPr>
                  <w:tcW w:w="981" w:type="dxa"/>
                  <w:vAlign w:val="center"/>
                </w:tcPr>
                <w:p w14:paraId="17845D06">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b w:val="0"/>
                      <w:bCs w:val="0"/>
                      <w:i w:val="0"/>
                      <w:i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符合</w:t>
                  </w:r>
                </w:p>
              </w:tc>
            </w:tr>
            <w:tr w14:paraId="7EC8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26" w:type="dxa"/>
                  <w:vAlign w:val="center"/>
                </w:tcPr>
                <w:p w14:paraId="14B8DF3C">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排水</w:t>
                  </w:r>
                </w:p>
              </w:tc>
              <w:tc>
                <w:tcPr>
                  <w:tcW w:w="4633" w:type="dxa"/>
                  <w:vAlign w:val="center"/>
                </w:tcPr>
                <w:p w14:paraId="25B903F1">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根据园区用地特点，采用不同类别用地用水量对污水量进行预测，规划远期园区总污水量约为</w:t>
                  </w:r>
                  <w:r>
                    <w:rPr>
                      <w:rFonts w:hint="eastAsia" w:cs="Times New Roman"/>
                      <w:color w:val="auto"/>
                      <w:kern w:val="0"/>
                      <w:sz w:val="21"/>
                      <w:szCs w:val="21"/>
                      <w:highlight w:val="none"/>
                      <w:lang w:val="en-US" w:eastAsia="zh-CN" w:bidi="ar-SA"/>
                    </w:rPr>
                    <w:t>5.95</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/d</w:t>
                  </w:r>
                  <w:r>
                    <w:rPr>
                      <w:rFonts w:hint="eastAsia" w:ascii="Times New Roman" w:hAnsi="Times New Roman" w:eastAsia="宋体" w:cs="Times New Roman"/>
                      <w:color w:val="auto"/>
                      <w:kern w:val="0"/>
                      <w:sz w:val="21"/>
                      <w:szCs w:val="21"/>
                      <w:highlight w:val="none"/>
                      <w:lang w:val="en-US" w:eastAsia="zh-CN" w:bidi="ar-SA"/>
                    </w:rPr>
                    <w:t>，其中栾城区境内污水量约为</w:t>
                  </w:r>
                  <w:r>
                    <w:rPr>
                      <w:rFonts w:hint="eastAsia" w:cs="Times New Roman"/>
                      <w:color w:val="auto"/>
                      <w:kern w:val="0"/>
                      <w:sz w:val="21"/>
                      <w:szCs w:val="21"/>
                      <w:highlight w:val="none"/>
                      <w:lang w:val="en-US" w:eastAsia="zh-CN" w:bidi="ar-SA"/>
                    </w:rPr>
                    <w:t>5.52</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/d</w:t>
                  </w:r>
                  <w:r>
                    <w:rPr>
                      <w:rFonts w:hint="eastAsia" w:ascii="Times New Roman" w:hAnsi="Times New Roman" w:eastAsia="宋体" w:cs="Times New Roman"/>
                      <w:color w:val="auto"/>
                      <w:kern w:val="0"/>
                      <w:sz w:val="21"/>
                      <w:szCs w:val="21"/>
                      <w:highlight w:val="none"/>
                      <w:lang w:val="en-US" w:eastAsia="zh-CN" w:bidi="ar-SA"/>
                    </w:rPr>
                    <w:t>、元氏县境内污水量约为</w:t>
                  </w:r>
                  <w:r>
                    <w:rPr>
                      <w:rFonts w:hint="default" w:ascii="Times New Roman" w:hAnsi="Times New Roman" w:eastAsia="宋体" w:cs="Times New Roman"/>
                      <w:color w:val="auto"/>
                      <w:kern w:val="0"/>
                      <w:sz w:val="21"/>
                      <w:szCs w:val="21"/>
                      <w:highlight w:val="none"/>
                      <w:lang w:val="en-US" w:eastAsia="zh-CN" w:bidi="ar-SA"/>
                    </w:rPr>
                    <w:t>0.4</w:t>
                  </w:r>
                  <w:r>
                    <w:rPr>
                      <w:rFonts w:hint="eastAsia" w:cs="Times New Roman"/>
                      <w:color w:val="auto"/>
                      <w:kern w:val="0"/>
                      <w:sz w:val="21"/>
                      <w:szCs w:val="21"/>
                      <w:highlight w:val="none"/>
                      <w:lang w:val="en-US" w:eastAsia="zh-CN" w:bidi="ar-SA"/>
                    </w:rPr>
                    <w:t>4</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/d</w:t>
                  </w:r>
                  <w:r>
                    <w:rPr>
                      <w:rFonts w:hint="eastAsia" w:ascii="Times New Roman" w:hAnsi="Times New Roman" w:eastAsia="宋体" w:cs="Times New Roman"/>
                      <w:color w:val="auto"/>
                      <w:kern w:val="0"/>
                      <w:sz w:val="21"/>
                      <w:szCs w:val="21"/>
                      <w:highlight w:val="none"/>
                      <w:lang w:val="en-US" w:eastAsia="zh-CN" w:bidi="ar-SA"/>
                    </w:rPr>
                    <w:t>。规划保留洨河西污水处理厂和城区污水处理厂，并在城区污水处理厂内增加提标处理工艺设施。</w:t>
                  </w:r>
                </w:p>
                <w:p w14:paraId="289D31F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洨河西污水处理厂</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栾城区绿源污水处理厂</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收水范围为西部工业组团</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装备制造产业园区、产业转型升级示范区栾城区境内</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。城区污水处理厂</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德威华泰石家庄市栾城水务有限公司</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收水范围为东部工业组团</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通用飞机产业园区、食品和医药产业园区</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。西部工业组团中的产业转型升级示范区的元氏县境内的废水排至元氏县槐东污水厂</w:t>
                  </w:r>
                  <w:r>
                    <w:rPr>
                      <w:rFonts w:hint="eastAsia" w:cs="Times New Roman"/>
                      <w:color w:val="auto"/>
                      <w:kern w:val="0"/>
                      <w:sz w:val="21"/>
                      <w:szCs w:val="21"/>
                      <w:highlight w:val="none"/>
                      <w:lang w:val="en-US" w:eastAsia="zh-CN" w:bidi="ar-SA"/>
                    </w:rPr>
                    <w:t>。</w:t>
                  </w:r>
                </w:p>
              </w:tc>
              <w:tc>
                <w:tcPr>
                  <w:tcW w:w="1601" w:type="dxa"/>
                  <w:vAlign w:val="center"/>
                </w:tcPr>
                <w:p w14:paraId="30AAC711">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目前污水管网已铺设至本项目厂区位置，项目废水主要为职工生活污水，生活污水经集成式生物化粪池处理后经园区污水管网排入绿源污水处理有限公司进一步处理</w:t>
                  </w:r>
                  <w:r>
                    <w:rPr>
                      <w:rFonts w:hint="default" w:ascii="Times New Roman" w:hAnsi="Times New Roman" w:eastAsia="Segoe UI" w:cs="Times New Roman"/>
                      <w:bCs w:val="0"/>
                      <w:i w:val="0"/>
                      <w:iCs w:val="0"/>
                      <w:caps w:val="0"/>
                      <w:color w:val="auto"/>
                      <w:spacing w:val="0"/>
                      <w:kern w:val="0"/>
                      <w:sz w:val="21"/>
                      <w:szCs w:val="21"/>
                      <w:highlight w:val="none"/>
                      <w:shd w:val="clear" w:fill="FFFFFF"/>
                      <w:lang w:val="en-US" w:eastAsia="zh-CN" w:bidi="ar-SA"/>
                    </w:rPr>
                    <w:t>。</w:t>
                  </w:r>
                </w:p>
              </w:tc>
              <w:tc>
                <w:tcPr>
                  <w:tcW w:w="981" w:type="dxa"/>
                  <w:vAlign w:val="center"/>
                </w:tcPr>
                <w:p w14:paraId="36102258">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6BF2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6" w:type="dxa"/>
                  <w:vAlign w:val="center"/>
                </w:tcPr>
                <w:p w14:paraId="69B21CF5">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供热</w:t>
                  </w:r>
                </w:p>
              </w:tc>
              <w:tc>
                <w:tcPr>
                  <w:tcW w:w="4633" w:type="dxa"/>
                  <w:vAlign w:val="center"/>
                </w:tcPr>
                <w:p w14:paraId="4645204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规划远期集中供热总热负荷为</w:t>
                  </w:r>
                  <w:r>
                    <w:rPr>
                      <w:rFonts w:hint="default" w:ascii="Times New Roman" w:hAnsi="Times New Roman" w:eastAsia="宋体" w:cs="Times New Roman"/>
                      <w:color w:val="auto"/>
                      <w:kern w:val="0"/>
                      <w:sz w:val="21"/>
                      <w:szCs w:val="21"/>
                      <w:highlight w:val="none"/>
                      <w:lang w:val="en-US" w:eastAsia="zh-CN" w:bidi="ar-SA"/>
                    </w:rPr>
                    <w:t>1100.01MW</w:t>
                  </w:r>
                  <w:r>
                    <w:rPr>
                      <w:rFonts w:hint="eastAsia" w:ascii="Times New Roman" w:hAnsi="Times New Roman" w:eastAsia="宋体" w:cs="Times New Roman"/>
                      <w:color w:val="auto"/>
                      <w:kern w:val="0"/>
                      <w:sz w:val="21"/>
                      <w:szCs w:val="21"/>
                      <w:highlight w:val="none"/>
                      <w:lang w:val="en-US" w:eastAsia="zh-CN" w:bidi="ar-SA"/>
                    </w:rPr>
                    <w:t>，其中栾城区境内采暖热负荷为</w:t>
                  </w:r>
                  <w:r>
                    <w:rPr>
                      <w:rFonts w:hint="default" w:ascii="Times New Roman" w:hAnsi="Times New Roman" w:eastAsia="宋体" w:cs="Times New Roman"/>
                      <w:color w:val="auto"/>
                      <w:kern w:val="0"/>
                      <w:sz w:val="21"/>
                      <w:szCs w:val="21"/>
                      <w:highlight w:val="none"/>
                      <w:lang w:val="en-US" w:eastAsia="zh-CN" w:bidi="ar-SA"/>
                    </w:rPr>
                    <w:t>1047.60MW</w:t>
                  </w:r>
                  <w:r>
                    <w:rPr>
                      <w:rFonts w:hint="eastAsia" w:ascii="Times New Roman" w:hAnsi="Times New Roman" w:eastAsia="宋体" w:cs="Times New Roman"/>
                      <w:color w:val="auto"/>
                      <w:kern w:val="0"/>
                      <w:sz w:val="21"/>
                      <w:szCs w:val="21"/>
                      <w:highlight w:val="none"/>
                      <w:lang w:val="en-US" w:eastAsia="zh-CN" w:bidi="ar-SA"/>
                    </w:rPr>
                    <w:t>、元氏县境内采暖热负荷为</w:t>
                  </w:r>
                  <w:r>
                    <w:rPr>
                      <w:rFonts w:hint="default" w:ascii="Times New Roman" w:hAnsi="Times New Roman" w:eastAsia="宋体" w:cs="Times New Roman"/>
                      <w:color w:val="auto"/>
                      <w:kern w:val="0"/>
                      <w:sz w:val="21"/>
                      <w:szCs w:val="21"/>
                      <w:highlight w:val="none"/>
                      <w:lang w:val="en-US" w:eastAsia="zh-CN" w:bidi="ar-SA"/>
                    </w:rPr>
                    <w:t>52.41MW</w:t>
                  </w:r>
                  <w:r>
                    <w:rPr>
                      <w:rFonts w:hint="eastAsia" w:ascii="Times New Roman" w:hAnsi="Times New Roman" w:eastAsia="宋体" w:cs="Times New Roman"/>
                      <w:color w:val="auto"/>
                      <w:kern w:val="0"/>
                      <w:sz w:val="21"/>
                      <w:szCs w:val="21"/>
                      <w:highlight w:val="none"/>
                      <w:lang w:val="en-US" w:eastAsia="zh-CN" w:bidi="ar-SA"/>
                    </w:rPr>
                    <w:t>。</w:t>
                  </w:r>
                </w:p>
                <w:p w14:paraId="48FC33D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规划园区采用集中供热，热源为中节能垃圾焚烧发电厂、宏源热电厂、冀粤垃圾焚烧发电厂、神威热力中心、裕华热电厂及规划新建栾城西中继能源站。</w:t>
                  </w:r>
                </w:p>
                <w:p w14:paraId="4CAEB2D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供热管网规划采用二级管网系统，热电厂及能源站将高温热水输送到热力站后，经热力站换热后至采暖用户。供热管线采用直埋方式沿路敷设。</w:t>
                  </w:r>
                </w:p>
              </w:tc>
              <w:tc>
                <w:tcPr>
                  <w:tcW w:w="1601" w:type="dxa"/>
                  <w:vAlign w:val="center"/>
                </w:tcPr>
                <w:p w14:paraId="4BE13FF0">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项目生产采用电加热，职工冬季采暖由空调提供。</w:t>
                  </w:r>
                </w:p>
              </w:tc>
              <w:tc>
                <w:tcPr>
                  <w:tcW w:w="981" w:type="dxa"/>
                  <w:vAlign w:val="center"/>
                </w:tcPr>
                <w:p w14:paraId="2C56237A">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符合</w:t>
                  </w:r>
                </w:p>
              </w:tc>
            </w:tr>
            <w:tr w14:paraId="1533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426" w:type="dxa"/>
                  <w:vAlign w:val="center"/>
                </w:tcPr>
                <w:p w14:paraId="3FA0523F">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供电</w:t>
                  </w:r>
                </w:p>
              </w:tc>
              <w:tc>
                <w:tcPr>
                  <w:tcW w:w="4633" w:type="dxa"/>
                  <w:vAlign w:val="center"/>
                </w:tcPr>
                <w:p w14:paraId="53F45816">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园区电力由中节能垃圾焚烧发电厂、冀粤垃圾焚烧发电厂、宏源热电厂、裕华热电厂联合供给。园区电压等级根据国家标准电压等级和上级电网情况，规划为</w:t>
                  </w:r>
                  <w:r>
                    <w:rPr>
                      <w:rFonts w:hint="default" w:ascii="Times New Roman" w:hAnsi="Times New Roman" w:eastAsia="宋体" w:cs="Times New Roman"/>
                      <w:color w:val="auto"/>
                      <w:sz w:val="21"/>
                      <w:szCs w:val="21"/>
                      <w:highlight w:val="none"/>
                      <w:lang w:val="en-US" w:eastAsia="zh-CN"/>
                    </w:rPr>
                    <w:t>220kV/110kV/10KV/0.4kV</w:t>
                  </w:r>
                  <w:r>
                    <w:rPr>
                      <w:rFonts w:hint="eastAsia" w:ascii="Times New Roman" w:hAnsi="Times New Roman" w:eastAsia="宋体" w:cs="Times New Roman"/>
                      <w:color w:val="auto"/>
                      <w:sz w:val="21"/>
                      <w:szCs w:val="21"/>
                      <w:highlight w:val="none"/>
                      <w:lang w:val="en-US" w:eastAsia="zh-CN"/>
                    </w:rPr>
                    <w:t>的三级电网。以</w:t>
                  </w:r>
                  <w:r>
                    <w:rPr>
                      <w:rFonts w:hint="default" w:ascii="Times New Roman" w:hAnsi="Times New Roman" w:eastAsia="宋体" w:cs="Times New Roman"/>
                      <w:color w:val="auto"/>
                      <w:sz w:val="21"/>
                      <w:szCs w:val="21"/>
                      <w:highlight w:val="none"/>
                      <w:lang w:val="en-US" w:eastAsia="zh-CN"/>
                    </w:rPr>
                    <w:t>220kV</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作为园区的送电电压，中压配电电压为</w:t>
                  </w:r>
                  <w:r>
                    <w:rPr>
                      <w:rFonts w:hint="default" w:ascii="Times New Roman" w:hAnsi="Times New Roman" w:eastAsia="宋体" w:cs="Times New Roman"/>
                      <w:color w:val="auto"/>
                      <w:sz w:val="21"/>
                      <w:szCs w:val="21"/>
                      <w:highlight w:val="none"/>
                      <w:lang w:val="en-US" w:eastAsia="zh-CN"/>
                    </w:rPr>
                    <w:t>10kV</w:t>
                  </w:r>
                  <w:r>
                    <w:rPr>
                      <w:rFonts w:hint="eastAsia" w:ascii="Times New Roman" w:hAnsi="Times New Roman" w:eastAsia="宋体" w:cs="Times New Roman"/>
                      <w:color w:val="auto"/>
                      <w:sz w:val="21"/>
                      <w:szCs w:val="21"/>
                      <w:highlight w:val="none"/>
                      <w:lang w:val="en-US" w:eastAsia="zh-CN"/>
                    </w:rPr>
                    <w:t>，低压配电电压为</w:t>
                  </w:r>
                  <w:r>
                    <w:rPr>
                      <w:rFonts w:hint="default" w:ascii="Times New Roman" w:hAnsi="Times New Roman" w:eastAsia="宋体" w:cs="Times New Roman"/>
                      <w:color w:val="auto"/>
                      <w:sz w:val="21"/>
                      <w:szCs w:val="21"/>
                      <w:highlight w:val="none"/>
                      <w:lang w:val="en-US" w:eastAsia="zh-CN"/>
                    </w:rPr>
                    <w:t>0.4kV</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220/380V</w:t>
                  </w:r>
                  <w:r>
                    <w:rPr>
                      <w:rFonts w:hint="eastAsia" w:ascii="Times New Roman" w:hAnsi="Times New Roman" w:eastAsia="宋体" w:cs="Times New Roman"/>
                      <w:color w:val="auto"/>
                      <w:sz w:val="21"/>
                      <w:szCs w:val="21"/>
                      <w:highlight w:val="none"/>
                      <w:lang w:val="en-US" w:eastAsia="zh-CN"/>
                    </w:rPr>
                    <w:t>）。规划保留园区范围内</w:t>
                  </w:r>
                  <w:r>
                    <w:rPr>
                      <w:rFonts w:hint="default" w:ascii="Times New Roman" w:hAnsi="Times New Roman" w:eastAsia="宋体" w:cs="Times New Roman"/>
                      <w:color w:val="auto"/>
                      <w:sz w:val="21"/>
                      <w:szCs w:val="21"/>
                      <w:highlight w:val="none"/>
                      <w:lang w:val="en-US" w:eastAsia="zh-CN"/>
                    </w:rPr>
                    <w:t>220kV</w:t>
                  </w:r>
                  <w:r>
                    <w:rPr>
                      <w:rFonts w:hint="eastAsia" w:ascii="Times New Roman" w:hAnsi="Times New Roman" w:eastAsia="宋体" w:cs="Times New Roman"/>
                      <w:color w:val="auto"/>
                      <w:sz w:val="21"/>
                      <w:szCs w:val="21"/>
                      <w:highlight w:val="none"/>
                      <w:lang w:val="en-US" w:eastAsia="zh-CN"/>
                    </w:rPr>
                    <w:t>龙岗站、</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栾城站、</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窦妪站、</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苏邱站</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座变电站，并新建</w:t>
                  </w:r>
                  <w:r>
                    <w:rPr>
                      <w:rFonts w:hint="default" w:ascii="Times New Roman" w:hAnsi="Times New Roman" w:eastAsia="宋体" w:cs="Times New Roman"/>
                      <w:color w:val="auto"/>
                      <w:sz w:val="21"/>
                      <w:szCs w:val="21"/>
                      <w:highlight w:val="none"/>
                      <w:lang w:val="en-US" w:eastAsia="zh-CN"/>
                    </w:rPr>
                    <w:t>220kV</w:t>
                  </w:r>
                  <w:r>
                    <w:rPr>
                      <w:rFonts w:hint="eastAsia" w:ascii="Times New Roman" w:hAnsi="Times New Roman" w:eastAsia="宋体" w:cs="Times New Roman"/>
                      <w:color w:val="auto"/>
                      <w:sz w:val="21"/>
                      <w:szCs w:val="21"/>
                      <w:highlight w:val="none"/>
                      <w:lang w:val="en-US" w:eastAsia="zh-CN"/>
                    </w:rPr>
                    <w:t>变电站一座、</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座。</w:t>
                  </w:r>
                </w:p>
              </w:tc>
              <w:tc>
                <w:tcPr>
                  <w:tcW w:w="1601" w:type="dxa"/>
                  <w:vAlign w:val="center"/>
                </w:tcPr>
                <w:p w14:paraId="2C5EF753">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项目用电由园区供电管网提供。</w:t>
                  </w:r>
                </w:p>
              </w:tc>
              <w:tc>
                <w:tcPr>
                  <w:tcW w:w="981" w:type="dxa"/>
                  <w:vAlign w:val="center"/>
                </w:tcPr>
                <w:p w14:paraId="377D13DF">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4930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jc w:val="center"/>
              </w:trPr>
              <w:tc>
                <w:tcPr>
                  <w:tcW w:w="426" w:type="dxa"/>
                  <w:vAlign w:val="center"/>
                </w:tcPr>
                <w:p w14:paraId="071BA40B">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燃气</w:t>
                  </w:r>
                </w:p>
              </w:tc>
              <w:tc>
                <w:tcPr>
                  <w:tcW w:w="4633" w:type="dxa"/>
                  <w:vAlign w:val="center"/>
                </w:tcPr>
                <w:p w14:paraId="412AE31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规划以天然气为主要气源，管道天然气采用京石邯长输管道为气源。栾城区境内接入点为西营门站，元氏县境内接入点为城东门站。</w:t>
                  </w:r>
                </w:p>
                <w:p w14:paraId="085BBE5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园区规划远期天然气新增用量为</w:t>
                  </w:r>
                  <w:r>
                    <w:rPr>
                      <w:rFonts w:hint="eastAsia" w:cs="Times New Roman"/>
                      <w:color w:val="auto"/>
                      <w:kern w:val="0"/>
                      <w:sz w:val="21"/>
                      <w:szCs w:val="21"/>
                      <w:highlight w:val="none"/>
                      <w:lang w:val="en-US" w:eastAsia="zh-CN" w:bidi="ar-SA"/>
                    </w:rPr>
                    <w:t>2855.43</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eastAsia" w:cs="Times New Roman"/>
                      <w:color w:val="auto"/>
                      <w:kern w:val="0"/>
                      <w:sz w:val="21"/>
                      <w:szCs w:val="21"/>
                      <w:highlight w:val="none"/>
                      <w:vertAlign w:val="baseli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年，其中栾城区境内天然气用量为</w:t>
                  </w:r>
                  <w:r>
                    <w:rPr>
                      <w:rFonts w:hint="eastAsia" w:cs="Times New Roman"/>
                      <w:color w:val="auto"/>
                      <w:kern w:val="0"/>
                      <w:sz w:val="21"/>
                      <w:szCs w:val="21"/>
                      <w:highlight w:val="none"/>
                      <w:lang w:val="en-US" w:eastAsia="zh-CN" w:bidi="ar-SA"/>
                    </w:rPr>
                    <w:t>2647.32</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eastAsia" w:cs="Times New Roman"/>
                      <w:color w:val="auto"/>
                      <w:kern w:val="0"/>
                      <w:sz w:val="21"/>
                      <w:szCs w:val="21"/>
                      <w:highlight w:val="none"/>
                      <w:vertAlign w:val="baseli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年、元氏县境内天然气用量为</w:t>
                  </w:r>
                  <w:r>
                    <w:rPr>
                      <w:rFonts w:hint="eastAsia" w:cs="Times New Roman"/>
                      <w:color w:val="auto"/>
                      <w:kern w:val="0"/>
                      <w:sz w:val="21"/>
                      <w:szCs w:val="21"/>
                      <w:highlight w:val="none"/>
                      <w:lang w:val="en-US" w:eastAsia="zh-CN" w:bidi="ar-SA"/>
                    </w:rPr>
                    <w:t>208.11</w:t>
                  </w:r>
                  <w:r>
                    <w:rPr>
                      <w:rFonts w:hint="eastAsia" w:ascii="Times New Roman" w:hAnsi="Times New Roman" w:eastAsia="宋体" w:cs="Times New Roman"/>
                      <w:color w:val="auto"/>
                      <w:kern w:val="0"/>
                      <w:sz w:val="21"/>
                      <w:szCs w:val="21"/>
                      <w:highlight w:val="none"/>
                      <w:lang w:val="en-US" w:eastAsia="zh-CN" w:bidi="ar-SA"/>
                    </w:rPr>
                    <w:t>万</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eastAsia" w:cs="Times New Roman"/>
                      <w:color w:val="auto"/>
                      <w:kern w:val="0"/>
                      <w:sz w:val="21"/>
                      <w:szCs w:val="21"/>
                      <w:highlight w:val="none"/>
                      <w:vertAlign w:val="baseli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年。</w:t>
                  </w:r>
                </w:p>
                <w:p w14:paraId="056820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园区天然气管网采用中压一级管网系统，工作压力</w:t>
                  </w:r>
                  <w:r>
                    <w:rPr>
                      <w:rFonts w:hint="default" w:ascii="Times New Roman" w:hAnsi="Times New Roman" w:eastAsia="宋体" w:cs="Times New Roman"/>
                      <w:color w:val="auto"/>
                      <w:kern w:val="0"/>
                      <w:sz w:val="21"/>
                      <w:szCs w:val="21"/>
                      <w:highlight w:val="none"/>
                      <w:lang w:val="en-US" w:eastAsia="zh-CN" w:bidi="ar-SA"/>
                    </w:rPr>
                    <w:t>0.4Mpa</w:t>
                  </w:r>
                  <w:r>
                    <w:rPr>
                      <w:rFonts w:hint="eastAsia" w:ascii="Times New Roman" w:hAnsi="Times New Roman" w:eastAsia="宋体" w:cs="Times New Roman"/>
                      <w:color w:val="auto"/>
                      <w:kern w:val="0"/>
                      <w:sz w:val="21"/>
                      <w:szCs w:val="21"/>
                      <w:highlight w:val="none"/>
                      <w:lang w:val="en-US" w:eastAsia="zh-CN" w:bidi="ar-SA"/>
                    </w:rPr>
                    <w:t>，由京石邯天然气长输管线供应，经调压站调压至用户。燃气管网采用环形管网，保证燃气的供气安全，管径为</w:t>
                  </w:r>
                  <w:r>
                    <w:rPr>
                      <w:rFonts w:hint="default" w:ascii="Times New Roman" w:hAnsi="Times New Roman" w:eastAsia="宋体" w:cs="Times New Roman"/>
                      <w:color w:val="auto"/>
                      <w:kern w:val="0"/>
                      <w:sz w:val="21"/>
                      <w:szCs w:val="21"/>
                      <w:highlight w:val="none"/>
                      <w:lang w:val="en-US" w:eastAsia="zh-CN" w:bidi="ar-SA"/>
                    </w:rPr>
                    <w:t>150-250mm</w:t>
                  </w:r>
                  <w:r>
                    <w:rPr>
                      <w:rFonts w:hint="eastAsia" w:ascii="Times New Roman" w:hAnsi="Times New Roman" w:eastAsia="宋体" w:cs="Times New Roman"/>
                      <w:color w:val="auto"/>
                      <w:kern w:val="0"/>
                      <w:sz w:val="21"/>
                      <w:szCs w:val="21"/>
                      <w:highlight w:val="none"/>
                      <w:lang w:val="en-US" w:eastAsia="zh-CN" w:bidi="ar-SA"/>
                    </w:rPr>
                    <w:t>。</w:t>
                  </w:r>
                </w:p>
              </w:tc>
              <w:tc>
                <w:tcPr>
                  <w:tcW w:w="1601" w:type="dxa"/>
                  <w:vAlign w:val="center"/>
                </w:tcPr>
                <w:p w14:paraId="19F4BFC0">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项目不使用天然气。</w:t>
                  </w:r>
                </w:p>
              </w:tc>
              <w:tc>
                <w:tcPr>
                  <w:tcW w:w="981" w:type="dxa"/>
                  <w:vAlign w:val="center"/>
                </w:tcPr>
                <w:p w14:paraId="5784642B">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14:paraId="53CF330A">
            <w:pPr>
              <w:pStyle w:val="230"/>
              <w:keepNext w:val="0"/>
              <w:keepLines w:val="0"/>
              <w:suppressLineNumbers w:val="0"/>
              <w:spacing w:before="0" w:beforeAutospacing="0" w:after="0" w:afterAutospacing="0"/>
              <w:ind w:left="0" w:right="0" w:firstLine="480"/>
              <w:rPr>
                <w:rFonts w:hint="default" w:ascii="Times New Roman" w:hAnsi="Times New Roman" w:eastAsia="宋体" w:cs="Times New Roman"/>
                <w:b/>
                <w:bCs/>
                <w:color w:val="auto"/>
                <w:highlight w:val="none"/>
                <w:lang w:val="en-US" w:eastAsia="zh-CN"/>
              </w:rPr>
            </w:pPr>
          </w:p>
          <w:p w14:paraId="6A79BEF3">
            <w:pPr>
              <w:pStyle w:val="230"/>
              <w:keepNext w:val="0"/>
              <w:keepLines w:val="0"/>
              <w:suppressLineNumbers w:val="0"/>
              <w:spacing w:before="0" w:beforeAutospacing="0" w:after="0" w:afterAutospacing="0"/>
              <w:ind w:left="0" w:right="0" w:firstLine="480"/>
              <w:rPr>
                <w:rFonts w:hint="default" w:ascii="Times New Roman" w:hAnsi="Times New Roman" w:eastAsia="宋体" w:cs="Times New Roman"/>
                <w:b/>
                <w:bCs/>
                <w:color w:val="auto"/>
                <w:highlight w:val="none"/>
                <w:lang w:val="en-US" w:eastAsia="zh-CN"/>
              </w:rPr>
            </w:pPr>
          </w:p>
          <w:p w14:paraId="465678C3">
            <w:pPr>
              <w:pStyle w:val="230"/>
              <w:keepNext w:val="0"/>
              <w:keepLines w:val="0"/>
              <w:suppressLineNumbers w:val="0"/>
              <w:spacing w:before="0" w:beforeAutospacing="0" w:after="0" w:afterAutospacing="0"/>
              <w:ind w:left="0" w:right="0" w:firstLine="480"/>
              <w:rPr>
                <w:rFonts w:hint="default" w:ascii="Times New Roman" w:hAnsi="Times New Roman" w:eastAsia="宋体" w:cs="Times New Roman"/>
                <w:b/>
                <w:bCs/>
                <w:color w:val="auto"/>
                <w:highlight w:val="none"/>
                <w:lang w:val="en-US" w:eastAsia="zh-CN"/>
              </w:rPr>
            </w:pPr>
          </w:p>
          <w:p w14:paraId="6715F3CA">
            <w:pPr>
              <w:pStyle w:val="230"/>
              <w:keepNext w:val="0"/>
              <w:keepLines w:val="0"/>
              <w:suppressLineNumbers w:val="0"/>
              <w:spacing w:before="0" w:beforeAutospacing="0" w:after="0" w:afterAutospacing="0"/>
              <w:ind w:left="0" w:right="0"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规划环评结论符合性</w:t>
            </w:r>
          </w:p>
          <w:p w14:paraId="05D7B9BD">
            <w:pPr>
              <w:pStyle w:val="230"/>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本项目与规划环评结论符合性分析情况见下表：</w:t>
            </w:r>
          </w:p>
          <w:p w14:paraId="6C0C9B25">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表</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3</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b/>
                <w:bCs/>
                <w:color w:val="auto"/>
                <w:sz w:val="24"/>
                <w:highlight w:val="none"/>
                <w:lang w:val="en-US" w:eastAsia="zh-CN"/>
              </w:rPr>
              <w:t>项目与规划环评结论符合性分析一览表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043"/>
              <w:gridCol w:w="1832"/>
              <w:gridCol w:w="983"/>
            </w:tblGrid>
            <w:tr w14:paraId="3A97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5E4A2AE3">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序号</w:t>
                  </w:r>
                </w:p>
              </w:tc>
              <w:tc>
                <w:tcPr>
                  <w:tcW w:w="4043" w:type="dxa"/>
                  <w:vAlign w:val="center"/>
                </w:tcPr>
                <w:p w14:paraId="664C8F2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相关内容</w:t>
                  </w:r>
                </w:p>
              </w:tc>
              <w:tc>
                <w:tcPr>
                  <w:tcW w:w="1832" w:type="dxa"/>
                  <w:vAlign w:val="center"/>
                </w:tcPr>
                <w:p w14:paraId="6D82847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项目情况</w:t>
                  </w:r>
                </w:p>
              </w:tc>
              <w:tc>
                <w:tcPr>
                  <w:tcW w:w="983" w:type="dxa"/>
                  <w:vAlign w:val="center"/>
                </w:tcPr>
                <w:p w14:paraId="1FB22B5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符合性</w:t>
                  </w:r>
                </w:p>
              </w:tc>
            </w:tr>
            <w:tr w14:paraId="1980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726F4D9F">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043" w:type="dxa"/>
                  <w:vAlign w:val="center"/>
                </w:tcPr>
                <w:p w14:paraId="48D5C56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规划分析结论：阐述了规划期限、范围、园区性质、产业定位。</w:t>
                  </w:r>
                </w:p>
              </w:tc>
              <w:tc>
                <w:tcPr>
                  <w:tcW w:w="1832" w:type="dxa"/>
                  <w:vMerge w:val="restart"/>
                  <w:vAlign w:val="center"/>
                </w:tcPr>
                <w:p w14:paraId="5DFF771F">
                  <w:pPr>
                    <w:pStyle w:val="23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本项目位于石家庄栾城区装备制造产业园内，</w:t>
                  </w:r>
                  <w:r>
                    <w:rPr>
                      <w:rFonts w:hint="eastAsia" w:cs="Times New Roman"/>
                      <w:color w:val="auto"/>
                      <w:kern w:val="2"/>
                      <w:sz w:val="21"/>
                      <w:szCs w:val="21"/>
                      <w:highlight w:val="none"/>
                      <w:lang w:val="en-US" w:eastAsia="zh-CN" w:bidi="ar-SA"/>
                    </w:rPr>
                    <w:t>窦妪村装备制造产业园区奥翔街6-1号（院内3号房）</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本项目为改建项目，项目产品为汽车塑料配件，属于汽车零部件，符合园区规划定位</w:t>
                  </w:r>
                  <w:r>
                    <w:rPr>
                      <w:rFonts w:hint="eastAsia" w:ascii="Times New Roman" w:hAnsi="Times New Roman" w:eastAsia="宋体" w:cs="Times New Roman"/>
                      <w:color w:val="auto"/>
                      <w:kern w:val="2"/>
                      <w:sz w:val="21"/>
                      <w:szCs w:val="21"/>
                      <w:highlight w:val="none"/>
                      <w:lang w:val="en-US" w:eastAsia="zh-CN" w:bidi="ar-SA"/>
                    </w:rPr>
                    <w:t>。</w:t>
                  </w:r>
                </w:p>
              </w:tc>
              <w:tc>
                <w:tcPr>
                  <w:tcW w:w="983" w:type="dxa"/>
                  <w:vAlign w:val="center"/>
                </w:tcPr>
                <w:p w14:paraId="00E1E66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61BF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40CB8FCF">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043" w:type="dxa"/>
                  <w:vAlign w:val="center"/>
                </w:tcPr>
                <w:p w14:paraId="1A66A74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规划的协调性分析结论：通过与国家、省、市有关规划的分析，规划与国民经济发展规划、环保规划、行业规划等相关规划的要求基本一致。规划发展的产业定位与相关的产业政策和规划要求也一致或不冲突。</w:t>
                  </w:r>
                </w:p>
              </w:tc>
              <w:tc>
                <w:tcPr>
                  <w:tcW w:w="1832" w:type="dxa"/>
                  <w:vMerge w:val="continue"/>
                  <w:vAlign w:val="center"/>
                </w:tcPr>
                <w:p w14:paraId="16E1BFF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both"/>
                    <w:rPr>
                      <w:rFonts w:hint="default" w:ascii="Times New Roman" w:hAnsi="Times New Roman" w:eastAsia="宋体" w:cs="Times New Roman"/>
                      <w:color w:val="auto"/>
                      <w:kern w:val="2"/>
                      <w:sz w:val="21"/>
                      <w:szCs w:val="21"/>
                      <w:highlight w:val="none"/>
                      <w:lang w:val="en-US" w:eastAsia="zh-CN" w:bidi="ar-SA"/>
                    </w:rPr>
                  </w:pPr>
                </w:p>
              </w:tc>
              <w:tc>
                <w:tcPr>
                  <w:tcW w:w="983" w:type="dxa"/>
                  <w:vAlign w:val="center"/>
                </w:tcPr>
                <w:p w14:paraId="32F8689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4C2B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075729CD">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4043" w:type="dxa"/>
                  <w:vAlign w:val="center"/>
                </w:tcPr>
                <w:p w14:paraId="725D7B9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环境质量现状分析结论</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大气环境中PM</w:t>
                  </w:r>
                  <w:r>
                    <w:rPr>
                      <w:rFonts w:hint="eastAsia" w:ascii="Times New Roman" w:hAnsi="Times New Roman" w:eastAsia="宋体" w:cs="Times New Roman"/>
                      <w:color w:val="auto"/>
                      <w:kern w:val="2"/>
                      <w:sz w:val="21"/>
                      <w:szCs w:val="21"/>
                      <w:highlight w:val="none"/>
                      <w:vertAlign w:val="sub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、PM</w:t>
                  </w:r>
                  <w:r>
                    <w:rPr>
                      <w:rFonts w:hint="eastAsia" w:cs="Times New Roman"/>
                      <w:color w:val="auto"/>
                      <w:kern w:val="2"/>
                      <w:sz w:val="21"/>
                      <w:szCs w:val="21"/>
                      <w:highlight w:val="none"/>
                      <w:vertAlign w:val="subscript"/>
                      <w:lang w:val="en-US" w:eastAsia="zh-CN" w:bidi="ar-SA"/>
                    </w:rPr>
                    <w:t>2.5</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O</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污染物年评价指标及部分监测点中补充监测TSP24小时平均浓度不满足，其他因子均符合相关空气质量标准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地表水环境中洨河、石家庄总退水渠、北沙河、槐河中总氮超标外其他因子均符合相关地表水质量标准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地下水环境中除总硬度</w:t>
                  </w:r>
                  <w:r>
                    <w:rPr>
                      <w:rFonts w:hint="eastAsia" w:cs="Times New Roman"/>
                      <w:color w:val="auto"/>
                      <w:kern w:val="2"/>
                      <w:sz w:val="21"/>
                      <w:szCs w:val="21"/>
                      <w:highlight w:val="none"/>
                      <w:lang w:val="en-US" w:eastAsia="zh-CN" w:bidi="ar-SA"/>
                    </w:rPr>
                    <w:t>和溶解性总固体</w:t>
                  </w:r>
                  <w:r>
                    <w:rPr>
                      <w:rFonts w:hint="eastAsia" w:ascii="Times New Roman" w:hAnsi="Times New Roman" w:eastAsia="宋体" w:cs="Times New Roman"/>
                      <w:color w:val="auto"/>
                      <w:kern w:val="2"/>
                      <w:sz w:val="21"/>
                      <w:szCs w:val="21"/>
                      <w:highlight w:val="none"/>
                      <w:lang w:val="en-US" w:eastAsia="zh-CN" w:bidi="ar-SA"/>
                    </w:rPr>
                    <w:t>外，其他因子均符合相关地下水质量标准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区域声环境八里庄村北侧衡井公路道路交通声环境、马家庄村西侧石栾大街道路交通声环境夜间不能满足《声环境质量标准》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GB3096-2008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4a类声环境功能区限值要求、内营村距离石栾大街较近，夜间出现不能满足《声环境质量标准》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GB3096-2008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2类声环境功能区限值要求。其余监测点位满足相应功能区划要求</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园区土壤环境中各监测点位监测因子均满足《土壤环境质量 建设用地土壤污染风险管控标准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试行</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GB36600-2018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、《建设用地土壤污染风险筛选</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DB13/T5216-2022</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、《土壤环境质量 农用地土壤值》污染风险管控标准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试行</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GB15618-2018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要求。</w:t>
                  </w:r>
                </w:p>
              </w:tc>
              <w:tc>
                <w:tcPr>
                  <w:tcW w:w="1832" w:type="dxa"/>
                  <w:vMerge w:val="restart"/>
                  <w:vAlign w:val="center"/>
                </w:tcPr>
                <w:p w14:paraId="11C0BDF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color w:val="auto"/>
                      <w:szCs w:val="20"/>
                      <w:highlight w:val="none"/>
                    </w:rPr>
                  </w:pPr>
                  <w:r>
                    <w:rPr>
                      <w:rFonts w:hint="eastAsia" w:ascii="Times New Roman" w:hAnsi="Times New Roman" w:eastAsia="宋体" w:cs="Times New Roman"/>
                      <w:color w:val="auto"/>
                      <w:kern w:val="2"/>
                      <w:sz w:val="21"/>
                      <w:szCs w:val="21"/>
                      <w:highlight w:val="none"/>
                      <w:lang w:val="en-US" w:eastAsia="zh-CN" w:bidi="ar-SA"/>
                    </w:rPr>
                    <w:t>项目废气采取有效治理措施后可达标排放；</w:t>
                  </w:r>
                  <w:r>
                    <w:rPr>
                      <w:rFonts w:hint="eastAsia"/>
                      <w:color w:val="auto"/>
                      <w:sz w:val="21"/>
                      <w:szCs w:val="21"/>
                      <w:highlight w:val="none"/>
                      <w:lang w:val="en-US" w:eastAsia="zh-CN"/>
                    </w:rPr>
                    <w:t>项目废水主要为职工生活污水，生活污水经集成式生物化粪池处理后经园区污水管网排入绿源污水处理有限公司进一步处理</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固体废物全部得到合理处置；项目选用低噪音设备，采取基础减振、厂房隔声等措施，经预测分析，可保证厂界噪声达标；项目无土壤污染因子和污染途径。项目利用现有闲置厂房进行建设，不会对生态环境造成影响；项目经采取相应防范措施，环境风险可控。综上分析，项目的实施不会对区域环境质量造成明显影响。</w:t>
                  </w:r>
                </w:p>
                <w:p w14:paraId="1187445C">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cs="Times New Roman"/>
                      <w:color w:val="auto"/>
                      <w:highlight w:val="none"/>
                      <w:vertAlign w:val="baseline"/>
                    </w:rPr>
                  </w:pPr>
                </w:p>
              </w:tc>
              <w:tc>
                <w:tcPr>
                  <w:tcW w:w="983" w:type="dxa"/>
                  <w:vMerge w:val="restart"/>
                  <w:vAlign w:val="center"/>
                </w:tcPr>
                <w:p w14:paraId="0299443E">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cs="Times New Roman"/>
                      <w:color w:val="auto"/>
                      <w:highlight w:val="none"/>
                      <w:vertAlign w:val="baseline"/>
                    </w:rPr>
                  </w:pPr>
                  <w:r>
                    <w:rPr>
                      <w:rFonts w:hint="eastAsia" w:ascii="Times New Roman" w:hAnsi="Times New Roman" w:eastAsia="宋体" w:cs="Times New Roman"/>
                      <w:color w:val="auto"/>
                      <w:kern w:val="2"/>
                      <w:sz w:val="21"/>
                      <w:szCs w:val="21"/>
                      <w:highlight w:val="none"/>
                      <w:lang w:val="en-US" w:eastAsia="zh-CN" w:bidi="ar-SA"/>
                    </w:rPr>
                    <w:t>符合</w:t>
                  </w:r>
                </w:p>
              </w:tc>
            </w:tr>
            <w:tr w14:paraId="1474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79F06B43">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4043" w:type="dxa"/>
                  <w:vAlign w:val="center"/>
                </w:tcPr>
                <w:p w14:paraId="615D0C1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环境影响分析预测结论</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产业园区规划实施后，通过淘汰低效产能企业、提升现有企业环保措施、完善集中供热方案等措施，根据 PM</w:t>
                  </w:r>
                  <w:r>
                    <w:rPr>
                      <w:rFonts w:hint="eastAsia" w:cs="Times New Roman"/>
                      <w:color w:val="auto"/>
                      <w:kern w:val="2"/>
                      <w:sz w:val="21"/>
                      <w:szCs w:val="21"/>
                      <w:highlight w:val="none"/>
                      <w:vertAlign w:val="sub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、PM</w:t>
                  </w:r>
                  <w:r>
                    <w:rPr>
                      <w:rFonts w:hint="eastAsia" w:ascii="Times New Roman" w:hAnsi="Times New Roman" w:eastAsia="宋体" w:cs="Times New Roman"/>
                      <w:color w:val="auto"/>
                      <w:kern w:val="2"/>
                      <w:sz w:val="21"/>
                      <w:szCs w:val="21"/>
                      <w:highlight w:val="none"/>
                      <w:vertAlign w:val="subscript"/>
                      <w:lang w:val="en-US" w:eastAsia="zh-CN" w:bidi="ar-SA"/>
                    </w:rPr>
                    <w:t>2</w:t>
                  </w:r>
                  <w:r>
                    <w:rPr>
                      <w:rFonts w:hint="eastAsia" w:cs="Times New Roman"/>
                      <w:color w:val="auto"/>
                      <w:kern w:val="2"/>
                      <w:sz w:val="21"/>
                      <w:szCs w:val="21"/>
                      <w:highlight w:val="none"/>
                      <w:vertAlign w:val="subscript"/>
                      <w:lang w:val="en-US" w:eastAsia="zh-CN" w:bidi="ar-SA"/>
                    </w:rPr>
                    <w:t>.</w:t>
                  </w:r>
                  <w:r>
                    <w:rPr>
                      <w:rFonts w:hint="eastAsia" w:ascii="Times New Roman" w:hAnsi="Times New Roman" w:eastAsia="宋体" w:cs="Times New Roman"/>
                      <w:color w:val="auto"/>
                      <w:kern w:val="2"/>
                      <w:sz w:val="21"/>
                      <w:szCs w:val="21"/>
                      <w:highlight w:val="none"/>
                      <w:vertAlign w:val="subscript"/>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、SO</w:t>
                  </w:r>
                  <w:r>
                    <w:rPr>
                      <w:rFonts w:hint="eastAsia"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及NO</w:t>
                  </w:r>
                  <w:r>
                    <w:rPr>
                      <w:rFonts w:hint="eastAsia"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预测结果，区域PM</w:t>
                  </w:r>
                  <w:r>
                    <w:rPr>
                      <w:rFonts w:hint="eastAsia" w:cs="Times New Roman"/>
                      <w:color w:val="auto"/>
                      <w:kern w:val="2"/>
                      <w:sz w:val="21"/>
                      <w:szCs w:val="21"/>
                      <w:highlight w:val="none"/>
                      <w:vertAlign w:val="sub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、PM</w:t>
                  </w:r>
                  <w:r>
                    <w:rPr>
                      <w:rFonts w:hint="eastAsia" w:ascii="Times New Roman" w:hAnsi="Times New Roman" w:eastAsia="宋体" w:cs="Times New Roman"/>
                      <w:color w:val="auto"/>
                      <w:kern w:val="2"/>
                      <w:sz w:val="21"/>
                      <w:szCs w:val="21"/>
                      <w:highlight w:val="none"/>
                      <w:vertAlign w:val="subscript"/>
                      <w:lang w:val="en-US" w:eastAsia="zh-CN" w:bidi="ar-SA"/>
                    </w:rPr>
                    <w:t>2.5</w:t>
                  </w:r>
                  <w:r>
                    <w:rPr>
                      <w:rFonts w:hint="eastAsia" w:ascii="Times New Roman" w:hAnsi="Times New Roman" w:eastAsia="宋体" w:cs="Times New Roman"/>
                      <w:color w:val="auto"/>
                      <w:kern w:val="2"/>
                      <w:sz w:val="21"/>
                      <w:szCs w:val="21"/>
                      <w:highlight w:val="none"/>
                      <w:lang w:val="en-US" w:eastAsia="zh-CN" w:bidi="ar-SA"/>
                    </w:rPr>
                    <w:t>、SO</w:t>
                  </w:r>
                  <w:r>
                    <w:rPr>
                      <w:rFonts w:hint="eastAsia"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及NO</w:t>
                  </w:r>
                  <w:r>
                    <w:rPr>
                      <w:rFonts w:hint="eastAsia"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年平均浓度均为改善的，另外，结合产业园区及周边区域PM</w:t>
                  </w:r>
                  <w:r>
                    <w:rPr>
                      <w:rFonts w:hint="eastAsia" w:ascii="Times New Roman" w:hAnsi="Times New Roman" w:eastAsia="宋体" w:cs="Times New Roman"/>
                      <w:color w:val="auto"/>
                      <w:kern w:val="2"/>
                      <w:sz w:val="21"/>
                      <w:szCs w:val="21"/>
                      <w:highlight w:val="none"/>
                      <w:vertAlign w:val="subscript"/>
                      <w:lang w:val="en-US" w:eastAsia="zh-CN" w:bidi="ar-SA"/>
                    </w:rPr>
                    <w:t>2</w:t>
                  </w:r>
                  <w:r>
                    <w:rPr>
                      <w:rFonts w:hint="eastAsia" w:cs="Times New Roman"/>
                      <w:color w:val="auto"/>
                      <w:kern w:val="2"/>
                      <w:sz w:val="21"/>
                      <w:szCs w:val="21"/>
                      <w:highlight w:val="none"/>
                      <w:vertAlign w:val="subscript"/>
                      <w:lang w:val="en-US" w:eastAsia="zh-CN" w:bidi="ar-SA"/>
                    </w:rPr>
                    <w:t>.</w:t>
                  </w:r>
                  <w:r>
                    <w:rPr>
                      <w:rFonts w:hint="eastAsia" w:ascii="Times New Roman" w:hAnsi="Times New Roman" w:eastAsia="宋体" w:cs="Times New Roman"/>
                      <w:color w:val="auto"/>
                      <w:kern w:val="2"/>
                      <w:sz w:val="21"/>
                      <w:szCs w:val="21"/>
                      <w:highlight w:val="none"/>
                      <w:vertAlign w:val="subscript"/>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本底监测可知，在计算本规划削减源的改善作用后，近期产业园区区域PM</w:t>
                  </w:r>
                  <w:r>
                    <w:rPr>
                      <w:rFonts w:hint="eastAsia" w:cs="Times New Roman"/>
                      <w:color w:val="auto"/>
                      <w:kern w:val="2"/>
                      <w:sz w:val="21"/>
                      <w:szCs w:val="21"/>
                      <w:highlight w:val="none"/>
                      <w:vertAlign w:val="subscript"/>
                      <w:lang w:val="en-US" w:eastAsia="zh-CN" w:bidi="ar-SA"/>
                    </w:rPr>
                    <w:t>2.5</w:t>
                  </w:r>
                  <w:r>
                    <w:rPr>
                      <w:rFonts w:hint="eastAsia" w:ascii="Times New Roman" w:hAnsi="Times New Roman" w:eastAsia="宋体" w:cs="Times New Roman"/>
                      <w:color w:val="auto"/>
                      <w:kern w:val="2"/>
                      <w:sz w:val="21"/>
                      <w:szCs w:val="21"/>
                      <w:highlight w:val="none"/>
                      <w:lang w:val="en-US" w:eastAsia="zh-CN" w:bidi="ar-SA"/>
                    </w:rPr>
                    <w:t>可满足石家庄十四五环境保护规划中PM</w:t>
                  </w:r>
                  <w:r>
                    <w:rPr>
                      <w:rFonts w:hint="eastAsia" w:cs="Times New Roman"/>
                      <w:color w:val="auto"/>
                      <w:kern w:val="2"/>
                      <w:sz w:val="21"/>
                      <w:szCs w:val="21"/>
                      <w:highlight w:val="none"/>
                      <w:vertAlign w:val="subscript"/>
                      <w:lang w:val="en-US" w:eastAsia="zh-CN" w:bidi="ar-SA"/>
                    </w:rPr>
                    <w:t>2.5</w:t>
                  </w:r>
                  <w:r>
                    <w:rPr>
                      <w:rFonts w:hint="eastAsia" w:ascii="Times New Roman" w:hAnsi="Times New Roman" w:eastAsia="宋体" w:cs="Times New Roman"/>
                      <w:color w:val="auto"/>
                      <w:kern w:val="2"/>
                      <w:sz w:val="21"/>
                      <w:szCs w:val="21"/>
                      <w:highlight w:val="none"/>
                      <w:lang w:val="en-US" w:eastAsia="zh-CN" w:bidi="ar-SA"/>
                    </w:rPr>
                    <w:t>环境目标控制要求</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通过加强污水处理厂和规划排水企业水污染控制措施</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能够保证废水全部进入集中污水处理厂进行处理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污水处理厂处理能力、处理工艺能够满足规划产业废水处理要求，处理后的废水能够稳定达标排放。通过中水回用率的提高，可以减少水污染物对洨河、槐河的影响。本评价提出了入区企业和各污水处理厂事故状态下的防范措施，保证事故工况下不会对区域地表水产生污染影响</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正常状况下的跑冒滴漏对地下水影响较小。此外，区域第四系孔隙水与岩溶水之间存在稳定的隔水层，污染物更不会透过隔水层对岩溶水水质造成影响。产业园区规划实施后，通过合理布局、源头控制、分区防渗应急响应、跟踪监测等措施，规划产业的发展不会加重区域水环境风险，不会对区域地下水环境产生明显污染影响;通过合理设计布局，采取完善的隔声降噪措施，产业园区的声环境质量可达到《声环境质量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GB3096-2008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中</w:t>
                  </w:r>
                  <w:r>
                    <w:rPr>
                      <w:rFonts w:hint="eastAsia" w:cs="Times New Roman"/>
                      <w:color w:val="auto"/>
                      <w:kern w:val="2"/>
                      <w:sz w:val="21"/>
                      <w:szCs w:val="21"/>
                      <w:highlight w:val="none"/>
                      <w:lang w:val="en-US" w:eastAsia="zh-CN" w:bidi="ar-SA"/>
                    </w:rPr>
                    <w:t>各类</w:t>
                  </w:r>
                  <w:r>
                    <w:rPr>
                      <w:rFonts w:hint="eastAsia" w:ascii="Times New Roman" w:hAnsi="Times New Roman" w:eastAsia="宋体" w:cs="Times New Roman"/>
                      <w:color w:val="auto"/>
                      <w:kern w:val="2"/>
                      <w:sz w:val="21"/>
                      <w:szCs w:val="21"/>
                      <w:highlight w:val="none"/>
                      <w:lang w:val="en-US" w:eastAsia="zh-CN" w:bidi="ar-SA"/>
                    </w:rPr>
                    <w:t>功能区标准要求，规划的实施不会改变区域声环境功能，满足环境质量底线要求</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在落实本评价提出的固体废物处置措施的情况下，产业园区产生的固体废物可全部综合利用或妥善处置，不会对区域环境产生明显不良影响</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在严格按照土壤污染防护措施后，规划实施对区域土壤环境影响可接受</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在产业园区基础设施和入区企业建设严格落实总体规划和本评价提出的预防措施的前提下，产业园区规划的实施对区域生态环境的影响是可以接受的</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在采取完善的风险防范措施并且对风险源进行合理布局的条件下</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环境风险可防控控制。同时，开发区通过采取项目准入控制措施、工程措施管理措施、监控措施、修复治理措施多项措施，可避免规划实施后对区域环境产生污染影响。</w:t>
                  </w:r>
                </w:p>
              </w:tc>
              <w:tc>
                <w:tcPr>
                  <w:tcW w:w="1832" w:type="dxa"/>
                  <w:vMerge w:val="continue"/>
                  <w:vAlign w:val="center"/>
                </w:tcPr>
                <w:p w14:paraId="68C75B82">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cs="Times New Roman"/>
                      <w:color w:val="auto"/>
                      <w:highlight w:val="none"/>
                      <w:vertAlign w:val="baseline"/>
                    </w:rPr>
                  </w:pPr>
                </w:p>
              </w:tc>
              <w:tc>
                <w:tcPr>
                  <w:tcW w:w="983" w:type="dxa"/>
                  <w:vMerge w:val="continue"/>
                  <w:vAlign w:val="center"/>
                </w:tcPr>
                <w:p w14:paraId="01F2044F">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cs="Times New Roman"/>
                      <w:color w:val="auto"/>
                      <w:highlight w:val="none"/>
                      <w:vertAlign w:val="baseline"/>
                    </w:rPr>
                  </w:pPr>
                </w:p>
              </w:tc>
            </w:tr>
            <w:tr w14:paraId="6302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4F158B23">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4043" w:type="dxa"/>
                  <w:vAlign w:val="center"/>
                </w:tcPr>
                <w:p w14:paraId="05AB0E1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资源与环境承载力分析结论</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在充分利用回用水和南水北调地表水的前提下，区域水资源可承载规划的实施</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产业园区划建设用地占用一部分一般农田</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规划实施过程中应通过土地复垦、加大农用地整理和农村居民点用地整理力度、开发未利用地等措施，对土地资源进行开发整理。建议产业园区加大对未利用地的复垦、开发，增加后备耕地面积，实现耕地“先补后占、占补平衡”，确保耕地总量不减少，不突破土地资源利用上线</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区域大气环境容量可承载规划的实施:规划通过配建再生水装置，提高再生水回用率，废水集中收集处理净化后回用，规划近期主要废水污染物COD和氨氨排放总量相对现状均有一定削减</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有利于地表水体环境质量进一步改善。</w:t>
                  </w:r>
                </w:p>
              </w:tc>
              <w:tc>
                <w:tcPr>
                  <w:tcW w:w="1832" w:type="dxa"/>
                  <w:vAlign w:val="center"/>
                </w:tcPr>
                <w:p w14:paraId="72EC4F8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本项目用水</w:t>
                  </w:r>
                  <w:r>
                    <w:rPr>
                      <w:rFonts w:hint="eastAsia"/>
                      <w:color w:val="auto"/>
                      <w:szCs w:val="21"/>
                      <w:highlight w:val="none"/>
                    </w:rPr>
                    <w:t>由</w:t>
                  </w:r>
                  <w:r>
                    <w:rPr>
                      <w:rFonts w:hint="eastAsia"/>
                      <w:color w:val="auto"/>
                      <w:szCs w:val="21"/>
                      <w:highlight w:val="none"/>
                      <w:lang w:val="en-US" w:eastAsia="zh-CN"/>
                    </w:rPr>
                    <w:t>园区</w:t>
                  </w:r>
                  <w:r>
                    <w:rPr>
                      <w:rFonts w:hint="eastAsia"/>
                      <w:color w:val="auto"/>
                      <w:szCs w:val="21"/>
                      <w:highlight w:val="none"/>
                    </w:rPr>
                    <w:t>供水管网提供</w:t>
                  </w:r>
                  <w:r>
                    <w:rPr>
                      <w:rFonts w:hint="eastAsia"/>
                      <w:color w:val="auto"/>
                      <w:szCs w:val="21"/>
                      <w:highlight w:val="none"/>
                      <w:lang w:eastAsia="zh-CN"/>
                    </w:rPr>
                    <w:t>；</w:t>
                  </w:r>
                  <w:r>
                    <w:rPr>
                      <w:rFonts w:hint="eastAsia"/>
                      <w:color w:val="auto"/>
                      <w:szCs w:val="21"/>
                      <w:highlight w:val="none"/>
                      <w:lang w:val="en-US" w:eastAsia="zh-CN"/>
                    </w:rPr>
                    <w:t>项目占地为工业用地；</w:t>
                  </w:r>
                  <w:r>
                    <w:rPr>
                      <w:rFonts w:hint="eastAsia"/>
                      <w:color w:val="auto"/>
                      <w:sz w:val="21"/>
                      <w:szCs w:val="21"/>
                      <w:highlight w:val="none"/>
                      <w:lang w:val="en-US" w:eastAsia="zh-CN"/>
                    </w:rPr>
                    <w:t>项目废水主要为职工生活污水，生活污水经集成式生物化粪池处理后经园区污水管网排入绿源污水处理有限公司进一步处理</w:t>
                  </w:r>
                  <w:r>
                    <w:rPr>
                      <w:rFonts w:hint="eastAsia" w:ascii="Times New Roman" w:hAnsi="Times New Roman" w:eastAsia="宋体" w:cs="Times New Roman"/>
                      <w:color w:val="auto"/>
                      <w:kern w:val="2"/>
                      <w:sz w:val="21"/>
                      <w:szCs w:val="21"/>
                      <w:highlight w:val="none"/>
                      <w:lang w:val="en-US" w:eastAsia="zh-CN" w:bidi="ar-SA"/>
                    </w:rPr>
                    <w:t>。</w:t>
                  </w:r>
                </w:p>
                <w:p w14:paraId="5A79DA04">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983" w:type="dxa"/>
                  <w:vAlign w:val="center"/>
                </w:tcPr>
                <w:p w14:paraId="005496F6">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14:paraId="71E5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3D1335F0">
                  <w:pPr>
                    <w:pStyle w:val="230"/>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4043" w:type="dxa"/>
                  <w:vAlign w:val="center"/>
                </w:tcPr>
                <w:p w14:paraId="0D961B5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规划实施制约因素及优化调整建议</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开发区与国家、河北省石家庄市和栾城区的“相关法律法规及政策”“上层位'十四五’规划”、“相关主体功能区划”相符合或协调。同时，评价要求开发区规划严格在区域“三线一单”框架要求下实施</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不占用生态保护红线及生态空间，不突破环境质量底线、资源利用上线</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严格遵守开发区所在区域生态环境准入清单确定的相关环境管控要求。规划目标和发展定位合理，区域资源环境能够支撑规划实施，规划布局、能源结构和产业结构设置合理,环境目标和评价指标通过落实规划文本和本评价提出的各项措施之后是可以达到的。另外，从维护生态功能、改善环境质量、提高资源利用率、保障人居健康、优化区域格局和产业结构等方面进行综合分析，规划的实施环境效益明显。</w:t>
                  </w:r>
                </w:p>
              </w:tc>
              <w:tc>
                <w:tcPr>
                  <w:tcW w:w="1832" w:type="dxa"/>
                  <w:vAlign w:val="center"/>
                </w:tcPr>
                <w:p w14:paraId="0620182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项目符合国家、河北省石家庄和栾城区相关法律法规和政策，符合园规划</w:t>
                  </w:r>
                  <w:r>
                    <w:rPr>
                      <w:rFonts w:hint="eastAsia" w:ascii="Times New Roman" w:hAnsi="Times New Roman" w:eastAsia="宋体" w:cs="Times New Roman"/>
                      <w:color w:val="auto"/>
                      <w:kern w:val="2"/>
                      <w:sz w:val="21"/>
                      <w:szCs w:val="21"/>
                      <w:highlight w:val="none"/>
                      <w:lang w:val="en-US" w:eastAsia="zh-CN" w:bidi="ar-SA"/>
                    </w:rPr>
                    <w:t>。</w:t>
                  </w:r>
                </w:p>
              </w:tc>
              <w:tc>
                <w:tcPr>
                  <w:tcW w:w="983" w:type="dxa"/>
                  <w:vAlign w:val="center"/>
                </w:tcPr>
                <w:p w14:paraId="24907F9A">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bl>
          <w:p w14:paraId="25BDF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综上，本项目的建设符合规划环境影响评价结论。</w:t>
            </w:r>
          </w:p>
          <w:p w14:paraId="00B91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3</w:t>
            </w:r>
            <w:r>
              <w:rPr>
                <w:rFonts w:hint="eastAsia" w:ascii="Times New Roman" w:hAnsi="Times New Roman" w:eastAsia="宋体" w:cs="Times New Roman"/>
                <w:b/>
                <w:bCs/>
                <w:color w:val="auto"/>
                <w:kern w:val="0"/>
                <w:sz w:val="24"/>
                <w:szCs w:val="20"/>
                <w:highlight w:val="none"/>
                <w:lang w:val="en-US" w:eastAsia="zh-CN" w:bidi="ar-SA"/>
              </w:rPr>
              <w:t xml:space="preserve">、规划审查意见符合性 </w:t>
            </w:r>
          </w:p>
          <w:p w14:paraId="44B7E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 xml:space="preserve">根据河北省生态环境厅关于《河北石家庄装备制造产业园总体规划（2022-2030年）环境影响报告书》的审查意见（冀环环评函[2025]1839号）。在规划实施过程中，除严格落实规划环评报告书中各项要求外，还应做好以下工作： </w:t>
            </w:r>
          </w:p>
          <w:p w14:paraId="6FB8717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表1-4  规划审查意见符合性分析一览表</w:t>
            </w:r>
          </w:p>
          <w:tbl>
            <w:tblPr>
              <w:tblStyle w:val="48"/>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5"/>
              <w:gridCol w:w="3161"/>
            </w:tblGrid>
            <w:tr w14:paraId="66D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599E0F7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审查意见</w:t>
                  </w:r>
                </w:p>
              </w:tc>
              <w:tc>
                <w:tcPr>
                  <w:tcW w:w="3161" w:type="dxa"/>
                  <w:vAlign w:val="center"/>
                </w:tcPr>
                <w:p w14:paraId="0F1EDCE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项目内容</w:t>
                  </w:r>
                </w:p>
              </w:tc>
            </w:tr>
            <w:tr w14:paraId="21B7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4ABA6F9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一</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落实国家及区域发展战略，坚持生态优先、提质增效，以生态环境质量改善为核心，做好与各级国土空间规划和生态环境分区管控体系的协调衔接，进一步优化《规划》布局、产业定位和发展规模。</w:t>
                  </w:r>
                </w:p>
              </w:tc>
              <w:tc>
                <w:tcPr>
                  <w:tcW w:w="3161" w:type="dxa"/>
                  <w:vAlign w:val="center"/>
                </w:tcPr>
                <w:p w14:paraId="03A715B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Segoe UI" w:hAnsi="Segoe UI" w:eastAsia="宋体" w:cs="Segoe UI"/>
                      <w:i w:val="0"/>
                      <w:iCs w:val="0"/>
                      <w:caps w:val="0"/>
                      <w:color w:val="auto"/>
                      <w:spacing w:val="0"/>
                      <w:sz w:val="21"/>
                      <w:szCs w:val="21"/>
                      <w:shd w:val="clear" w:fill="FFFFFF"/>
                      <w:lang w:val="en-US" w:eastAsia="zh-CN"/>
                    </w:rPr>
                    <w:t>项目位于石家庄市栾城区窦妪村装备制造产业园区奥翔街6-1号（院内3号房），位于规划范围内</w:t>
                  </w:r>
                  <w:r>
                    <w:rPr>
                      <w:rFonts w:hint="default" w:ascii="Segoe UI" w:hAnsi="Segoe UI" w:eastAsia="Segoe UI" w:cs="Segoe UI"/>
                      <w:i w:val="0"/>
                      <w:iCs w:val="0"/>
                      <w:caps w:val="0"/>
                      <w:color w:val="auto"/>
                      <w:spacing w:val="0"/>
                      <w:sz w:val="21"/>
                      <w:szCs w:val="21"/>
                      <w:shd w:val="clear" w:fill="FFFFFF"/>
                    </w:rPr>
                    <w:t>，租赁现有工业厂房进行生产，占地为工业用地，符合园区用地规划。</w:t>
                  </w:r>
                  <w:r>
                    <w:rPr>
                      <w:rFonts w:hint="eastAsia" w:ascii="Segoe UI" w:hAnsi="Segoe UI" w:eastAsia="Segoe UI" w:cs="Segoe UI"/>
                      <w:i w:val="0"/>
                      <w:iCs w:val="0"/>
                      <w:caps w:val="0"/>
                      <w:color w:val="auto"/>
                      <w:spacing w:val="0"/>
                      <w:sz w:val="21"/>
                      <w:szCs w:val="21"/>
                      <w:shd w:val="clear" w:fill="FFFFFF"/>
                    </w:rPr>
                    <w:t>本项目为改建项目，项目产品为汽车塑料配件，属于汽车零部件，符合园区规划定位</w:t>
                  </w:r>
                  <w:r>
                    <w:rPr>
                      <w:rFonts w:hint="default" w:ascii="Segoe UI" w:hAnsi="Segoe UI" w:eastAsia="Segoe UI" w:cs="Segoe UI"/>
                      <w:i w:val="0"/>
                      <w:iCs w:val="0"/>
                      <w:caps w:val="0"/>
                      <w:color w:val="auto"/>
                      <w:spacing w:val="0"/>
                      <w:sz w:val="21"/>
                      <w:szCs w:val="21"/>
                      <w:shd w:val="clear" w:fill="FFFFFF"/>
                    </w:rPr>
                    <w:t>。项目在“三线一单”符合性分析中已论证其符合生态保护红线、环境质量底线、资源利用上线及生态环境准入清单的要求。</w:t>
                  </w:r>
                </w:p>
              </w:tc>
            </w:tr>
            <w:tr w14:paraId="0046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29B7858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二</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推进产业园绿色低碳转型发展，实现减污降碳协同增效目标。根据国家、地方碳减排和碳达峰行动方案及路径要求，进一步优化产业园能源结构、交通运输方式等《规划》内容</w:t>
                  </w:r>
                </w:p>
              </w:tc>
              <w:tc>
                <w:tcPr>
                  <w:tcW w:w="3161" w:type="dxa"/>
                  <w:vAlign w:val="center"/>
                </w:tcPr>
                <w:p w14:paraId="519918B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Segoe UI" w:hAnsi="Segoe UI" w:eastAsia="Segoe UI" w:cs="Segoe UI"/>
                      <w:i w:val="0"/>
                      <w:iCs w:val="0"/>
                      <w:caps w:val="0"/>
                      <w:color w:val="auto"/>
                      <w:spacing w:val="0"/>
                      <w:sz w:val="21"/>
                      <w:szCs w:val="21"/>
                      <w:shd w:val="clear" w:fill="FFFFFF"/>
                    </w:rPr>
                    <w:t>项目生产采用电加热，职工冬季采暖由空调提供</w:t>
                  </w:r>
                  <w:r>
                    <w:rPr>
                      <w:rFonts w:hint="default" w:ascii="Segoe UI" w:hAnsi="Segoe UI" w:eastAsia="Segoe UI" w:cs="Segoe UI"/>
                      <w:i w:val="0"/>
                      <w:iCs w:val="0"/>
                      <w:caps w:val="0"/>
                      <w:color w:val="auto"/>
                      <w:spacing w:val="0"/>
                      <w:sz w:val="21"/>
                      <w:szCs w:val="21"/>
                      <w:shd w:val="clear" w:fill="FFFFFF"/>
                    </w:rPr>
                    <w:t>。</w:t>
                  </w:r>
                  <w:r>
                    <w:rPr>
                      <w:rFonts w:hint="eastAsia" w:ascii="Segoe UI" w:hAnsi="Segoe UI" w:eastAsia="宋体" w:cs="Segoe UI"/>
                      <w:i w:val="0"/>
                      <w:iCs w:val="0"/>
                      <w:caps w:val="0"/>
                      <w:color w:val="auto"/>
                      <w:spacing w:val="0"/>
                      <w:sz w:val="21"/>
                      <w:szCs w:val="21"/>
                      <w:shd w:val="clear" w:fill="FFFFFF"/>
                      <w:lang w:val="en-US" w:eastAsia="zh-CN"/>
                    </w:rPr>
                    <w:t>按照当地要求合理规划交通运输方式</w:t>
                  </w:r>
                  <w:r>
                    <w:rPr>
                      <w:rFonts w:hint="default" w:ascii="Segoe UI" w:hAnsi="Segoe UI" w:eastAsia="Segoe UI" w:cs="Segoe UI"/>
                      <w:i w:val="0"/>
                      <w:iCs w:val="0"/>
                      <w:caps w:val="0"/>
                      <w:color w:val="auto"/>
                      <w:spacing w:val="0"/>
                      <w:sz w:val="21"/>
                      <w:szCs w:val="21"/>
                      <w:shd w:val="clear" w:fill="FFFFFF"/>
                    </w:rPr>
                    <w:t>。</w:t>
                  </w:r>
                </w:p>
              </w:tc>
            </w:tr>
            <w:tr w14:paraId="3329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22F9FB4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三</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空间管控要求，进一步优化产业园空间布局。教育文化科研区、绿地禁止开展其他无关建设活动。严格落实饮用水源地保护区、文物保护单位、河流管理范围的管理要求。落实《报告书》提出的空间布局引导和管控要求，优化工业、居住等各类用地的空间布局和产业的梯级布局，严格涉风险源企业管理，确保人居环境安全。</w:t>
                  </w:r>
                </w:p>
              </w:tc>
              <w:tc>
                <w:tcPr>
                  <w:tcW w:w="3161" w:type="dxa"/>
                  <w:vAlign w:val="center"/>
                </w:tcPr>
                <w:p w14:paraId="33C86F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Segoe UI" w:hAnsi="Segoe UI" w:eastAsia="Segoe UI" w:cs="Segoe UI"/>
                      <w:i w:val="0"/>
                      <w:iCs w:val="0"/>
                      <w:caps w:val="0"/>
                      <w:color w:val="auto"/>
                      <w:spacing w:val="0"/>
                      <w:sz w:val="21"/>
                      <w:szCs w:val="21"/>
                      <w:shd w:val="clear" w:fill="FFFFFF"/>
                    </w:rPr>
                    <w:t>项目位于</w:t>
                  </w:r>
                  <w:r>
                    <w:rPr>
                      <w:rFonts w:hint="eastAsia" w:ascii="Times New Roman" w:hAnsi="Times New Roman" w:cs="Times New Roman"/>
                      <w:color w:val="auto"/>
                      <w:sz w:val="21"/>
                      <w:szCs w:val="21"/>
                      <w:highlight w:val="none"/>
                      <w:lang w:val="en-US" w:eastAsia="zh-CN"/>
                    </w:rPr>
                    <w:t>装备制造产业园区</w:t>
                  </w:r>
                  <w:r>
                    <w:rPr>
                      <w:rFonts w:hint="default" w:ascii="Segoe UI" w:hAnsi="Segoe UI" w:eastAsia="Segoe UI" w:cs="Segoe UI"/>
                      <w:i w:val="0"/>
                      <w:iCs w:val="0"/>
                      <w:caps w:val="0"/>
                      <w:color w:val="auto"/>
                      <w:spacing w:val="0"/>
                      <w:sz w:val="21"/>
                      <w:szCs w:val="21"/>
                      <w:shd w:val="clear" w:fill="FFFFFF"/>
                    </w:rPr>
                    <w:t>内的工业用地，不涉及教育文化科研区、绿地。项目不在生态保护红线、饮用水源地保</w:t>
                  </w:r>
                  <w:r>
                    <w:rPr>
                      <w:rFonts w:hint="default" w:ascii="Times New Roman" w:hAnsi="Times New Roman" w:eastAsia="Segoe UI" w:cs="Times New Roman"/>
                      <w:i w:val="0"/>
                      <w:iCs w:val="0"/>
                      <w:caps w:val="0"/>
                      <w:color w:val="auto"/>
                      <w:spacing w:val="0"/>
                      <w:sz w:val="21"/>
                      <w:szCs w:val="21"/>
                      <w:shd w:val="clear" w:fill="FFFFFF"/>
                    </w:rPr>
                    <w:t>护区、文物保护单位等环境敏感区内，</w:t>
                  </w:r>
                  <w:r>
                    <w:rPr>
                      <w:rFonts w:hint="default" w:ascii="Times New Roman" w:hAnsi="Times New Roman" w:eastAsia="Segoe UI" w:cs="Times New Roman"/>
                      <w:i w:val="0"/>
                      <w:iCs w:val="0"/>
                      <w:caps w:val="0"/>
                      <w:color w:val="auto"/>
                      <w:spacing w:val="0"/>
                      <w:sz w:val="21"/>
                      <w:szCs w:val="21"/>
                      <w:highlight w:val="none"/>
                      <w:shd w:val="clear" w:fill="FFFFFF"/>
                    </w:rPr>
                    <w:t>最近敏感点为西南侧710m处的锦悦桦庭</w:t>
                  </w:r>
                  <w:r>
                    <w:rPr>
                      <w:rFonts w:hint="default" w:ascii="Times New Roman" w:hAnsi="Times New Roman" w:eastAsia="Segoe UI" w:cs="Times New Roman"/>
                      <w:i w:val="0"/>
                      <w:iCs w:val="0"/>
                      <w:caps w:val="0"/>
                      <w:color w:val="auto"/>
                      <w:spacing w:val="0"/>
                      <w:sz w:val="21"/>
                      <w:szCs w:val="21"/>
                      <w:shd w:val="clear" w:fill="FFFFFF"/>
                    </w:rPr>
                    <w:t>。项目不属于高风险项目，</w:t>
                  </w:r>
                  <w:r>
                    <w:rPr>
                      <w:rFonts w:hint="eastAsia" w:ascii="Times New Roman" w:hAnsi="Times New Roman" w:eastAsia="宋体" w:cs="Times New Roman"/>
                      <w:i w:val="0"/>
                      <w:iCs w:val="0"/>
                      <w:caps w:val="0"/>
                      <w:color w:val="auto"/>
                      <w:spacing w:val="0"/>
                      <w:sz w:val="21"/>
                      <w:szCs w:val="21"/>
                      <w:shd w:val="clear" w:fill="FFFFFF"/>
                      <w:lang w:val="en-US" w:eastAsia="zh-CN"/>
                    </w:rPr>
                    <w:t>项目对于风险物质</w:t>
                  </w:r>
                  <w:r>
                    <w:rPr>
                      <w:rFonts w:hint="default" w:ascii="Times New Roman" w:hAnsi="Times New Roman" w:eastAsia="Segoe UI" w:cs="Times New Roman"/>
                      <w:i w:val="0"/>
                      <w:iCs w:val="0"/>
                      <w:caps w:val="0"/>
                      <w:color w:val="auto"/>
                      <w:spacing w:val="0"/>
                      <w:sz w:val="21"/>
                      <w:szCs w:val="21"/>
                      <w:shd w:val="clear" w:fill="FFFFFF"/>
                    </w:rPr>
                    <w:t>采取</w:t>
                  </w:r>
                  <w:r>
                    <w:rPr>
                      <w:rFonts w:hint="eastAsia" w:ascii="Times New Roman" w:hAnsi="Times New Roman" w:eastAsia="宋体" w:cs="Times New Roman"/>
                      <w:i w:val="0"/>
                      <w:iCs w:val="0"/>
                      <w:caps w:val="0"/>
                      <w:color w:val="auto"/>
                      <w:spacing w:val="0"/>
                      <w:sz w:val="21"/>
                      <w:szCs w:val="21"/>
                      <w:shd w:val="clear" w:fill="FFFFFF"/>
                      <w:lang w:val="en-US" w:eastAsia="zh-CN"/>
                    </w:rPr>
                    <w:t>相应</w:t>
                  </w:r>
                  <w:r>
                    <w:rPr>
                      <w:rFonts w:hint="default" w:ascii="Times New Roman" w:hAnsi="Times New Roman" w:eastAsia="Segoe UI" w:cs="Times New Roman"/>
                      <w:i w:val="0"/>
                      <w:iCs w:val="0"/>
                      <w:caps w:val="0"/>
                      <w:color w:val="auto"/>
                      <w:spacing w:val="0"/>
                      <w:sz w:val="21"/>
                      <w:szCs w:val="21"/>
                      <w:shd w:val="clear" w:fill="FFFFFF"/>
                    </w:rPr>
                    <w:t>风险防范措施。</w:t>
                  </w:r>
                </w:p>
              </w:tc>
            </w:tr>
            <w:tr w14:paraId="1BCF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1D862EAF">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四</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守环境质量底线，强化污染物排放总量管控。提升现有及入区企业污染治理设施及环境管理水平，严格落实《报告书》污染物减排方案，确保环境质量持续改善目标。强化涉重废水污染治理，电镀等涉重工序废水在厂区内处理达标后全部回用，不外排。按照《关于加强重点行业建设项目区域削减措施监督管理的通知》要求，环境质量未达到国家或者地方环境质量标准之前，重点行业建设项目主要污染物实行区域倍量削减。</w:t>
                  </w:r>
                </w:p>
              </w:tc>
              <w:tc>
                <w:tcPr>
                  <w:tcW w:w="3161" w:type="dxa"/>
                  <w:vAlign w:val="center"/>
                </w:tcPr>
                <w:p w14:paraId="7CAA771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Segoe UI" w:hAnsi="Segoe UI" w:eastAsia="Segoe UI" w:cs="Segoe UI"/>
                      <w:i w:val="0"/>
                      <w:iCs w:val="0"/>
                      <w:caps w:val="0"/>
                      <w:color w:val="auto"/>
                      <w:spacing w:val="0"/>
                      <w:sz w:val="21"/>
                      <w:szCs w:val="21"/>
                      <w:shd w:val="clear" w:fill="FFFFFF"/>
                      <w:lang w:val="en-US" w:eastAsia="zh-CN"/>
                    </w:rPr>
                  </w:pPr>
                  <w:r>
                    <w:rPr>
                      <w:rFonts w:hint="eastAsia" w:ascii="Segoe UI" w:hAnsi="Segoe UI" w:eastAsia="Segoe UI" w:cs="Segoe UI"/>
                      <w:i w:val="0"/>
                      <w:iCs w:val="0"/>
                      <w:caps w:val="0"/>
                      <w:color w:val="auto"/>
                      <w:spacing w:val="0"/>
                      <w:sz w:val="21"/>
                      <w:szCs w:val="21"/>
                      <w:shd w:val="clear" w:fill="FFFFFF"/>
                    </w:rPr>
                    <w:t>项目污染物排放满足总量控制指</w:t>
                  </w:r>
                  <w:r>
                    <w:rPr>
                      <w:rFonts w:hint="eastAsia" w:ascii="Segoe UI" w:hAnsi="Segoe UI" w:eastAsia="Segoe UI" w:cs="Segoe UI"/>
                      <w:i w:val="0"/>
                      <w:iCs w:val="0"/>
                      <w:caps w:val="0"/>
                      <w:color w:val="auto"/>
                      <w:spacing w:val="0"/>
                      <w:sz w:val="21"/>
                      <w:szCs w:val="21"/>
                      <w:highlight w:val="none"/>
                      <w:shd w:val="clear" w:fill="FFFFFF"/>
                    </w:rPr>
                    <w:t>标</w:t>
                  </w:r>
                  <w:r>
                    <w:rPr>
                      <w:rFonts w:hint="default" w:ascii="Segoe UI" w:hAnsi="Segoe UI" w:eastAsia="Segoe UI" w:cs="Segoe UI"/>
                      <w:i w:val="0"/>
                      <w:iCs w:val="0"/>
                      <w:caps w:val="0"/>
                      <w:color w:val="auto"/>
                      <w:spacing w:val="0"/>
                      <w:sz w:val="21"/>
                      <w:szCs w:val="21"/>
                      <w:highlight w:val="none"/>
                      <w:shd w:val="clear" w:fill="FFFFFF"/>
                    </w:rPr>
                    <w:t>。</w:t>
                  </w:r>
                  <w:r>
                    <w:rPr>
                      <w:rFonts w:hint="eastAsia" w:ascii="Segoe UI" w:hAnsi="Segoe UI" w:eastAsia="Segoe UI" w:cs="Segoe UI"/>
                      <w:i w:val="0"/>
                      <w:iCs w:val="0"/>
                      <w:caps w:val="0"/>
                      <w:color w:val="auto"/>
                      <w:spacing w:val="0"/>
                      <w:sz w:val="21"/>
                      <w:szCs w:val="21"/>
                      <w:highlight w:val="none"/>
                      <w:shd w:val="clear" w:fill="FFFFFF"/>
                    </w:rPr>
                    <w:t>项目废水主要为职工生活污水，生活污水经集成式生物化粪池处理后经园区污水管网排入绿源污水处理有限公司进一步处理</w:t>
                  </w:r>
                  <w:r>
                    <w:rPr>
                      <w:rFonts w:hint="default" w:ascii="Segoe UI" w:hAnsi="Segoe UI" w:eastAsia="Segoe UI" w:cs="Segoe UI"/>
                      <w:i w:val="0"/>
                      <w:iCs w:val="0"/>
                      <w:caps w:val="0"/>
                      <w:color w:val="auto"/>
                      <w:spacing w:val="0"/>
                      <w:sz w:val="21"/>
                      <w:szCs w:val="21"/>
                      <w:shd w:val="clear" w:fill="FFFFFF"/>
                    </w:rPr>
                    <w:t>。项目不属于审查意见中提到的电镀等涉重行业。</w:t>
                  </w:r>
                </w:p>
              </w:tc>
            </w:tr>
            <w:tr w14:paraId="3753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1EDB2B5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五</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严格入区项目生态环境准入，推动绿色低碳高质量发展。严格落实《报告书》提出的产业园生态环境准入要求及现有企业环境管理要求。禁止“两高”项目准入</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严格落实好省、市重点化工监控点管理要求</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严格化学药品原料药制造项目准入，满足防护距离要求。不断提高现有企业清洁生产水平，促进产业园产业转型升级与生态环境保护、人居环境安全相协调。</w:t>
                  </w:r>
                </w:p>
              </w:tc>
              <w:tc>
                <w:tcPr>
                  <w:tcW w:w="3161" w:type="dxa"/>
                  <w:vAlign w:val="center"/>
                </w:tcPr>
                <w:p w14:paraId="60A1EC8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Segoe UI" w:hAnsi="Segoe UI" w:eastAsia="宋体" w:cs="Segoe UI"/>
                      <w:i w:val="0"/>
                      <w:iCs w:val="0"/>
                      <w:caps w:val="0"/>
                      <w:color w:val="auto"/>
                      <w:spacing w:val="0"/>
                      <w:sz w:val="21"/>
                      <w:szCs w:val="21"/>
                      <w:shd w:val="clear" w:fill="FFFFFF"/>
                      <w:lang w:val="en-US" w:eastAsia="zh-CN"/>
                    </w:rPr>
                  </w:pPr>
                  <w:r>
                    <w:rPr>
                      <w:rFonts w:hint="default" w:ascii="Segoe UI" w:hAnsi="Segoe UI" w:eastAsia="Segoe UI" w:cs="Segoe UI"/>
                      <w:i w:val="0"/>
                      <w:iCs w:val="0"/>
                      <w:caps w:val="0"/>
                      <w:color w:val="auto"/>
                      <w:spacing w:val="0"/>
                      <w:sz w:val="21"/>
                      <w:szCs w:val="21"/>
                      <w:shd w:val="clear" w:fill="FFFFFF"/>
                    </w:rPr>
                    <w:t>项目不属于“两高”项目。项目</w:t>
                  </w:r>
                  <w:r>
                    <w:rPr>
                      <w:rFonts w:hint="eastAsia" w:ascii="Segoe UI" w:hAnsi="Segoe UI" w:eastAsia="宋体" w:cs="Segoe UI"/>
                      <w:i w:val="0"/>
                      <w:iCs w:val="0"/>
                      <w:caps w:val="0"/>
                      <w:color w:val="auto"/>
                      <w:spacing w:val="0"/>
                      <w:sz w:val="21"/>
                      <w:szCs w:val="21"/>
                      <w:shd w:val="clear" w:fill="FFFFFF"/>
                      <w:lang w:val="en-US" w:eastAsia="zh-CN"/>
                    </w:rPr>
                    <w:t>符合国家及地方</w:t>
                  </w:r>
                  <w:r>
                    <w:rPr>
                      <w:rFonts w:hint="default" w:ascii="Segoe UI" w:hAnsi="Segoe UI" w:eastAsia="Segoe UI" w:cs="Segoe UI"/>
                      <w:i w:val="0"/>
                      <w:iCs w:val="0"/>
                      <w:caps w:val="0"/>
                      <w:color w:val="auto"/>
                      <w:spacing w:val="0"/>
                      <w:sz w:val="21"/>
                      <w:szCs w:val="21"/>
                      <w:shd w:val="clear" w:fill="FFFFFF"/>
                    </w:rPr>
                    <w:t>产业政策，不属于国家及地方禁止和限制类产业</w:t>
                  </w:r>
                  <w:r>
                    <w:rPr>
                      <w:rFonts w:hint="eastAsia" w:ascii="Segoe UI" w:hAnsi="Segoe UI" w:eastAsia="宋体" w:cs="Segoe UI"/>
                      <w:i w:val="0"/>
                      <w:iCs w:val="0"/>
                      <w:caps w:val="0"/>
                      <w:color w:val="auto"/>
                      <w:spacing w:val="0"/>
                      <w:sz w:val="21"/>
                      <w:szCs w:val="21"/>
                      <w:shd w:val="clear" w:fill="FFFFFF"/>
                      <w:lang w:eastAsia="zh-CN"/>
                    </w:rPr>
                    <w:t>。</w:t>
                  </w:r>
                </w:p>
              </w:tc>
            </w:tr>
            <w:tr w14:paraId="4EDF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7D472A3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六</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统筹基础设施建设，严格落实《报告书》提出的建设内容及时限。加快产业园内供水、排水、供热管网建设进度，逐步完善再生水管网布局，充分利用再生水资源。产业园企业优先使用天然气、电能等清洁能源，根据供热管网建设时序，现有企业自建锅炉淘汰或作为备用锅炉。</w:t>
                  </w:r>
                </w:p>
              </w:tc>
              <w:tc>
                <w:tcPr>
                  <w:tcW w:w="3161" w:type="dxa"/>
                  <w:vAlign w:val="center"/>
                </w:tcPr>
                <w:p w14:paraId="0A22C93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Segoe UI" w:hAnsi="Segoe UI" w:eastAsia="Segoe UI" w:cs="Segoe UI"/>
                      <w:i w:val="0"/>
                      <w:iCs w:val="0"/>
                      <w:caps w:val="0"/>
                      <w:color w:val="auto"/>
                      <w:spacing w:val="0"/>
                      <w:sz w:val="21"/>
                      <w:szCs w:val="21"/>
                      <w:shd w:val="clear" w:fill="FFFFFF"/>
                      <w:lang w:val="en-US" w:eastAsia="zh-CN"/>
                    </w:rPr>
                  </w:pPr>
                  <w:r>
                    <w:rPr>
                      <w:rFonts w:hint="default" w:ascii="Segoe UI" w:hAnsi="Segoe UI" w:eastAsia="Segoe UI" w:cs="Segoe UI"/>
                      <w:i w:val="0"/>
                      <w:iCs w:val="0"/>
                      <w:caps w:val="0"/>
                      <w:color w:val="auto"/>
                      <w:spacing w:val="0"/>
                      <w:sz w:val="21"/>
                      <w:szCs w:val="21"/>
                      <w:shd w:val="clear" w:fill="FFFFFF"/>
                    </w:rPr>
                    <w:t>项目用水、用电均由园区管网提供。项目生产使用电能，符合优先使用清洁能源的要求。</w:t>
                  </w:r>
                  <w:r>
                    <w:rPr>
                      <w:rFonts w:hint="eastAsia" w:ascii="Segoe UI" w:hAnsi="Segoe UI" w:eastAsia="Segoe UI" w:cs="Segoe UI"/>
                      <w:i w:val="0"/>
                      <w:iCs w:val="0"/>
                      <w:caps w:val="0"/>
                      <w:color w:val="auto"/>
                      <w:spacing w:val="0"/>
                      <w:sz w:val="21"/>
                      <w:szCs w:val="21"/>
                      <w:highlight w:val="none"/>
                      <w:shd w:val="clear" w:fill="FFFFFF"/>
                    </w:rPr>
                    <w:t>项目废水主要为职工生活污水，生活污水经集成式生物化粪池处理后经园区污水管网排入绿源污水处理有限公司进一步处理</w:t>
                  </w:r>
                  <w:r>
                    <w:rPr>
                      <w:rFonts w:hint="default" w:ascii="Segoe UI" w:hAnsi="Segoe UI" w:eastAsia="Segoe UI" w:cs="Segoe UI"/>
                      <w:i w:val="0"/>
                      <w:iCs w:val="0"/>
                      <w:caps w:val="0"/>
                      <w:color w:val="auto"/>
                      <w:spacing w:val="0"/>
                      <w:sz w:val="21"/>
                      <w:szCs w:val="21"/>
                      <w:shd w:val="clear" w:fill="FFFFFF"/>
                    </w:rPr>
                    <w:t>。</w:t>
                  </w:r>
                </w:p>
              </w:tc>
            </w:tr>
            <w:tr w14:paraId="4FD4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031A19D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七</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优化运输方式，落实应急运输响应方案。鼓励产业园提高清洁能源汽车运输比例，减轻公路运输产生的不利环境影响结合秋冬行业错峰生产和重污染天气应急响应要求，在黄色及以上重污染天气预警期间，重点用车企业实施应急运输响应。</w:t>
                  </w:r>
                </w:p>
              </w:tc>
              <w:tc>
                <w:tcPr>
                  <w:tcW w:w="3161" w:type="dxa"/>
                  <w:vAlign w:val="center"/>
                </w:tcPr>
                <w:p w14:paraId="06C68B1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Segoe UI" w:hAnsi="Segoe UI" w:eastAsia="Segoe UI" w:cs="Segoe UI"/>
                      <w:i w:val="0"/>
                      <w:iCs w:val="0"/>
                      <w:caps w:val="0"/>
                      <w:color w:val="auto"/>
                      <w:spacing w:val="0"/>
                      <w:sz w:val="21"/>
                      <w:szCs w:val="21"/>
                      <w:shd w:val="clear" w:fill="FFFFFF"/>
                      <w:lang w:val="en-US" w:eastAsia="zh-CN"/>
                    </w:rPr>
                  </w:pPr>
                  <w:r>
                    <w:rPr>
                      <w:rFonts w:hint="default" w:ascii="Segoe UI" w:hAnsi="Segoe UI" w:eastAsia="Segoe UI" w:cs="Segoe UI"/>
                      <w:i w:val="0"/>
                      <w:iCs w:val="0"/>
                      <w:caps w:val="0"/>
                      <w:color w:val="auto"/>
                      <w:spacing w:val="0"/>
                      <w:sz w:val="21"/>
                      <w:szCs w:val="21"/>
                      <w:shd w:val="clear" w:fill="FFFFFF"/>
                    </w:rPr>
                    <w:t>项目</w:t>
                  </w:r>
                  <w:r>
                    <w:rPr>
                      <w:rFonts w:hint="eastAsia" w:ascii="Segoe UI" w:hAnsi="Segoe UI" w:eastAsia="宋体" w:cs="Segoe UI"/>
                      <w:i w:val="0"/>
                      <w:iCs w:val="0"/>
                      <w:caps w:val="0"/>
                      <w:color w:val="auto"/>
                      <w:spacing w:val="0"/>
                      <w:sz w:val="21"/>
                      <w:szCs w:val="21"/>
                      <w:shd w:val="clear" w:fill="FFFFFF"/>
                      <w:lang w:val="en-US" w:eastAsia="zh-CN"/>
                    </w:rPr>
                    <w:t>按照当地要求的交通运输方式运转</w:t>
                  </w:r>
                  <w:r>
                    <w:rPr>
                      <w:rFonts w:hint="default" w:ascii="Segoe UI" w:hAnsi="Segoe UI" w:eastAsia="Segoe UI" w:cs="Segoe UI"/>
                      <w:i w:val="0"/>
                      <w:iCs w:val="0"/>
                      <w:caps w:val="0"/>
                      <w:color w:val="auto"/>
                      <w:spacing w:val="0"/>
                      <w:sz w:val="21"/>
                      <w:szCs w:val="21"/>
                      <w:shd w:val="clear" w:fill="FFFFFF"/>
                    </w:rPr>
                    <w:t>。项目将根据要求，在重污染天气预警期间执行相应的应急运输响应措施。</w:t>
                  </w:r>
                </w:p>
              </w:tc>
            </w:tr>
            <w:tr w14:paraId="0B7D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5" w:type="dxa"/>
                  <w:vAlign w:val="center"/>
                </w:tcPr>
                <w:p w14:paraId="18F86978">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八</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健全完善环境监测体系，强化环境风险防范。健全完善包括环境空气、地表水、地下水、土壤等环境要素的监控体系;强化产业园风险防控体系的建立，健全应急响应联动机制。严格落实《报告书》提出的各项环境风险防控措施，加强产业园与周边敏感区环境风险防范设施建设，提升环境风险防控和应急响应能力，保障区域环境安全。</w:t>
                  </w:r>
                </w:p>
              </w:tc>
              <w:tc>
                <w:tcPr>
                  <w:tcW w:w="3161" w:type="dxa"/>
                  <w:vAlign w:val="center"/>
                </w:tcPr>
                <w:p w14:paraId="0DDBC4B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Segoe UI" w:hAnsi="Segoe UI" w:eastAsia="Segoe UI" w:cs="Segoe UI"/>
                      <w:i w:val="0"/>
                      <w:iCs w:val="0"/>
                      <w:caps w:val="0"/>
                      <w:color w:val="auto"/>
                      <w:spacing w:val="0"/>
                      <w:sz w:val="21"/>
                      <w:szCs w:val="21"/>
                      <w:shd w:val="clear" w:fill="FFFFFF"/>
                      <w:lang w:val="en-US" w:eastAsia="zh-CN"/>
                    </w:rPr>
                  </w:pPr>
                  <w:r>
                    <w:rPr>
                      <w:rFonts w:hint="default" w:ascii="Segoe UI" w:hAnsi="Segoe UI" w:eastAsia="Segoe UI" w:cs="Segoe UI"/>
                      <w:i w:val="0"/>
                      <w:iCs w:val="0"/>
                      <w:caps w:val="0"/>
                      <w:color w:val="auto"/>
                      <w:spacing w:val="0"/>
                      <w:sz w:val="21"/>
                      <w:szCs w:val="21"/>
                      <w:shd w:val="clear" w:fill="FFFFFF"/>
                    </w:rPr>
                    <w:t>项目</w:t>
                  </w:r>
                  <w:r>
                    <w:rPr>
                      <w:rFonts w:hint="eastAsia" w:ascii="Segoe UI" w:hAnsi="Segoe UI" w:eastAsia="宋体" w:cs="Segoe UI"/>
                      <w:i w:val="0"/>
                      <w:iCs w:val="0"/>
                      <w:caps w:val="0"/>
                      <w:color w:val="auto"/>
                      <w:spacing w:val="0"/>
                      <w:sz w:val="21"/>
                      <w:szCs w:val="21"/>
                      <w:shd w:val="clear" w:fill="FFFFFF"/>
                      <w:lang w:val="en-US" w:eastAsia="zh-CN"/>
                    </w:rPr>
                    <w:t>按照要求</w:t>
                  </w:r>
                  <w:r>
                    <w:rPr>
                      <w:rFonts w:hint="default" w:ascii="Segoe UI" w:hAnsi="Segoe UI" w:eastAsia="Segoe UI" w:cs="Segoe UI"/>
                      <w:i w:val="0"/>
                      <w:iCs w:val="0"/>
                      <w:caps w:val="0"/>
                      <w:color w:val="auto"/>
                      <w:spacing w:val="0"/>
                      <w:sz w:val="21"/>
                      <w:szCs w:val="21"/>
                      <w:shd w:val="clear" w:fill="FFFFFF"/>
                    </w:rPr>
                    <w:t>开展监测。项目将成立应急组织机构，制定应急预案，定期开展应急演练，强化风险防控。</w:t>
                  </w:r>
                </w:p>
              </w:tc>
            </w:tr>
          </w:tbl>
          <w:p w14:paraId="268B8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综上所述，项目符合审查意见中的各项要求。</w:t>
            </w:r>
          </w:p>
          <w:p w14:paraId="4FFD3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4</w:t>
            </w:r>
            <w:r>
              <w:rPr>
                <w:rFonts w:hint="eastAsia" w:ascii="Times New Roman" w:hAnsi="Times New Roman" w:eastAsia="宋体" w:cs="Times New Roman"/>
                <w:b/>
                <w:bCs/>
                <w:color w:val="auto"/>
                <w:kern w:val="0"/>
                <w:sz w:val="24"/>
                <w:szCs w:val="20"/>
                <w:highlight w:val="none"/>
                <w:lang w:val="en-US" w:eastAsia="zh-CN" w:bidi="ar-SA"/>
              </w:rPr>
              <w:t>、规划环评</w:t>
            </w:r>
            <w:r>
              <w:rPr>
                <w:rFonts w:hint="eastAsia" w:cs="Times New Roman"/>
                <w:b/>
                <w:bCs/>
                <w:color w:val="auto"/>
                <w:kern w:val="0"/>
                <w:sz w:val="24"/>
                <w:szCs w:val="20"/>
                <w:highlight w:val="none"/>
                <w:lang w:val="en-US" w:eastAsia="zh-CN" w:bidi="ar-SA"/>
              </w:rPr>
              <w:t>准入要求</w:t>
            </w:r>
            <w:r>
              <w:rPr>
                <w:rFonts w:hint="eastAsia" w:ascii="Times New Roman" w:hAnsi="Times New Roman" w:eastAsia="宋体" w:cs="Times New Roman"/>
                <w:b/>
                <w:bCs/>
                <w:color w:val="auto"/>
                <w:kern w:val="0"/>
                <w:sz w:val="24"/>
                <w:szCs w:val="20"/>
                <w:highlight w:val="none"/>
                <w:lang w:val="en-US" w:eastAsia="zh-CN" w:bidi="ar-SA"/>
              </w:rPr>
              <w:t xml:space="preserve"> </w:t>
            </w:r>
          </w:p>
          <w:p w14:paraId="1218F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本项目与河北石家庄装备制造产业园准入要求符合性分析见下表：</w:t>
            </w:r>
          </w:p>
          <w:p w14:paraId="388ED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表</w:t>
            </w:r>
            <w:r>
              <w:rPr>
                <w:rFonts w:hint="default" w:ascii="Times New Roman" w:hAnsi="Times New Roman" w:eastAsia="宋体" w:cs="Times New Roman"/>
                <w:b/>
                <w:bCs/>
                <w:color w:val="auto"/>
                <w:kern w:val="0"/>
                <w:sz w:val="24"/>
                <w:szCs w:val="20"/>
                <w:highlight w:val="none"/>
                <w:lang w:val="en-US" w:eastAsia="zh-CN" w:bidi="ar-SA"/>
              </w:rPr>
              <w:t>1-</w:t>
            </w:r>
            <w:r>
              <w:rPr>
                <w:rFonts w:hint="eastAsia" w:cs="Times New Roman"/>
                <w:b/>
                <w:bCs/>
                <w:color w:val="auto"/>
                <w:kern w:val="0"/>
                <w:sz w:val="24"/>
                <w:szCs w:val="20"/>
                <w:highlight w:val="none"/>
                <w:lang w:val="en-US" w:eastAsia="zh-CN" w:bidi="ar-SA"/>
              </w:rPr>
              <w:t>5</w:t>
            </w:r>
            <w:r>
              <w:rPr>
                <w:rFonts w:hint="default" w:ascii="Times New Roman" w:hAnsi="Times New Roman" w:eastAsia="宋体" w:cs="Times New Roman"/>
                <w:b/>
                <w:bCs/>
                <w:color w:val="auto"/>
                <w:kern w:val="0"/>
                <w:sz w:val="24"/>
                <w:szCs w:val="20"/>
                <w:highlight w:val="none"/>
                <w:lang w:val="en-US" w:eastAsia="zh-CN" w:bidi="ar-SA"/>
              </w:rPr>
              <w:t xml:space="preserve"> </w:t>
            </w:r>
            <w:r>
              <w:rPr>
                <w:rFonts w:hint="eastAsia" w:ascii="Times New Roman" w:hAnsi="Times New Roman" w:eastAsia="宋体" w:cs="Times New Roman"/>
                <w:b/>
                <w:bCs/>
                <w:color w:val="auto"/>
                <w:kern w:val="0"/>
                <w:sz w:val="24"/>
                <w:szCs w:val="20"/>
                <w:highlight w:val="none"/>
                <w:lang w:val="en-US" w:eastAsia="zh-CN" w:bidi="ar-SA"/>
              </w:rPr>
              <w:t xml:space="preserve">  项目与河北石家庄装备制造产业园准入要求符合性分析一览表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8"/>
              <w:gridCol w:w="546"/>
              <w:gridCol w:w="4130"/>
              <w:gridCol w:w="2615"/>
            </w:tblGrid>
            <w:tr w14:paraId="4A26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pct"/>
                  <w:gridSpan w:val="2"/>
                  <w:vAlign w:val="center"/>
                </w:tcPr>
                <w:p w14:paraId="4C9DD9DD">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val="en-US" w:eastAsia="zh-CN"/>
                    </w:rPr>
                    <w:t>项目</w:t>
                  </w:r>
                </w:p>
              </w:tc>
              <w:tc>
                <w:tcPr>
                  <w:tcW w:w="2702" w:type="pct"/>
                  <w:vAlign w:val="center"/>
                </w:tcPr>
                <w:p w14:paraId="1E757FAE">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b/>
                      <w:bCs w:val="0"/>
                      <w:color w:val="auto"/>
                      <w:sz w:val="21"/>
                      <w:szCs w:val="21"/>
                      <w:highlight w:val="none"/>
                      <w:lang w:val="en-US"/>
                    </w:rPr>
                  </w:pPr>
                  <w:r>
                    <w:rPr>
                      <w:rFonts w:hint="default" w:ascii="Times New Roman" w:hAnsi="Times New Roman" w:cs="Times New Roman"/>
                      <w:b/>
                      <w:bCs w:val="0"/>
                      <w:color w:val="auto"/>
                      <w:sz w:val="21"/>
                      <w:szCs w:val="21"/>
                      <w:highlight w:val="none"/>
                      <w:lang w:val="en-US" w:eastAsia="zh-CN"/>
                    </w:rPr>
                    <w:t>准入要求</w:t>
                  </w:r>
                </w:p>
              </w:tc>
              <w:tc>
                <w:tcPr>
                  <w:tcW w:w="1711" w:type="pct"/>
                  <w:vAlign w:val="center"/>
                </w:tcPr>
                <w:p w14:paraId="159DBAC5">
                  <w:pPr>
                    <w:pStyle w:val="23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项目情况</w:t>
                  </w:r>
                </w:p>
              </w:tc>
            </w:tr>
            <w:tr w14:paraId="5C02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pct"/>
                  <w:gridSpan w:val="2"/>
                  <w:vAlign w:val="center"/>
                </w:tcPr>
                <w:p w14:paraId="7DF8BF69">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总体要求</w:t>
                  </w:r>
                </w:p>
              </w:tc>
              <w:tc>
                <w:tcPr>
                  <w:tcW w:w="4130" w:type="dxa"/>
                  <w:vAlign w:val="center"/>
                </w:tcPr>
                <w:p w14:paraId="0F8C9D59">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1、符合“石家庄市</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三线一单</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生态环境分区管控意见”的动态更新成果中全市总体准入要求，具体内容不再列出；</w:t>
                  </w:r>
                </w:p>
                <w:p w14:paraId="3EF1611B">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2、新建、改建、扩建项目需符合生态环境保护相关规划，满足重点污染物排放总量控制要求实施倍量替代，生态环境准入清单和相应行业建设项目环境准入要求、环评审批原则。</w:t>
                  </w:r>
                </w:p>
                <w:p w14:paraId="0A2C5EC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3、规划区禁止建设《河北省发展和改革委员会关于加强新建“两高”项目管理的通知》（冀发改环资[2022]691号）中的“两高”项目。</w:t>
                  </w:r>
                </w:p>
              </w:tc>
              <w:tc>
                <w:tcPr>
                  <w:tcW w:w="1711" w:type="pct"/>
                  <w:vAlign w:val="center"/>
                </w:tcPr>
                <w:p w14:paraId="3A5C48C9">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1、项目符合</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石家庄市三线一单生态环境分区管控意见</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的动态更新成果中全市总体准入要求</w:t>
                  </w:r>
                  <w:r>
                    <w:rPr>
                      <w:rFonts w:hint="default" w:ascii="Times New Roman" w:hAnsi="Times New Roman" w:cs="Times New Roman"/>
                      <w:color w:val="auto"/>
                      <w:kern w:val="0"/>
                      <w:sz w:val="21"/>
                      <w:szCs w:val="21"/>
                      <w:highlight w:val="none"/>
                      <w:lang w:val="en-US" w:eastAsia="zh-CN" w:bidi="ar-SA"/>
                    </w:rPr>
                    <w:t>；</w:t>
                  </w:r>
                </w:p>
                <w:p w14:paraId="4806C03E">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2、项目为</w:t>
                  </w:r>
                  <w:r>
                    <w:rPr>
                      <w:rFonts w:hint="eastAsia" w:ascii="Times New Roman" w:hAnsi="Times New Roman" w:cs="Times New Roman"/>
                      <w:color w:val="auto"/>
                      <w:kern w:val="0"/>
                      <w:sz w:val="21"/>
                      <w:szCs w:val="21"/>
                      <w:highlight w:val="none"/>
                      <w:lang w:val="en-US" w:eastAsia="zh-CN" w:bidi="ar-SA"/>
                    </w:rPr>
                    <w:t>改建项目</w:t>
                  </w:r>
                  <w:r>
                    <w:rPr>
                      <w:rFonts w:hint="default" w:ascii="Times New Roman" w:hAnsi="Times New Roman" w:eastAsia="宋体" w:cs="Times New Roman"/>
                      <w:color w:val="auto"/>
                      <w:kern w:val="0"/>
                      <w:sz w:val="21"/>
                      <w:szCs w:val="21"/>
                      <w:highlight w:val="none"/>
                      <w:lang w:val="en-US" w:eastAsia="zh-CN" w:bidi="ar-SA"/>
                    </w:rPr>
                    <w:t>，据环评分析</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重点污染物排放总量不新增</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满足生态环境准入清单和相应行业建设项目环境准入要求</w:t>
                  </w:r>
                  <w:r>
                    <w:rPr>
                      <w:rFonts w:hint="default" w:ascii="Times New Roman" w:hAnsi="Times New Roman" w:cs="Times New Roman"/>
                      <w:color w:val="auto"/>
                      <w:kern w:val="0"/>
                      <w:sz w:val="21"/>
                      <w:szCs w:val="21"/>
                      <w:highlight w:val="none"/>
                      <w:lang w:val="en-US" w:eastAsia="zh-CN" w:bidi="ar-SA"/>
                    </w:rPr>
                    <w:t>；</w:t>
                  </w:r>
                </w:p>
                <w:p w14:paraId="38CEF6FE">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3、本项目不属于</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两高</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cs="Times New Roman"/>
                      <w:color w:val="auto"/>
                      <w:kern w:val="0"/>
                      <w:sz w:val="21"/>
                      <w:szCs w:val="21"/>
                      <w:highlight w:val="none"/>
                      <w:lang w:val="en-US" w:eastAsia="zh-CN" w:bidi="ar-SA"/>
                    </w:rPr>
                    <w:t>。</w:t>
                  </w:r>
                </w:p>
              </w:tc>
            </w:tr>
            <w:tr w14:paraId="52BE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8" w:type="pct"/>
                  <w:vMerge w:val="restart"/>
                  <w:vAlign w:val="center"/>
                </w:tcPr>
                <w:p w14:paraId="6E7938B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河北石家庄装备制造产业园</w:t>
                  </w:r>
                </w:p>
              </w:tc>
              <w:tc>
                <w:tcPr>
                  <w:tcW w:w="357" w:type="pct"/>
                  <w:vAlign w:val="center"/>
                </w:tcPr>
                <w:p w14:paraId="307FBA55">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产业及政策准入管理要求</w:t>
                  </w:r>
                </w:p>
              </w:tc>
              <w:tc>
                <w:tcPr>
                  <w:tcW w:w="4130" w:type="dxa"/>
                  <w:vAlign w:val="center"/>
                </w:tcPr>
                <w:p w14:paraId="5AD4035A">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1、满足《产业结构调整指导目录》、《产业发展与转移指导目录》的要求。</w:t>
                  </w:r>
                </w:p>
                <w:p w14:paraId="62A161AE">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2、入区项目各污染物排放指标必须满足清洁生产指标国内先进水平要求（如有）；</w:t>
                  </w:r>
                </w:p>
                <w:p w14:paraId="4A7F6D5D">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3、严格限制工业涂装、包装印刷等使用高VOCs排放的涂料、胶粘剂等。</w:t>
                  </w:r>
                </w:p>
                <w:p w14:paraId="7F4667E1">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4、铸造企业应满足《&lt;关于推动铸造和锻压行业高质量发展的若干措施&gt;的通知》（冀工信装[2023]127 号）等动态更新文件的要求。</w:t>
                  </w:r>
                </w:p>
                <w:p w14:paraId="4E8820B7">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5、禁燃区内任何单位不得新建、扩建高污染燃料燃用设施，不得将其他燃料设施改造为高污染燃料燃用设施。</w:t>
                  </w:r>
                </w:p>
                <w:p w14:paraId="3C0E93FE">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按照《河北省化工重点监控点认定办法》、《石家庄市化工重点监控点认定程序和管理办法（试行）》要求执行。列入重点化工监控点的企业，在项目审批、建设和管理方面参照化工园区内企业执行。化工重点监控点现状产品中百草枯、可可碱、咖啡因属于《产业结构调整指导目录》（2024版）限制类产品。①石家庄杰克化工有限公司、河北圣泰材料股份有限公司、石家庄驰远化工有限公司（及第一分公司）、河北三农农用化工有限公司、石家庄宝丰化工有限公司、石药创新制药股份有限公司、河北科硕化工有限公司周边无可发展用地，在无用地指标前，用地规模及范围控制在现有厂区内，可根据《石家庄市化工重点监控点认定程序和管理办法》，依法依规在厂区内新建、改建、扩建现有装备产品和产业链上下游项目。②河北圣泰材料股份有限公司子公司河北圣泰锂化新材料科技有限公司周边有闲置用地，在无用地指标前，用地规模及范围控制在现有厂区内，用地指标落实后可根据《石家庄市化工重点监控点认定程序和管理办法》，可依法依规在厂区内或紧邻厂区新建、改建、扩建现有装备产品和产业链上下游项目。</w:t>
                  </w:r>
                </w:p>
                <w:p w14:paraId="181013FC">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严格建设用地土壤环境准入。在永久基本农田集中区域禁止新建重金属、持久性有机污染物类项目。装备制造行业禁止建设集中电镀、镀层、阳极氧化的金属表面处理及热处理加工企业。战略性新兴产业和高新技术产业，新、改、扩建项目包括少量电镀、涂装、酸洗等表面处理工艺，但不属于主要生产工序的，不视为表面处理建设项目，新增少量电镀工序企业，不排放含重金属的废水（采用无氰电镀，禁止采用剧毒的氰化物电解液）。</w:t>
                  </w:r>
                </w:p>
                <w:p w14:paraId="18B8386E">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8、现有化工企业在不增加污染物的情况下，允许原厂区内改扩建。</w:t>
                  </w:r>
                </w:p>
                <w:p w14:paraId="2C85267E">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根据《河北省生态环境分区管控更新成果（2023版）》、《石家庄市生态环境准入清单（2023版）》中地表水环境总体管控要求，严格控制高污染、高耗水行业新增产能。食品加工业根据《关于印发钢铁等十八项工业用水定额的通知》，禁止建设高耗水项目。</w:t>
                  </w:r>
                </w:p>
                <w:p w14:paraId="0222F5DF">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10、医药制造业：禁止建设《产业结构调整指导目录（2024 本）》限制类和淘汰类原料药。</w:t>
                  </w:r>
                </w:p>
              </w:tc>
              <w:tc>
                <w:tcPr>
                  <w:tcW w:w="1711" w:type="pct"/>
                  <w:vAlign w:val="center"/>
                </w:tcPr>
                <w:p w14:paraId="56BDB99D">
                  <w:pPr>
                    <w:keepNext w:val="0"/>
                    <w:keepLines w:val="0"/>
                    <w:pageBreakBefore w:val="0"/>
                    <w:widowControl/>
                    <w:suppressLineNumbers w:val="0"/>
                    <w:kinsoku/>
                    <w:wordWrap/>
                    <w:overflowPunct/>
                    <w:bidi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1、项目不属于《产业结构调整指导目录（2024年本）》中限制类、淘汰类项目；</w:t>
                  </w:r>
                </w:p>
                <w:p w14:paraId="0E1B40B4">
                  <w:pPr>
                    <w:keepNext w:val="0"/>
                    <w:keepLines w:val="0"/>
                    <w:pageBreakBefore w:val="0"/>
                    <w:widowControl/>
                    <w:suppressLineNumbers w:val="0"/>
                    <w:kinsoku/>
                    <w:wordWrap/>
                    <w:overflowPunct/>
                    <w:bidi w:val="0"/>
                    <w:spacing w:before="0" w:beforeAutospacing="0" w:after="0" w:afterAutospacing="0"/>
                    <w:ind w:left="0" w:right="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项目参照《包装行业清洁生产评价指标体系（试行）》中塑料包装制品，单位原辅材料使用量万元增加值为2.02，＜2.20；综合能耗为1.58，＜2.00，固体废物回收利用率为100%，清洁生产水平可达到国内先进（二级水平）要求；</w:t>
                  </w:r>
                </w:p>
                <w:p w14:paraId="3C3C9535">
                  <w:pPr>
                    <w:keepNext w:val="0"/>
                    <w:keepLines w:val="0"/>
                    <w:pageBreakBefore w:val="0"/>
                    <w:widowControl/>
                    <w:suppressLineNumbers w:val="0"/>
                    <w:kinsoku/>
                    <w:wordWrap/>
                    <w:overflowPunct/>
                    <w:bidi w:val="0"/>
                    <w:spacing w:before="0" w:beforeAutospacing="0" w:after="0" w:afterAutospacing="0"/>
                    <w:ind w:left="0" w:right="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不涉及</w:t>
                  </w:r>
                  <w:r>
                    <w:rPr>
                      <w:rFonts w:hint="default" w:ascii="Times New Roman" w:hAnsi="Times New Roman" w:eastAsia="宋体" w:cs="Times New Roman"/>
                      <w:color w:val="auto"/>
                      <w:kern w:val="0"/>
                      <w:sz w:val="21"/>
                      <w:szCs w:val="21"/>
                      <w:highlight w:val="none"/>
                      <w:lang w:val="en-US" w:eastAsia="zh-CN" w:bidi="ar"/>
                    </w:rPr>
                    <w:t>；</w:t>
                  </w:r>
                </w:p>
                <w:p w14:paraId="4937A3E4">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4、不涉及；</w:t>
                  </w:r>
                </w:p>
                <w:p w14:paraId="18FF78C5">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5、项目不使用燃料；</w:t>
                  </w:r>
                </w:p>
                <w:p w14:paraId="759DBA94">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6、不涉及； </w:t>
                  </w:r>
                </w:p>
                <w:p w14:paraId="78451775">
                  <w:pPr>
                    <w:keepNext w:val="0"/>
                    <w:keepLines w:val="0"/>
                    <w:pageBreakBefore w:val="0"/>
                    <w:widowControl/>
                    <w:suppressLineNumbers w:val="0"/>
                    <w:kinsoku/>
                    <w:wordWrap/>
                    <w:overflowPunct/>
                    <w:bidi w:val="0"/>
                    <w:spacing w:before="0" w:beforeAutospacing="0" w:after="0" w:afterAutospacing="0"/>
                    <w:ind w:left="0" w:right="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7、项目不新增占地，现有占地为工业用地，不占用永久基本农田，本项目不属于电镀、镀层、阳极氧化的金属表面处理及热处理加工项目； </w:t>
                  </w:r>
                </w:p>
                <w:p w14:paraId="10F4371F">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8、不涉及；</w:t>
                  </w:r>
                </w:p>
                <w:p w14:paraId="1941A394">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9、本项目不属于高耗水项目；</w:t>
                  </w:r>
                </w:p>
                <w:p w14:paraId="4F72286B">
                  <w:pPr>
                    <w:keepNext w:val="0"/>
                    <w:keepLines w:val="0"/>
                    <w:pageBreakBefore w:val="0"/>
                    <w:widowControl/>
                    <w:suppressLineNumbers w:val="0"/>
                    <w:kinsoku/>
                    <w:wordWrap/>
                    <w:overflowPunct/>
                    <w:bidi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10、不涉及</w:t>
                  </w:r>
                  <w:r>
                    <w:rPr>
                      <w:rFonts w:hint="eastAsia" w:ascii="Times New Roman" w:hAnsi="Times New Roman" w:eastAsia="宋体" w:cs="Times New Roman"/>
                      <w:color w:val="auto"/>
                      <w:kern w:val="0"/>
                      <w:sz w:val="21"/>
                      <w:szCs w:val="21"/>
                      <w:highlight w:val="none"/>
                      <w:lang w:val="en-US" w:eastAsia="zh-CN" w:bidi="ar"/>
                    </w:rPr>
                    <w:t>。</w:t>
                  </w:r>
                </w:p>
              </w:tc>
            </w:tr>
            <w:tr w14:paraId="1C91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8" w:type="pct"/>
                  <w:vMerge w:val="continue"/>
                  <w:vAlign w:val="center"/>
                </w:tcPr>
                <w:p w14:paraId="68E7F4ED">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cs="Times New Roman"/>
                      <w:color w:val="auto"/>
                      <w:sz w:val="21"/>
                      <w:szCs w:val="21"/>
                      <w:highlight w:val="none"/>
                    </w:rPr>
                  </w:pPr>
                </w:p>
              </w:tc>
              <w:tc>
                <w:tcPr>
                  <w:tcW w:w="357" w:type="pct"/>
                  <w:vAlign w:val="center"/>
                </w:tcPr>
                <w:p w14:paraId="05CD2E59">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4130" w:type="dxa"/>
                  <w:vAlign w:val="center"/>
                </w:tcPr>
                <w:p w14:paraId="5831FBA3">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1、禁止在公园绿地、防护绿地等规划绿地范围内开展与绿地无关的建设活动。</w:t>
                  </w:r>
                </w:p>
                <w:p w14:paraId="692E12A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2、禁止占用公路用地红线，在公路两侧建筑控制线范围内，禁止建设除公路附属设施外的其他永久性建筑物、构筑物和设施。</w:t>
                  </w:r>
                </w:p>
                <w:p w14:paraId="4D434B0A">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产业园区及周边划定了2处饮用水源地一级保护区，石家庄市栾城区水利局第一供水厂水源地一级保护区、交通公园水源井（1#）一级保护区。①在饮用水水源保护区内，禁止设置排污口。②禁止在饮用水水源一级保护区内新建、改建、扩建与供水设施和保护水源无关的建设项目；已建成的与供水设施和保护水源无关的建设项目，由县级以上人民政府责令拆除或者关闭2处饮用水源地未划定二级保护区，现状一级保护区内均未建设与供水设施和保护水源无关的建设项目）。③禁止在饮用水水源一级保护区内从事网箱养殖、旅游、游泳、垂钓或者其他可能污染饮用水水体的活动。</w:t>
                  </w:r>
                </w:p>
                <w:p w14:paraId="3EC88098">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产业园区及周边划定了1处饮用水源地准保护区，交通公园水源井（1#）准保护区。禁止在饮用水水源准保护区内新建、扩建对水体污染严重的建设项目；改建建设项目，不得增加排污量（交通公园水源井（1#）准保护区现状未建设有建设项目）。</w:t>
                  </w:r>
                </w:p>
                <w:p w14:paraId="346CF6D8">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栾武台保护范围：以栾武台台基边线为基线，向东150米至栾城镇加油站西侧，向南100米至内营村农田，向西150米至小裴村农田，向北100米至小裴村农田。建设控制地带：以栾武台保护范围边线为基线，向东150米至308国道，向南100米至内营村农田，向西150米至小裴村村中，向北100米至小裴村农田。栾武台遗址为省级重点文物保护单位。</w:t>
                  </w:r>
                </w:p>
                <w:p w14:paraId="1457C8E3">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入区企业应优先选址于距离居住区等环境敏感点较远区域；选址于居住区等环境敏感点周边的应设置绿化隔离带，工业用地靠近居住区一侧在布置工业项目时重点考虑对居住区的环境影响分析，需满足大气环境防护距离和风险防护距离要求。距离居住用地、教育用地0～50m范围内禁止新上涉及废气排放的工序；50～100m范围内新上涉及废气排放的工序应执行A级企业管控要求，并严格控制恶臭异味物质排放，以减少工业活动对居民生活的影响。新上企业应将污染物产生量少、环境影响轻的建筑物（如包装车间、仓库等）、办公楼等靠近居住区布置；强化废气处理设施，加强车间密闭，确保达标排放。新规划居住用地、教育用地与工业用地之间至少保留50m防护绿地。</w:t>
                  </w:r>
                </w:p>
                <w:p w14:paraId="04B35FEF">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入区项目按照规划产业定位和布局进行选址；不符合产业规划的现有企业在不影响规划产业园区主导功能的情况下可在现有厂区范围内改扩建，强化污染物排放控制要求；对于污染轻微附加值高且符合相关产业政策要求的项目在不影响规划产业园区主导功能的情况下可适度入驻。</w:t>
                  </w:r>
                </w:p>
                <w:p w14:paraId="0722223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保留的与规划不符现有企业应严格落实排污许可、国家及地方环保要求，达标排放，通过不断提升环保措施及管理水平，最大限度降低环境污染影响，鼓励其通过技术革新，实现经济效益和环境效益的双赢，促进产业园区绿色发展。</w:t>
                  </w:r>
                </w:p>
                <w:p w14:paraId="4AE1167C">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9、对于现有工业企业后续退出的遗留用地，应按照《中华人民共和国土壤污染防治法》《关于贯彻落实土壤污染防治法推动解决突出土壤污染问题的实施意见》（环办土壤[2019]47 号）要求，土地用途变更为住宅、公共管理与公共服务用地的，变更前应当按照规定进行土壤污染状况调查，编制土壤污染状况调查报告。</w:t>
                  </w:r>
                </w:p>
              </w:tc>
              <w:tc>
                <w:tcPr>
                  <w:tcW w:w="1711" w:type="pct"/>
                  <w:vAlign w:val="center"/>
                </w:tcPr>
                <w:p w14:paraId="25D2DCD5">
                  <w:pPr>
                    <w:pStyle w:val="67"/>
                    <w:keepNext w:val="0"/>
                    <w:keepLines w:val="0"/>
                    <w:pageBreakBefore w:val="0"/>
                    <w:widowControl w:val="0"/>
                    <w:numPr>
                      <w:ilvl w:val="0"/>
                      <w:numId w:val="0"/>
                    </w:numPr>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eastAsia" w:cs="Times New Roman"/>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不涉及；</w:t>
                  </w:r>
                </w:p>
                <w:p w14:paraId="16EB9316">
                  <w:pPr>
                    <w:pStyle w:val="67"/>
                    <w:keepNext w:val="0"/>
                    <w:keepLines w:val="0"/>
                    <w:pageBreakBefore w:val="0"/>
                    <w:widowControl w:val="0"/>
                    <w:numPr>
                      <w:ilvl w:val="0"/>
                      <w:numId w:val="0"/>
                    </w:numPr>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eastAsia" w:cs="Times New Roman"/>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w:t>
                  </w:r>
                  <w:r>
                    <w:rPr>
                      <w:rFonts w:hint="eastAsia" w:cs="Times New Roman"/>
                      <w:color w:val="auto"/>
                      <w:kern w:val="0"/>
                      <w:sz w:val="21"/>
                      <w:szCs w:val="21"/>
                      <w:highlight w:val="none"/>
                      <w:lang w:val="en-US" w:eastAsia="zh-CN" w:bidi="ar-SA"/>
                    </w:rPr>
                    <w:t>不涉及；</w:t>
                  </w:r>
                </w:p>
                <w:p w14:paraId="7B693133">
                  <w:pPr>
                    <w:pStyle w:val="67"/>
                    <w:keepNext w:val="0"/>
                    <w:keepLines w:val="0"/>
                    <w:pageBreakBefore w:val="0"/>
                    <w:widowControl w:val="0"/>
                    <w:numPr>
                      <w:ilvl w:val="0"/>
                      <w:numId w:val="0"/>
                    </w:numPr>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3、</w:t>
                  </w:r>
                  <w:r>
                    <w:rPr>
                      <w:rFonts w:hint="eastAsia" w:cs="Times New Roman"/>
                      <w:bCs/>
                      <w:color w:val="auto"/>
                      <w:kern w:val="0"/>
                      <w:sz w:val="21"/>
                      <w:szCs w:val="21"/>
                      <w:highlight w:val="none"/>
                      <w:lang w:val="en-US" w:eastAsia="zh-CN" w:bidi="ar-SA"/>
                    </w:rPr>
                    <w:t>4、5、</w:t>
                  </w:r>
                  <w:r>
                    <w:rPr>
                      <w:rFonts w:hint="eastAsia" w:cs="Times New Roman"/>
                      <w:color w:val="auto"/>
                      <w:kern w:val="0"/>
                      <w:sz w:val="21"/>
                      <w:szCs w:val="21"/>
                      <w:highlight w:val="none"/>
                      <w:lang w:val="en-US" w:eastAsia="zh-CN" w:bidi="ar-SA"/>
                    </w:rPr>
                    <w:t>项目不在</w:t>
                  </w:r>
                  <w:r>
                    <w:rPr>
                      <w:rFonts w:hint="default" w:cs="Times New Roman"/>
                      <w:color w:val="auto"/>
                      <w:kern w:val="0"/>
                      <w:sz w:val="21"/>
                      <w:szCs w:val="21"/>
                      <w:highlight w:val="none"/>
                      <w:lang w:val="en-US" w:eastAsia="zh-CN" w:bidi="ar-SA"/>
                    </w:rPr>
                    <w:t>饮用水源地一级保护区</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饮用水源地准保护区</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栾武台遗址</w:t>
                  </w:r>
                  <w:r>
                    <w:rPr>
                      <w:rFonts w:hint="eastAsia" w:cs="Times New Roman"/>
                      <w:color w:val="auto"/>
                      <w:kern w:val="0"/>
                      <w:sz w:val="21"/>
                      <w:szCs w:val="21"/>
                      <w:highlight w:val="none"/>
                      <w:lang w:val="en-US" w:eastAsia="zh-CN" w:bidi="ar-SA"/>
                    </w:rPr>
                    <w:t>文物保护范围内，项目废水主要为职工生活污水，生活污水经集成式生物化粪池处理后经园区污水管网排入绿源污水处理有限公司进一步处理，不设置直接排污口；</w:t>
                  </w:r>
                </w:p>
                <w:p w14:paraId="3B8ECAD5">
                  <w:pPr>
                    <w:pStyle w:val="67"/>
                    <w:keepNext w:val="0"/>
                    <w:keepLines w:val="0"/>
                    <w:pageBreakBefore w:val="0"/>
                    <w:widowControl w:val="0"/>
                    <w:numPr>
                      <w:ilvl w:val="0"/>
                      <w:numId w:val="0"/>
                    </w:numPr>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r>
                    <w:rPr>
                      <w:rFonts w:hint="default" w:cs="Times New Roman"/>
                      <w:color w:val="auto"/>
                      <w:kern w:val="0"/>
                      <w:sz w:val="21"/>
                      <w:szCs w:val="21"/>
                      <w:highlight w:val="none"/>
                      <w:lang w:val="en-US" w:eastAsia="zh-CN" w:bidi="ar-SA"/>
                    </w:rPr>
                    <w:t>距离项目</w:t>
                  </w:r>
                  <w:r>
                    <w:rPr>
                      <w:rFonts w:hint="default" w:ascii="Times New Roman" w:hAnsi="Times New Roman" w:eastAsia="Segoe UI" w:cs="Times New Roman"/>
                      <w:i w:val="0"/>
                      <w:iCs w:val="0"/>
                      <w:caps w:val="0"/>
                      <w:color w:val="auto"/>
                      <w:spacing w:val="0"/>
                      <w:sz w:val="21"/>
                      <w:szCs w:val="21"/>
                      <w:highlight w:val="none"/>
                      <w:shd w:val="clear" w:fill="FFFFFF"/>
                    </w:rPr>
                    <w:t>最近敏感点为西南侧710m处的锦悦桦庭</w:t>
                  </w:r>
                  <w:r>
                    <w:rPr>
                      <w:rFonts w:hint="eastAsia" w:cs="Times New Roman"/>
                      <w:color w:val="auto"/>
                      <w:kern w:val="0"/>
                      <w:sz w:val="21"/>
                      <w:szCs w:val="21"/>
                      <w:highlight w:val="none"/>
                      <w:lang w:val="en-US" w:eastAsia="zh-CN" w:bidi="ar-SA"/>
                    </w:rPr>
                    <w:t>。项目各污染物均设置在厂房内，污染物经采取措施后达标排放，不会对周围居民产生明显影响。</w:t>
                  </w:r>
                </w:p>
                <w:p w14:paraId="579CC437">
                  <w:pPr>
                    <w:keepNext w:val="0"/>
                    <w:keepLines w:val="0"/>
                    <w:pageBreakBefore w:val="0"/>
                    <w:suppressLineNumbers w:val="0"/>
                    <w:kinsoku/>
                    <w:wordWrap/>
                    <w:overflowPunct/>
                    <w:bidi w:val="0"/>
                    <w:spacing w:before="0" w:beforeAutospacing="0" w:after="0" w:afterAutospacing="0"/>
                    <w:ind w:left="0" w:right="0"/>
                    <w:rPr>
                      <w:rFonts w:hint="default" w:ascii="Times New Roman" w:hAnsi="Times New Roman" w:cs="Times New Roman"/>
                      <w:color w:val="auto"/>
                      <w:sz w:val="21"/>
                      <w:szCs w:val="21"/>
                      <w:highlight w:val="none"/>
                    </w:rPr>
                  </w:pPr>
                  <w:r>
                    <w:rPr>
                      <w:rFonts w:hint="eastAsia"/>
                      <w:color w:val="auto"/>
                      <w:szCs w:val="20"/>
                      <w:highlight w:val="none"/>
                      <w:lang w:val="en-US" w:eastAsia="zh-CN"/>
                    </w:rPr>
                    <w:t>7、</w:t>
                  </w:r>
                  <w:r>
                    <w:rPr>
                      <w:rFonts w:hint="eastAsia" w:cs="Times New Roman"/>
                      <w:color w:val="auto"/>
                      <w:sz w:val="21"/>
                      <w:szCs w:val="21"/>
                      <w:highlight w:val="none"/>
                      <w:lang w:val="en-US" w:eastAsia="zh-CN"/>
                    </w:rPr>
                    <w:t>本项目为改建项目，项目产品为汽车塑料配件，属于汽车零部件，符合园区规划定位。</w:t>
                  </w:r>
                  <w:r>
                    <w:rPr>
                      <w:rFonts w:hint="eastAsia" w:ascii="Times New Roman" w:hAnsi="Times New Roman" w:eastAsia="宋体" w:cs="Times New Roman"/>
                      <w:color w:val="auto"/>
                      <w:sz w:val="21"/>
                      <w:szCs w:val="21"/>
                      <w:highlight w:val="none"/>
                      <w:lang w:val="en-US" w:eastAsia="zh-CN"/>
                    </w:rPr>
                    <w:t>租赁现有厂房进行建设汽车塑料配件改扩建项目，根据不动产权证，占地为工业用地，符合用地规划</w:t>
                  </w:r>
                  <w:r>
                    <w:rPr>
                      <w:rFonts w:hint="default" w:ascii="Times New Roman" w:hAnsi="Times New Roman" w:cs="Times New Roman"/>
                      <w:color w:val="auto"/>
                      <w:sz w:val="21"/>
                      <w:szCs w:val="21"/>
                      <w:highlight w:val="none"/>
                    </w:rPr>
                    <w:t>。</w:t>
                  </w:r>
                </w:p>
                <w:p w14:paraId="6CA0A545">
                  <w:pPr>
                    <w:keepNext w:val="0"/>
                    <w:keepLines w:val="0"/>
                    <w:pageBreakBefore w:val="0"/>
                    <w:suppressLineNumbers w:val="0"/>
                    <w:kinsoku/>
                    <w:wordWrap/>
                    <w:overflowPunct/>
                    <w:bidi w:val="0"/>
                    <w:spacing w:before="0" w:beforeAutospacing="0" w:after="0" w:afterAutospacing="0"/>
                    <w:ind w:left="0" w:right="0"/>
                    <w:rPr>
                      <w:rFonts w:hint="default"/>
                      <w:color w:val="auto"/>
                      <w:szCs w:val="20"/>
                      <w:highlight w:val="none"/>
                      <w:lang w:val="en-US" w:eastAsia="zh-CN"/>
                    </w:rPr>
                  </w:pPr>
                  <w:r>
                    <w:rPr>
                      <w:rFonts w:hint="eastAsia" w:ascii="Times New Roman" w:hAnsi="Times New Roman" w:cs="Times New Roman"/>
                      <w:color w:val="auto"/>
                      <w:sz w:val="21"/>
                      <w:szCs w:val="21"/>
                      <w:highlight w:val="none"/>
                      <w:lang w:val="en-US" w:eastAsia="zh-CN"/>
                    </w:rPr>
                    <w:t>8、</w:t>
                  </w:r>
                  <w:r>
                    <w:rPr>
                      <w:rFonts w:hint="eastAsia" w:cs="Times New Roman"/>
                      <w:color w:val="auto"/>
                      <w:sz w:val="21"/>
                      <w:szCs w:val="21"/>
                      <w:highlight w:val="none"/>
                      <w:lang w:val="en-US" w:eastAsia="zh-CN"/>
                    </w:rPr>
                    <w:t>9、不属于</w:t>
                  </w:r>
                  <w:r>
                    <w:rPr>
                      <w:rFonts w:hint="default" w:ascii="Times New Roman" w:hAnsi="Times New Roman" w:eastAsia="宋体" w:cs="Times New Roman"/>
                      <w:color w:val="auto"/>
                      <w:kern w:val="0"/>
                      <w:sz w:val="21"/>
                      <w:szCs w:val="21"/>
                      <w:highlight w:val="none"/>
                      <w:lang w:val="en-US" w:eastAsia="zh-CN" w:bidi="ar-SA"/>
                    </w:rPr>
                    <w:t>与规划不符现有企业</w:t>
                  </w:r>
                  <w:r>
                    <w:rPr>
                      <w:rFonts w:hint="eastAsia" w:cs="Times New Roman"/>
                      <w:color w:val="auto"/>
                      <w:sz w:val="21"/>
                      <w:szCs w:val="21"/>
                      <w:highlight w:val="none"/>
                      <w:lang w:val="en-US" w:eastAsia="zh-CN"/>
                    </w:rPr>
                    <w:t>；</w:t>
                  </w:r>
                </w:p>
              </w:tc>
            </w:tr>
            <w:tr w14:paraId="37B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8" w:type="pct"/>
                  <w:vMerge w:val="continue"/>
                  <w:vAlign w:val="center"/>
                </w:tcPr>
                <w:p w14:paraId="2FF76200">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cs="Times New Roman"/>
                      <w:color w:val="auto"/>
                      <w:sz w:val="21"/>
                      <w:szCs w:val="21"/>
                      <w:highlight w:val="none"/>
                    </w:rPr>
                  </w:pPr>
                </w:p>
              </w:tc>
              <w:tc>
                <w:tcPr>
                  <w:tcW w:w="357" w:type="pct"/>
                  <w:vAlign w:val="center"/>
                </w:tcPr>
                <w:p w14:paraId="212EC0E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污染物排放管控</w:t>
                  </w:r>
                </w:p>
              </w:tc>
              <w:tc>
                <w:tcPr>
                  <w:tcW w:w="4130" w:type="dxa"/>
                  <w:vAlign w:val="center"/>
                </w:tcPr>
                <w:p w14:paraId="46058FF8">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1、鼓励优先引入集中式环保治理工程；入区项目需满足建设项目主要污污染物排放削减替代和总量控制要求。</w:t>
                  </w:r>
                </w:p>
                <w:p w14:paraId="46269B83">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2、强化VOCs大气特征污染物管控，新建具有绩效评级要求的涉气建设项目，应达到B级及以上水平。</w:t>
                  </w:r>
                </w:p>
                <w:p w14:paraId="31B2290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3、废气污染物近期排放总量：颗粒物：81.696t/a，SO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：99.369t/a，NOx：196.372t/a，VOCs：101.608t/a。废气污染物远期排放总量量：颗粒物：103.447t/a，SO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：95.374t/a，NOx：195.47t/a，VOCs：132.481t/a。</w:t>
                  </w:r>
                </w:p>
                <w:p w14:paraId="754160C5">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4、废气污染物近期新增排放量：颗粒物：8.563t/a，SO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：0.167t/a，NOx：1.266t/a，VOCs：22.396t/a。废气污染物远期排放总量量：颗粒物：31.4t/a，SO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：0.959/a，NOx：7.261t/a，VOCs：53.269t/a。</w:t>
                  </w:r>
                </w:p>
                <w:p w14:paraId="013029D4">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5、入区企业废水应全部纳入污水管网进入污水处理厂集中处理，严禁排入周边地表水体。近期排放量：COD：249.66t/a，氨氮：12.483t/a，远期排放量：COD：361.35t/a，氨氮：18.068t/a。</w:t>
                  </w:r>
                </w:p>
                <w:p w14:paraId="12C1324F">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6、一般工业固体废物：近期 117.2918万吨/年，远期150.7986 万吨/年。</w:t>
                  </w:r>
                </w:p>
                <w:p w14:paraId="5042450A">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7、危险废物：近期9.2073万t/a，远期13.9646万t/a。</w:t>
                  </w:r>
                </w:p>
                <w:p w14:paraId="2710699C">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8、单位工业产值二氧化碳排放量：近期：0.40tCO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/万元产值，远期：0.233tCO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/万元产值。</w:t>
                  </w:r>
                </w:p>
              </w:tc>
              <w:tc>
                <w:tcPr>
                  <w:tcW w:w="1711" w:type="pct"/>
                  <w:vAlign w:val="center"/>
                </w:tcPr>
                <w:p w14:paraId="0515D968">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bCs w:val="0"/>
                      <w:color w:val="auto"/>
                      <w:kern w:val="0"/>
                      <w:sz w:val="21"/>
                      <w:szCs w:val="21"/>
                      <w:highlight w:val="none"/>
                      <w:lang w:val="en-US" w:eastAsia="zh-CN" w:bidi="ar-SA"/>
                    </w:rPr>
                    <w:t>项目需满足建设项目主要污染物排放削减替代和总量控制要求</w:t>
                  </w:r>
                  <w:r>
                    <w:rPr>
                      <w:rFonts w:hint="eastAsia" w:cs="Times New Roman"/>
                      <w:bCs w:val="0"/>
                      <w:color w:val="auto"/>
                      <w:kern w:val="0"/>
                      <w:sz w:val="21"/>
                      <w:szCs w:val="21"/>
                      <w:highlight w:val="none"/>
                      <w:lang w:val="en-US" w:eastAsia="zh-CN" w:bidi="ar-SA"/>
                    </w:rPr>
                    <w:t>；</w:t>
                  </w:r>
                  <w:r>
                    <w:rPr>
                      <w:rFonts w:hint="default" w:ascii="Times New Roman" w:hAnsi="Times New Roman" w:eastAsia="宋体" w:cs="Times New Roman"/>
                      <w:bCs w:val="0"/>
                      <w:color w:val="auto"/>
                      <w:kern w:val="0"/>
                      <w:sz w:val="21"/>
                      <w:szCs w:val="21"/>
                      <w:highlight w:val="none"/>
                      <w:lang w:val="en-US" w:eastAsia="zh-CN" w:bidi="ar-SA"/>
                    </w:rPr>
                    <w:t>项目废气经处理后达标排放，</w:t>
                  </w:r>
                  <w:r>
                    <w:rPr>
                      <w:rFonts w:hint="eastAsia" w:ascii="Times New Roman" w:hAnsi="Times New Roman" w:eastAsia="宋体" w:cs="Times New Roman"/>
                      <w:bCs w:val="0"/>
                      <w:color w:val="auto"/>
                      <w:kern w:val="0"/>
                      <w:sz w:val="21"/>
                      <w:szCs w:val="21"/>
                      <w:highlight w:val="none"/>
                      <w:lang w:val="en-US" w:eastAsia="zh-CN" w:bidi="ar-SA"/>
                    </w:rPr>
                    <w:t>项目不涉及B级要求</w:t>
                  </w:r>
                  <w:r>
                    <w:rPr>
                      <w:rFonts w:hint="eastAsia" w:cs="Times New Roman"/>
                      <w:bCs w:val="0"/>
                      <w:color w:val="auto"/>
                      <w:kern w:val="0"/>
                      <w:sz w:val="21"/>
                      <w:szCs w:val="21"/>
                      <w:highlight w:val="none"/>
                      <w:lang w:val="en-US" w:eastAsia="zh-CN" w:bidi="ar-SA"/>
                    </w:rPr>
                    <w:t>；</w:t>
                  </w:r>
                  <w:r>
                    <w:rPr>
                      <w:rFonts w:hint="default" w:ascii="Times New Roman" w:hAnsi="Times New Roman" w:eastAsia="宋体" w:cs="Times New Roman"/>
                      <w:bCs w:val="0"/>
                      <w:color w:val="auto"/>
                      <w:kern w:val="0"/>
                      <w:sz w:val="21"/>
                      <w:szCs w:val="21"/>
                      <w:highlight w:val="none"/>
                      <w:lang w:val="en-US" w:eastAsia="zh-CN" w:bidi="ar-SA"/>
                    </w:rPr>
                    <w:t>项目无生产废水，项目废水主要为职工生活污水，生活污水经集成式生物化粪池处理后经园区污水管网排入绿源污水处理有限公司进一步处理</w:t>
                  </w:r>
                  <w:r>
                    <w:rPr>
                      <w:rFonts w:hint="eastAsia" w:ascii="Times New Roman" w:hAnsi="Times New Roman" w:eastAsia="宋体" w:cs="Times New Roman"/>
                      <w:bCs w:val="0"/>
                      <w:color w:val="auto"/>
                      <w:kern w:val="0"/>
                      <w:sz w:val="21"/>
                      <w:szCs w:val="21"/>
                      <w:highlight w:val="none"/>
                      <w:lang w:val="en-US" w:eastAsia="zh-CN" w:bidi="ar-SA"/>
                    </w:rPr>
                    <w:t>；</w:t>
                  </w:r>
                  <w:r>
                    <w:rPr>
                      <w:rFonts w:hint="default" w:ascii="Times New Roman" w:hAnsi="Times New Roman" w:eastAsia="宋体" w:cs="Times New Roman"/>
                      <w:bCs w:val="0"/>
                      <w:color w:val="auto"/>
                      <w:kern w:val="0"/>
                      <w:sz w:val="21"/>
                      <w:szCs w:val="21"/>
                      <w:highlight w:val="none"/>
                      <w:lang w:val="en-US" w:eastAsia="zh-CN" w:bidi="ar-SA"/>
                    </w:rPr>
                    <w:t>本项目固体废物全部妥善处置不外排</w:t>
                  </w:r>
                  <w:r>
                    <w:rPr>
                      <w:rFonts w:hint="eastAsia" w:cs="Times New Roman"/>
                      <w:bCs w:val="0"/>
                      <w:color w:val="auto"/>
                      <w:kern w:val="0"/>
                      <w:sz w:val="21"/>
                      <w:szCs w:val="21"/>
                      <w:highlight w:val="none"/>
                      <w:lang w:val="en-US" w:eastAsia="zh-CN" w:bidi="ar-SA"/>
                    </w:rPr>
                    <w:t>。</w:t>
                  </w:r>
                </w:p>
              </w:tc>
            </w:tr>
            <w:tr w14:paraId="695C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8" w:type="pct"/>
                  <w:vMerge w:val="continue"/>
                  <w:vAlign w:val="center"/>
                </w:tcPr>
                <w:p w14:paraId="5F6B52A3">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cs="Times New Roman"/>
                      <w:color w:val="auto"/>
                      <w:sz w:val="21"/>
                      <w:szCs w:val="21"/>
                      <w:highlight w:val="none"/>
                    </w:rPr>
                  </w:pPr>
                </w:p>
              </w:tc>
              <w:tc>
                <w:tcPr>
                  <w:tcW w:w="357" w:type="pct"/>
                  <w:vAlign w:val="center"/>
                </w:tcPr>
                <w:p w14:paraId="38B9BF98">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环境风险防控</w:t>
                  </w:r>
                </w:p>
              </w:tc>
              <w:tc>
                <w:tcPr>
                  <w:tcW w:w="4130" w:type="dxa"/>
                  <w:vAlign w:val="center"/>
                </w:tcPr>
                <w:p w14:paraId="0BF3004A">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1、重点监管企业和产业园区周边土壤环境定期开展监督性监测，重点监测重金属和持久性有机污染物。</w:t>
                  </w:r>
                </w:p>
                <w:p w14:paraId="0F7C8350">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2、对于易导致环境风险的有毒有害和易燃易爆物质的生产、使用、排放、贮运等新建、改扩建项目，风险防控措施应满足本评价提出的环境风险管理要求。</w:t>
                  </w:r>
                </w:p>
                <w:p w14:paraId="68FA9761">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3、距离石家庄市栾城区水利局第一供水厂水源地水源地一级保护区较近的项目应重点关注水环境风险应急措施，确保突发事故情况水环境风险物质不进入地下水。</w:t>
                  </w:r>
                </w:p>
                <w:p w14:paraId="49C80758">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4、入区企业应按照相关要求，组织编制《环境风险应急预案》，成立应急组织机构，定期开展应急演练，提高区域环境风险防范能力。</w:t>
                  </w:r>
                </w:p>
                <w:p w14:paraId="208866D2">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危险废物转移过程中应采取防扬散、防流失、防渗漏或者其他防止污染环境的措施，不得擅自倾倒、堆放、丢弃、遗撒危险废物。转移过程发生危险废物突发环境事件时，应立即采取有效措施消除或者减轻对环境的污染危害，并按相关规定向事故发生地有关部门报告。</w:t>
                  </w:r>
                </w:p>
                <w:p w14:paraId="3600C25D">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1"/>
                      <w:szCs w:val="21"/>
                      <w:highlight w:val="none"/>
                      <w:lang w:val="en-US" w:eastAsia="zh-CN" w:bidi="ar-SA"/>
                    </w:rPr>
                    <w:t>、建设风险较大的储罐距离居住区等环境保护目标应满足以下距离要求：甲醛储罐＞100m，液氨储罐＞20m，甲醇储罐＞10m，液氯储罐＞500m，同时风险较大的储罐还应满足建设项目环评提出的要求。</w:t>
                  </w:r>
                </w:p>
              </w:tc>
              <w:tc>
                <w:tcPr>
                  <w:tcW w:w="1711" w:type="pct"/>
                  <w:vAlign w:val="center"/>
                </w:tcPr>
                <w:p w14:paraId="3F4A2B8F">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eastAsia"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1.项目不属于</w:t>
                  </w:r>
                  <w:r>
                    <w:rPr>
                      <w:rFonts w:hint="default" w:ascii="Times New Roman" w:hAnsi="Times New Roman" w:eastAsia="宋体" w:cs="Times New Roman"/>
                      <w:color w:val="auto"/>
                      <w:kern w:val="0"/>
                      <w:sz w:val="21"/>
                      <w:szCs w:val="21"/>
                      <w:highlight w:val="none"/>
                      <w:lang w:val="en-US" w:eastAsia="zh-CN" w:bidi="ar-SA"/>
                    </w:rPr>
                    <w:t>重点监管企业</w:t>
                  </w:r>
                  <w:r>
                    <w:rPr>
                      <w:rFonts w:hint="eastAsia" w:cs="Times New Roman"/>
                      <w:color w:val="auto"/>
                      <w:kern w:val="0"/>
                      <w:sz w:val="21"/>
                      <w:szCs w:val="21"/>
                      <w:highlight w:val="none"/>
                      <w:lang w:val="en-US" w:eastAsia="zh-CN" w:bidi="ar-SA"/>
                    </w:rPr>
                    <w:t>；</w:t>
                  </w:r>
                </w:p>
                <w:p w14:paraId="58A9C2E4">
                  <w:pPr>
                    <w:keepNext w:val="0"/>
                    <w:keepLines w:val="0"/>
                    <w:suppressLineNumbers w:val="0"/>
                    <w:spacing w:before="0" w:beforeAutospacing="0" w:after="0" w:afterAutospacing="0"/>
                    <w:ind w:left="0" w:right="0"/>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2.项目采取环境风险防范措施后，风险可控；</w:t>
                  </w:r>
                </w:p>
                <w:p w14:paraId="3C0BB90C">
                  <w:pPr>
                    <w:keepNext w:val="0"/>
                    <w:keepLines w:val="0"/>
                    <w:suppressLineNumbers w:val="0"/>
                    <w:spacing w:before="0" w:beforeAutospacing="0" w:after="0" w:afterAutospacing="0"/>
                    <w:ind w:left="0" w:right="0"/>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3.项目采取分区防渗措施后，突发情况下水环境风险物质不会进入地下水；</w:t>
                  </w:r>
                </w:p>
                <w:p w14:paraId="3A6BC15A">
                  <w:pPr>
                    <w:keepNext w:val="0"/>
                    <w:keepLines w:val="0"/>
                    <w:suppressLineNumbers w:val="0"/>
                    <w:spacing w:before="0" w:beforeAutospacing="0" w:after="0" w:afterAutospacing="0"/>
                    <w:ind w:left="0" w:right="0"/>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4.企业按照当地要求编制应急预案；</w:t>
                  </w:r>
                </w:p>
                <w:p w14:paraId="45B51C67">
                  <w:pPr>
                    <w:keepNext w:val="0"/>
                    <w:keepLines w:val="0"/>
                    <w:suppressLineNumbers w:val="0"/>
                    <w:spacing w:before="0" w:beforeAutospacing="0" w:after="0" w:afterAutospacing="0"/>
                    <w:ind w:left="0" w:right="0"/>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5.项目危废转移采用密闭材料转移，制定严格危废管理制度，组织人员培训，发生突发环境事件后采取风险防范措施并向当地有关部门报告；</w:t>
                  </w:r>
                </w:p>
                <w:p w14:paraId="54E2771B">
                  <w:pPr>
                    <w:keepNext w:val="0"/>
                    <w:keepLines w:val="0"/>
                    <w:suppressLineNumbers w:val="0"/>
                    <w:spacing w:before="0" w:beforeAutospacing="0" w:after="0" w:afterAutospacing="0"/>
                    <w:ind w:left="0" w:right="0"/>
                    <w:rPr>
                      <w:rFonts w:hint="default"/>
                      <w:color w:val="auto"/>
                      <w:szCs w:val="20"/>
                      <w:highlight w:val="none"/>
                      <w:lang w:val="en-US" w:eastAsia="zh-CN"/>
                    </w:rPr>
                  </w:pPr>
                  <w:r>
                    <w:rPr>
                      <w:rFonts w:hint="eastAsia" w:cs="Times New Roman"/>
                      <w:color w:val="auto"/>
                      <w:kern w:val="0"/>
                      <w:sz w:val="21"/>
                      <w:szCs w:val="21"/>
                      <w:highlight w:val="none"/>
                      <w:lang w:val="en-US" w:eastAsia="zh-CN" w:bidi="ar-SA"/>
                    </w:rPr>
                    <w:t>10、不涉及。</w:t>
                  </w:r>
                </w:p>
              </w:tc>
            </w:tr>
            <w:tr w14:paraId="7D07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8" w:type="pct"/>
                  <w:vMerge w:val="continue"/>
                  <w:vAlign w:val="center"/>
                </w:tcPr>
                <w:p w14:paraId="425D6539">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textAlignment w:val="baseline"/>
                    <w:rPr>
                      <w:rFonts w:hint="default" w:ascii="Times New Roman" w:hAnsi="Times New Roman" w:cs="Times New Roman"/>
                      <w:color w:val="auto"/>
                      <w:sz w:val="21"/>
                      <w:szCs w:val="21"/>
                      <w:highlight w:val="none"/>
                    </w:rPr>
                  </w:pPr>
                </w:p>
              </w:tc>
              <w:tc>
                <w:tcPr>
                  <w:tcW w:w="357" w:type="pct"/>
                  <w:vAlign w:val="center"/>
                </w:tcPr>
                <w:p w14:paraId="5C0B7EF4">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资源利用效率</w:t>
                  </w:r>
                </w:p>
              </w:tc>
              <w:tc>
                <w:tcPr>
                  <w:tcW w:w="4130" w:type="dxa"/>
                  <w:vAlign w:val="center"/>
                </w:tcPr>
                <w:p w14:paraId="0C756514">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1.减少新鲜水用量，提高中水回用率。</w:t>
                  </w:r>
                </w:p>
                <w:p w14:paraId="7B47F967">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2.禁止新建、扩建采用非清洁燃料的项目和设施。</w:t>
                  </w:r>
                </w:p>
                <w:p w14:paraId="15656F10">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3.生产用水全部采用南水北调水，禁止新增开采地下水。</w:t>
                  </w:r>
                </w:p>
                <w:p w14:paraId="79B6C7BE">
                  <w:pPr>
                    <w:keepNext w:val="0"/>
                    <w:keepLines w:val="0"/>
                    <w:pageBreakBefore w:val="0"/>
                    <w:widowControl/>
                    <w:suppressLineNumbers w:val="0"/>
                    <w:kinsoku/>
                    <w:wordWrap/>
                    <w:overflowPunct/>
                    <w:bidi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4.项目实施后资源和能源消耗量应满足园区划定的土地、水、能源等主要资源能源可开发利用总量上线；河北石家庄装备制造产业园整体能源利用上线：近期52.5万tce，远期 102万tce。水资源利用上线：近期工业新鲜水耗792万m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/a，远期为 1657.65万m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/a。土地利用上线：近期工业用地面积1169.31hm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，远期：2048.96hm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w:t>
                  </w:r>
                </w:p>
              </w:tc>
              <w:tc>
                <w:tcPr>
                  <w:tcW w:w="1711" w:type="pct"/>
                  <w:vAlign w:val="center"/>
                </w:tcPr>
                <w:p w14:paraId="4476B9E0">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lang w:val="en-US" w:eastAsia="zh-CN"/>
                    </w:rPr>
                    <w:t>1.3.</w:t>
                  </w:r>
                  <w:r>
                    <w:rPr>
                      <w:rFonts w:hint="eastAsia" w:cs="Times New Roman"/>
                      <w:color w:val="auto"/>
                      <w:szCs w:val="21"/>
                      <w:highlight w:val="none"/>
                      <w:lang w:val="en-US" w:eastAsia="zh-CN"/>
                    </w:rPr>
                    <w:t>项目</w:t>
                  </w:r>
                  <w:r>
                    <w:rPr>
                      <w:rFonts w:hint="eastAsia" w:ascii="Times New Roman" w:hAnsi="Times New Roman" w:cs="Times New Roman"/>
                      <w:color w:val="auto"/>
                      <w:szCs w:val="21"/>
                      <w:highlight w:val="none"/>
                      <w:lang w:val="en-US" w:eastAsia="zh-CN"/>
                    </w:rPr>
                    <w:t>新鲜水</w:t>
                  </w:r>
                  <w:r>
                    <w:rPr>
                      <w:rFonts w:hint="eastAsia" w:ascii="Times New Roman" w:hAnsi="Times New Roman" w:cs="Times New Roman"/>
                      <w:color w:val="auto"/>
                      <w:szCs w:val="21"/>
                      <w:highlight w:val="none"/>
                    </w:rPr>
                    <w:t>由</w:t>
                  </w:r>
                  <w:r>
                    <w:rPr>
                      <w:rFonts w:hint="eastAsia" w:ascii="Times New Roman" w:hAnsi="Times New Roman" w:cs="Times New Roman"/>
                      <w:color w:val="auto"/>
                      <w:szCs w:val="21"/>
                      <w:highlight w:val="none"/>
                      <w:lang w:val="en-US" w:eastAsia="zh-CN"/>
                    </w:rPr>
                    <w:t>园区</w:t>
                  </w:r>
                  <w:r>
                    <w:rPr>
                      <w:rFonts w:hint="eastAsia" w:ascii="Times New Roman" w:hAnsi="Times New Roman" w:cs="Times New Roman"/>
                      <w:color w:val="auto"/>
                      <w:szCs w:val="21"/>
                      <w:highlight w:val="none"/>
                    </w:rPr>
                    <w:t>供水管网提供</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不开采地下水；</w:t>
                  </w:r>
                </w:p>
                <w:p w14:paraId="0903197D">
                  <w:pPr>
                    <w:keepNext w:val="0"/>
                    <w:keepLines w:val="0"/>
                    <w:suppressLineNumbers w:val="0"/>
                    <w:spacing w:before="0" w:beforeAutospacing="0" w:after="0" w:afterAutospacing="0"/>
                    <w:ind w:left="0" w:right="0"/>
                    <w:rPr>
                      <w:rFonts w:hint="eastAsia" w:cs="Times New Roman"/>
                      <w:color w:val="auto"/>
                      <w:szCs w:val="21"/>
                      <w:highlight w:val="none"/>
                      <w:lang w:val="en-US" w:eastAsia="zh-CN"/>
                    </w:rPr>
                  </w:pPr>
                  <w:r>
                    <w:rPr>
                      <w:rFonts w:hint="eastAsia" w:cs="Times New Roman"/>
                      <w:color w:val="auto"/>
                      <w:szCs w:val="21"/>
                      <w:highlight w:val="none"/>
                      <w:lang w:val="en-US" w:eastAsia="zh-CN"/>
                    </w:rPr>
                    <w:t>2.项目不涉及燃烧的使用；</w:t>
                  </w:r>
                </w:p>
                <w:p w14:paraId="107DC98A">
                  <w:pPr>
                    <w:keepNext w:val="0"/>
                    <w:keepLines w:val="0"/>
                    <w:suppressLineNumbers w:val="0"/>
                    <w:spacing w:before="0" w:beforeAutospacing="0" w:after="0" w:afterAutospacing="0"/>
                    <w:ind w:left="0" w:right="0"/>
                    <w:rPr>
                      <w:rFonts w:hint="default" w:eastAsia="宋体"/>
                      <w:color w:val="auto"/>
                      <w:szCs w:val="20"/>
                      <w:highlight w:val="none"/>
                      <w:lang w:val="en-US" w:eastAsia="zh-CN"/>
                    </w:rPr>
                  </w:pPr>
                  <w:r>
                    <w:rPr>
                      <w:rFonts w:hint="eastAsia" w:cs="Times New Roman"/>
                      <w:color w:val="auto"/>
                      <w:szCs w:val="21"/>
                      <w:highlight w:val="none"/>
                      <w:lang w:val="en-US" w:eastAsia="zh-CN"/>
                    </w:rPr>
                    <w:t>4.</w:t>
                  </w:r>
                  <w:r>
                    <w:rPr>
                      <w:rFonts w:hint="default" w:cs="Times New Roman"/>
                      <w:color w:val="auto"/>
                      <w:szCs w:val="21"/>
                      <w:highlight w:val="none"/>
                      <w:lang w:val="en-US" w:eastAsia="zh-CN"/>
                    </w:rPr>
                    <w:t>项目用电</w:t>
                  </w:r>
                  <w:r>
                    <w:rPr>
                      <w:rFonts w:hint="eastAsia" w:cs="Times New Roman"/>
                      <w:color w:val="auto"/>
                      <w:szCs w:val="21"/>
                      <w:highlight w:val="none"/>
                      <w:lang w:val="en-US" w:eastAsia="zh-CN"/>
                    </w:rPr>
                    <w:t>由园区供电管网提供</w:t>
                  </w:r>
                  <w:r>
                    <w:rPr>
                      <w:rFonts w:hint="default" w:cs="Times New Roman"/>
                      <w:color w:val="auto"/>
                      <w:szCs w:val="21"/>
                      <w:highlight w:val="none"/>
                      <w:lang w:val="en-US" w:eastAsia="zh-CN"/>
                    </w:rPr>
                    <w:t>；项目占地为工业用地。项目所用原辅料、水、电等在生产过程中均尽可能做到合理利用和节约能耗，资源消耗均未超出区域负荷上限，符合资源利用上线要求。</w:t>
                  </w:r>
                </w:p>
              </w:tc>
            </w:tr>
          </w:tbl>
          <w:p w14:paraId="5DDBF969">
            <w:pPr>
              <w:pStyle w:val="230"/>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cs="Times New Roman"/>
                <w:color w:val="auto"/>
                <w:highlight w:val="none"/>
              </w:rPr>
              <w:t>由上表可知，本项目</w:t>
            </w:r>
            <w:r>
              <w:rPr>
                <w:rFonts w:hint="eastAsia" w:cs="Times New Roman"/>
                <w:color w:val="auto"/>
                <w:highlight w:val="none"/>
                <w:lang w:val="en-US" w:eastAsia="zh-CN"/>
              </w:rPr>
              <w:t>符合</w:t>
            </w:r>
            <w:r>
              <w:rPr>
                <w:rFonts w:hint="default" w:ascii="Times New Roman" w:hAnsi="Times New Roman" w:cs="Times New Roman"/>
                <w:color w:val="auto"/>
                <w:highlight w:val="none"/>
              </w:rPr>
              <w:t>河北石家庄装备制造产业园准入要求。</w:t>
            </w:r>
          </w:p>
        </w:tc>
      </w:tr>
      <w:tr w14:paraId="12FC9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pct"/>
            <w:vAlign w:val="center"/>
          </w:tcPr>
          <w:p w14:paraId="7C100DC1">
            <w:pPr>
              <w:pStyle w:val="17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其他符合性分析</w:t>
            </w:r>
          </w:p>
        </w:tc>
        <w:tc>
          <w:tcPr>
            <w:tcW w:w="4172" w:type="pct"/>
            <w:gridSpan w:val="3"/>
            <w:vAlign w:val="center"/>
          </w:tcPr>
          <w:p w14:paraId="46FAEED6">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1、产业政策符合性分析</w:t>
            </w:r>
          </w:p>
          <w:p w14:paraId="67C9D37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（1）对照《</w:t>
            </w:r>
            <w:r>
              <w:rPr>
                <w:rFonts w:hint="eastAsia" w:cs="Times New Roman"/>
                <w:smallCaps w:val="0"/>
                <w:color w:val="auto"/>
                <w:spacing w:val="0"/>
                <w:highlight w:val="none"/>
                <w:lang w:eastAsia="zh-CN"/>
              </w:rPr>
              <w:t>市场准入负面清单（2025年版）</w:t>
            </w: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eastAsia="zh-CN"/>
              </w:rPr>
              <w:t>发改体改规（2025）466号</w:t>
            </w:r>
            <w:r>
              <w:rPr>
                <w:rFonts w:hint="default" w:ascii="Times New Roman" w:hAnsi="Times New Roman" w:cs="Times New Roman"/>
                <w:smallCaps w:val="0"/>
                <w:color w:val="auto"/>
                <w:spacing w:val="0"/>
                <w:highlight w:val="none"/>
              </w:rPr>
              <w:t>）中相关规定</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项目不属于禁止</w:t>
            </w:r>
            <w:r>
              <w:rPr>
                <w:rFonts w:hint="eastAsia" w:cs="Times New Roman"/>
                <w:smallCaps w:val="0"/>
                <w:color w:val="auto"/>
                <w:spacing w:val="0"/>
                <w:highlight w:val="none"/>
                <w:lang w:val="en-US" w:eastAsia="zh-CN"/>
              </w:rPr>
              <w:t>准入</w:t>
            </w:r>
            <w:r>
              <w:rPr>
                <w:rFonts w:hint="default" w:ascii="Times New Roman" w:hAnsi="Times New Roman" w:cs="Times New Roman"/>
                <w:smallCaps w:val="0"/>
                <w:color w:val="auto"/>
                <w:spacing w:val="0"/>
                <w:highlight w:val="none"/>
              </w:rPr>
              <w:t>类项目</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符合要求；</w:t>
            </w:r>
          </w:p>
          <w:p w14:paraId="168401D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（2）对照</w:t>
            </w:r>
            <w:r>
              <w:rPr>
                <w:rFonts w:hint="eastAsia" w:cs="Times New Roman"/>
                <w:smallCaps w:val="0"/>
                <w:color w:val="auto"/>
                <w:spacing w:val="0"/>
                <w:highlight w:val="none"/>
                <w:lang w:eastAsia="zh-CN"/>
              </w:rPr>
              <w:t>《产业结构调整指导目录（2024年本）》</w:t>
            </w:r>
            <w:r>
              <w:rPr>
                <w:rFonts w:hint="default" w:ascii="Times New Roman" w:hAnsi="Times New Roman" w:cs="Times New Roman"/>
                <w:smallCaps w:val="0"/>
                <w:color w:val="auto"/>
                <w:spacing w:val="0"/>
                <w:highlight w:val="none"/>
              </w:rPr>
              <w:t>中相关规定</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项目不属于鼓励类、限制类、淘汰类项目</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lang w:val="en-US" w:eastAsia="zh-CN"/>
              </w:rPr>
              <w:t>为允许类建设项目</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符合要求；</w:t>
            </w:r>
          </w:p>
          <w:p w14:paraId="3B2A2E93">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eastAsia="zh-CN"/>
              </w:rPr>
            </w:pP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项目已于</w:t>
            </w:r>
            <w:r>
              <w:rPr>
                <w:rFonts w:hint="eastAsia" w:cs="Times New Roman"/>
                <w:smallCaps w:val="0"/>
                <w:color w:val="auto"/>
                <w:spacing w:val="0"/>
                <w:highlight w:val="none"/>
                <w:lang w:eastAsia="zh-CN"/>
              </w:rPr>
              <w:t>2025年9月10日</w:t>
            </w:r>
            <w:r>
              <w:rPr>
                <w:rFonts w:hint="default" w:ascii="Times New Roman" w:hAnsi="Times New Roman" w:cs="Times New Roman"/>
                <w:smallCaps w:val="0"/>
                <w:color w:val="auto"/>
                <w:spacing w:val="0"/>
                <w:highlight w:val="none"/>
              </w:rPr>
              <w:t>在</w:t>
            </w:r>
            <w:r>
              <w:rPr>
                <w:rFonts w:hint="eastAsia" w:cs="Times New Roman"/>
                <w:smallCaps w:val="0"/>
                <w:color w:val="auto"/>
                <w:spacing w:val="0"/>
                <w:highlight w:val="none"/>
                <w:lang w:eastAsia="zh-CN"/>
              </w:rPr>
              <w:t>河北石家庄装备制造产业园管理委员会</w:t>
            </w:r>
            <w:r>
              <w:rPr>
                <w:rFonts w:hint="default" w:ascii="Times New Roman" w:hAnsi="Times New Roman" w:cs="Times New Roman"/>
                <w:smallCaps w:val="0"/>
                <w:color w:val="auto"/>
                <w:spacing w:val="0"/>
                <w:highlight w:val="none"/>
              </w:rPr>
              <w:t>进行备案</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备案文号为：</w:t>
            </w:r>
            <w:r>
              <w:rPr>
                <w:rFonts w:hint="eastAsia" w:cs="Times New Roman"/>
                <w:smallCaps w:val="0"/>
                <w:color w:val="auto"/>
                <w:spacing w:val="0"/>
                <w:highlight w:val="none"/>
                <w:lang w:eastAsia="zh-CN"/>
              </w:rPr>
              <w:t>装管委投资备字〔2025〕5号。</w:t>
            </w:r>
          </w:p>
          <w:p w14:paraId="4D303D6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综上所述</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本项目建设符合国家及地方相关产业政策。</w:t>
            </w:r>
          </w:p>
          <w:p w14:paraId="62177DBA">
            <w:pPr>
              <w:pStyle w:val="172"/>
              <w:keepNext w:val="0"/>
              <w:keepLines w:val="0"/>
              <w:suppressLineNumbers w:val="0"/>
              <w:spacing w:before="0" w:beforeAutospacing="0" w:after="0" w:afterAutospacing="0"/>
              <w:ind w:left="0" w:right="0" w:firstLine="480"/>
              <w:rPr>
                <w:rFonts w:hint="default" w:ascii="Times New Roman" w:hAnsi="Times New Roman" w:cs="Times New Roman"/>
                <w:b/>
                <w:smallCaps w:val="0"/>
                <w:color w:val="auto"/>
                <w:spacing w:val="0"/>
                <w:szCs w:val="20"/>
                <w:highlight w:val="none"/>
              </w:rPr>
            </w:pPr>
            <w:r>
              <w:rPr>
                <w:rFonts w:hint="default" w:ascii="Times New Roman" w:hAnsi="Times New Roman" w:cs="Times New Roman"/>
                <w:b/>
                <w:smallCaps w:val="0"/>
                <w:color w:val="auto"/>
                <w:spacing w:val="0"/>
                <w:szCs w:val="20"/>
                <w:highlight w:val="none"/>
              </w:rPr>
              <w:t>2、选址合理性分析</w:t>
            </w:r>
          </w:p>
          <w:p w14:paraId="340CEE7A">
            <w:pPr>
              <w:pStyle w:val="172"/>
              <w:keepNext w:val="0"/>
              <w:keepLines w:val="0"/>
              <w:suppressLineNumbers w:val="0"/>
              <w:spacing w:before="0" w:beforeAutospacing="0" w:after="0" w:afterAutospacing="0"/>
              <w:ind w:left="0" w:right="0" w:firstLine="480"/>
              <w:rPr>
                <w:rFonts w:hint="default" w:ascii="Times New Roman" w:hAnsi="Times New Roman" w:cs="Times New Roman"/>
                <w:b w:val="0"/>
                <w:bCs/>
                <w:smallCaps w:val="0"/>
                <w:color w:val="auto"/>
                <w:spacing w:val="0"/>
                <w:szCs w:val="20"/>
                <w:highlight w:val="none"/>
              </w:rPr>
            </w:pPr>
            <w:r>
              <w:rPr>
                <w:rFonts w:hint="default" w:ascii="Times New Roman" w:hAnsi="Times New Roman" w:cs="Times New Roman"/>
                <w:b w:val="0"/>
                <w:bCs/>
                <w:smallCaps w:val="0"/>
                <w:color w:val="auto"/>
                <w:spacing w:val="0"/>
                <w:szCs w:val="20"/>
                <w:highlight w:val="none"/>
              </w:rPr>
              <w:t>（1）项目位于河北省石家庄市栾城区</w:t>
            </w:r>
            <w:r>
              <w:rPr>
                <w:rFonts w:hint="eastAsia" w:cs="Times New Roman"/>
                <w:b w:val="0"/>
                <w:bCs/>
                <w:smallCaps w:val="0"/>
                <w:color w:val="auto"/>
                <w:spacing w:val="0"/>
                <w:szCs w:val="20"/>
                <w:highlight w:val="none"/>
                <w:lang w:eastAsia="zh-CN"/>
              </w:rPr>
              <w:t>窦妪村装备制造产业园区奥翔街6-1号（院内3号房）</w:t>
            </w:r>
            <w:r>
              <w:rPr>
                <w:rFonts w:hint="default" w:ascii="Times New Roman" w:hAnsi="Times New Roman" w:cs="Times New Roman"/>
                <w:b w:val="0"/>
                <w:bCs/>
                <w:smallCaps w:val="0"/>
                <w:color w:val="auto"/>
                <w:spacing w:val="0"/>
                <w:szCs w:val="20"/>
                <w:highlight w:val="none"/>
              </w:rPr>
              <w:t>，</w:t>
            </w:r>
            <w:r>
              <w:rPr>
                <w:rFonts w:hint="eastAsia" w:cs="Times New Roman"/>
                <w:b w:val="0"/>
                <w:bCs/>
                <w:smallCaps w:val="0"/>
                <w:color w:val="auto"/>
                <w:spacing w:val="0"/>
                <w:szCs w:val="20"/>
                <w:highlight w:val="none"/>
                <w:lang w:eastAsia="zh-CN"/>
              </w:rPr>
              <w:t>租赁现有厂房进行生产</w:t>
            </w:r>
            <w:r>
              <w:rPr>
                <w:rFonts w:hint="default" w:ascii="Times New Roman" w:hAnsi="Times New Roman" w:cs="Times New Roman"/>
                <w:b w:val="0"/>
                <w:bCs/>
                <w:smallCaps w:val="0"/>
                <w:color w:val="auto"/>
                <w:spacing w:val="0"/>
                <w:szCs w:val="20"/>
                <w:highlight w:val="none"/>
              </w:rPr>
              <w:t>。</w:t>
            </w:r>
            <w:r>
              <w:rPr>
                <w:rFonts w:hint="eastAsia" w:cs="Times New Roman"/>
                <w:b w:val="0"/>
                <w:bCs/>
                <w:smallCaps w:val="0"/>
                <w:color w:val="auto"/>
                <w:spacing w:val="0"/>
                <w:szCs w:val="20"/>
                <w:highlight w:val="none"/>
                <w:lang w:eastAsia="zh-CN"/>
              </w:rPr>
              <w:t>厂区东侧为道路，隔路为石家庄天祥电机配件有限公司，南侧为道路，隔路为帆布厂，西侧为闲置厂房，北侧为石家庄建臣机械制造有限公司</w:t>
            </w:r>
            <w:r>
              <w:rPr>
                <w:rFonts w:hint="default" w:ascii="Times New Roman" w:hAnsi="Times New Roman" w:cs="Times New Roman"/>
                <w:b w:val="0"/>
                <w:bCs/>
                <w:smallCaps w:val="0"/>
                <w:color w:val="auto"/>
                <w:spacing w:val="0"/>
                <w:szCs w:val="20"/>
                <w:highlight w:val="none"/>
              </w:rPr>
              <w:t>。</w:t>
            </w:r>
            <w:r>
              <w:rPr>
                <w:rFonts w:hint="eastAsia" w:cs="Times New Roman"/>
                <w:b w:val="0"/>
                <w:bCs/>
                <w:smallCaps w:val="0"/>
                <w:color w:val="auto"/>
                <w:spacing w:val="0"/>
                <w:szCs w:val="20"/>
                <w:highlight w:val="none"/>
                <w:lang w:eastAsia="zh-CN"/>
              </w:rPr>
              <w:t>项目最近敏感点为西南侧710m处的锦悦桦庭</w:t>
            </w:r>
            <w:r>
              <w:rPr>
                <w:rFonts w:hint="default" w:ascii="Times New Roman" w:hAnsi="Times New Roman" w:cs="Times New Roman"/>
                <w:b w:val="0"/>
                <w:bCs/>
                <w:smallCaps w:val="0"/>
                <w:color w:val="auto"/>
                <w:spacing w:val="0"/>
                <w:szCs w:val="20"/>
                <w:highlight w:val="none"/>
              </w:rPr>
              <w:t>。</w:t>
            </w:r>
          </w:p>
          <w:p w14:paraId="220D0517">
            <w:pPr>
              <w:pStyle w:val="172"/>
              <w:keepNext w:val="0"/>
              <w:keepLines w:val="0"/>
              <w:suppressLineNumbers w:val="0"/>
              <w:spacing w:before="0" w:beforeAutospacing="0" w:after="0" w:afterAutospacing="0"/>
              <w:ind w:left="0" w:right="0" w:firstLine="480"/>
              <w:rPr>
                <w:rFonts w:hint="eastAsia" w:cs="Times New Roman"/>
                <w:b w:val="0"/>
                <w:bCs/>
                <w:smallCaps w:val="0"/>
                <w:color w:val="auto"/>
                <w:spacing w:val="0"/>
                <w:szCs w:val="20"/>
                <w:highlight w:val="none"/>
                <w:lang w:eastAsia="zh-CN"/>
              </w:rPr>
            </w:pPr>
            <w:r>
              <w:rPr>
                <w:rFonts w:hint="default" w:ascii="Times New Roman" w:hAnsi="Times New Roman" w:cs="Times New Roman"/>
                <w:b w:val="0"/>
                <w:bCs/>
                <w:smallCaps w:val="0"/>
                <w:color w:val="auto"/>
                <w:spacing w:val="0"/>
                <w:szCs w:val="20"/>
                <w:highlight w:val="none"/>
              </w:rPr>
              <w:t>（2）项目厂址附近无自然保护区、风景名胜区、集中式生活饮用水源地等环境敏感区。项目厂址所在地交通较为便利，有利于项目原料、产品的运输。建设区内电力、通讯等基础设施配套状况良好，为项目的建设提供了良好的环境。</w:t>
            </w:r>
            <w:r>
              <w:rPr>
                <w:rFonts w:hint="default" w:ascii="Times New Roman" w:hAnsi="Times New Roman" w:cs="Times New Roman"/>
                <w:color w:val="auto"/>
                <w:sz w:val="24"/>
                <w:szCs w:val="20"/>
                <w:highlight w:val="none"/>
              </w:rPr>
              <w:t>根据</w:t>
            </w:r>
            <w:r>
              <w:rPr>
                <w:rFonts w:hint="eastAsia" w:cs="Times New Roman"/>
                <w:color w:val="auto"/>
                <w:sz w:val="24"/>
                <w:szCs w:val="20"/>
                <w:highlight w:val="none"/>
                <w:lang w:val="en-US" w:eastAsia="zh-CN"/>
              </w:rPr>
              <w:t>不动产权证，</w:t>
            </w:r>
            <w:r>
              <w:rPr>
                <w:rFonts w:hint="default" w:ascii="Times New Roman" w:hAnsi="Times New Roman" w:cs="Times New Roman"/>
                <w:color w:val="auto"/>
                <w:sz w:val="24"/>
                <w:szCs w:val="20"/>
                <w:highlight w:val="none"/>
              </w:rPr>
              <w:t>占地为工业用地，符合用地规划</w:t>
            </w:r>
            <w:r>
              <w:rPr>
                <w:rFonts w:hint="eastAsia" w:cs="Times New Roman"/>
                <w:b w:val="0"/>
                <w:bCs/>
                <w:smallCaps w:val="0"/>
                <w:color w:val="auto"/>
                <w:spacing w:val="0"/>
                <w:szCs w:val="20"/>
                <w:highlight w:val="none"/>
                <w:lang w:eastAsia="zh-CN"/>
              </w:rPr>
              <w:t>。</w:t>
            </w:r>
          </w:p>
          <w:p w14:paraId="7F062DF5">
            <w:pPr>
              <w:pStyle w:val="172"/>
              <w:keepNext w:val="0"/>
              <w:keepLines w:val="0"/>
              <w:suppressLineNumbers w:val="0"/>
              <w:spacing w:before="0" w:beforeAutospacing="0" w:after="0" w:afterAutospacing="0"/>
              <w:ind w:left="0" w:right="0" w:firstLine="480"/>
              <w:rPr>
                <w:rFonts w:hint="eastAsia" w:cs="Times New Roman"/>
                <w:b w:val="0"/>
                <w:bCs/>
                <w:smallCaps w:val="0"/>
                <w:color w:val="auto"/>
                <w:spacing w:val="0"/>
                <w:szCs w:val="20"/>
                <w:highlight w:val="none"/>
                <w:lang w:eastAsia="zh-CN"/>
              </w:rPr>
            </w:pPr>
            <w:r>
              <w:rPr>
                <w:rFonts w:hint="default" w:ascii="Times New Roman" w:hAnsi="Times New Roman" w:cs="Times New Roman"/>
                <w:b w:val="0"/>
                <w:bCs/>
                <w:smallCaps w:val="0"/>
                <w:color w:val="auto"/>
                <w:spacing w:val="0"/>
                <w:szCs w:val="20"/>
                <w:highlight w:val="none"/>
              </w:rPr>
              <w:t>（3）项目不属于</w:t>
            </w:r>
            <w:r>
              <w:rPr>
                <w:rFonts w:hint="eastAsia" w:cs="Times New Roman"/>
                <w:b w:val="0"/>
                <w:bCs/>
                <w:smallCaps w:val="0"/>
                <w:color w:val="auto"/>
                <w:spacing w:val="0"/>
                <w:szCs w:val="20"/>
                <w:highlight w:val="none"/>
                <w:lang w:eastAsia="zh-CN"/>
              </w:rPr>
              <w:t>《自然资源要素支撑产业高质量发展指导目录（2024年本）》中鼓励类、限制类和禁止类项目，属于允许类项目。</w:t>
            </w:r>
          </w:p>
          <w:p w14:paraId="6067B6E5">
            <w:pPr>
              <w:pStyle w:val="172"/>
              <w:keepNext w:val="0"/>
              <w:keepLines w:val="0"/>
              <w:suppressLineNumbers w:val="0"/>
              <w:spacing w:before="0" w:beforeAutospacing="0" w:after="0" w:afterAutospacing="0"/>
              <w:ind w:left="0" w:right="0" w:firstLine="480"/>
              <w:rPr>
                <w:rFonts w:hint="eastAsia" w:cs="Times New Roman"/>
                <w:b w:val="0"/>
                <w:bCs/>
                <w:smallCaps w:val="0"/>
                <w:color w:val="auto"/>
                <w:spacing w:val="0"/>
                <w:szCs w:val="20"/>
                <w:highlight w:val="none"/>
                <w:lang w:eastAsia="zh-CN"/>
              </w:rPr>
            </w:pPr>
            <w:r>
              <w:rPr>
                <w:rFonts w:hint="eastAsia" w:cs="Times New Roman"/>
                <w:b w:val="0"/>
                <w:bCs/>
                <w:smallCaps w:val="0"/>
                <w:color w:val="auto"/>
                <w:spacing w:val="0"/>
                <w:szCs w:val="20"/>
                <w:highlight w:val="none"/>
                <w:lang w:eastAsia="zh-CN"/>
              </w:rPr>
              <w:t>（</w:t>
            </w:r>
            <w:r>
              <w:rPr>
                <w:rFonts w:hint="eastAsia" w:cs="Times New Roman"/>
                <w:b w:val="0"/>
                <w:bCs/>
                <w:smallCaps w:val="0"/>
                <w:color w:val="auto"/>
                <w:spacing w:val="0"/>
                <w:szCs w:val="20"/>
                <w:highlight w:val="none"/>
                <w:lang w:val="en-US" w:eastAsia="zh-CN"/>
              </w:rPr>
              <w:t>4</w:t>
            </w:r>
            <w:r>
              <w:rPr>
                <w:rFonts w:hint="eastAsia" w:cs="Times New Roman"/>
                <w:b w:val="0"/>
                <w:bCs/>
                <w:smallCaps w:val="0"/>
                <w:color w:val="auto"/>
                <w:spacing w:val="0"/>
                <w:szCs w:val="20"/>
                <w:highlight w:val="none"/>
                <w:lang w:eastAsia="zh-CN"/>
              </w:rPr>
              <w:t>）本项目为改建项目，项目产品为汽车塑料配件，属于汽车零部件，符合园区规划定位；租赁现有厂房进行建设汽车塑料配件改扩建项目，根据不动产权证，占地为工业用地，符合用地规划。</w:t>
            </w:r>
          </w:p>
          <w:p w14:paraId="2BC362CB">
            <w:pPr>
              <w:pStyle w:val="172"/>
              <w:keepNext w:val="0"/>
              <w:keepLines w:val="0"/>
              <w:suppressLineNumbers w:val="0"/>
              <w:spacing w:before="0" w:beforeAutospacing="0" w:after="0" w:afterAutospacing="0"/>
              <w:ind w:left="0" w:right="0" w:firstLine="480"/>
              <w:rPr>
                <w:rFonts w:hint="default" w:ascii="Times New Roman" w:hAnsi="Times New Roman" w:cs="Times New Roman"/>
                <w:b w:val="0"/>
                <w:bCs/>
                <w:smallCaps w:val="0"/>
                <w:color w:val="auto"/>
                <w:spacing w:val="0"/>
                <w:szCs w:val="20"/>
                <w:highlight w:val="none"/>
              </w:rPr>
            </w:pPr>
            <w:r>
              <w:rPr>
                <w:rFonts w:hint="eastAsia" w:cs="Times New Roman"/>
                <w:b w:val="0"/>
                <w:bCs/>
                <w:smallCaps w:val="0"/>
                <w:color w:val="auto"/>
                <w:spacing w:val="0"/>
                <w:szCs w:val="20"/>
                <w:highlight w:val="none"/>
                <w:lang w:eastAsia="zh-CN"/>
              </w:rPr>
              <w:t>（</w:t>
            </w:r>
            <w:r>
              <w:rPr>
                <w:rFonts w:hint="eastAsia" w:cs="Times New Roman"/>
                <w:b w:val="0"/>
                <w:bCs/>
                <w:smallCaps w:val="0"/>
                <w:color w:val="auto"/>
                <w:spacing w:val="0"/>
                <w:szCs w:val="20"/>
                <w:highlight w:val="none"/>
                <w:lang w:val="en-US" w:eastAsia="zh-CN"/>
              </w:rPr>
              <w:t>5</w:t>
            </w:r>
            <w:r>
              <w:rPr>
                <w:rFonts w:hint="eastAsia" w:cs="Times New Roman"/>
                <w:b w:val="0"/>
                <w:bCs/>
                <w:smallCaps w:val="0"/>
                <w:color w:val="auto"/>
                <w:spacing w:val="0"/>
                <w:szCs w:val="20"/>
                <w:highlight w:val="none"/>
                <w:lang w:eastAsia="zh-CN"/>
              </w:rPr>
              <w:t>）</w:t>
            </w:r>
            <w:r>
              <w:rPr>
                <w:rFonts w:hint="eastAsia" w:cs="Times New Roman"/>
                <w:b w:val="0"/>
                <w:bCs/>
                <w:smallCaps w:val="0"/>
                <w:color w:val="auto"/>
                <w:spacing w:val="0"/>
                <w:szCs w:val="20"/>
                <w:highlight w:val="none"/>
                <w:lang w:val="en-US" w:eastAsia="zh-CN"/>
              </w:rPr>
              <w:t>项目建成后，废气采取合理措施后均达标排放，固废均合理处置，对周围环境影响较小</w:t>
            </w:r>
            <w:r>
              <w:rPr>
                <w:rFonts w:hint="default" w:ascii="Times New Roman" w:hAnsi="Times New Roman" w:cs="Times New Roman"/>
                <w:b w:val="0"/>
                <w:bCs/>
                <w:smallCaps w:val="0"/>
                <w:color w:val="auto"/>
                <w:spacing w:val="0"/>
                <w:szCs w:val="20"/>
                <w:highlight w:val="none"/>
              </w:rPr>
              <w:t>。</w:t>
            </w:r>
          </w:p>
          <w:p w14:paraId="64EE3753">
            <w:pPr>
              <w:pStyle w:val="172"/>
              <w:keepNext w:val="0"/>
              <w:keepLines w:val="0"/>
              <w:suppressLineNumbers w:val="0"/>
              <w:spacing w:before="0" w:beforeAutospacing="0" w:after="0" w:afterAutospacing="0"/>
              <w:ind w:left="0" w:right="0" w:firstLine="480"/>
              <w:rPr>
                <w:rFonts w:hint="default" w:ascii="Times New Roman" w:hAnsi="Times New Roman" w:cs="Times New Roman"/>
                <w:b w:val="0"/>
                <w:bCs/>
                <w:smallCaps w:val="0"/>
                <w:color w:val="auto"/>
                <w:spacing w:val="0"/>
                <w:szCs w:val="20"/>
                <w:highlight w:val="none"/>
              </w:rPr>
            </w:pPr>
            <w:r>
              <w:rPr>
                <w:rFonts w:hint="default" w:ascii="Times New Roman" w:hAnsi="Times New Roman" w:cs="Times New Roman"/>
                <w:b w:val="0"/>
                <w:bCs/>
                <w:smallCaps w:val="0"/>
                <w:color w:val="auto"/>
                <w:spacing w:val="0"/>
                <w:szCs w:val="20"/>
                <w:highlight w:val="none"/>
              </w:rPr>
              <w:t>综上所述，项目选址合理。</w:t>
            </w:r>
          </w:p>
          <w:p w14:paraId="46EB540D">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eastAsia" w:cs="Times New Roman"/>
                <w:b/>
                <w:smallCaps w:val="0"/>
                <w:color w:val="auto"/>
                <w:spacing w:val="0"/>
                <w:highlight w:val="none"/>
                <w:lang w:val="en-US" w:eastAsia="zh-CN"/>
              </w:rPr>
              <w:t>3</w:t>
            </w:r>
            <w:r>
              <w:rPr>
                <w:rFonts w:hint="default" w:ascii="Times New Roman" w:hAnsi="Times New Roman" w:cs="Times New Roman"/>
                <w:b/>
                <w:smallCaps w:val="0"/>
                <w:color w:val="auto"/>
                <w:spacing w:val="0"/>
                <w:highlight w:val="none"/>
              </w:rPr>
              <w:t>、“三线一单”符合性分析</w:t>
            </w:r>
          </w:p>
          <w:p w14:paraId="339A696C">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smallCaps w:val="0"/>
                <w:color w:val="auto"/>
                <w:spacing w:val="0"/>
                <w:sz w:val="24"/>
                <w:szCs w:val="20"/>
                <w:highlight w:val="none"/>
              </w:rPr>
            </w:pPr>
            <w:r>
              <w:rPr>
                <w:rFonts w:hint="default" w:ascii="Times New Roman" w:hAnsi="Times New Roman" w:cs="Times New Roman"/>
                <w:smallCaps w:val="0"/>
                <w:color w:val="auto"/>
                <w:spacing w:val="0"/>
                <w:sz w:val="24"/>
                <w:szCs w:val="20"/>
                <w:highlight w:val="none"/>
              </w:rPr>
              <w:t>根据《关于以改善环境质量为核心加强环境影响评价管理的通知》（环环评[2016]150号），项目与“三线一单”符合性分析见表1-</w:t>
            </w:r>
            <w:r>
              <w:rPr>
                <w:rFonts w:hint="eastAsia" w:cs="Times New Roman"/>
                <w:smallCaps w:val="0"/>
                <w:color w:val="auto"/>
                <w:spacing w:val="0"/>
                <w:sz w:val="24"/>
                <w:szCs w:val="20"/>
                <w:highlight w:val="none"/>
                <w:lang w:val="en-US" w:eastAsia="zh-CN"/>
              </w:rPr>
              <w:t>6</w:t>
            </w:r>
            <w:r>
              <w:rPr>
                <w:rFonts w:hint="default" w:ascii="Times New Roman" w:hAnsi="Times New Roman" w:cs="Times New Roman"/>
                <w:smallCaps w:val="0"/>
                <w:color w:val="auto"/>
                <w:spacing w:val="0"/>
                <w:sz w:val="24"/>
                <w:szCs w:val="20"/>
                <w:highlight w:val="none"/>
              </w:rPr>
              <w:t>。</w:t>
            </w:r>
          </w:p>
          <w:p w14:paraId="0E0CF697">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6</w:t>
            </w:r>
            <w:r>
              <w:rPr>
                <w:rFonts w:hint="default" w:ascii="Times New Roman" w:hAnsi="Times New Roman" w:cs="Times New Roman"/>
                <w:smallCaps w:val="0"/>
                <w:color w:val="auto"/>
                <w:spacing w:val="0"/>
                <w:highlight w:val="none"/>
              </w:rPr>
              <w:t xml:space="preserve">    “三线一单”符合性分析表</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
              <w:gridCol w:w="3900"/>
              <w:gridCol w:w="2767"/>
              <w:gridCol w:w="564"/>
            </w:tblGrid>
            <w:tr w14:paraId="1460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20" w:type="pct"/>
                  <w:gridSpan w:val="2"/>
                  <w:tcMar>
                    <w:left w:w="28" w:type="dxa"/>
                    <w:right w:w="28" w:type="dxa"/>
                  </w:tcMar>
                  <w:vAlign w:val="center"/>
                </w:tcPr>
                <w:p w14:paraId="716DE99C">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内容</w:t>
                  </w:r>
                </w:p>
              </w:tc>
              <w:tc>
                <w:tcPr>
                  <w:tcW w:w="1810" w:type="pct"/>
                  <w:tcMar>
                    <w:left w:w="28" w:type="dxa"/>
                    <w:right w:w="28" w:type="dxa"/>
                  </w:tcMar>
                  <w:vAlign w:val="center"/>
                </w:tcPr>
                <w:p w14:paraId="31C0D44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w:t>
                  </w:r>
                </w:p>
              </w:tc>
              <w:tc>
                <w:tcPr>
                  <w:tcW w:w="369" w:type="pct"/>
                  <w:tcMar>
                    <w:left w:w="28" w:type="dxa"/>
                    <w:right w:w="28" w:type="dxa"/>
                  </w:tcMar>
                  <w:vAlign w:val="center"/>
                </w:tcPr>
                <w:p w14:paraId="51DF08AC">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结论</w:t>
                  </w:r>
                </w:p>
              </w:tc>
            </w:tr>
            <w:tr w14:paraId="7B48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Mar>
                    <w:left w:w="28" w:type="dxa"/>
                    <w:right w:w="28" w:type="dxa"/>
                  </w:tcMar>
                  <w:vAlign w:val="center"/>
                </w:tcPr>
                <w:p w14:paraId="62EA73FF">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生态保护红线</w:t>
                  </w:r>
                </w:p>
              </w:tc>
              <w:tc>
                <w:tcPr>
                  <w:tcW w:w="2551" w:type="pct"/>
                  <w:tcMar>
                    <w:left w:w="28" w:type="dxa"/>
                    <w:right w:w="28" w:type="dxa"/>
                  </w:tcMar>
                  <w:vAlign w:val="center"/>
                </w:tcPr>
                <w:p w14:paraId="7C87100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生态保护红线是生态空间范围内具有特殊重要生态功能必须实行强制性严格保护的区域。相关规划环评应将生态空间管控作为重要内容</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规划区域涉及生态保护红线的</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在规划环评结论和审查意见中应落实生态保护红线的管理要求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提出相应对策措施。除受自然条件限制、确实无法避让的铁路、公路、航道、防洪、管道、干渠、通讯、输变电等重要基础设施项目外</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在生态保护红线范围内</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严控各类开发建设活动</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依法不予审批新建工业项目和矿产开发项目的环评文件。</w:t>
                  </w:r>
                </w:p>
              </w:tc>
              <w:tc>
                <w:tcPr>
                  <w:tcW w:w="1810" w:type="pct"/>
                  <w:shd w:val="clear" w:color="auto" w:fill="auto"/>
                  <w:tcMar>
                    <w:left w:w="28" w:type="dxa"/>
                    <w:right w:w="28" w:type="dxa"/>
                  </w:tcMar>
                  <w:vAlign w:val="center"/>
                </w:tcPr>
                <w:p w14:paraId="50CF7F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，不在生态保护红线范围内，满足生态保护红线要求。</w:t>
                  </w:r>
                </w:p>
              </w:tc>
              <w:tc>
                <w:tcPr>
                  <w:tcW w:w="369" w:type="pct"/>
                  <w:tcMar>
                    <w:left w:w="28" w:type="dxa"/>
                    <w:right w:w="28" w:type="dxa"/>
                  </w:tcMar>
                  <w:vAlign w:val="center"/>
                </w:tcPr>
                <w:p w14:paraId="22093F27">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符合</w:t>
                  </w:r>
                </w:p>
              </w:tc>
            </w:tr>
            <w:tr w14:paraId="454D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Mar>
                    <w:left w:w="28" w:type="dxa"/>
                    <w:right w:w="28" w:type="dxa"/>
                  </w:tcMar>
                  <w:vAlign w:val="center"/>
                </w:tcPr>
                <w:p w14:paraId="459A5C9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环境质量底线</w:t>
                  </w:r>
                </w:p>
              </w:tc>
              <w:tc>
                <w:tcPr>
                  <w:tcW w:w="2551" w:type="pct"/>
                  <w:tcMar>
                    <w:left w:w="28" w:type="dxa"/>
                    <w:right w:w="28" w:type="dxa"/>
                  </w:tcMar>
                  <w:vAlign w:val="center"/>
                </w:tcPr>
                <w:p w14:paraId="20E7B379">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环境质量底线是国家和地方设置的大气、水和土壤环境质量目标</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也是改善环境质量的基准线。有关规划环评应落实区域环境质量目标管理要求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提出区域或者行业污染物排放总量管控建议以及优化区域或行业发展布局、结构和规模的对策措施。项目环评应对照区域环境质量目标</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深入分析预测项目建设对环境质量的影响</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强化污染防治措施和污染物排放控制要求。</w:t>
                  </w:r>
                </w:p>
              </w:tc>
              <w:tc>
                <w:tcPr>
                  <w:tcW w:w="1810" w:type="pct"/>
                  <w:shd w:val="clear" w:color="auto" w:fill="auto"/>
                  <w:tcMar>
                    <w:left w:w="28" w:type="dxa"/>
                    <w:right w:w="28" w:type="dxa"/>
                  </w:tcMar>
                  <w:vAlign w:val="center"/>
                </w:tcPr>
                <w:p w14:paraId="0EE1A68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①环境空气：项目所在区域环境空气为二类功能区，执行《环境空气质量标准》（GB3095-2012）二级</w:t>
                  </w:r>
                  <w:r>
                    <w:rPr>
                      <w:rFonts w:hint="eastAsia" w:ascii="Times New Roman" w:hAnsi="Times New Roman" w:eastAsia="宋体" w:cs="Times New Roman"/>
                      <w:color w:val="auto"/>
                      <w:szCs w:val="21"/>
                      <w:highlight w:val="none"/>
                    </w:rPr>
                    <w:t>标准及修改单要求要求</w:t>
                  </w:r>
                  <w:r>
                    <w:rPr>
                      <w:rFonts w:hint="eastAsia" w:cs="Times New Roman"/>
                      <w:color w:val="auto"/>
                      <w:szCs w:val="21"/>
                      <w:highlight w:val="none"/>
                      <w:lang w:eastAsia="zh-CN"/>
                    </w:rPr>
                    <w:t>、《环境空气质量 非甲烷总烃限值》（DB13/1577-2012）中的二级标准</w:t>
                  </w:r>
                  <w:r>
                    <w:rPr>
                      <w:rFonts w:hint="eastAsia" w:ascii="Times New Roman" w:hAnsi="Times New Roman" w:eastAsia="宋体" w:cs="Times New Roman"/>
                      <w:color w:val="auto"/>
                      <w:szCs w:val="21"/>
                      <w:highlight w:val="none"/>
                    </w:rPr>
                    <w:t>；</w:t>
                  </w:r>
                  <w:r>
                    <w:rPr>
                      <w:rFonts w:hint="eastAsia"/>
                      <w:color w:val="auto"/>
                      <w:szCs w:val="21"/>
                      <w:highlight w:val="none"/>
                    </w:rPr>
                    <w:t>根据</w:t>
                  </w:r>
                  <w:r>
                    <w:rPr>
                      <w:rFonts w:hint="eastAsia"/>
                      <w:color w:val="auto"/>
                      <w:szCs w:val="21"/>
                      <w:highlight w:val="none"/>
                      <w:lang w:val="en-US" w:eastAsia="zh-CN"/>
                    </w:rPr>
                    <w:t>区域削减方案</w:t>
                  </w:r>
                  <w:r>
                    <w:rPr>
                      <w:rFonts w:hint="eastAsia"/>
                      <w:color w:val="auto"/>
                      <w:szCs w:val="21"/>
                      <w:highlight w:val="none"/>
                    </w:rPr>
                    <w:t>，空气质量将逐渐好转</w:t>
                  </w:r>
                  <w:r>
                    <w:rPr>
                      <w:rFonts w:hint="default"/>
                      <w:color w:val="auto"/>
                      <w:szCs w:val="21"/>
                      <w:highlight w:val="none"/>
                      <w:lang w:val="zh-CN"/>
                    </w:rPr>
                    <w:t>。</w:t>
                  </w:r>
                </w:p>
                <w:p w14:paraId="73E36FA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②水环境：项目所在区域附近无地表水体，项目距离最近的水体为</w:t>
                  </w:r>
                  <w:r>
                    <w:rPr>
                      <w:rFonts w:hint="eastAsia"/>
                      <w:color w:val="auto"/>
                      <w:szCs w:val="21"/>
                      <w:highlight w:val="none"/>
                      <w:lang w:eastAsia="zh-CN"/>
                    </w:rPr>
                    <w:t>西南侧约345m的洨河</w:t>
                  </w:r>
                  <w:r>
                    <w:rPr>
                      <w:rFonts w:hint="default"/>
                      <w:color w:val="auto"/>
                      <w:szCs w:val="21"/>
                      <w:highlight w:val="none"/>
                    </w:rPr>
                    <w:t>，</w:t>
                  </w:r>
                  <w:r>
                    <w:rPr>
                      <w:rFonts w:hint="eastAsia"/>
                      <w:color w:val="auto"/>
                      <w:szCs w:val="21"/>
                      <w:highlight w:val="none"/>
                    </w:rPr>
                    <w:t>根据石家庄市生态环境局</w:t>
                  </w:r>
                  <w:r>
                    <w:rPr>
                      <w:rFonts w:hint="eastAsia"/>
                      <w:color w:val="auto"/>
                      <w:szCs w:val="21"/>
                      <w:highlight w:val="none"/>
                      <w:lang w:eastAsia="zh-CN"/>
                    </w:rPr>
                    <w:t>2025年6月</w:t>
                  </w:r>
                  <w:r>
                    <w:rPr>
                      <w:rFonts w:hint="eastAsia"/>
                      <w:color w:val="auto"/>
                      <w:szCs w:val="21"/>
                      <w:highlight w:val="none"/>
                    </w:rPr>
                    <w:t>发布的《</w:t>
                  </w:r>
                  <w:r>
                    <w:rPr>
                      <w:rFonts w:hint="eastAsia"/>
                      <w:color w:val="auto"/>
                      <w:szCs w:val="21"/>
                      <w:highlight w:val="none"/>
                      <w:lang w:eastAsia="zh-CN"/>
                    </w:rPr>
                    <w:t>石家庄市生态环境状况公报（2024年）</w:t>
                  </w:r>
                  <w:r>
                    <w:rPr>
                      <w:rFonts w:hint="eastAsia"/>
                      <w:color w:val="auto"/>
                      <w:szCs w:val="21"/>
                      <w:highlight w:val="none"/>
                    </w:rPr>
                    <w:t>》洨河水质</w:t>
                  </w:r>
                  <w:r>
                    <w:rPr>
                      <w:rFonts w:hint="eastAsia"/>
                      <w:color w:val="auto"/>
                      <w:szCs w:val="21"/>
                      <w:highlight w:val="none"/>
                      <w:lang w:val="en-US" w:eastAsia="zh-CN"/>
                    </w:rPr>
                    <w:t>为</w:t>
                  </w:r>
                  <w:r>
                    <w:rPr>
                      <w:rFonts w:hint="eastAsia"/>
                      <w:color w:val="auto"/>
                      <w:szCs w:val="21"/>
                      <w:highlight w:val="none"/>
                    </w:rPr>
                    <w:t>轻度污染。</w:t>
                  </w:r>
                  <w:r>
                    <w:rPr>
                      <w:rFonts w:hint="eastAsia"/>
                      <w:color w:val="auto"/>
                      <w:szCs w:val="21"/>
                      <w:highlight w:val="none"/>
                      <w:lang w:eastAsia="zh-CN"/>
                    </w:rPr>
                    <w:t>项目废水主要为职工生活污水，生活污水经集成式生物化粪池处理后经园区污水管网排入绿源污水处理有限公司进一步处理</w:t>
                  </w:r>
                  <w:r>
                    <w:rPr>
                      <w:rFonts w:hint="eastAsia"/>
                      <w:color w:val="auto"/>
                      <w:szCs w:val="21"/>
                      <w:highlight w:val="none"/>
                    </w:rPr>
                    <w:t>。</w:t>
                  </w:r>
                </w:p>
                <w:p w14:paraId="4E779E4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③声环境：项目所在区域为</w:t>
                  </w:r>
                  <w:r>
                    <w:rPr>
                      <w:rFonts w:hint="eastAsia"/>
                      <w:color w:val="auto"/>
                      <w:szCs w:val="21"/>
                      <w:highlight w:val="none"/>
                      <w:lang w:val="en-US" w:eastAsia="zh-CN"/>
                    </w:rPr>
                    <w:t>3类</w:t>
                  </w:r>
                  <w:r>
                    <w:rPr>
                      <w:rFonts w:hint="eastAsia"/>
                      <w:color w:val="auto"/>
                      <w:szCs w:val="21"/>
                      <w:highlight w:val="none"/>
                    </w:rPr>
                    <w:t>声环境功能区。声环境质量现状执行《声环境质量标准》（GB3096-2008）中相关标准要求。根据预测，项目噪声采取措施后，达标排放。</w:t>
                  </w:r>
                </w:p>
                <w:p w14:paraId="6EA2CA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④土壤环境：项目物料全部在生产车间内暂存，车间采取分区防渗措施，不存在地表漫流和垂直入渗的污染途径。项目固废均得到合理处置，不会突破土壤环境质量底线。</w:t>
                  </w:r>
                </w:p>
              </w:tc>
              <w:tc>
                <w:tcPr>
                  <w:tcW w:w="369" w:type="pct"/>
                  <w:tcMar>
                    <w:left w:w="28" w:type="dxa"/>
                    <w:right w:w="28" w:type="dxa"/>
                  </w:tcMar>
                  <w:vAlign w:val="center"/>
                </w:tcPr>
                <w:p w14:paraId="0CE8AFD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符合</w:t>
                  </w:r>
                </w:p>
              </w:tc>
            </w:tr>
            <w:tr w14:paraId="60C5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Mar>
                    <w:left w:w="28" w:type="dxa"/>
                    <w:right w:w="28" w:type="dxa"/>
                  </w:tcMar>
                  <w:vAlign w:val="center"/>
                </w:tcPr>
                <w:p w14:paraId="468235A9">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资源利用上线</w:t>
                  </w:r>
                </w:p>
              </w:tc>
              <w:tc>
                <w:tcPr>
                  <w:tcW w:w="2551" w:type="pct"/>
                  <w:tcMar>
                    <w:left w:w="28" w:type="dxa"/>
                    <w:right w:w="28" w:type="dxa"/>
                  </w:tcMar>
                  <w:vAlign w:val="center"/>
                </w:tcPr>
                <w:p w14:paraId="2B5151C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资源利用上线是各地区能源、水、土地等资源消耗不得突破的“天花板”。相关规划环评应依据有关资源利用上线</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对规划实施及规划内项目的资源开发利用</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区分不同行业</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从能源资源开发等量或减量替代、开采方式和规模控制、利用效率和保护措施等方面提出建议</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为规划编制和审批决策提供重要依据。</w:t>
                  </w:r>
                </w:p>
              </w:tc>
              <w:tc>
                <w:tcPr>
                  <w:tcW w:w="1810" w:type="pct"/>
                  <w:tcMar>
                    <w:left w:w="28" w:type="dxa"/>
                    <w:right w:w="28" w:type="dxa"/>
                  </w:tcMar>
                  <w:vAlign w:val="center"/>
                </w:tcPr>
                <w:p w14:paraId="58045EAA">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项目用水、用电均由</w:t>
                  </w:r>
                  <w:r>
                    <w:rPr>
                      <w:rFonts w:hint="eastAsia" w:cs="Times New Roman"/>
                      <w:smallCaps w:val="0"/>
                      <w:color w:val="auto"/>
                      <w:spacing w:val="0"/>
                      <w:highlight w:val="none"/>
                      <w:lang w:val="en-US" w:eastAsia="zh-CN"/>
                    </w:rPr>
                    <w:t>当地</w:t>
                  </w:r>
                  <w:r>
                    <w:rPr>
                      <w:rFonts w:hint="default" w:ascii="Times New Roman" w:hAnsi="Times New Roman" w:cs="Times New Roman"/>
                      <w:smallCaps w:val="0"/>
                      <w:color w:val="auto"/>
                      <w:spacing w:val="0"/>
                      <w:highlight w:val="none"/>
                    </w:rPr>
                    <w:t>供水管网及电网提供</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不新增占地</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项目建设不会突破资源上限。</w:t>
                  </w:r>
                </w:p>
              </w:tc>
              <w:tc>
                <w:tcPr>
                  <w:tcW w:w="369" w:type="pct"/>
                  <w:tcMar>
                    <w:left w:w="28" w:type="dxa"/>
                    <w:right w:w="28" w:type="dxa"/>
                  </w:tcMar>
                  <w:vAlign w:val="center"/>
                </w:tcPr>
                <w:p w14:paraId="401E58BE">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符合</w:t>
                  </w:r>
                </w:p>
              </w:tc>
            </w:tr>
            <w:tr w14:paraId="3A4D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Mar>
                    <w:left w:w="28" w:type="dxa"/>
                    <w:right w:w="28" w:type="dxa"/>
                  </w:tcMar>
                  <w:vAlign w:val="center"/>
                </w:tcPr>
                <w:p w14:paraId="6029F21C">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环境准入负面清单</w:t>
                  </w:r>
                </w:p>
              </w:tc>
              <w:tc>
                <w:tcPr>
                  <w:tcW w:w="2551" w:type="pct"/>
                  <w:tcMar>
                    <w:left w:w="28" w:type="dxa"/>
                    <w:right w:w="28" w:type="dxa"/>
                  </w:tcMar>
                  <w:vAlign w:val="center"/>
                </w:tcPr>
                <w:p w14:paraId="4452A3E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环境准入负面清单是基于生态保护红线、环境质量底线和资源利用上线</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以清单方式列出的禁止、限制等差别化环境准入条件和要求。要在规划环评清单式管理试点的基础上</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从布局选址、资源利用效率、资源配置方式等方面入手</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制定环境准入负面清单</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充分发挥负面清单对产业发展和项目准入的指导和约束作用。</w:t>
                  </w:r>
                </w:p>
              </w:tc>
              <w:tc>
                <w:tcPr>
                  <w:tcW w:w="1810" w:type="pct"/>
                  <w:tcMar>
                    <w:left w:w="28" w:type="dxa"/>
                    <w:right w:w="28" w:type="dxa"/>
                  </w:tcMar>
                  <w:vAlign w:val="center"/>
                </w:tcPr>
                <w:p w14:paraId="27856E9C">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项目符合国家及地方相关产业政策要求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不属于高污染项目</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未被列入国家环境准入负面清单</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不在有关环境政策规定的准入负面清单内。</w:t>
                  </w:r>
                </w:p>
              </w:tc>
              <w:tc>
                <w:tcPr>
                  <w:tcW w:w="369" w:type="pct"/>
                  <w:tcMar>
                    <w:left w:w="28" w:type="dxa"/>
                    <w:right w:w="28" w:type="dxa"/>
                  </w:tcMar>
                  <w:vAlign w:val="center"/>
                </w:tcPr>
                <w:p w14:paraId="7CF509A9">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符合</w:t>
                  </w:r>
                </w:p>
              </w:tc>
            </w:tr>
          </w:tbl>
          <w:p w14:paraId="33ABFEB9">
            <w:pPr>
              <w:keepNext w:val="0"/>
              <w:keepLines w:val="0"/>
              <w:suppressLineNumbers w:val="0"/>
              <w:adjustRightInd w:val="0"/>
              <w:snapToGrid w:val="0"/>
              <w:spacing w:before="0" w:beforeAutospacing="0" w:after="0" w:afterAutospacing="0" w:line="500" w:lineRule="exact"/>
              <w:ind w:left="0" w:right="0" w:firstLine="482" w:firstLineChars="200"/>
              <w:rPr>
                <w:rFonts w:hint="eastAsia"/>
                <w:b/>
                <w:bCs/>
                <w:color w:val="auto"/>
                <w:sz w:val="24"/>
                <w:szCs w:val="20"/>
                <w:highlight w:val="none"/>
              </w:rPr>
            </w:pPr>
            <w:r>
              <w:rPr>
                <w:rFonts w:hint="eastAsia"/>
                <w:b/>
                <w:bCs/>
                <w:color w:val="auto"/>
                <w:sz w:val="24"/>
                <w:szCs w:val="20"/>
                <w:highlight w:val="none"/>
              </w:rPr>
              <w:t>5、项目与《石家庄市生态环境准入清单（2023年版）》符合性分析</w:t>
            </w:r>
          </w:p>
          <w:p w14:paraId="38492831">
            <w:pPr>
              <w:keepNext w:val="0"/>
              <w:keepLines w:val="0"/>
              <w:suppressLineNumbers w:val="0"/>
              <w:adjustRightInd w:val="0"/>
              <w:snapToGrid w:val="0"/>
              <w:spacing w:before="0" w:beforeAutospacing="0" w:after="0" w:afterAutospacing="0" w:line="500" w:lineRule="exact"/>
              <w:ind w:left="0" w:right="0" w:firstLine="480" w:firstLineChars="200"/>
              <w:rPr>
                <w:rFonts w:hint="eastAsia"/>
                <w:color w:val="auto"/>
                <w:sz w:val="24"/>
                <w:szCs w:val="20"/>
                <w:highlight w:val="none"/>
              </w:rPr>
            </w:pPr>
            <w:r>
              <w:rPr>
                <w:rFonts w:hint="eastAsia"/>
                <w:color w:val="auto"/>
                <w:sz w:val="24"/>
                <w:szCs w:val="20"/>
                <w:highlight w:val="none"/>
              </w:rPr>
              <w:t>项目位于河北省石家庄市栾城区</w:t>
            </w:r>
            <w:r>
              <w:rPr>
                <w:rFonts w:hint="eastAsia"/>
                <w:color w:val="auto"/>
                <w:sz w:val="24"/>
                <w:szCs w:val="20"/>
                <w:highlight w:val="none"/>
                <w:lang w:eastAsia="zh-CN"/>
              </w:rPr>
              <w:t>窦妪村装备制造产业园区奥翔街6-1号（院内3号房）</w:t>
            </w:r>
            <w:r>
              <w:rPr>
                <w:rFonts w:hint="eastAsia"/>
                <w:color w:val="auto"/>
                <w:sz w:val="24"/>
                <w:szCs w:val="20"/>
                <w:highlight w:val="none"/>
              </w:rPr>
              <w:t>，根据</w:t>
            </w:r>
            <w:r>
              <w:rPr>
                <w:rFonts w:hint="eastAsia"/>
                <w:color w:val="auto"/>
                <w:sz w:val="24"/>
                <w:szCs w:val="20"/>
                <w:highlight w:val="none"/>
                <w:lang w:val="en-US" w:eastAsia="zh-CN"/>
              </w:rPr>
              <w:t>2024年4月28日更新的</w:t>
            </w:r>
            <w:r>
              <w:rPr>
                <w:rFonts w:hint="eastAsia"/>
                <w:color w:val="auto"/>
                <w:sz w:val="24"/>
                <w:szCs w:val="20"/>
                <w:highlight w:val="none"/>
              </w:rPr>
              <w:t>《石家庄市生态环境准入清单（2023年版）》及河北省环评预约挂号服务平台-</w:t>
            </w:r>
            <w:r>
              <w:rPr>
                <w:rFonts w:hint="default"/>
                <w:color w:val="auto"/>
                <w:sz w:val="24"/>
                <w:szCs w:val="20"/>
                <w:highlight w:val="none"/>
              </w:rPr>
              <w:t>三线一单</w:t>
            </w:r>
            <w:r>
              <w:rPr>
                <w:rFonts w:hint="eastAsia"/>
                <w:color w:val="auto"/>
                <w:sz w:val="24"/>
                <w:szCs w:val="20"/>
                <w:highlight w:val="none"/>
              </w:rPr>
              <w:t>查询，石家庄市、栾城区重点管控单元生态环境准入清单如下：</w:t>
            </w:r>
          </w:p>
          <w:p w14:paraId="511EBB1B">
            <w:pPr>
              <w:keepNext w:val="0"/>
              <w:keepLines w:val="0"/>
              <w:suppressLineNumbers w:val="0"/>
              <w:spacing w:before="0" w:beforeAutospacing="0" w:after="0" w:afterAutospacing="0"/>
              <w:ind w:left="0" w:right="0" w:firstLine="482" w:firstLineChars="200"/>
              <w:jc w:val="center"/>
              <w:rPr>
                <w:rFonts w:hint="eastAsia"/>
                <w:b/>
                <w:bCs/>
                <w:color w:val="auto"/>
                <w:sz w:val="24"/>
                <w:szCs w:val="20"/>
                <w:highlight w:val="none"/>
              </w:rPr>
            </w:pPr>
            <w:r>
              <w:rPr>
                <w:rFonts w:hint="eastAsia"/>
                <w:b/>
                <w:bCs/>
                <w:color w:val="auto"/>
                <w:sz w:val="24"/>
                <w:szCs w:val="20"/>
                <w:highlight w:val="none"/>
              </w:rPr>
              <w:t>表1-</w:t>
            </w:r>
            <w:r>
              <w:rPr>
                <w:rFonts w:hint="eastAsia"/>
                <w:b/>
                <w:bCs/>
                <w:color w:val="auto"/>
                <w:sz w:val="24"/>
                <w:szCs w:val="20"/>
                <w:highlight w:val="none"/>
                <w:lang w:val="en-US" w:eastAsia="zh-CN"/>
              </w:rPr>
              <w:t>4</w:t>
            </w:r>
            <w:r>
              <w:rPr>
                <w:rFonts w:hint="eastAsia"/>
                <w:b/>
                <w:bCs/>
                <w:color w:val="auto"/>
                <w:sz w:val="24"/>
                <w:szCs w:val="20"/>
                <w:highlight w:val="none"/>
              </w:rPr>
              <w:t xml:space="preserve">  石家庄市生态环境准入清单（2023年版）（节选）</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87"/>
              <w:gridCol w:w="160"/>
              <w:gridCol w:w="712"/>
              <w:gridCol w:w="2863"/>
              <w:gridCol w:w="2205"/>
              <w:gridCol w:w="989"/>
            </w:tblGrid>
            <w:tr w14:paraId="1AD4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4161C92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全市生态环境准入综合管控要求</w:t>
                  </w:r>
                </w:p>
              </w:tc>
            </w:tr>
            <w:tr w14:paraId="2B5A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6906779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重点区域</w:t>
                  </w:r>
                </w:p>
              </w:tc>
              <w:tc>
                <w:tcPr>
                  <w:tcW w:w="2339" w:type="pct"/>
                  <w:gridSpan w:val="2"/>
                  <w:noWrap w:val="0"/>
                  <w:vAlign w:val="center"/>
                </w:tcPr>
                <w:p w14:paraId="2414E17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管控策略</w:t>
                  </w:r>
                </w:p>
              </w:tc>
              <w:tc>
                <w:tcPr>
                  <w:tcW w:w="1443" w:type="pct"/>
                  <w:noWrap w:val="0"/>
                  <w:vAlign w:val="center"/>
                </w:tcPr>
                <w:p w14:paraId="352C886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0942CA5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2745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pct"/>
                  <w:gridSpan w:val="3"/>
                  <w:noWrap w:val="0"/>
                  <w:vAlign w:val="center"/>
                </w:tcPr>
                <w:p w14:paraId="779509C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全市域</w:t>
                  </w:r>
                </w:p>
              </w:tc>
              <w:tc>
                <w:tcPr>
                  <w:tcW w:w="2339" w:type="pct"/>
                  <w:gridSpan w:val="2"/>
                  <w:noWrap w:val="0"/>
                  <w:vAlign w:val="center"/>
                </w:tcPr>
                <w:p w14:paraId="417F4CA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1、优化产业结构。落实国家、省、市产业政策，严格“两高”项目环评审批，落实区域削减要求，推进减污降碳协同控制。</w:t>
                  </w:r>
                </w:p>
                <w:p w14:paraId="5E64516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2、强化产业入园。优化园区布局，提升园区规划、环评实效性，提升园区资源利用效率和绿色低碳水平，加强新建项目入园，严格现有分散企业污染管控。</w:t>
                  </w:r>
                </w:p>
              </w:tc>
              <w:tc>
                <w:tcPr>
                  <w:tcW w:w="1443" w:type="pct"/>
                  <w:noWrap w:val="0"/>
                  <w:vAlign w:val="center"/>
                </w:tcPr>
                <w:p w14:paraId="694B9C4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default"/>
                      <w:color w:val="auto"/>
                      <w:szCs w:val="21"/>
                      <w:highlight w:val="none"/>
                    </w:rPr>
                    <w:t>1</w:t>
                  </w:r>
                  <w:r>
                    <w:rPr>
                      <w:rFonts w:hint="eastAsia"/>
                      <w:color w:val="auto"/>
                      <w:szCs w:val="21"/>
                      <w:highlight w:val="none"/>
                    </w:rPr>
                    <w:t>、项目不属于</w:t>
                  </w:r>
                  <w:r>
                    <w:rPr>
                      <w:rFonts w:hint="default"/>
                      <w:color w:val="auto"/>
                      <w:szCs w:val="21"/>
                      <w:highlight w:val="none"/>
                    </w:rPr>
                    <w:t>“</w:t>
                  </w:r>
                  <w:r>
                    <w:rPr>
                      <w:rFonts w:hint="eastAsia"/>
                      <w:color w:val="auto"/>
                      <w:szCs w:val="21"/>
                      <w:highlight w:val="none"/>
                    </w:rPr>
                    <w:t>两高</w:t>
                  </w:r>
                  <w:r>
                    <w:rPr>
                      <w:rFonts w:hint="default"/>
                      <w:color w:val="auto"/>
                      <w:szCs w:val="21"/>
                      <w:highlight w:val="none"/>
                    </w:rPr>
                    <w:t>”</w:t>
                  </w:r>
                  <w:r>
                    <w:rPr>
                      <w:rFonts w:hint="eastAsia"/>
                      <w:color w:val="auto"/>
                      <w:szCs w:val="21"/>
                      <w:highlight w:val="none"/>
                    </w:rPr>
                    <w:t>项目，属于《产业结构调整指导目录（</w:t>
                  </w:r>
                  <w:r>
                    <w:rPr>
                      <w:rFonts w:hint="default"/>
                      <w:color w:val="auto"/>
                      <w:szCs w:val="21"/>
                      <w:highlight w:val="none"/>
                    </w:rPr>
                    <w:t>2024</w:t>
                  </w:r>
                  <w:r>
                    <w:rPr>
                      <w:rFonts w:hint="eastAsia"/>
                      <w:color w:val="auto"/>
                      <w:szCs w:val="21"/>
                      <w:highlight w:val="none"/>
                    </w:rPr>
                    <w:t>年本）》中的允许类项目，项目已在</w:t>
                  </w:r>
                  <w:r>
                    <w:rPr>
                      <w:rFonts w:hint="eastAsia"/>
                      <w:color w:val="auto"/>
                      <w:szCs w:val="21"/>
                      <w:highlight w:val="none"/>
                      <w:lang w:eastAsia="zh-CN"/>
                    </w:rPr>
                    <w:t>河北石家庄装备制造产业园管理委员会</w:t>
                  </w:r>
                  <w:r>
                    <w:rPr>
                      <w:rFonts w:hint="eastAsia"/>
                      <w:color w:val="auto"/>
                      <w:szCs w:val="21"/>
                      <w:highlight w:val="none"/>
                    </w:rPr>
                    <w:t>备案，符合国家、地方产业政策；</w:t>
                  </w:r>
                </w:p>
                <w:p w14:paraId="5CB1218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r>
                    <w:rPr>
                      <w:rFonts w:hint="eastAsia"/>
                      <w:color w:val="auto"/>
                      <w:szCs w:val="21"/>
                      <w:highlight w:val="none"/>
                    </w:rPr>
                    <w:t>、项目位于河北省石家庄市栾城区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w:t>
                  </w:r>
                  <w:r>
                    <w:rPr>
                      <w:rFonts w:hint="eastAsia"/>
                      <w:color w:val="auto"/>
                      <w:szCs w:val="21"/>
                      <w:highlight w:val="none"/>
                      <w:lang w:eastAsia="zh-CN"/>
                    </w:rPr>
                    <w:t>租赁现有厂房进行汽车塑料配件生产</w:t>
                  </w:r>
                  <w:r>
                    <w:rPr>
                      <w:rFonts w:hint="eastAsia"/>
                      <w:color w:val="auto"/>
                      <w:szCs w:val="21"/>
                      <w:highlight w:val="none"/>
                    </w:rPr>
                    <w:t>，</w:t>
                  </w:r>
                  <w:r>
                    <w:rPr>
                      <w:rFonts w:hint="eastAsia"/>
                      <w:color w:val="auto"/>
                      <w:szCs w:val="21"/>
                      <w:highlight w:val="none"/>
                      <w:lang w:val="en-US" w:eastAsia="zh-CN"/>
                    </w:rPr>
                    <w:t>位于石家庄栾城区装备制造产业园内</w:t>
                  </w:r>
                  <w:r>
                    <w:rPr>
                      <w:rFonts w:hint="eastAsia"/>
                      <w:color w:val="auto"/>
                      <w:szCs w:val="21"/>
                      <w:highlight w:val="none"/>
                    </w:rPr>
                    <w:t>。</w:t>
                  </w:r>
                </w:p>
              </w:tc>
              <w:tc>
                <w:tcPr>
                  <w:tcW w:w="646" w:type="pct"/>
                  <w:noWrap w:val="0"/>
                  <w:vAlign w:val="center"/>
                </w:tcPr>
                <w:p w14:paraId="6A60455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6180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0D49E54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地下水重点管控区</w:t>
                  </w:r>
                </w:p>
              </w:tc>
              <w:tc>
                <w:tcPr>
                  <w:tcW w:w="2339" w:type="pct"/>
                  <w:gridSpan w:val="2"/>
                  <w:noWrap w:val="0"/>
                  <w:vAlign w:val="center"/>
                </w:tcPr>
                <w:p w14:paraId="07BA8A4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落实最严格水资源管理制度，强化用水监管，优化用水结构，推动城镇农村生活、工业、农业节水，发掘多源供水，缓解地下水超采压力，加强地下水开采重点管控区和生态用水补给区的管控。</w:t>
                  </w:r>
                </w:p>
              </w:tc>
              <w:tc>
                <w:tcPr>
                  <w:tcW w:w="1443" w:type="pct"/>
                  <w:noWrap w:val="0"/>
                  <w:vAlign w:val="center"/>
                </w:tcPr>
                <w:p w14:paraId="5F671C6F">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lang w:bidi="ar"/>
                    </w:rPr>
                  </w:pPr>
                  <w:r>
                    <w:rPr>
                      <w:rFonts w:hint="eastAsia"/>
                      <w:color w:val="auto"/>
                      <w:szCs w:val="21"/>
                      <w:highlight w:val="none"/>
                      <w:lang w:bidi="ar"/>
                    </w:rPr>
                    <w:t>项目用水</w:t>
                  </w:r>
                  <w:r>
                    <w:rPr>
                      <w:rFonts w:hint="eastAsia"/>
                      <w:color w:val="auto"/>
                      <w:szCs w:val="21"/>
                      <w:highlight w:val="none"/>
                      <w:lang w:eastAsia="zh-CN"/>
                    </w:rPr>
                    <w:t>由园区供水管网提供</w:t>
                  </w:r>
                  <w:r>
                    <w:rPr>
                      <w:rFonts w:hint="eastAsia"/>
                      <w:color w:val="auto"/>
                      <w:szCs w:val="21"/>
                      <w:highlight w:val="none"/>
                      <w:lang w:bidi="ar"/>
                    </w:rPr>
                    <w:t>，不开采地下水。</w:t>
                  </w:r>
                </w:p>
              </w:tc>
              <w:tc>
                <w:tcPr>
                  <w:tcW w:w="646" w:type="pct"/>
                  <w:noWrap w:val="0"/>
                  <w:vAlign w:val="center"/>
                </w:tcPr>
                <w:p w14:paraId="42E3DFF2">
                  <w:pPr>
                    <w:keepNext w:val="0"/>
                    <w:keepLines w:val="0"/>
                    <w:widowControl/>
                    <w:suppressLineNumbers w:val="0"/>
                    <w:adjustRightInd w:val="0"/>
                    <w:snapToGrid w:val="0"/>
                    <w:spacing w:before="0" w:beforeAutospacing="0" w:after="0" w:afterAutospacing="0"/>
                    <w:ind w:left="0" w:right="0"/>
                    <w:jc w:val="center"/>
                    <w:rPr>
                      <w:rFonts w:hint="eastAsia"/>
                      <w:color w:val="auto"/>
                      <w:szCs w:val="21"/>
                      <w:highlight w:val="none"/>
                      <w:lang w:bidi="ar"/>
                    </w:rPr>
                  </w:pPr>
                  <w:r>
                    <w:rPr>
                      <w:rFonts w:hint="eastAsia"/>
                      <w:color w:val="auto"/>
                      <w:szCs w:val="21"/>
                      <w:highlight w:val="none"/>
                      <w:lang w:bidi="ar"/>
                    </w:rPr>
                    <w:t>是</w:t>
                  </w:r>
                </w:p>
              </w:tc>
            </w:tr>
            <w:tr w14:paraId="2BA9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4F51A92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全市生态空间总体管控要求</w:t>
                  </w:r>
                </w:p>
              </w:tc>
            </w:tr>
            <w:tr w14:paraId="408A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 w:type="pct"/>
                  <w:noWrap w:val="0"/>
                  <w:vAlign w:val="center"/>
                </w:tcPr>
                <w:p w14:paraId="1927091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属性</w:t>
                  </w:r>
                </w:p>
              </w:tc>
              <w:tc>
                <w:tcPr>
                  <w:tcW w:w="759" w:type="pct"/>
                  <w:gridSpan w:val="3"/>
                  <w:noWrap w:val="0"/>
                  <w:vAlign w:val="center"/>
                </w:tcPr>
                <w:p w14:paraId="7B58E54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w:t>
                  </w:r>
                </w:p>
              </w:tc>
              <w:tc>
                <w:tcPr>
                  <w:tcW w:w="1872" w:type="pct"/>
                  <w:noWrap w:val="0"/>
                  <w:vAlign w:val="center"/>
                </w:tcPr>
                <w:p w14:paraId="0FB1E3F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管控要求</w:t>
                  </w:r>
                </w:p>
              </w:tc>
              <w:tc>
                <w:tcPr>
                  <w:tcW w:w="1443" w:type="pct"/>
                  <w:noWrap w:val="0"/>
                  <w:vAlign w:val="center"/>
                </w:tcPr>
                <w:p w14:paraId="78590FB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43BAB02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06A7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 w:type="pct"/>
                  <w:vMerge w:val="restart"/>
                  <w:noWrap w:val="0"/>
                  <w:vAlign w:val="center"/>
                </w:tcPr>
                <w:p w14:paraId="37D7064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生态保护</w:t>
                  </w:r>
                </w:p>
                <w:p w14:paraId="60FB1A0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红线</w:t>
                  </w:r>
                </w:p>
              </w:tc>
              <w:tc>
                <w:tcPr>
                  <w:tcW w:w="292" w:type="pct"/>
                  <w:gridSpan w:val="2"/>
                  <w:vMerge w:val="restart"/>
                  <w:noWrap w:val="0"/>
                  <w:vAlign w:val="center"/>
                </w:tcPr>
                <w:p w14:paraId="13808C5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空间布局</w:t>
                  </w:r>
                </w:p>
                <w:p w14:paraId="5008AD9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约束</w:t>
                  </w:r>
                </w:p>
              </w:tc>
              <w:tc>
                <w:tcPr>
                  <w:tcW w:w="466" w:type="pct"/>
                  <w:noWrap w:val="0"/>
                  <w:vAlign w:val="center"/>
                </w:tcPr>
                <w:p w14:paraId="619682A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禁止开发</w:t>
                  </w:r>
                </w:p>
                <w:p w14:paraId="6410E5A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建设活动</w:t>
                  </w:r>
                </w:p>
                <w:p w14:paraId="6CFC187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的要求</w:t>
                  </w:r>
                </w:p>
              </w:tc>
              <w:tc>
                <w:tcPr>
                  <w:tcW w:w="1872" w:type="pct"/>
                  <w:noWrap w:val="0"/>
                  <w:vAlign w:val="center"/>
                </w:tcPr>
                <w:p w14:paraId="6045715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1、生态保护红线原则上按禁止开发区域的要求进行管理。严禁不符合主体功能定位的各类开发活动，严禁任意改变用途。</w:t>
                  </w:r>
                </w:p>
                <w:p w14:paraId="0ED7DB2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2、自然保护地核心保护区原则上禁止人为活动，其他区域严格禁止开发性、生产性建设</w:t>
                  </w:r>
                </w:p>
                <w:p w14:paraId="5C4412B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活动，法律法规另有规定的，从其规定。生态保护红线内自然保护区、风景名胜区、饮用</w:t>
                  </w:r>
                </w:p>
                <w:p w14:paraId="53A55CB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水水源保护区等区域，依照相关法律法规执行。</w:t>
                  </w:r>
                </w:p>
              </w:tc>
              <w:tc>
                <w:tcPr>
                  <w:tcW w:w="1443" w:type="pct"/>
                  <w:noWrap w:val="0"/>
                  <w:vAlign w:val="center"/>
                </w:tcPr>
                <w:p w14:paraId="68DAFD3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，不在生态保护红线范围内，不涉及生态红线内各类开发活动，不改变生态红线用途。</w:t>
                  </w:r>
                </w:p>
                <w:p w14:paraId="664F210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2、项目不在生态保护红线范围内，不在自然保护地核心保护区范围内，不涉及保护区人为、开发性、生产性建设活动。</w:t>
                  </w:r>
                </w:p>
              </w:tc>
              <w:tc>
                <w:tcPr>
                  <w:tcW w:w="646" w:type="pct"/>
                  <w:noWrap w:val="0"/>
                  <w:vAlign w:val="center"/>
                </w:tcPr>
                <w:p w14:paraId="52F6D2E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lang w:bidi="ar"/>
                    </w:rPr>
                    <w:t>是</w:t>
                  </w:r>
                </w:p>
              </w:tc>
            </w:tr>
            <w:tr w14:paraId="6E49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 w:type="pct"/>
                  <w:vMerge w:val="continue"/>
                  <w:noWrap w:val="0"/>
                  <w:vAlign w:val="center"/>
                </w:tcPr>
                <w:p w14:paraId="638CD66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292" w:type="pct"/>
                  <w:gridSpan w:val="2"/>
                  <w:vMerge w:val="continue"/>
                  <w:noWrap w:val="0"/>
                  <w:vAlign w:val="center"/>
                </w:tcPr>
                <w:p w14:paraId="5B063FD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66" w:type="pct"/>
                  <w:noWrap w:val="0"/>
                  <w:vAlign w:val="center"/>
                </w:tcPr>
                <w:p w14:paraId="18F7F3A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有限人为</w:t>
                  </w:r>
                </w:p>
                <w:p w14:paraId="5FD480F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活动</w:t>
                  </w:r>
                </w:p>
                <w:p w14:paraId="0D2730C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1872" w:type="pct"/>
                  <w:noWrap w:val="0"/>
                  <w:vAlign w:val="center"/>
                </w:tcPr>
                <w:p w14:paraId="354C1A2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1、自然保护地核心区外，在符合法律法规的情况下，除国家重大战略外，仅允许以下对</w:t>
                  </w:r>
                </w:p>
                <w:p w14:paraId="1CC8FEE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生态功能不造成破坏的有限人为活动。①管护巡护、保护执法、科学研究、调查监测、测绘导航、防灾减灾救灾、军事国防、疫情防控等活动及相关的必要设施修筑。②原住居民和其他合法权益主体，允许在不扩大现有建设用地、用海用岛、耕地、水产养殖规模和放牧强度(符合草畜平衡管理规定)的前提下，开展种植、放牧、捕捞、养殖（不包括投礁型海洋牧场、围海养殖）等活动，修筑生产生活设施。③经依法批准的考古调查发掘、古生物化石调查发掘、标本采集和文物保护活动。④按规定对人工商品林进行抚育采伐，或以提升森林质量、优化栖息地、建设生物防火隔离带等为目的的树种更新，依法开展的竹林采伐经营。⑤不破坏生态功能的适度参观旅游、科普宣教及符合相关规划的配套性服务设施和相关的必要公共设施建设及维护。⑥必须且无法避让、符合县级以上国土空间规划的线性基础设施、通讯和防洪、供水设施建设和船舶航行、航道疏浚清淤等活动；已有的合法水利、交通运输等设施运行维护改造。⑦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⑧依据县级以上国土空间规划和生态保护修复专项规划开展的生态修复。⑨根据我国相关法律法规和与邻国签署的国界管理制度协定(条约)开展的边界边境通视道清理以及界务工程的修建、维护和拆除工作。⑩法律法规规定允许的其他人为活动。</w:t>
                  </w:r>
                </w:p>
                <w:p w14:paraId="5715326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对审批中发现涉及生态保护红线和相关法定保护区的输气管线、铁路等线性项目，指导督促项目优化调整选线、主动避让；确实无法避让的，要求建设单位采取无害化穿（跨）越方式，或依法依规向有关行政主管部门履行穿越法定保护区的行政许可手续、强化减缓和补偿措施。</w:t>
                  </w:r>
                </w:p>
                <w:p w14:paraId="72B7EF1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3、涉及饮用水水源地保护区的区域，还应严格执行《水污染防治法》《集中式饮用水水</w:t>
                  </w:r>
                </w:p>
                <w:p w14:paraId="2FE33A6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源地规范化建设环境保护技术要求(HJ773-2015)》相关要求。</w:t>
                  </w:r>
                </w:p>
              </w:tc>
              <w:tc>
                <w:tcPr>
                  <w:tcW w:w="1443" w:type="pct"/>
                  <w:noWrap w:val="0"/>
                  <w:vAlign w:val="center"/>
                </w:tcPr>
                <w:p w14:paraId="5AE11FB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w:t>
                  </w:r>
                  <w:r>
                    <w:rPr>
                      <w:rFonts w:hint="eastAsia"/>
                      <w:color w:val="auto"/>
                      <w:szCs w:val="21"/>
                      <w:highlight w:val="none"/>
                    </w:rPr>
                    <w:t>项目不在自然保护地核心保护区范围内，不涉及保护区有限人为活动。</w:t>
                  </w:r>
                </w:p>
                <w:p w14:paraId="08E33DC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2、项目不在生态保护红线范围内，不属于输气管线、铁路等线性项目。</w:t>
                  </w:r>
                </w:p>
                <w:p w14:paraId="182C0B5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3、</w:t>
                  </w:r>
                  <w:r>
                    <w:rPr>
                      <w:rFonts w:hint="eastAsia"/>
                      <w:color w:val="auto"/>
                      <w:szCs w:val="21"/>
                      <w:highlight w:val="none"/>
                      <w:lang w:bidi="ar"/>
                    </w:rPr>
                    <w:t>项目</w:t>
                  </w:r>
                  <w:r>
                    <w:rPr>
                      <w:rFonts w:hint="eastAsia"/>
                      <w:color w:val="auto"/>
                      <w:szCs w:val="21"/>
                      <w:highlight w:val="none"/>
                    </w:rPr>
                    <w:t>不在饮用水水源地保护区范围内。</w:t>
                  </w:r>
                </w:p>
              </w:tc>
              <w:tc>
                <w:tcPr>
                  <w:tcW w:w="646" w:type="pct"/>
                  <w:noWrap w:val="0"/>
                  <w:vAlign w:val="center"/>
                </w:tcPr>
                <w:p w14:paraId="52FF609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lang w:bidi="ar"/>
                    </w:rPr>
                    <w:t>是</w:t>
                  </w:r>
                </w:p>
              </w:tc>
            </w:tr>
            <w:tr w14:paraId="1221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 w:type="pct"/>
                  <w:noWrap w:val="0"/>
                  <w:vAlign w:val="center"/>
                </w:tcPr>
                <w:p w14:paraId="0B1FB6F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一般生态空间</w:t>
                  </w:r>
                </w:p>
              </w:tc>
              <w:tc>
                <w:tcPr>
                  <w:tcW w:w="292" w:type="pct"/>
                  <w:gridSpan w:val="2"/>
                  <w:noWrap w:val="0"/>
                  <w:vAlign w:val="center"/>
                </w:tcPr>
                <w:p w14:paraId="004FD97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总体要求</w:t>
                  </w:r>
                </w:p>
              </w:tc>
              <w:tc>
                <w:tcPr>
                  <w:tcW w:w="466" w:type="pct"/>
                  <w:noWrap w:val="0"/>
                  <w:vAlign w:val="center"/>
                </w:tcPr>
                <w:p w14:paraId="6FE52B1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空间布局约束</w:t>
                  </w:r>
                </w:p>
              </w:tc>
              <w:tc>
                <w:tcPr>
                  <w:tcW w:w="1872" w:type="pct"/>
                  <w:noWrap w:val="0"/>
                  <w:vAlign w:val="center"/>
                </w:tcPr>
                <w:p w14:paraId="220EE58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①严格矿产资源开发与管控，矿产开发管控依照《河北省加强矿产资源开发管控十条措</w:t>
                  </w:r>
                </w:p>
                <w:p w14:paraId="7014E88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施》、《河北省人民代表大会常务委员会关于加强矿产开发管控保护生态环境的决定》等相关文件要求执行。</w:t>
                  </w:r>
                </w:p>
                <w:p w14:paraId="5D01325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②涉及饮用水水源地保护区的，水环境总体管控要求中饮用水水源地保护区相关要求进行管控。</w:t>
                  </w:r>
                </w:p>
              </w:tc>
              <w:tc>
                <w:tcPr>
                  <w:tcW w:w="1443" w:type="pct"/>
                  <w:noWrap w:val="0"/>
                  <w:vAlign w:val="center"/>
                </w:tcPr>
                <w:p w14:paraId="3569EF80">
                  <w:pPr>
                    <w:keepNext w:val="0"/>
                    <w:keepLines w:val="0"/>
                    <w:numPr>
                      <w:ilvl w:val="0"/>
                      <w:numId w:val="3"/>
                    </w:numPr>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项目不涉及矿产资源开发。</w:t>
                  </w:r>
                </w:p>
                <w:p w14:paraId="49654BA0">
                  <w:pPr>
                    <w:keepNext w:val="0"/>
                    <w:keepLines w:val="0"/>
                    <w:numPr>
                      <w:ilvl w:val="0"/>
                      <w:numId w:val="3"/>
                    </w:numPr>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lang w:bidi="ar"/>
                    </w:rPr>
                    <w:t>项目</w:t>
                  </w:r>
                  <w:r>
                    <w:rPr>
                      <w:rFonts w:hint="eastAsia"/>
                      <w:color w:val="auto"/>
                      <w:szCs w:val="21"/>
                      <w:highlight w:val="none"/>
                    </w:rPr>
                    <w:t>不在饮用水水源地保护区范围内。</w:t>
                  </w:r>
                </w:p>
              </w:tc>
              <w:tc>
                <w:tcPr>
                  <w:tcW w:w="646" w:type="pct"/>
                  <w:noWrap w:val="0"/>
                  <w:vAlign w:val="center"/>
                </w:tcPr>
                <w:p w14:paraId="2205396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6ABB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650902C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全市水环境总体管控要求</w:t>
                  </w:r>
                </w:p>
              </w:tc>
            </w:tr>
            <w:tr w14:paraId="5D6F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0FCFC4C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分类</w:t>
                  </w:r>
                </w:p>
              </w:tc>
              <w:tc>
                <w:tcPr>
                  <w:tcW w:w="466" w:type="pct"/>
                  <w:noWrap w:val="0"/>
                  <w:vAlign w:val="center"/>
                </w:tcPr>
                <w:p w14:paraId="37CF4F5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管控类型</w:t>
                  </w:r>
                </w:p>
              </w:tc>
              <w:tc>
                <w:tcPr>
                  <w:tcW w:w="1872" w:type="pct"/>
                  <w:noWrap w:val="0"/>
                  <w:vAlign w:val="center"/>
                </w:tcPr>
                <w:p w14:paraId="544ADD0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管控要求</w:t>
                  </w:r>
                </w:p>
              </w:tc>
              <w:tc>
                <w:tcPr>
                  <w:tcW w:w="1443" w:type="pct"/>
                  <w:noWrap w:val="0"/>
                  <w:vAlign w:val="center"/>
                </w:tcPr>
                <w:p w14:paraId="673FBD0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585E0DE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04B6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vMerge w:val="restart"/>
                  <w:noWrap w:val="0"/>
                  <w:vAlign w:val="center"/>
                </w:tcPr>
                <w:p w14:paraId="7A43CB6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水环境其他重点管控区</w:t>
                  </w:r>
                </w:p>
              </w:tc>
              <w:tc>
                <w:tcPr>
                  <w:tcW w:w="466" w:type="pct"/>
                  <w:noWrap w:val="0"/>
                  <w:vAlign w:val="center"/>
                </w:tcPr>
                <w:p w14:paraId="745BD3A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空间布局约束</w:t>
                  </w:r>
                </w:p>
              </w:tc>
              <w:tc>
                <w:tcPr>
                  <w:tcW w:w="1872" w:type="pct"/>
                  <w:noWrap w:val="0"/>
                  <w:vAlign w:val="center"/>
                </w:tcPr>
                <w:p w14:paraId="634ADBA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1、针对断流河道优先保障水生态流量和生态安全。</w:t>
                  </w:r>
                </w:p>
                <w:p w14:paraId="261CFD0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2、调整和优化产业结构，严格按照区域环境承载能力，合理规划居住区与工业功能区。</w:t>
                  </w:r>
                </w:p>
              </w:tc>
              <w:tc>
                <w:tcPr>
                  <w:tcW w:w="1443" w:type="pct"/>
                  <w:noWrap w:val="0"/>
                  <w:vAlign w:val="center"/>
                </w:tcPr>
                <w:p w14:paraId="01279E3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项目厂界距离</w:t>
                  </w:r>
                  <w:r>
                    <w:rPr>
                      <w:rFonts w:hint="eastAsia"/>
                      <w:color w:val="auto"/>
                      <w:szCs w:val="21"/>
                      <w:highlight w:val="none"/>
                      <w:lang w:eastAsia="zh-CN"/>
                    </w:rPr>
                    <w:t>西南侧约345m的洨河</w:t>
                  </w:r>
                  <w:r>
                    <w:rPr>
                      <w:rFonts w:hint="eastAsia"/>
                      <w:color w:val="auto"/>
                      <w:szCs w:val="21"/>
                      <w:highlight w:val="none"/>
                    </w:rPr>
                    <w:t>，用地属于</w:t>
                  </w:r>
                  <w:r>
                    <w:rPr>
                      <w:rFonts w:hint="eastAsia"/>
                      <w:color w:val="auto"/>
                      <w:szCs w:val="21"/>
                      <w:highlight w:val="none"/>
                      <w:lang w:val="en-US" w:eastAsia="zh-CN"/>
                    </w:rPr>
                    <w:t>工业</w:t>
                  </w:r>
                  <w:r>
                    <w:rPr>
                      <w:rFonts w:hint="eastAsia"/>
                      <w:color w:val="auto"/>
                      <w:szCs w:val="21"/>
                      <w:highlight w:val="none"/>
                    </w:rPr>
                    <w:t>用地未在居民区，满足居住区与工业功能区分离要求。</w:t>
                  </w:r>
                </w:p>
              </w:tc>
              <w:tc>
                <w:tcPr>
                  <w:tcW w:w="646" w:type="pct"/>
                  <w:noWrap w:val="0"/>
                  <w:vAlign w:val="center"/>
                </w:tcPr>
                <w:p w14:paraId="592DFCE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28C2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vMerge w:val="continue"/>
                  <w:noWrap w:val="0"/>
                  <w:vAlign w:val="center"/>
                </w:tcPr>
                <w:p w14:paraId="478CEB4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66" w:type="pct"/>
                  <w:noWrap w:val="0"/>
                  <w:vAlign w:val="center"/>
                </w:tcPr>
                <w:p w14:paraId="223C29D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污染物排放管控</w:t>
                  </w:r>
                </w:p>
              </w:tc>
              <w:tc>
                <w:tcPr>
                  <w:tcW w:w="1872" w:type="pct"/>
                  <w:noWrap w:val="0"/>
                  <w:vAlign w:val="center"/>
                </w:tcPr>
                <w:p w14:paraId="5B7DE27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1、执行《子牙河流域水污染物排放标准》（DB13/2796-2018）或《大清河流域水污染物排放标准》</w:t>
                  </w:r>
                </w:p>
                <w:p w14:paraId="4AB7611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(DB13/2795-2018)水污染物排放标准，实施区域污染物总量控制，减少新建高污染项目，整改治理污染项目。</w:t>
                  </w:r>
                </w:p>
                <w:p w14:paraId="7E0B431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2、加强农业农村和工业企业污染防治，有效控制入河污染物排放。</w:t>
                  </w:r>
                </w:p>
              </w:tc>
              <w:tc>
                <w:tcPr>
                  <w:tcW w:w="1443" w:type="pct"/>
                  <w:noWrap w:val="0"/>
                  <w:vAlign w:val="center"/>
                </w:tcPr>
                <w:p w14:paraId="2D369E90">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rPr>
                    <w:t>项目废水主要为职工生活污水，生活污水经集成式生物化粪池处理后经园区污水管网排入绿源污水处理有限公司进一步处理</w:t>
                  </w:r>
                  <w:r>
                    <w:rPr>
                      <w:rFonts w:hint="eastAsia"/>
                      <w:color w:val="auto"/>
                      <w:szCs w:val="21"/>
                      <w:highlight w:val="none"/>
                      <w:lang w:eastAsia="zh-CN"/>
                    </w:rPr>
                    <w:t>，</w:t>
                  </w:r>
                  <w:r>
                    <w:rPr>
                      <w:rFonts w:hint="eastAsia"/>
                      <w:color w:val="auto"/>
                      <w:szCs w:val="21"/>
                      <w:highlight w:val="none"/>
                      <w:lang w:val="en-US" w:eastAsia="zh-CN"/>
                    </w:rPr>
                    <w:t>项目不涉及新增劳动定员，不新增生活废水排放</w:t>
                  </w:r>
                  <w:r>
                    <w:rPr>
                      <w:rFonts w:hint="eastAsia"/>
                      <w:color w:val="auto"/>
                      <w:szCs w:val="21"/>
                      <w:highlight w:val="none"/>
                    </w:rPr>
                    <w:t>，不涉及</w:t>
                  </w:r>
                  <w:r>
                    <w:rPr>
                      <w:rFonts w:hint="eastAsia"/>
                      <w:color w:val="auto"/>
                      <w:szCs w:val="21"/>
                      <w:highlight w:val="none"/>
                      <w:lang w:val="en-US" w:eastAsia="zh-CN"/>
                    </w:rPr>
                    <w:t>新增</w:t>
                  </w:r>
                  <w:r>
                    <w:rPr>
                      <w:rFonts w:hint="eastAsia"/>
                      <w:color w:val="auto"/>
                      <w:szCs w:val="21"/>
                      <w:highlight w:val="none"/>
                    </w:rPr>
                    <w:t>水污染物总量，不属于高污染项目</w:t>
                  </w:r>
                </w:p>
              </w:tc>
              <w:tc>
                <w:tcPr>
                  <w:tcW w:w="646" w:type="pct"/>
                  <w:noWrap w:val="0"/>
                  <w:vAlign w:val="center"/>
                </w:tcPr>
                <w:p w14:paraId="3140FB6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223D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64C4242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大气环境总体准入要求</w:t>
                  </w:r>
                </w:p>
              </w:tc>
            </w:tr>
            <w:tr w14:paraId="70B2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721C4DD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管控类型</w:t>
                  </w:r>
                </w:p>
              </w:tc>
              <w:tc>
                <w:tcPr>
                  <w:tcW w:w="2339" w:type="pct"/>
                  <w:gridSpan w:val="2"/>
                  <w:noWrap w:val="0"/>
                  <w:vAlign w:val="center"/>
                </w:tcPr>
                <w:p w14:paraId="5E459FF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准入要求</w:t>
                  </w:r>
                </w:p>
              </w:tc>
              <w:tc>
                <w:tcPr>
                  <w:tcW w:w="1443" w:type="pct"/>
                  <w:noWrap w:val="0"/>
                  <w:vAlign w:val="center"/>
                </w:tcPr>
                <w:p w14:paraId="2481D0C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2CDC31E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2C07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56E4CE3A">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空间布局约束</w:t>
                  </w:r>
                </w:p>
              </w:tc>
              <w:tc>
                <w:tcPr>
                  <w:tcW w:w="2339" w:type="pct"/>
                  <w:gridSpan w:val="2"/>
                  <w:noWrap w:val="0"/>
                  <w:vAlign w:val="center"/>
                </w:tcPr>
                <w:p w14:paraId="011ED65F">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1、加大钢铁、焦化等行业结构调整力度，推进化工、石化企业治理改造，优先发展战略新兴产业和先进制造业，坚决遏制高耗能高排放低水平项目盲目发展。</w:t>
                  </w:r>
                </w:p>
                <w:p w14:paraId="70AE1A65">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2、引导重点行业向环境容量充足、扩散条件较好区域布局。</w:t>
                  </w:r>
                </w:p>
                <w:p w14:paraId="4BD4000E">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3、大气环境受体敏感重点管控区、大气环境布局敏感重点管控区、大气环境弱扩散重点管控区严格控制高耗能、高排放项目建设。严禁新增钢铁、焦化、水泥、平板玻璃、电解铝等产能。</w:t>
                  </w:r>
                </w:p>
                <w:p w14:paraId="6516CEE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4、大气环境受体敏感重点管控区中重点涉气行业企业，除必须依托城市或直接服务于城市的企业外，均应规划退城搬迁。</w:t>
                  </w:r>
                </w:p>
                <w:p w14:paraId="6F75CF1D">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5、大气环境弱扩散重点管控区内严格控制新建、扩建燃煤火电、钢铁，以及除国家、省、市规划外的石化等高污染高排放项目。</w:t>
                  </w:r>
                </w:p>
                <w:p w14:paraId="6950EAEA">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6、对热效率低下、敞开未封闭，装备简易落后、自动化程度低，布局分散、规模小、无组织排放突出，以及无治理设施或治理设施工艺落后的工业炉窑，依法责令停业关闭。</w:t>
                  </w:r>
                </w:p>
                <w:p w14:paraId="420FD327">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全市禁止新建35蒸吨/小时及以下燃煤锅炉，35蒸吨/小时以上燃煤锅炉要达到超低排放标准。城市主城区和县城禁止新建35蒸吨/小时及以下生物质和燃油（醇基燃料）锅炉，35蒸吨/小时以上的燃油和生物质锅炉要达到超低排放标准。</w:t>
                  </w:r>
                </w:p>
                <w:p w14:paraId="2631ED99">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1443" w:type="pct"/>
                  <w:noWrap w:val="0"/>
                  <w:vAlign w:val="center"/>
                </w:tcPr>
                <w:p w14:paraId="7508029F">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1.项目不属于钢铁、焦化等行业，不属于高耗能高排放低水平项目；</w:t>
                  </w:r>
                </w:p>
                <w:p w14:paraId="63BE80B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2.项目不属于重点行业。</w:t>
                  </w:r>
                </w:p>
                <w:p w14:paraId="173D1AC0">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3.项目不属于高耗能、高排放项目，不属于钢铁、焦化、水泥、平板玻璃、电解铝等新增产能项目。</w:t>
                  </w:r>
                </w:p>
                <w:p w14:paraId="7D51E18C">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，不在城区范围内。</w:t>
                  </w:r>
                </w:p>
                <w:p w14:paraId="030EA7F7">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5.项目不属于新建、扩建燃煤火电、钢铁，以及除国家、省、市规划外的石化等高污染高排放项目。</w:t>
                  </w:r>
                </w:p>
                <w:p w14:paraId="07860227">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6.项目不涉及工业炉窑。</w:t>
                  </w:r>
                </w:p>
                <w:p w14:paraId="5869192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7.项目不涉及锅炉使用。</w:t>
                  </w:r>
                </w:p>
                <w:p w14:paraId="019E7E97">
                  <w:pPr>
                    <w:keepNext w:val="0"/>
                    <w:keepLines w:val="0"/>
                    <w:suppressLineNumbers w:val="0"/>
                    <w:spacing w:before="0" w:beforeAutospacing="0" w:after="0" w:afterAutospacing="0"/>
                    <w:ind w:left="0" w:right="0"/>
                    <w:jc w:val="center"/>
                    <w:rPr>
                      <w:rFonts w:hint="default"/>
                      <w:color w:val="auto"/>
                      <w:szCs w:val="20"/>
                      <w:highlight w:val="none"/>
                    </w:rPr>
                  </w:pPr>
                  <w:r>
                    <w:rPr>
                      <w:rFonts w:hint="eastAsia"/>
                      <w:color w:val="auto"/>
                      <w:szCs w:val="21"/>
                      <w:highlight w:val="none"/>
                    </w:rPr>
                    <w:t>8.项目不涉及煤炭、重油、渣油等高污染燃料的使用，项目生产均采用电能，不涉及二氧化硫、氮氧化物的排放。</w:t>
                  </w:r>
                </w:p>
              </w:tc>
              <w:tc>
                <w:tcPr>
                  <w:tcW w:w="646" w:type="pct"/>
                  <w:noWrap w:val="0"/>
                  <w:vAlign w:val="center"/>
                </w:tcPr>
                <w:p w14:paraId="7B9C817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57A9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7F284966">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污染物排放管控</w:t>
                  </w:r>
                </w:p>
              </w:tc>
              <w:tc>
                <w:tcPr>
                  <w:tcW w:w="2339" w:type="pct"/>
                  <w:gridSpan w:val="2"/>
                  <w:noWrap w:val="0"/>
                  <w:vAlign w:val="center"/>
                </w:tcPr>
                <w:p w14:paraId="2508513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1、严格区域削减要求。严格执行《生态环境部办公厅关于加强重点行业建设项目区域削减措施监督管理的通知》（环办环评〔2020〕36号）相关要求。</w:t>
                  </w:r>
                </w:p>
                <w:p w14:paraId="17090BA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2、对保留的工业炉窑开展环保提标改造，配套建设高效脱硫脱硝除尘设施，确保稳定达标排放，按照《河北省工业炉窑综合治理实施方案》执行。</w:t>
                  </w:r>
                </w:p>
                <w:p w14:paraId="7B970AC8">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3、按照《低挥发性有机化合物含量涂料产品技术要求》GB/T 38597-2020），开展低挥发性有机物含量涂料推广替代试点工作，加快推进党政机关单位定点印刷企业率先使用水性油墨、大豆油墨等低挥发性有机物含量油墨和胶粘剂。</w:t>
                  </w:r>
                </w:p>
                <w:p w14:paraId="354539ED">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4、加强无组织排放治理，开展钢铁、水泥、燃煤电厂、焦化平板玻璃、陶瓷等行业重点行业无组织排放检查工作，物料存储运输等全部采用密闭或封闭形式。</w:t>
                  </w:r>
                </w:p>
                <w:p w14:paraId="2023A32F">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5、加快推进铁路专用线建设，大宗货物及产品年货运量150万吨以上的企业原则上全部修建铁路专用线，达不到的采用清洁能源汽车或国六排放标准汽车代替。</w:t>
                  </w:r>
                </w:p>
                <w:p w14:paraId="4D4E14C5">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14:paraId="59228B30">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7、严禁秸秆、垃圾露天焚烧，实施农村地区的散煤替代及清洁开发利用工程。</w:t>
                  </w:r>
                </w:p>
                <w:p w14:paraId="6A59AC23">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8、巩固钢铁、焦化、煤电、水泥、平板玻璃、陶瓷等行业超低排放成效，实施工艺全流程深度治理，全面加强无组织排放管控。</w:t>
                  </w:r>
                </w:p>
                <w:p w14:paraId="76943E36">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9、对以煤、石油焦、重油等为燃料的工业炉窑，加快使用清洁低碳能源以及利用工厂余热、电厂热力等进行替代，全市禁止掺烧高硫石油焦（硫含量大于3%）。玻璃行业全面禁止掺烧高硫石油焦。</w:t>
                  </w:r>
                </w:p>
              </w:tc>
              <w:tc>
                <w:tcPr>
                  <w:tcW w:w="1443" w:type="pct"/>
                  <w:noWrap w:val="0"/>
                  <w:vAlign w:val="center"/>
                </w:tcPr>
                <w:p w14:paraId="147F9BA1">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1.项目</w:t>
                  </w:r>
                  <w:r>
                    <w:rPr>
                      <w:rFonts w:hint="eastAsia"/>
                      <w:color w:val="auto"/>
                      <w:szCs w:val="21"/>
                      <w:highlight w:val="none"/>
                      <w:lang w:val="en-US" w:eastAsia="zh-CN"/>
                    </w:rPr>
                    <w:t>不属于重点行业</w:t>
                  </w:r>
                  <w:r>
                    <w:rPr>
                      <w:rFonts w:hint="eastAsia"/>
                      <w:color w:val="auto"/>
                      <w:szCs w:val="21"/>
                      <w:highlight w:val="none"/>
                    </w:rPr>
                    <w:t>。</w:t>
                  </w:r>
                </w:p>
                <w:p w14:paraId="50C1EE49">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2.项目不涉及工业炉窑使用。</w:t>
                  </w:r>
                </w:p>
                <w:p w14:paraId="3C1FE3B8">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3.项目不涉及涂料。</w:t>
                  </w:r>
                </w:p>
                <w:p w14:paraId="5E31C820">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4.项目车间密闭，</w:t>
                  </w:r>
                  <w:r>
                    <w:rPr>
                      <w:rFonts w:hint="eastAsia"/>
                      <w:color w:val="auto"/>
                      <w:szCs w:val="21"/>
                      <w:highlight w:val="none"/>
                      <w:lang w:val="en-US" w:eastAsia="zh-CN"/>
                    </w:rPr>
                    <w:t>物料存储在密闭厂房内</w:t>
                  </w:r>
                  <w:r>
                    <w:rPr>
                      <w:rFonts w:hint="eastAsia"/>
                      <w:color w:val="auto"/>
                      <w:szCs w:val="21"/>
                      <w:highlight w:val="none"/>
                    </w:rPr>
                    <w:t>。</w:t>
                  </w:r>
                </w:p>
                <w:p w14:paraId="6F48BF13">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不涉及</w:t>
                  </w:r>
                  <w:r>
                    <w:rPr>
                      <w:rFonts w:hint="eastAsia"/>
                      <w:color w:val="auto"/>
                      <w:szCs w:val="21"/>
                      <w:highlight w:val="none"/>
                    </w:rPr>
                    <w:t>。</w:t>
                  </w:r>
                </w:p>
                <w:p w14:paraId="05F4D6FC">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6.</w:t>
                  </w:r>
                  <w:r>
                    <w:rPr>
                      <w:rFonts w:hint="eastAsia"/>
                      <w:color w:val="auto"/>
                      <w:szCs w:val="21"/>
                      <w:highlight w:val="none"/>
                      <w:lang w:val="zh-CN"/>
                    </w:rPr>
                    <w:t>项目</w:t>
                  </w:r>
                  <w:r>
                    <w:rPr>
                      <w:rFonts w:hint="eastAsia"/>
                      <w:color w:val="auto"/>
                      <w:szCs w:val="21"/>
                      <w:highlight w:val="none"/>
                      <w:lang w:eastAsia="zh-CN"/>
                    </w:rPr>
                    <w:t>租赁现有厂房进行汽车塑料配件生产</w:t>
                  </w:r>
                  <w:r>
                    <w:rPr>
                      <w:rFonts w:hint="eastAsia"/>
                      <w:color w:val="auto"/>
                      <w:szCs w:val="21"/>
                      <w:highlight w:val="none"/>
                    </w:rPr>
                    <w:t>，不涉及施工扬尘。</w:t>
                  </w:r>
                </w:p>
                <w:p w14:paraId="74F27D71">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7.项目不涉及散煤使用，不涉及秸秆、垃圾露天焚烧。</w:t>
                  </w:r>
                </w:p>
                <w:p w14:paraId="777F0047">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8.项目不属于钢铁、焦化、煤电、水泥、平板玻璃、陶瓷等行业，产生的污染物经采取措施后达标排放。</w:t>
                  </w:r>
                </w:p>
                <w:p w14:paraId="1BCA7CF2">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9.项目不涉及煤、石油焦、重油等为燃料的使用，不涉及工业炉窑使用。</w:t>
                  </w:r>
                </w:p>
              </w:tc>
              <w:tc>
                <w:tcPr>
                  <w:tcW w:w="646" w:type="pct"/>
                  <w:noWrap w:val="0"/>
                  <w:vAlign w:val="center"/>
                </w:tcPr>
                <w:p w14:paraId="78FD51A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是</w:t>
                  </w:r>
                </w:p>
              </w:tc>
            </w:tr>
            <w:tr w14:paraId="06DD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64D353C0">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环境风险防控</w:t>
                  </w:r>
                </w:p>
              </w:tc>
              <w:tc>
                <w:tcPr>
                  <w:tcW w:w="2339" w:type="pct"/>
                  <w:gridSpan w:val="2"/>
                  <w:noWrap w:val="0"/>
                  <w:vAlign w:val="center"/>
                </w:tcPr>
                <w:p w14:paraId="122DD837">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443" w:type="pct"/>
                  <w:noWrap w:val="0"/>
                  <w:vAlign w:val="center"/>
                </w:tcPr>
                <w:p w14:paraId="323BFD79">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项目不涉及有毒有害化学物质使用，不属于石油化工、涂料、纺织印染、橡胶、农药、医药等行业新污染物环境风险管控，项目要求待企业取得批复后，根据要求，成立应急组织机构，定期开展应急演练。</w:t>
                  </w:r>
                </w:p>
              </w:tc>
              <w:tc>
                <w:tcPr>
                  <w:tcW w:w="646" w:type="pct"/>
                  <w:noWrap w:val="0"/>
                  <w:vAlign w:val="center"/>
                </w:tcPr>
                <w:p w14:paraId="3CB2F879">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1296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081FC91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全市土壤环境总体管控要求</w:t>
                  </w:r>
                </w:p>
              </w:tc>
            </w:tr>
            <w:tr w14:paraId="5586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0E3CAA9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属性</w:t>
                  </w:r>
                </w:p>
              </w:tc>
              <w:tc>
                <w:tcPr>
                  <w:tcW w:w="2339" w:type="pct"/>
                  <w:gridSpan w:val="2"/>
                  <w:noWrap w:val="0"/>
                  <w:vAlign w:val="center"/>
                </w:tcPr>
                <w:p w14:paraId="0665FCE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管控要求</w:t>
                  </w:r>
                </w:p>
              </w:tc>
              <w:tc>
                <w:tcPr>
                  <w:tcW w:w="1443" w:type="pct"/>
                  <w:noWrap w:val="0"/>
                  <w:vAlign w:val="center"/>
                </w:tcPr>
                <w:p w14:paraId="177CAA8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321A3C7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3E19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1" w:type="pct"/>
                  <w:gridSpan w:val="3"/>
                  <w:noWrap w:val="0"/>
                  <w:vAlign w:val="center"/>
                </w:tcPr>
                <w:p w14:paraId="50C87CE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建设用地风险管控和</w:t>
                  </w:r>
                </w:p>
                <w:p w14:paraId="5ABA206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修复</w:t>
                  </w:r>
                </w:p>
              </w:tc>
              <w:tc>
                <w:tcPr>
                  <w:tcW w:w="2339" w:type="pct"/>
                  <w:gridSpan w:val="2"/>
                  <w:noWrap w:val="0"/>
                  <w:vAlign w:val="center"/>
                </w:tcPr>
                <w:p w14:paraId="7C5833A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1、依法推进建设用地土壤状况调查评估。以用途变更为“一住两公”地块，以及腾退工矿企业用地为重点，依法开展土壤污染状况调查和风险评估。</w:t>
                  </w:r>
                </w:p>
                <w:p w14:paraId="0E9A97E8">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2、对土壤污染状况调查报告评审表明污染物含量超过土壤污染风险管控标准的建设用地地块，土壤污染责任人、土地使用权人应当按照国务院生态环境主管部门的规定进行土壤污染风险评估。</w:t>
                  </w:r>
                </w:p>
                <w:p w14:paraId="25B2DBEE">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3、对建设用地土壤污染风险管控和修复名录中需要实施修复的地块，土壤污染责任人应当结合土地利用总体规划和城乡规划编制修复方案，报地方人民政府生态环境主管部门备案并实施。</w:t>
                  </w:r>
                </w:p>
                <w:p w14:paraId="286DBD86">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4、风险管控、修复活动完成后，需要实施后期管理的，土壤污染责任人应当按照要求实施后期管理。</w:t>
                  </w:r>
                </w:p>
                <w:p w14:paraId="5BCF76C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5、各县（市、区）在编制国土空间等相关规划时，充分考虑建设用地土壤污染环境风险，合理确定土地用途。</w:t>
                  </w:r>
                </w:p>
                <w:p w14:paraId="71B6FB35">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6、严格落实建设用地土壤污染风险管控和修复名录制度。未达到土壤污染风险评估报告确定的风险管控、修复目标的地块，不得开工建设与风险管控和修复无关的项目。</w:t>
                  </w:r>
                </w:p>
              </w:tc>
              <w:tc>
                <w:tcPr>
                  <w:tcW w:w="1443" w:type="pct"/>
                  <w:noWrap w:val="0"/>
                  <w:vAlign w:val="center"/>
                </w:tcPr>
                <w:p w14:paraId="530EBBF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Cs w:val="21"/>
                      <w:highlight w:val="none"/>
                    </w:rPr>
                    <w:t>1.项目位于河北省石家庄市栾城区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w:t>
                  </w:r>
                  <w:r>
                    <w:rPr>
                      <w:rFonts w:hint="eastAsia"/>
                      <w:color w:val="auto"/>
                      <w:szCs w:val="21"/>
                      <w:highlight w:val="none"/>
                      <w:lang w:eastAsia="zh-CN"/>
                    </w:rPr>
                    <w:t>根据不动产权证，占地为工业用地</w:t>
                  </w:r>
                  <w:r>
                    <w:rPr>
                      <w:rFonts w:hint="eastAsia" w:ascii="Times New Roman" w:hAnsi="Times New Roman" w:eastAsia="宋体" w:cs="Times New Roman"/>
                      <w:color w:val="auto"/>
                      <w:sz w:val="21"/>
                      <w:szCs w:val="21"/>
                      <w:highlight w:val="none"/>
                      <w:lang w:val="en-US" w:eastAsia="zh-CN"/>
                    </w:rPr>
                    <w:t>，</w:t>
                  </w:r>
                  <w:r>
                    <w:rPr>
                      <w:rFonts w:hint="eastAsia"/>
                      <w:color w:val="auto"/>
                      <w:sz w:val="21"/>
                      <w:szCs w:val="21"/>
                      <w:highlight w:val="none"/>
                    </w:rPr>
                    <w:t>符合</w:t>
                  </w:r>
                  <w:r>
                    <w:rPr>
                      <w:rFonts w:hint="eastAsia"/>
                      <w:color w:val="auto"/>
                      <w:sz w:val="21"/>
                      <w:szCs w:val="21"/>
                      <w:highlight w:val="none"/>
                      <w:lang w:eastAsia="zh-CN"/>
                    </w:rPr>
                    <w:t>河北省石家庄装备制造产业园总体规划要求</w:t>
                  </w:r>
                  <w:r>
                    <w:rPr>
                      <w:rFonts w:hint="eastAsia"/>
                      <w:color w:val="auto"/>
                      <w:sz w:val="21"/>
                      <w:szCs w:val="21"/>
                      <w:highlight w:val="none"/>
                    </w:rPr>
                    <w:t>。项目不涉及土地用途变更情况，不涉及土壤环境状况调查评估。同时，项目采取分区防渗措施项目固废合理处置，正常生产情况下，项目对厂区及附近土壤环境的影响较小。</w:t>
                  </w:r>
                </w:p>
                <w:p w14:paraId="12918C3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2.项目不涉及土地用途变更情况，不涉及土壤环境状况调查评估。</w:t>
                  </w:r>
                </w:p>
                <w:p w14:paraId="3BBDEE62">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3.项目不涉及土壤环境状况调查评估，不涉及土壤污染风险管控和修复名录中需要实施修复的地块。</w:t>
                  </w:r>
                </w:p>
                <w:p w14:paraId="4AB8E7ED">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4.项目不涉及需要实施修复的地块。</w:t>
                  </w:r>
                </w:p>
                <w:p w14:paraId="0EE02FDC">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 w:val="21"/>
                      <w:szCs w:val="21"/>
                      <w:highlight w:val="none"/>
                    </w:rPr>
                    <w:t>5.</w:t>
                  </w:r>
                  <w:r>
                    <w:rPr>
                      <w:rFonts w:hint="eastAsia"/>
                      <w:color w:val="auto"/>
                      <w:sz w:val="21"/>
                      <w:szCs w:val="21"/>
                      <w:highlight w:val="none"/>
                      <w:lang w:eastAsia="zh-CN"/>
                    </w:rPr>
                    <w:t>根据不动产权证，占地为工业用地，</w:t>
                  </w:r>
                  <w:r>
                    <w:rPr>
                      <w:rFonts w:hint="eastAsia"/>
                      <w:color w:val="auto"/>
                      <w:sz w:val="21"/>
                      <w:szCs w:val="21"/>
                      <w:highlight w:val="none"/>
                    </w:rPr>
                    <w:t>符合</w:t>
                  </w:r>
                  <w:r>
                    <w:rPr>
                      <w:rFonts w:hint="eastAsia"/>
                      <w:color w:val="auto"/>
                      <w:sz w:val="21"/>
                      <w:szCs w:val="21"/>
                      <w:highlight w:val="none"/>
                      <w:lang w:eastAsia="zh-CN"/>
                    </w:rPr>
                    <w:t>河北省石家庄装备制造产业园总体规划要求</w:t>
                  </w:r>
                  <w:r>
                    <w:rPr>
                      <w:rFonts w:hint="eastAsia"/>
                      <w:color w:val="auto"/>
                      <w:szCs w:val="21"/>
                      <w:highlight w:val="none"/>
                    </w:rPr>
                    <w:t>。</w:t>
                  </w:r>
                </w:p>
                <w:p w14:paraId="7304C603">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6.项目不涉及需要实施修复的地块。</w:t>
                  </w:r>
                </w:p>
              </w:tc>
              <w:tc>
                <w:tcPr>
                  <w:tcW w:w="646" w:type="pct"/>
                  <w:noWrap w:val="0"/>
                  <w:vAlign w:val="center"/>
                </w:tcPr>
                <w:p w14:paraId="6FD8C47F">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7713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07F1E2B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全市自然资源总体管控要求</w:t>
                  </w:r>
                </w:p>
              </w:tc>
            </w:tr>
            <w:tr w14:paraId="057A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gridSpan w:val="2"/>
                  <w:noWrap w:val="0"/>
                  <w:vAlign w:val="center"/>
                </w:tcPr>
                <w:p w14:paraId="70CDEE6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要素</w:t>
                  </w:r>
                </w:p>
              </w:tc>
              <w:tc>
                <w:tcPr>
                  <w:tcW w:w="570" w:type="pct"/>
                  <w:gridSpan w:val="2"/>
                  <w:noWrap w:val="0"/>
                  <w:vAlign w:val="center"/>
                </w:tcPr>
                <w:p w14:paraId="4067861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管控类型</w:t>
                  </w:r>
                </w:p>
              </w:tc>
              <w:tc>
                <w:tcPr>
                  <w:tcW w:w="1872" w:type="pct"/>
                  <w:noWrap w:val="0"/>
                  <w:vAlign w:val="center"/>
                </w:tcPr>
                <w:p w14:paraId="4E9C871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管控要求</w:t>
                  </w:r>
                </w:p>
              </w:tc>
              <w:tc>
                <w:tcPr>
                  <w:tcW w:w="1443" w:type="pct"/>
                  <w:noWrap w:val="0"/>
                  <w:vAlign w:val="center"/>
                </w:tcPr>
                <w:p w14:paraId="00A4D48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14DD908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250E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gridSpan w:val="2"/>
                  <w:noWrap w:val="0"/>
                  <w:vAlign w:val="center"/>
                </w:tcPr>
                <w:p w14:paraId="490EEA4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水资源</w:t>
                  </w:r>
                </w:p>
              </w:tc>
              <w:tc>
                <w:tcPr>
                  <w:tcW w:w="570" w:type="pct"/>
                  <w:gridSpan w:val="2"/>
                  <w:noWrap w:val="0"/>
                  <w:vAlign w:val="center"/>
                </w:tcPr>
                <w:p w14:paraId="118A438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一般管控区</w:t>
                  </w:r>
                </w:p>
              </w:tc>
              <w:tc>
                <w:tcPr>
                  <w:tcW w:w="1872" w:type="pct"/>
                  <w:noWrap w:val="0"/>
                  <w:vAlign w:val="center"/>
                </w:tcPr>
                <w:p w14:paraId="79E99E3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1、严格执行“最严格水资源管理制度”确定的用水总量控制指标，加强水资源取水论证，严格水资源总量考核管理，同时全面推进节水型社会建设，提高用水效率。</w:t>
                  </w:r>
                </w:p>
                <w:p w14:paraId="7A7BA6C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地下水开采重点管控区外的地下水超采区按照《华北地区地下水超采综合治理行动方案》、《河北省人民政府关于公布地下水超采区和禁止开采区、限制开采区范围的通知》及《关于地下水超采综合治理实施意见》进行管控。</w:t>
                  </w:r>
                </w:p>
              </w:tc>
              <w:tc>
                <w:tcPr>
                  <w:tcW w:w="1443" w:type="pct"/>
                  <w:noWrap w:val="0"/>
                  <w:vAlign w:val="center"/>
                </w:tcPr>
                <w:p w14:paraId="18656E0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项目用水</w:t>
                  </w:r>
                  <w:r>
                    <w:rPr>
                      <w:rFonts w:hint="eastAsia"/>
                      <w:color w:val="auto"/>
                      <w:szCs w:val="21"/>
                      <w:highlight w:val="none"/>
                      <w:lang w:eastAsia="zh-CN"/>
                    </w:rPr>
                    <w:t>由园区供水管网提供</w:t>
                  </w:r>
                  <w:r>
                    <w:rPr>
                      <w:rFonts w:hint="eastAsia"/>
                      <w:color w:val="auto"/>
                      <w:szCs w:val="21"/>
                      <w:highlight w:val="none"/>
                    </w:rPr>
                    <w:t>，不开采地下水。</w:t>
                  </w:r>
                </w:p>
              </w:tc>
              <w:tc>
                <w:tcPr>
                  <w:tcW w:w="646" w:type="pct"/>
                  <w:noWrap w:val="0"/>
                  <w:vAlign w:val="center"/>
                </w:tcPr>
                <w:p w14:paraId="42577EE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是</w:t>
                  </w:r>
                </w:p>
              </w:tc>
            </w:tr>
            <w:tr w14:paraId="281C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gridSpan w:val="2"/>
                  <w:vMerge w:val="restart"/>
                  <w:noWrap w:val="0"/>
                  <w:vAlign w:val="center"/>
                </w:tcPr>
                <w:p w14:paraId="7403D2C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能源</w:t>
                  </w:r>
                </w:p>
              </w:tc>
              <w:tc>
                <w:tcPr>
                  <w:tcW w:w="570" w:type="pct"/>
                  <w:gridSpan w:val="2"/>
                  <w:noWrap w:val="0"/>
                  <w:vAlign w:val="center"/>
                </w:tcPr>
                <w:p w14:paraId="2D6270D3">
                  <w:pPr>
                    <w:keepNext w:val="0"/>
                    <w:keepLines w:val="0"/>
                    <w:widowControl/>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高污染燃料禁燃区</w:t>
                  </w:r>
                </w:p>
              </w:tc>
              <w:tc>
                <w:tcPr>
                  <w:tcW w:w="1872" w:type="pct"/>
                  <w:noWrap w:val="0"/>
                  <w:vAlign w:val="center"/>
                </w:tcPr>
                <w:p w14:paraId="54BFC87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1、禁燃区内不得新建、改建、扩建燃烧煤炭、重油、渣油等高污染燃料的设施；现有燃烧高污染燃料的设施，应当限期改用清洁能源；未改用清洁能源替代的高污染燃料设施，应当配套建设先进工艺的脱硫、</w:t>
                  </w:r>
                </w:p>
                <w:p w14:paraId="78D8641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脱硝、除尘装置或者采取其他措施，控制二氧化硫、氮氧化物和烟尘等排放；仍未达到大气污染物排放标准的，应当停止使用。</w:t>
                  </w:r>
                </w:p>
                <w:p w14:paraId="1123DCA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2、禁燃区内禁止销售、使用高污染燃料。</w:t>
                  </w:r>
                </w:p>
                <w:p w14:paraId="4E42E4A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3、禁燃区内禁止原煤散烧。</w:t>
                  </w:r>
                </w:p>
                <w:p w14:paraId="78CABC6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4、其他平原县和山区县执行县级政府确定的禁燃区范围和管理要求。</w:t>
                  </w:r>
                </w:p>
              </w:tc>
              <w:tc>
                <w:tcPr>
                  <w:tcW w:w="1443" w:type="pct"/>
                  <w:noWrap w:val="0"/>
                  <w:vAlign w:val="center"/>
                </w:tcPr>
                <w:p w14:paraId="00DED4D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1.项目采用电能，不涉及煤炭、重油、渣油等高污染燃料的使用。2.项目不涉及高污染燃料销售、使用；3.项目不涉及原煤散烧；4.项目采用电能，满足禁燃区范围和管理要求。</w:t>
                  </w:r>
                </w:p>
              </w:tc>
              <w:tc>
                <w:tcPr>
                  <w:tcW w:w="646" w:type="pct"/>
                  <w:noWrap w:val="0"/>
                  <w:vAlign w:val="center"/>
                </w:tcPr>
                <w:p w14:paraId="7C6F4A35">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2134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gridSpan w:val="2"/>
                  <w:vMerge w:val="continue"/>
                  <w:noWrap w:val="0"/>
                  <w:vAlign w:val="center"/>
                </w:tcPr>
                <w:p w14:paraId="72D0C56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570" w:type="pct"/>
                  <w:gridSpan w:val="2"/>
                  <w:noWrap w:val="0"/>
                  <w:vAlign w:val="center"/>
                </w:tcPr>
                <w:p w14:paraId="3A2A2852">
                  <w:pPr>
                    <w:keepNext w:val="0"/>
                    <w:keepLines w:val="0"/>
                    <w:widowControl/>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一般管控区</w:t>
                  </w:r>
                </w:p>
              </w:tc>
              <w:tc>
                <w:tcPr>
                  <w:tcW w:w="1872" w:type="pct"/>
                  <w:noWrap w:val="0"/>
                  <w:vAlign w:val="center"/>
                </w:tcPr>
                <w:p w14:paraId="5BDB5C8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强化能源消费约束，严格实施能源消费总量和强度“双控”。从工艺技术、主要用能设备、节能措施等方面切实加强项目单耗先进性审查，新建高能耗项目单位产品（产值）能耗达到国际先进水平，用能设备达到国家一级能效标准。</w:t>
                  </w:r>
                </w:p>
                <w:p w14:paraId="1494EC0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2、以工业、建筑和交通运输领域为重点，深入推进技术节能和管理节能。推进农业和农村节能，强化商用和民用节能，实施公共机构节能。完善节能措施引导，完善峰谷电价、阶梯气价等价格政策等。</w:t>
                  </w:r>
                </w:p>
                <w:p w14:paraId="4F94404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3、控制煤炭消费总量，加快产业结构向高新高端产业转变，推进钢铁、水泥等重点行业去产能。大力实施散煤替代。</w:t>
                  </w:r>
                </w:p>
                <w:p w14:paraId="77F5643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深入推进煤炭清洁高效利用，扩大清洁能源利用。加强煤炭质量监管，严格落实省、市燃煤质量标准，全市禁止生产、销售灰分劣质煤。严厉打击销售使用劣质煤行为。燃煤发电企业使用的煤炭要符合河北省《工业和民用燃料煤》标准。</w:t>
                  </w:r>
                </w:p>
              </w:tc>
              <w:tc>
                <w:tcPr>
                  <w:tcW w:w="1443" w:type="pct"/>
                  <w:noWrap w:val="0"/>
                  <w:vAlign w:val="center"/>
                </w:tcPr>
                <w:p w14:paraId="7154AFD5">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lang w:eastAsia="zh-CN"/>
                    </w:rPr>
                    <w:t>项目生产采用电加热</w:t>
                  </w:r>
                  <w:r>
                    <w:rPr>
                      <w:rFonts w:hint="eastAsia"/>
                      <w:snapToGrid w:val="0"/>
                      <w:color w:val="auto"/>
                      <w:kern w:val="0"/>
                      <w:szCs w:val="21"/>
                      <w:highlight w:val="none"/>
                    </w:rPr>
                    <w:t>，职工日常办公供暖由空调提供</w:t>
                  </w:r>
                  <w:r>
                    <w:rPr>
                      <w:rFonts w:hint="eastAsia"/>
                      <w:color w:val="auto"/>
                      <w:szCs w:val="21"/>
                      <w:highlight w:val="none"/>
                    </w:rPr>
                    <w:t>，来源为电能，不涉及</w:t>
                  </w:r>
                  <w:r>
                    <w:rPr>
                      <w:rStyle w:val="66"/>
                      <w:rFonts w:hint="default" w:ascii="Times New Roman" w:hAnsi="Times New Roman"/>
                      <w:color w:val="auto"/>
                      <w:sz w:val="21"/>
                      <w:szCs w:val="21"/>
                      <w:highlight w:val="none"/>
                    </w:rPr>
                    <w:t>煤炭使用情况。</w:t>
                  </w:r>
                </w:p>
              </w:tc>
              <w:tc>
                <w:tcPr>
                  <w:tcW w:w="646" w:type="pct"/>
                  <w:noWrap w:val="0"/>
                  <w:vAlign w:val="center"/>
                </w:tcPr>
                <w:p w14:paraId="03B2BF2E">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0478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1B26406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b/>
                      <w:bCs/>
                      <w:color w:val="auto"/>
                      <w:szCs w:val="21"/>
                      <w:highlight w:val="none"/>
                    </w:rPr>
                    <w:t>全市产业布局总体管控要求</w:t>
                  </w:r>
                </w:p>
              </w:tc>
            </w:tr>
            <w:tr w14:paraId="2BF6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7" w:type="pct"/>
                  <w:gridSpan w:val="4"/>
                  <w:noWrap w:val="0"/>
                  <w:vAlign w:val="center"/>
                </w:tcPr>
                <w:p w14:paraId="7042F91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分类</w:t>
                  </w:r>
                </w:p>
              </w:tc>
              <w:tc>
                <w:tcPr>
                  <w:tcW w:w="1872" w:type="pct"/>
                  <w:noWrap w:val="0"/>
                  <w:vAlign w:val="center"/>
                </w:tcPr>
                <w:p w14:paraId="1F01B01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管控要求</w:t>
                  </w:r>
                </w:p>
              </w:tc>
              <w:tc>
                <w:tcPr>
                  <w:tcW w:w="1443" w:type="pct"/>
                  <w:noWrap w:val="0"/>
                  <w:vAlign w:val="center"/>
                </w:tcPr>
                <w:p w14:paraId="713564D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646" w:type="pct"/>
                  <w:noWrap w:val="0"/>
                  <w:vAlign w:val="center"/>
                </w:tcPr>
                <w:p w14:paraId="79CEE77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350C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7" w:type="pct"/>
                  <w:gridSpan w:val="4"/>
                  <w:noWrap w:val="0"/>
                  <w:vAlign w:val="center"/>
                </w:tcPr>
                <w:p w14:paraId="25679B6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产业总体布局要求</w:t>
                  </w:r>
                </w:p>
              </w:tc>
              <w:tc>
                <w:tcPr>
                  <w:tcW w:w="1872" w:type="pct"/>
                  <w:noWrap w:val="0"/>
                  <w:vAlign w:val="center"/>
                </w:tcPr>
                <w:p w14:paraId="04EF728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1、严格建设项目环境准入，新、改、扩建项目的环境影响评价应满足区域、规划环评要求。</w:t>
                  </w:r>
                </w:p>
                <w:p w14:paraId="1A1682F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2、新建、改建、扩建用煤项目，应当实行煤炭的等量或者减量替代。</w:t>
                  </w:r>
                </w:p>
                <w:p w14:paraId="74D15F7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3、严格执行国家《产业结构调整指导目录》、《市场准入负面清单》以及《河北省禁止投资的产业目录》中准入要求。</w:t>
                  </w:r>
                </w:p>
                <w:p w14:paraId="3D9EA20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4、严格控制《环境保护综合名录》中“高污染、高环境风险”产品加工项目，城市工业企业退城搬迁改造及产能置换项目除外。</w:t>
                  </w:r>
                </w:p>
                <w:p w14:paraId="1CEE3F3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5、新建项目一律不得违规占用河库管理范围。</w:t>
                  </w:r>
                </w:p>
                <w:p w14:paraId="7F8AEE7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6、以石化、化工、涂装、医药、包装印刷、油品储运销等行业领域为重点，安全高效推进挥发性有机物(VOCs)综合治理，实施原辅材料和产品源头替代、无组织排放和末端深度治理等提升改造工程。</w:t>
                  </w:r>
                </w:p>
                <w:p w14:paraId="01D1DEA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7、锅炉大气污染物排放控制要求、污染物监测要求、达标判定要求按照河北省地标《锅炉大气污染物排放标准》(DB13/5161-2020)执行。</w:t>
                  </w:r>
                </w:p>
                <w:p w14:paraId="59349D9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8、禁止在居民区和学校、医院、疗养院、养老院等单位周边新建、改建、扩建有色金属冶炼、石油加工、焦化、化工、电镀、制革等可能造成土壤污染的建设项目。</w:t>
                  </w:r>
                </w:p>
                <w:p w14:paraId="780F516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9、在地下水超采区控制高耗水产业发展。</w:t>
                  </w:r>
                </w:p>
                <w:p w14:paraId="1979CC8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10、涉重金属重点行业企业“十四五”期间依法依规至少开展一轮强制性清洁生产审核，到2025年底，涉重金属重点行业企业基本达到国内清洁生产先进水平。</w:t>
                  </w:r>
                </w:p>
                <w:p w14:paraId="3289A49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11、按照《关于进一步加强塑料污染治理的实施方案》要求，石家庄城市建成区和重点领域禁止、限制部分塑料制品的生产、销售和使用。</w:t>
                  </w:r>
                </w:p>
                <w:p w14:paraId="055E7B1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12、实施制造业绿色改造重点专项，开展制造业绿色发展示范工程，推进生物医药、化工、钢铁等行业工艺技术装备绿色化改造。鼓励企业实施绿色战略、绿色标准、绿色管理和绿色生产，推行“互联网+绿色制造”模式，开发绿色产品，建设绿色工厂，打造绿色供应链，构建绿色制造体系。大力发展节能环保、清洁生产和清洁能源产业。在钢铁、火电、水泥、化工等重点行业推广低碳节能技术改造，探索开展碳捕集、利用与封存试验示范，控制工业领域温室气体排放。加快构建绿色低碳的综合交通运输体系，实施一批绿色公路、绿色机场等示范工程。全面推行清洁生产，推进钢铁、石化、建材、纺织、食品等重点行业强制性清洁生产审核。</w:t>
                  </w:r>
                </w:p>
                <w:p w14:paraId="281A825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13、新建、改建、扩建“两高”项目须符合生态环境保护法律法规和相关法定规划，满足重点污染物排放总量控制、碳排放达峰目标、生态环境准入清单、相关规划环评和相应行业建设项目环境准入条件、环评文件审批原则要求。新增主要污染物排放量的“两高”项目，严格落实生态环境部《关于加强重点行业建设项目区域削减措施监督管理的通知要求》，提出有效区域削减方案，主要污染物实行区域倍量削减，规范削减措施来源，强化建设单位、出让减排量排污单位和地方政府责任，确保落实区域削减措施。</w:t>
                  </w:r>
                </w:p>
                <w:p w14:paraId="0087CCF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14、省级人民政府及其有关部门批准设立的经济技术开发区、高新技术产业开发区、旅游度假区等产业园区及市级人民政府批准设立的各类产业园区，在编制开发建设有关规划时，应依法开展规划环评工作，编制环境影响报告书。涉及“一区多园”的产业园区，应整体开展规划环境影响评价（跟踪评价）工作，实现规划环评“一本制”。</w:t>
                  </w:r>
                </w:p>
              </w:tc>
              <w:tc>
                <w:tcPr>
                  <w:tcW w:w="1443" w:type="pct"/>
                  <w:noWrap w:val="0"/>
                  <w:vAlign w:val="center"/>
                </w:tcPr>
                <w:p w14:paraId="745A577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1.项目不属于《</w:t>
                  </w:r>
                  <w:r>
                    <w:rPr>
                      <w:rFonts w:hint="eastAsia"/>
                      <w:color w:val="auto"/>
                      <w:szCs w:val="21"/>
                      <w:highlight w:val="none"/>
                      <w:lang w:eastAsia="zh-CN"/>
                    </w:rPr>
                    <w:t>市场准入负面清单（2025年版）</w:t>
                  </w:r>
                  <w:r>
                    <w:rPr>
                      <w:rFonts w:hint="eastAsia"/>
                      <w:color w:val="auto"/>
                      <w:szCs w:val="21"/>
                      <w:highlight w:val="none"/>
                    </w:rPr>
                    <w:t>》中的禁止类项目，为《产业结构调整指导目录（2024年本）》允许建设项目，</w:t>
                  </w:r>
                  <w:r>
                    <w:rPr>
                      <w:rFonts w:hint="eastAsia"/>
                      <w:color w:val="auto"/>
                      <w:szCs w:val="21"/>
                      <w:highlight w:val="none"/>
                      <w:lang w:eastAsia="zh-CN"/>
                    </w:rPr>
                    <w:t>根据不动产权证，占地为工业用地</w:t>
                  </w:r>
                  <w:r>
                    <w:rPr>
                      <w:rFonts w:hint="eastAsia"/>
                      <w:color w:val="auto"/>
                      <w:sz w:val="21"/>
                      <w:szCs w:val="21"/>
                      <w:highlight w:val="none"/>
                    </w:rPr>
                    <w:t>，符合</w:t>
                  </w:r>
                  <w:r>
                    <w:rPr>
                      <w:rFonts w:hint="eastAsia"/>
                      <w:color w:val="auto"/>
                      <w:sz w:val="21"/>
                      <w:szCs w:val="21"/>
                      <w:highlight w:val="none"/>
                      <w:lang w:eastAsia="zh-CN"/>
                    </w:rPr>
                    <w:t>河北省石家庄装备制造产业园总体规划要求</w:t>
                  </w:r>
                  <w:r>
                    <w:rPr>
                      <w:rFonts w:hint="eastAsia"/>
                      <w:color w:val="auto"/>
                      <w:szCs w:val="21"/>
                      <w:highlight w:val="none"/>
                    </w:rPr>
                    <w:t>。</w:t>
                  </w:r>
                </w:p>
                <w:p w14:paraId="4833D6F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2.项目不涉及煤炭的使用。</w:t>
                  </w:r>
                </w:p>
                <w:p w14:paraId="0CB79F6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3.项目不属于《</w:t>
                  </w:r>
                  <w:r>
                    <w:rPr>
                      <w:rFonts w:hint="eastAsia"/>
                      <w:color w:val="auto"/>
                      <w:szCs w:val="21"/>
                      <w:highlight w:val="none"/>
                      <w:lang w:eastAsia="zh-CN"/>
                    </w:rPr>
                    <w:t>市场准入负面清单（2025年版）</w:t>
                  </w:r>
                  <w:r>
                    <w:rPr>
                      <w:rFonts w:hint="eastAsia"/>
                      <w:color w:val="auto"/>
                      <w:szCs w:val="21"/>
                      <w:highlight w:val="none"/>
                    </w:rPr>
                    <w:t>》中的禁止类项目</w:t>
                  </w:r>
                  <w:r>
                    <w:rPr>
                      <w:rFonts w:hint="eastAsia"/>
                      <w:color w:val="auto"/>
                      <w:szCs w:val="20"/>
                      <w:highlight w:val="none"/>
                    </w:rPr>
                    <w:t>，</w:t>
                  </w:r>
                  <w:r>
                    <w:rPr>
                      <w:rFonts w:hint="eastAsia"/>
                      <w:color w:val="auto"/>
                      <w:szCs w:val="21"/>
                      <w:highlight w:val="none"/>
                    </w:rPr>
                    <w:t>为《产业结构调整指导目录（2024年本）》允许建设项目，符合相关要求。</w:t>
                  </w:r>
                </w:p>
                <w:p w14:paraId="2B22FC7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4.项目不属于“高污染、高环境风险”产品加工项目，不属于城市工业企业。</w:t>
                  </w:r>
                </w:p>
                <w:p w14:paraId="064C82C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5.项目不占用河库管理范围。</w:t>
                  </w:r>
                </w:p>
                <w:p w14:paraId="6A004AF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6.项目不属于石化、化工、涂装、医药、包装印刷、油品储运销等行业，</w:t>
                  </w:r>
                  <w:r>
                    <w:rPr>
                      <w:rFonts w:hint="eastAsia"/>
                      <w:color w:val="auto"/>
                      <w:szCs w:val="21"/>
                      <w:highlight w:val="none"/>
                      <w:lang w:val="en-US" w:eastAsia="zh-CN"/>
                    </w:rPr>
                    <w:t>项目原料采用尼龙粒子，项目VOCs废气经集气罩收集后通过布袋除尘器+两级活性炭吸附装置+15m高排气筒排放</w:t>
                  </w:r>
                  <w:r>
                    <w:rPr>
                      <w:rFonts w:hint="eastAsia"/>
                      <w:color w:val="auto"/>
                      <w:szCs w:val="21"/>
                      <w:highlight w:val="none"/>
                    </w:rPr>
                    <w:t>。</w:t>
                  </w:r>
                </w:p>
                <w:p w14:paraId="5F9AFEE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7.项目不涉及锅炉使用。</w:t>
                  </w:r>
                </w:p>
                <w:p w14:paraId="4EBB0B7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8.距离</w:t>
                  </w:r>
                  <w:r>
                    <w:rPr>
                      <w:rFonts w:hint="eastAsia"/>
                      <w:color w:val="auto"/>
                      <w:szCs w:val="21"/>
                      <w:highlight w:val="none"/>
                      <w:lang w:eastAsia="zh-CN"/>
                    </w:rPr>
                    <w:t>项目最近敏感点为西南侧710m处的锦悦桦庭</w:t>
                  </w:r>
                  <w:r>
                    <w:rPr>
                      <w:rFonts w:hint="eastAsia"/>
                      <w:color w:val="auto"/>
                      <w:szCs w:val="21"/>
                      <w:highlight w:val="none"/>
                    </w:rPr>
                    <w:t>，项目采取分区防渗，不属于有色金属冶炼、石油加工、焦化、化工、电镀、制革等可能造成土壤污染的建设项目。</w:t>
                  </w:r>
                </w:p>
                <w:p w14:paraId="2241A58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9.项目用水</w:t>
                  </w:r>
                  <w:r>
                    <w:rPr>
                      <w:rFonts w:hint="eastAsia"/>
                      <w:color w:val="auto"/>
                      <w:szCs w:val="21"/>
                      <w:highlight w:val="none"/>
                      <w:lang w:eastAsia="zh-CN"/>
                    </w:rPr>
                    <w:t>由园区供水管网提供</w:t>
                  </w:r>
                  <w:r>
                    <w:rPr>
                      <w:rFonts w:hint="eastAsia"/>
                      <w:color w:val="auto"/>
                      <w:szCs w:val="21"/>
                      <w:highlight w:val="none"/>
                    </w:rPr>
                    <w:t>，不开采地下水。</w:t>
                  </w:r>
                </w:p>
                <w:p w14:paraId="0176E27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10.项目不涉及重金属。</w:t>
                  </w:r>
                </w:p>
                <w:p w14:paraId="2E5C20C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11.项目不属于《关于进一步加强塑料污染治理的实施方案》</w:t>
                  </w:r>
                  <w:r>
                    <w:rPr>
                      <w:rFonts w:hint="eastAsia"/>
                      <w:color w:val="auto"/>
                      <w:szCs w:val="21"/>
                      <w:highlight w:val="none"/>
                      <w:lang w:val="en-US" w:eastAsia="zh-CN"/>
                    </w:rPr>
                    <w:t>中</w:t>
                  </w:r>
                  <w:r>
                    <w:rPr>
                      <w:rFonts w:hint="eastAsia"/>
                      <w:color w:val="auto"/>
                      <w:szCs w:val="21"/>
                      <w:highlight w:val="none"/>
                    </w:rPr>
                    <w:t>禁止、限制部分塑料制品的生产、销售和使用。</w:t>
                  </w:r>
                </w:p>
                <w:p w14:paraId="212EAE4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12.项目生产均在密闭车间内，实现绿色管理和绿色生产。</w:t>
                  </w:r>
                </w:p>
                <w:p w14:paraId="68D06E9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13.项目不属于两高项目。</w:t>
                  </w:r>
                </w:p>
                <w:p w14:paraId="69B3C1B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14.项目位于</w:t>
                  </w:r>
                  <w:r>
                    <w:rPr>
                      <w:rFonts w:hint="eastAsia"/>
                      <w:color w:val="auto"/>
                      <w:szCs w:val="21"/>
                      <w:highlight w:val="none"/>
                      <w:lang w:eastAsia="zh-CN"/>
                    </w:rPr>
                    <w:t>河北石家庄装备制造产业园</w:t>
                  </w:r>
                  <w:r>
                    <w:rPr>
                      <w:rFonts w:hint="eastAsia"/>
                      <w:color w:val="auto"/>
                      <w:szCs w:val="21"/>
                      <w:highlight w:val="none"/>
                      <w:lang w:val="en-US" w:eastAsia="zh-CN"/>
                    </w:rPr>
                    <w:t>内</w:t>
                  </w:r>
                  <w:r>
                    <w:rPr>
                      <w:rFonts w:hint="eastAsia"/>
                      <w:color w:val="auto"/>
                      <w:szCs w:val="21"/>
                      <w:highlight w:val="none"/>
                    </w:rPr>
                    <w:t>，根据要求，依法进行环评编制工作。</w:t>
                  </w:r>
                </w:p>
              </w:tc>
              <w:tc>
                <w:tcPr>
                  <w:tcW w:w="646" w:type="pct"/>
                  <w:noWrap w:val="0"/>
                  <w:vAlign w:val="center"/>
                </w:tcPr>
                <w:p w14:paraId="56DDD3B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7811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7" w:type="pct"/>
                  <w:gridSpan w:val="4"/>
                  <w:noWrap w:val="0"/>
                  <w:vAlign w:val="center"/>
                </w:tcPr>
                <w:p w14:paraId="774F235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项目入园准入要求</w:t>
                  </w:r>
                </w:p>
              </w:tc>
              <w:tc>
                <w:tcPr>
                  <w:tcW w:w="1872" w:type="pct"/>
                  <w:noWrap w:val="0"/>
                  <w:vAlign w:val="center"/>
                </w:tcPr>
                <w:p w14:paraId="42A7A68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县级以下原则不再建设新的园区，造纸、焦化、氮肥、有色金属、印染、原料药制造、皮革、农药、电镀、钢铁、石灰、平板玻璃、石化、化工等高污染工业项目必须入园进区。被认定为重点监控点的化工企业，可按照《河北省人民政府办公厅关于印发河北省化工重点监控点认定办法的通知》（冀政办字〔2021〕122号）相关要求执行。</w:t>
                  </w:r>
                </w:p>
                <w:p w14:paraId="332D570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2、加强园区规划及环评时效性。现有县市级工业区在遵从规划、规划环评及跟踪评价的要求前提下，严格遵循全省、地市及对应单元生态环境准入要求。</w:t>
                  </w:r>
                </w:p>
                <w:p w14:paraId="6985DE1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3、对新设立或扩区未开展规划环评的园区，规划定位、范围、布局、结构、规模等发生调整未开展规划环评调整的以及规划实施已超过5年未进行规划环境影响跟踪评价的园区，督促园区管委会抓紧整改。</w:t>
                  </w:r>
                </w:p>
                <w:p w14:paraId="55887D1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各级行政审批部门应把规划环评结论及审查意见的符合性作为入园建设项目环评审批的重要依据。严格落实产业园区规划环评对项目环评的指导要求，规划环评提出需要深入论证的，在项目环评审批阶段应重点把关。按要求可以简化内容的项目环评，不再增加相关环评内容要求。</w:t>
                  </w:r>
                </w:p>
              </w:tc>
              <w:tc>
                <w:tcPr>
                  <w:tcW w:w="1443" w:type="pct"/>
                  <w:noWrap w:val="0"/>
                  <w:vAlign w:val="center"/>
                </w:tcPr>
                <w:p w14:paraId="33CAA28B">
                  <w:pPr>
                    <w:keepNext w:val="0"/>
                    <w:keepLines w:val="0"/>
                    <w:suppressLineNumbers w:val="0"/>
                    <w:adjustRightInd w:val="0"/>
                    <w:snapToGrid w:val="0"/>
                    <w:spacing w:before="0" w:beforeAutospacing="0" w:after="0" w:afterAutospacing="0"/>
                    <w:ind w:left="0" w:right="0"/>
                    <w:jc w:val="center"/>
                    <w:rPr>
                      <w:rFonts w:hint="default"/>
                      <w:color w:val="auto"/>
                      <w:szCs w:val="20"/>
                      <w:highlight w:val="none"/>
                    </w:rPr>
                  </w:pPr>
                  <w:r>
                    <w:rPr>
                      <w:rFonts w:hint="eastAsia"/>
                      <w:color w:val="auto"/>
                      <w:szCs w:val="21"/>
                      <w:highlight w:val="none"/>
                    </w:rPr>
                    <w:t>项目位于河北省石家庄市栾城区</w:t>
                  </w:r>
                  <w:r>
                    <w:rPr>
                      <w:rFonts w:hint="eastAsia"/>
                      <w:color w:val="auto"/>
                      <w:szCs w:val="21"/>
                      <w:highlight w:val="none"/>
                      <w:lang w:eastAsia="zh-CN"/>
                    </w:rPr>
                    <w:t>窦妪村装备制造产业园区奥翔街6-1号（院内3号房）</w:t>
                  </w:r>
                  <w:r>
                    <w:rPr>
                      <w:rFonts w:hint="eastAsia"/>
                      <w:color w:val="auto"/>
                      <w:szCs w:val="21"/>
                      <w:highlight w:val="none"/>
                    </w:rPr>
                    <w:t>，位于</w:t>
                  </w:r>
                  <w:r>
                    <w:rPr>
                      <w:rFonts w:hint="eastAsia"/>
                      <w:color w:val="auto"/>
                      <w:szCs w:val="21"/>
                      <w:highlight w:val="none"/>
                      <w:lang w:eastAsia="zh-CN"/>
                    </w:rPr>
                    <w:t>河北石家庄装备制造产业园</w:t>
                  </w:r>
                  <w:r>
                    <w:rPr>
                      <w:rFonts w:hint="eastAsia"/>
                      <w:color w:val="auto"/>
                      <w:szCs w:val="21"/>
                      <w:highlight w:val="none"/>
                      <w:lang w:val="en-US" w:eastAsia="zh-CN"/>
                    </w:rPr>
                    <w:t>内</w:t>
                  </w:r>
                  <w:r>
                    <w:rPr>
                      <w:rFonts w:hint="eastAsia"/>
                      <w:color w:val="auto"/>
                      <w:szCs w:val="21"/>
                      <w:highlight w:val="none"/>
                    </w:rPr>
                    <w:t>。</w:t>
                  </w:r>
                </w:p>
              </w:tc>
              <w:tc>
                <w:tcPr>
                  <w:tcW w:w="646" w:type="pct"/>
                  <w:noWrap w:val="0"/>
                  <w:vAlign w:val="center"/>
                </w:tcPr>
                <w:p w14:paraId="55F04C5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bl>
          <w:p w14:paraId="000AD5A0">
            <w:pPr>
              <w:keepNext w:val="0"/>
              <w:keepLines w:val="0"/>
              <w:suppressLineNumbers w:val="0"/>
              <w:spacing w:before="0" w:beforeAutospacing="0" w:after="0" w:afterAutospacing="0"/>
              <w:ind w:left="0" w:right="0" w:firstLine="482" w:firstLineChars="200"/>
              <w:jc w:val="center"/>
              <w:rPr>
                <w:rFonts w:hint="eastAsia"/>
                <w:b/>
                <w:bCs/>
                <w:color w:val="auto"/>
                <w:sz w:val="24"/>
                <w:szCs w:val="20"/>
                <w:highlight w:val="none"/>
              </w:rPr>
            </w:pPr>
            <w:r>
              <w:rPr>
                <w:rFonts w:hint="eastAsia"/>
                <w:b/>
                <w:bCs/>
                <w:color w:val="auto"/>
                <w:sz w:val="24"/>
                <w:szCs w:val="20"/>
                <w:highlight w:val="none"/>
              </w:rPr>
              <w:t>表1-</w:t>
            </w:r>
            <w:r>
              <w:rPr>
                <w:rFonts w:hint="eastAsia"/>
                <w:b/>
                <w:bCs/>
                <w:color w:val="auto"/>
                <w:sz w:val="24"/>
                <w:szCs w:val="20"/>
                <w:highlight w:val="none"/>
                <w:lang w:val="en-US" w:eastAsia="zh-CN"/>
              </w:rPr>
              <w:t>5</w:t>
            </w:r>
            <w:r>
              <w:rPr>
                <w:rFonts w:hint="eastAsia"/>
                <w:b/>
                <w:bCs/>
                <w:color w:val="auto"/>
                <w:sz w:val="24"/>
                <w:szCs w:val="20"/>
                <w:highlight w:val="none"/>
              </w:rPr>
              <w:t xml:space="preserve">  栾城区生态环境准入清单</w:t>
            </w:r>
          </w:p>
          <w:tbl>
            <w:tblPr>
              <w:tblStyle w:val="4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06"/>
              <w:gridCol w:w="636"/>
              <w:gridCol w:w="429"/>
              <w:gridCol w:w="2235"/>
              <w:gridCol w:w="1167"/>
              <w:gridCol w:w="617"/>
            </w:tblGrid>
            <w:tr w14:paraId="5192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007001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县（市、区）</w:t>
                  </w:r>
                </w:p>
              </w:tc>
              <w:tc>
                <w:tcPr>
                  <w:tcW w:w="485" w:type="pct"/>
                  <w:noWrap w:val="0"/>
                  <w:vAlign w:val="center"/>
                </w:tcPr>
                <w:p w14:paraId="143E31B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单元</w:t>
                  </w:r>
                </w:p>
                <w:p w14:paraId="4E54D9F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类别</w:t>
                  </w:r>
                </w:p>
              </w:tc>
              <w:tc>
                <w:tcPr>
                  <w:tcW w:w="606" w:type="pct"/>
                  <w:noWrap w:val="0"/>
                  <w:vAlign w:val="center"/>
                </w:tcPr>
                <w:p w14:paraId="11CF93B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环境要素类别</w:t>
                  </w:r>
                </w:p>
              </w:tc>
              <w:tc>
                <w:tcPr>
                  <w:tcW w:w="481" w:type="pct"/>
                  <w:noWrap w:val="0"/>
                  <w:vAlign w:val="center"/>
                </w:tcPr>
                <w:p w14:paraId="44F3233A">
                  <w:pPr>
                    <w:keepNext w:val="0"/>
                    <w:keepLines w:val="0"/>
                    <w:suppressLineNumbers w:val="0"/>
                    <w:spacing w:before="0" w:beforeAutospacing="0" w:after="0" w:afterAutospacing="0" w:line="360" w:lineRule="exact"/>
                    <w:ind w:left="-105" w:leftChars="-50" w:right="-105" w:rightChars="-50"/>
                    <w:jc w:val="center"/>
                    <w:rPr>
                      <w:rFonts w:hint="eastAsia"/>
                      <w:color w:val="auto"/>
                      <w:kern w:val="0"/>
                      <w:szCs w:val="21"/>
                      <w:highlight w:val="none"/>
                    </w:rPr>
                  </w:pPr>
                  <w:r>
                    <w:rPr>
                      <w:rFonts w:hint="eastAsia"/>
                      <w:color w:val="auto"/>
                      <w:kern w:val="0"/>
                      <w:szCs w:val="21"/>
                      <w:highlight w:val="none"/>
                    </w:rPr>
                    <w:t>维度</w:t>
                  </w:r>
                </w:p>
              </w:tc>
              <w:tc>
                <w:tcPr>
                  <w:tcW w:w="1415" w:type="pct"/>
                  <w:noWrap w:val="0"/>
                  <w:vAlign w:val="center"/>
                </w:tcPr>
                <w:p w14:paraId="6816D4EE">
                  <w:pPr>
                    <w:keepNext w:val="0"/>
                    <w:keepLines w:val="0"/>
                    <w:suppressLineNumbers w:val="0"/>
                    <w:spacing w:before="0" w:beforeAutospacing="0" w:after="0" w:afterAutospacing="0" w:line="360" w:lineRule="exact"/>
                    <w:ind w:left="-105" w:leftChars="-50" w:right="-105" w:rightChars="-50"/>
                    <w:jc w:val="center"/>
                    <w:rPr>
                      <w:rFonts w:hint="eastAsia"/>
                      <w:color w:val="auto"/>
                      <w:kern w:val="0"/>
                      <w:szCs w:val="21"/>
                      <w:highlight w:val="none"/>
                    </w:rPr>
                  </w:pPr>
                  <w:r>
                    <w:rPr>
                      <w:rFonts w:hint="eastAsia"/>
                      <w:color w:val="auto"/>
                      <w:kern w:val="0"/>
                      <w:szCs w:val="21"/>
                      <w:highlight w:val="none"/>
                    </w:rPr>
                    <w:t>管控措施</w:t>
                  </w:r>
                </w:p>
              </w:tc>
              <w:tc>
                <w:tcPr>
                  <w:tcW w:w="958" w:type="pct"/>
                  <w:noWrap w:val="0"/>
                  <w:vAlign w:val="center"/>
                </w:tcPr>
                <w:p w14:paraId="17434B9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项目情况</w:t>
                  </w:r>
                </w:p>
              </w:tc>
              <w:tc>
                <w:tcPr>
                  <w:tcW w:w="598" w:type="pct"/>
                  <w:noWrap w:val="0"/>
                  <w:vAlign w:val="center"/>
                </w:tcPr>
                <w:p w14:paraId="37711D3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是否符合相关要求</w:t>
                  </w:r>
                </w:p>
              </w:tc>
            </w:tr>
            <w:tr w14:paraId="2421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4" w:type="pct"/>
                  <w:vMerge w:val="restart"/>
                  <w:noWrap w:val="0"/>
                  <w:vAlign w:val="center"/>
                </w:tcPr>
                <w:p w14:paraId="78E0539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栾城区</w:t>
                  </w:r>
                </w:p>
              </w:tc>
              <w:tc>
                <w:tcPr>
                  <w:tcW w:w="485" w:type="pct"/>
                  <w:vMerge w:val="restart"/>
                  <w:noWrap w:val="0"/>
                  <w:vAlign w:val="center"/>
                </w:tcPr>
                <w:p w14:paraId="10322F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重点管控单元</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rPr>
                    <w:t>ZH1301112006</w:t>
                  </w:r>
                  <w:r>
                    <w:rPr>
                      <w:rFonts w:hint="eastAsia" w:cs="Times New Roman"/>
                      <w:color w:val="auto"/>
                      <w:szCs w:val="21"/>
                      <w:highlight w:val="none"/>
                      <w:lang w:val="en-US" w:eastAsia="zh-CN"/>
                    </w:rPr>
                    <w:t>5</w:t>
                  </w:r>
                </w:p>
              </w:tc>
              <w:tc>
                <w:tcPr>
                  <w:tcW w:w="606" w:type="pct"/>
                  <w:vMerge w:val="restart"/>
                  <w:noWrap w:val="0"/>
                  <w:vAlign w:val="center"/>
                </w:tcPr>
                <w:p w14:paraId="006116C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大气环境高排放重点管控区、大气环境布局敏感重点管控区、水环境城镇生活重点管控区、禁燃区、河北石家庄装备制造产业园生物医药片区</w:t>
                  </w:r>
                </w:p>
              </w:tc>
              <w:tc>
                <w:tcPr>
                  <w:tcW w:w="481" w:type="pct"/>
                  <w:noWrap w:val="0"/>
                  <w:vAlign w:val="center"/>
                </w:tcPr>
                <w:p w14:paraId="4926BEC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空间布局约束</w:t>
                  </w:r>
                </w:p>
              </w:tc>
              <w:tc>
                <w:tcPr>
                  <w:tcW w:w="1415" w:type="pct"/>
                  <w:noWrap w:val="0"/>
                  <w:vAlign w:val="center"/>
                </w:tcPr>
                <w:p w14:paraId="168E26C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1、严格落实国家、河北省以及石家庄市最新产业目录准入要求。</w:t>
                  </w:r>
                </w:p>
                <w:p w14:paraId="399D038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2、严格落实最新规划环评及其审查意见制定的环境准入要求。</w:t>
                  </w:r>
                </w:p>
              </w:tc>
              <w:tc>
                <w:tcPr>
                  <w:tcW w:w="958" w:type="pct"/>
                  <w:noWrap w:val="0"/>
                  <w:vAlign w:val="center"/>
                </w:tcPr>
                <w:p w14:paraId="376517B7">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1、项目满足国家、河北省产业目录准入要求；2、项目符合最新规划环评及其审查意见制定的环境准入要求</w:t>
                  </w:r>
                </w:p>
              </w:tc>
              <w:tc>
                <w:tcPr>
                  <w:tcW w:w="598" w:type="pct"/>
                  <w:noWrap w:val="0"/>
                  <w:vAlign w:val="center"/>
                </w:tcPr>
                <w:p w14:paraId="74124B95">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51DA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noWrap w:val="0"/>
                  <w:vAlign w:val="center"/>
                </w:tcPr>
                <w:p w14:paraId="5507666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5" w:type="pct"/>
                  <w:vMerge w:val="continue"/>
                  <w:noWrap w:val="0"/>
                  <w:vAlign w:val="center"/>
                </w:tcPr>
                <w:p w14:paraId="0D5E0E6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606" w:type="pct"/>
                  <w:vMerge w:val="continue"/>
                  <w:noWrap w:val="0"/>
                  <w:vAlign w:val="center"/>
                </w:tcPr>
                <w:p w14:paraId="0FC8081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1" w:type="pct"/>
                  <w:noWrap w:val="0"/>
                  <w:vAlign w:val="center"/>
                </w:tcPr>
                <w:p w14:paraId="40557F9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污染物排放管控</w:t>
                  </w:r>
                </w:p>
              </w:tc>
              <w:tc>
                <w:tcPr>
                  <w:tcW w:w="1415" w:type="pct"/>
                  <w:noWrap w:val="0"/>
                  <w:vAlign w:val="center"/>
                </w:tcPr>
                <w:p w14:paraId="5E3353A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1、落实《关于加强重点行业建设项目区域削减措施监督管理的通知》环办环评〔2020〕36号的要求。</w:t>
                  </w:r>
                </w:p>
                <w:p w14:paraId="7B6EF50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2、加快配套管网建设。</w:t>
                  </w:r>
                </w:p>
                <w:p w14:paraId="3AB7E23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3、新（改、扩）建向环境水体直接排放污水的排污单位执行《子牙河流域水污染物排放标准》（DB13/2796-2018）排放限值。</w:t>
                  </w:r>
                </w:p>
                <w:p w14:paraId="75C8C87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4、铸造等行业企业料堆场按照河北省《煤场、料场、渣场扬尘污染控制技术规范》（DB13/T2352-2016）地方标准存储要求，实现规范管理。</w:t>
                  </w:r>
                </w:p>
              </w:tc>
              <w:tc>
                <w:tcPr>
                  <w:tcW w:w="958" w:type="pct"/>
                  <w:noWrap w:val="0"/>
                  <w:vAlign w:val="center"/>
                </w:tcPr>
                <w:p w14:paraId="10402706">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不属于重点行业；项目废水主要为职工生活污水，生活污水经集成式生物化粪池处理后经园区污水管网排入绿源污水处理有限公司进一步处理，项目废水不直接向环境水体排放污染物；不涉及铸造</w:t>
                  </w:r>
                </w:p>
              </w:tc>
              <w:tc>
                <w:tcPr>
                  <w:tcW w:w="598" w:type="pct"/>
                  <w:noWrap w:val="0"/>
                  <w:vAlign w:val="center"/>
                </w:tcPr>
                <w:p w14:paraId="470F0749">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r w14:paraId="3338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noWrap w:val="0"/>
                  <w:vAlign w:val="center"/>
                </w:tcPr>
                <w:p w14:paraId="3103643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5" w:type="pct"/>
                  <w:vMerge w:val="continue"/>
                  <w:noWrap w:val="0"/>
                  <w:vAlign w:val="center"/>
                </w:tcPr>
                <w:p w14:paraId="79D1082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606" w:type="pct"/>
                  <w:vMerge w:val="continue"/>
                  <w:noWrap w:val="0"/>
                  <w:vAlign w:val="center"/>
                </w:tcPr>
                <w:p w14:paraId="2FB8F170">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1" w:type="pct"/>
                  <w:noWrap w:val="0"/>
                  <w:vAlign w:val="center"/>
                </w:tcPr>
                <w:p w14:paraId="4E61402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环境风险防控</w:t>
                  </w:r>
                </w:p>
              </w:tc>
              <w:tc>
                <w:tcPr>
                  <w:tcW w:w="1415" w:type="pct"/>
                  <w:noWrap w:val="0"/>
                  <w:vAlign w:val="center"/>
                </w:tcPr>
                <w:p w14:paraId="35AA56FB">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hint="eastAsia" w:eastAsia="宋体"/>
                      <w:color w:val="auto"/>
                      <w:szCs w:val="21"/>
                      <w:highlight w:val="none"/>
                      <w:lang w:eastAsia="zh-CN"/>
                    </w:rPr>
                    <w:t>1、园区按照相关要求，建立完善环境风险管理相关制度和有效的事故风险防范体系。</w:t>
                  </w:r>
                </w:p>
              </w:tc>
              <w:tc>
                <w:tcPr>
                  <w:tcW w:w="958" w:type="pct"/>
                  <w:noWrap w:val="0"/>
                  <w:vAlign w:val="center"/>
                </w:tcPr>
                <w:p w14:paraId="24789660">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项目采取环境风险防范措施后，风险可控。</w:t>
                  </w:r>
                </w:p>
              </w:tc>
              <w:tc>
                <w:tcPr>
                  <w:tcW w:w="598" w:type="pct"/>
                  <w:noWrap w:val="0"/>
                  <w:vAlign w:val="center"/>
                </w:tcPr>
                <w:p w14:paraId="0DF17246">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是</w:t>
                  </w:r>
                </w:p>
              </w:tc>
            </w:tr>
            <w:tr w14:paraId="200F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noWrap w:val="0"/>
                  <w:vAlign w:val="center"/>
                </w:tcPr>
                <w:p w14:paraId="76E55061">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5" w:type="pct"/>
                  <w:vMerge w:val="continue"/>
                  <w:noWrap w:val="0"/>
                  <w:vAlign w:val="center"/>
                </w:tcPr>
                <w:p w14:paraId="0EC0A6A2">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606" w:type="pct"/>
                  <w:vMerge w:val="continue"/>
                  <w:noWrap w:val="0"/>
                  <w:vAlign w:val="center"/>
                </w:tcPr>
                <w:p w14:paraId="6BB14E84">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p>
              </w:tc>
              <w:tc>
                <w:tcPr>
                  <w:tcW w:w="481" w:type="pct"/>
                  <w:noWrap w:val="0"/>
                  <w:vAlign w:val="center"/>
                </w:tcPr>
                <w:p w14:paraId="3C0D3BE8">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资源利用效率</w:t>
                  </w:r>
                </w:p>
              </w:tc>
              <w:tc>
                <w:tcPr>
                  <w:tcW w:w="1415" w:type="pct"/>
                  <w:noWrap w:val="0"/>
                  <w:vAlign w:val="center"/>
                </w:tcPr>
                <w:p w14:paraId="37F4C4F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1、提高再生水回用率。</w:t>
                  </w:r>
                </w:p>
                <w:p w14:paraId="2E917E6B">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2、供水管网覆盖范围内，禁止工业企业新增开采使用地下水。</w:t>
                  </w:r>
                </w:p>
                <w:p w14:paraId="161200B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3、浅层地下水禁采区严格地下水最新管控要求。</w:t>
                  </w:r>
                </w:p>
              </w:tc>
              <w:tc>
                <w:tcPr>
                  <w:tcW w:w="958" w:type="pct"/>
                  <w:noWrap w:val="0"/>
                  <w:vAlign w:val="center"/>
                </w:tcPr>
                <w:p w14:paraId="316559EB">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项目生产不涉及用水，项目用水由园区供水管网提供；不涉及开采地下水。</w:t>
                  </w:r>
                </w:p>
              </w:tc>
              <w:tc>
                <w:tcPr>
                  <w:tcW w:w="598" w:type="pct"/>
                  <w:noWrap w:val="0"/>
                  <w:vAlign w:val="center"/>
                </w:tcPr>
                <w:p w14:paraId="7F5AFF9E">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是</w:t>
                  </w:r>
                </w:p>
              </w:tc>
            </w:tr>
          </w:tbl>
          <w:p w14:paraId="64A86C9A">
            <w:pPr>
              <w:pStyle w:val="39"/>
              <w:keepNext w:val="0"/>
              <w:keepLines w:val="0"/>
              <w:suppressLineNumbers w:val="0"/>
              <w:spacing w:before="0" w:beforeAutospacing="0" w:after="0" w:afterAutospacing="0" w:line="500" w:lineRule="exact"/>
              <w:ind w:right="0" w:firstLine="480"/>
              <w:rPr>
                <w:rFonts w:hint="eastAsia"/>
                <w:color w:val="auto"/>
                <w:sz w:val="24"/>
                <w:highlight w:val="none"/>
              </w:rPr>
            </w:pPr>
            <w:r>
              <w:rPr>
                <w:rFonts w:hint="default"/>
                <w:color w:val="auto"/>
                <w:sz w:val="24"/>
                <w:highlight w:val="none"/>
              </w:rPr>
              <w:t>综上所述，项目符合</w:t>
            </w:r>
            <w:r>
              <w:rPr>
                <w:rFonts w:hint="eastAsia"/>
                <w:color w:val="auto"/>
                <w:sz w:val="24"/>
                <w:highlight w:val="none"/>
              </w:rPr>
              <w:t>《石家庄市生态环境准入清单（2023年版）》</w:t>
            </w:r>
            <w:r>
              <w:rPr>
                <w:rFonts w:hint="default"/>
                <w:color w:val="auto"/>
                <w:sz w:val="24"/>
                <w:highlight w:val="none"/>
              </w:rPr>
              <w:t>的相关要求</w:t>
            </w:r>
            <w:r>
              <w:rPr>
                <w:rFonts w:hint="eastAsia"/>
                <w:color w:val="auto"/>
                <w:sz w:val="24"/>
                <w:highlight w:val="none"/>
              </w:rPr>
              <w:t>。</w:t>
            </w:r>
          </w:p>
          <w:p w14:paraId="30728A95">
            <w:pPr>
              <w:pStyle w:val="172"/>
              <w:keepNext w:val="0"/>
              <w:keepLines w:val="0"/>
              <w:suppressLineNumbers w:val="0"/>
              <w:spacing w:before="0" w:beforeAutospacing="0" w:after="0" w:afterAutospacing="0"/>
              <w:ind w:left="0" w:right="0" w:firstLine="439" w:firstLineChars="1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4、与环境管理政策符合性分析</w:t>
            </w:r>
          </w:p>
          <w:p w14:paraId="2C40E39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项目与环境管理政策符合性分析见下表：</w:t>
            </w:r>
          </w:p>
          <w:p w14:paraId="4D035D39">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7</w:t>
            </w:r>
            <w:r>
              <w:rPr>
                <w:rFonts w:hint="default" w:ascii="Times New Roman" w:hAnsi="Times New Roman" w:cs="Times New Roman"/>
                <w:smallCaps w:val="0"/>
                <w:color w:val="auto"/>
                <w:spacing w:val="0"/>
                <w:highlight w:val="none"/>
              </w:rPr>
              <w:t xml:space="preserve">    与环境管理政策符合性分析一览表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3295"/>
              <w:gridCol w:w="2086"/>
              <w:gridCol w:w="726"/>
            </w:tblGrid>
            <w:tr w14:paraId="0126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14:paraId="016C9659">
                  <w:pPr>
                    <w:keepNext w:val="0"/>
                    <w:keepLines w:val="0"/>
                    <w:suppressLineNumbers w:val="0"/>
                    <w:adjustRightInd w:val="0"/>
                    <w:snapToGrid w:val="0"/>
                    <w:spacing w:before="0" w:beforeAutospacing="0" w:after="0" w:afterAutospacing="0"/>
                    <w:ind w:left="0" w:right="0"/>
                    <w:jc w:val="center"/>
                    <w:rPr>
                      <w:rFonts w:hint="default" w:hAnsi="宋体"/>
                      <w:snapToGrid w:val="0"/>
                      <w:color w:val="auto"/>
                      <w:kern w:val="0"/>
                      <w:szCs w:val="21"/>
                      <w:highlight w:val="none"/>
                    </w:rPr>
                  </w:pPr>
                  <w:r>
                    <w:rPr>
                      <w:rFonts w:hint="default" w:hAnsi="宋体"/>
                      <w:snapToGrid w:val="0"/>
                      <w:color w:val="auto"/>
                      <w:kern w:val="0"/>
                      <w:szCs w:val="21"/>
                      <w:highlight w:val="none"/>
                    </w:rPr>
                    <w:t>环保政策</w:t>
                  </w:r>
                </w:p>
              </w:tc>
              <w:tc>
                <w:tcPr>
                  <w:tcW w:w="2156" w:type="pct"/>
                  <w:noWrap w:val="0"/>
                  <w:vAlign w:val="center"/>
                </w:tcPr>
                <w:p w14:paraId="380DD0CB">
                  <w:pPr>
                    <w:keepNext w:val="0"/>
                    <w:keepLines w:val="0"/>
                    <w:suppressLineNumbers w:val="0"/>
                    <w:adjustRightInd w:val="0"/>
                    <w:snapToGrid w:val="0"/>
                    <w:spacing w:before="0" w:beforeAutospacing="0" w:after="0" w:afterAutospacing="0"/>
                    <w:ind w:left="0" w:right="0"/>
                    <w:jc w:val="center"/>
                    <w:rPr>
                      <w:rFonts w:hint="default" w:hAnsi="宋体"/>
                      <w:snapToGrid w:val="0"/>
                      <w:color w:val="auto"/>
                      <w:kern w:val="0"/>
                      <w:szCs w:val="21"/>
                      <w:highlight w:val="none"/>
                    </w:rPr>
                  </w:pPr>
                  <w:r>
                    <w:rPr>
                      <w:rFonts w:hint="default" w:hAnsi="宋体"/>
                      <w:snapToGrid w:val="0"/>
                      <w:color w:val="auto"/>
                      <w:kern w:val="0"/>
                      <w:szCs w:val="21"/>
                      <w:highlight w:val="none"/>
                    </w:rPr>
                    <w:t>政策要求</w:t>
                  </w:r>
                </w:p>
              </w:tc>
              <w:tc>
                <w:tcPr>
                  <w:tcW w:w="1365" w:type="pct"/>
                  <w:noWrap w:val="0"/>
                  <w:vAlign w:val="center"/>
                </w:tcPr>
                <w:p w14:paraId="5814E6F3">
                  <w:pPr>
                    <w:keepNext w:val="0"/>
                    <w:keepLines w:val="0"/>
                    <w:suppressLineNumbers w:val="0"/>
                    <w:adjustRightInd w:val="0"/>
                    <w:snapToGrid w:val="0"/>
                    <w:spacing w:before="0" w:beforeAutospacing="0" w:after="0" w:afterAutospacing="0"/>
                    <w:ind w:left="0" w:right="0"/>
                    <w:jc w:val="center"/>
                    <w:rPr>
                      <w:rFonts w:hint="default" w:hAnsi="宋体"/>
                      <w:snapToGrid w:val="0"/>
                      <w:color w:val="auto"/>
                      <w:kern w:val="0"/>
                      <w:szCs w:val="21"/>
                      <w:highlight w:val="none"/>
                    </w:rPr>
                  </w:pPr>
                  <w:r>
                    <w:rPr>
                      <w:rFonts w:hint="eastAsia" w:hAnsi="宋体"/>
                      <w:snapToGrid w:val="0"/>
                      <w:color w:val="auto"/>
                      <w:kern w:val="0"/>
                      <w:szCs w:val="21"/>
                      <w:highlight w:val="none"/>
                    </w:rPr>
                    <w:t>项目</w:t>
                  </w:r>
                  <w:r>
                    <w:rPr>
                      <w:rFonts w:hint="default" w:hAnsi="宋体"/>
                      <w:snapToGrid w:val="0"/>
                      <w:color w:val="auto"/>
                      <w:kern w:val="0"/>
                      <w:szCs w:val="21"/>
                      <w:highlight w:val="none"/>
                    </w:rPr>
                    <w:t>情况</w:t>
                  </w:r>
                </w:p>
              </w:tc>
              <w:tc>
                <w:tcPr>
                  <w:tcW w:w="475" w:type="pct"/>
                  <w:noWrap w:val="0"/>
                  <w:vAlign w:val="center"/>
                </w:tcPr>
                <w:p w14:paraId="63B7DF04">
                  <w:pPr>
                    <w:keepNext w:val="0"/>
                    <w:keepLines w:val="0"/>
                    <w:suppressLineNumbers w:val="0"/>
                    <w:adjustRightInd w:val="0"/>
                    <w:snapToGrid w:val="0"/>
                    <w:spacing w:before="0" w:beforeAutospacing="0" w:after="0" w:afterAutospacing="0"/>
                    <w:ind w:left="0" w:right="0"/>
                    <w:jc w:val="center"/>
                    <w:rPr>
                      <w:rFonts w:hint="default" w:hAnsi="宋体"/>
                      <w:snapToGrid w:val="0"/>
                      <w:color w:val="auto"/>
                      <w:kern w:val="0"/>
                      <w:szCs w:val="21"/>
                      <w:highlight w:val="none"/>
                    </w:rPr>
                  </w:pPr>
                  <w:r>
                    <w:rPr>
                      <w:rFonts w:hint="default" w:hAnsi="宋体"/>
                      <w:snapToGrid w:val="0"/>
                      <w:color w:val="auto"/>
                      <w:kern w:val="0"/>
                      <w:szCs w:val="21"/>
                      <w:highlight w:val="none"/>
                    </w:rPr>
                    <w:t>符合性</w:t>
                  </w:r>
                </w:p>
              </w:tc>
            </w:tr>
            <w:tr w14:paraId="145E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restart"/>
                  <w:noWrap w:val="0"/>
                  <w:vAlign w:val="center"/>
                </w:tcPr>
                <w:p w14:paraId="6357EB3E">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《河北省大气污染防治条例》</w:t>
                  </w:r>
                </w:p>
              </w:tc>
              <w:tc>
                <w:tcPr>
                  <w:tcW w:w="2156" w:type="pct"/>
                  <w:noWrap w:val="0"/>
                  <w:vAlign w:val="center"/>
                </w:tcPr>
                <w:p w14:paraId="724533AF">
                  <w:pPr>
                    <w:keepNext w:val="0"/>
                    <w:keepLines w:val="0"/>
                    <w:numPr>
                      <w:ilvl w:val="0"/>
                      <w:numId w:val="4"/>
                    </w:numPr>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县级以上人民政府应当统筹考虑区域环境资源承载能力，合理确定重点产业和能源结构，制定和推行有利于大气污染防治的经济政策，促进污染企业进行技术改造与产业升级。</w:t>
                  </w:r>
                </w:p>
                <w:p w14:paraId="346119FC">
                  <w:pPr>
                    <w:keepNext w:val="0"/>
                    <w:keepLines w:val="0"/>
                    <w:numPr>
                      <w:ilvl w:val="0"/>
                      <w:numId w:val="4"/>
                    </w:numPr>
                    <w:suppressLineNumbers w:val="0"/>
                    <w:adjustRightInd w:val="0"/>
                    <w:snapToGrid w:val="0"/>
                    <w:spacing w:before="0" w:beforeAutospacing="0" w:after="0" w:afterAutospacing="0"/>
                    <w:ind w:left="0" w:right="0"/>
                    <w:jc w:val="center"/>
                    <w:rPr>
                      <w:rFonts w:hint="eastAsia"/>
                      <w:color w:val="auto"/>
                      <w:szCs w:val="21"/>
                      <w:highlight w:val="none"/>
                    </w:rPr>
                  </w:pPr>
                  <w:r>
                    <w:rPr>
                      <w:rFonts w:hint="default"/>
                      <w:color w:val="auto"/>
                      <w:szCs w:val="21"/>
                      <w:highlight w:val="none"/>
                    </w:rPr>
                    <w:t>县级以上人民政府应当优化产业布局，逐步将钢铁、水泥、平板玻璃、化学合成制药、有色金属冶炼、化工等重污染企业搬出城市建成区和生态红线控制区。在完成落实技术改造措施和达到排放污染防治标准要求后，迁入工业园区。</w:t>
                  </w:r>
                </w:p>
              </w:tc>
              <w:tc>
                <w:tcPr>
                  <w:tcW w:w="1365" w:type="pct"/>
                  <w:noWrap w:val="0"/>
                  <w:vAlign w:val="center"/>
                </w:tcPr>
                <w:p w14:paraId="3500F35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项目不属于</w:t>
                  </w:r>
                  <w:r>
                    <w:rPr>
                      <w:rFonts w:hint="default"/>
                      <w:color w:val="auto"/>
                      <w:szCs w:val="21"/>
                      <w:highlight w:val="none"/>
                    </w:rPr>
                    <w:t>钢铁、水泥、平板玻璃、化学合成制药、有色金属冶炼、化工等重污染企业</w:t>
                  </w:r>
                  <w:r>
                    <w:rPr>
                      <w:rFonts w:hint="eastAsia"/>
                      <w:color w:val="auto"/>
                      <w:szCs w:val="21"/>
                      <w:highlight w:val="none"/>
                    </w:rPr>
                    <w:t>。</w:t>
                  </w:r>
                  <w:r>
                    <w:rPr>
                      <w:rFonts w:hint="eastAsia"/>
                      <w:color w:val="auto"/>
                      <w:szCs w:val="21"/>
                      <w:highlight w:val="none"/>
                      <w:lang w:eastAsia="zh-CN"/>
                    </w:rPr>
                    <w:t>根据不动产权证，占地为工业用地</w:t>
                  </w:r>
                  <w:r>
                    <w:rPr>
                      <w:rFonts w:hint="eastAsia"/>
                      <w:color w:val="auto"/>
                      <w:sz w:val="21"/>
                      <w:szCs w:val="21"/>
                      <w:highlight w:val="none"/>
                    </w:rPr>
                    <w:t>，</w:t>
                  </w:r>
                  <w:r>
                    <w:rPr>
                      <w:rFonts w:hint="eastAsia"/>
                      <w:color w:val="auto"/>
                      <w:szCs w:val="21"/>
                      <w:highlight w:val="none"/>
                    </w:rPr>
                    <w:t>符合</w:t>
                  </w:r>
                  <w:r>
                    <w:rPr>
                      <w:rFonts w:hint="eastAsia"/>
                      <w:color w:val="auto"/>
                      <w:szCs w:val="21"/>
                      <w:highlight w:val="none"/>
                      <w:lang w:eastAsia="zh-CN"/>
                    </w:rPr>
                    <w:t>河北省石家庄装备制造产业园总体规划要求</w:t>
                  </w:r>
                  <w:r>
                    <w:rPr>
                      <w:rFonts w:hint="eastAsia"/>
                      <w:color w:val="auto"/>
                      <w:szCs w:val="21"/>
                      <w:highlight w:val="none"/>
                    </w:rPr>
                    <w:t>。</w:t>
                  </w:r>
                </w:p>
              </w:tc>
              <w:tc>
                <w:tcPr>
                  <w:tcW w:w="475" w:type="pct"/>
                  <w:noWrap w:val="0"/>
                  <w:vAlign w:val="center"/>
                </w:tcPr>
                <w:p w14:paraId="5A7056AD">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1E2B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7C84D6D7">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1235A77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第十五条</w:t>
                  </w:r>
                  <w:r>
                    <w:rPr>
                      <w:rFonts w:hint="eastAsia"/>
                      <w:color w:val="auto"/>
                      <w:szCs w:val="21"/>
                      <w:highlight w:val="none"/>
                    </w:rPr>
                    <w:t>、</w:t>
                  </w:r>
                  <w:r>
                    <w:rPr>
                      <w:rFonts w:hint="default"/>
                      <w:color w:val="auto"/>
                      <w:szCs w:val="21"/>
                      <w:highlight w:val="none"/>
                    </w:rPr>
                    <w:t>本省实行重点大气污染物排放总量控制制度，逐步削减重点大气污染物排放总量。省人民政府结合经济社会发展水平、环境质量状况、产业结构，将重点大气污染物排放总量控制指标，分解落实到设区的市、县（市）人民政府。设区的市、县（市）人民政府按照公开、公平、公正的原则，将重点大气污染物排放总量控制指标分解落实到排污单位。排污单位不得超过总量控制指标排放大气污染物。</w:t>
                  </w:r>
                </w:p>
                <w:p w14:paraId="55ED65B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第十六条</w:t>
                  </w:r>
                  <w:r>
                    <w:rPr>
                      <w:rFonts w:hint="eastAsia"/>
                      <w:color w:val="auto"/>
                      <w:szCs w:val="21"/>
                      <w:highlight w:val="none"/>
                    </w:rPr>
                    <w:t>、</w:t>
                  </w:r>
                  <w:r>
                    <w:rPr>
                      <w:rFonts w:hint="default"/>
                      <w:color w:val="auto"/>
                      <w:szCs w:val="21"/>
                      <w:highlight w:val="none"/>
                    </w:rPr>
                    <w:t>本省在严格控制重点大气污染物排放总量、实行排放总量削减计划的前提下，按照有利于总量减少的原则，逐步推行重点大气污染物排污权和碳排放权交易。</w:t>
                  </w:r>
                </w:p>
              </w:tc>
              <w:tc>
                <w:tcPr>
                  <w:tcW w:w="1365" w:type="pct"/>
                  <w:noWrap w:val="0"/>
                  <w:vAlign w:val="center"/>
                </w:tcPr>
                <w:p w14:paraId="19D88755">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项目不涉及二氧化硫、氮氧化物的排放，不涉及</w:t>
                  </w:r>
                  <w:r>
                    <w:rPr>
                      <w:rFonts w:hint="default"/>
                      <w:color w:val="auto"/>
                      <w:szCs w:val="21"/>
                      <w:highlight w:val="none"/>
                    </w:rPr>
                    <w:t>重点大气污染物排放总量</w:t>
                  </w:r>
                  <w:r>
                    <w:rPr>
                      <w:rFonts w:hint="eastAsia"/>
                      <w:color w:val="auto"/>
                      <w:szCs w:val="21"/>
                      <w:highlight w:val="none"/>
                    </w:rPr>
                    <w:t>，无需进行</w:t>
                  </w:r>
                  <w:r>
                    <w:rPr>
                      <w:rFonts w:hint="default"/>
                      <w:color w:val="auto"/>
                      <w:szCs w:val="21"/>
                      <w:highlight w:val="none"/>
                    </w:rPr>
                    <w:t>重点大气污染物排污权和碳排放权交易</w:t>
                  </w:r>
                  <w:r>
                    <w:rPr>
                      <w:rFonts w:hint="eastAsia"/>
                      <w:color w:val="auto"/>
                      <w:szCs w:val="21"/>
                      <w:highlight w:val="none"/>
                    </w:rPr>
                    <w:t>。</w:t>
                  </w:r>
                </w:p>
              </w:tc>
              <w:tc>
                <w:tcPr>
                  <w:tcW w:w="475" w:type="pct"/>
                  <w:noWrap w:val="0"/>
                  <w:vAlign w:val="center"/>
                </w:tcPr>
                <w:p w14:paraId="33D3EAF6">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1368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37AD3A6B">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3CE186B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第十七条</w:t>
                  </w:r>
                  <w:r>
                    <w:rPr>
                      <w:rFonts w:hint="eastAsia"/>
                      <w:color w:val="auto"/>
                      <w:szCs w:val="21"/>
                      <w:highlight w:val="none"/>
                    </w:rPr>
                    <w:t>、</w:t>
                  </w:r>
                  <w:r>
                    <w:rPr>
                      <w:rFonts w:hint="default"/>
                      <w:color w:val="auto"/>
                      <w:szCs w:val="21"/>
                      <w:highlight w:val="none"/>
                    </w:rPr>
                    <w:t>本省实行大气污染物排污许可管理制度。向大气排放工业废气或者有毒有害大气污染物的企业事业单位、集中供热设施的燃煤热源生产运营单位，以及其他依法实行排污许可管理的单位，应当依法取得排污许可证。禁止无排污许可证或者不按照排污许可证的规定排放大气污染物。向大气排放污染物的排污单位，应当按照国家和本省规定，设置大气污染物排放口及其标志。除因发生或者可能发生安全生产事故或者突发环境事件需要通过应急排放通道排放大气污染物外，禁止通过其他排放通道排放大气污染物。</w:t>
                  </w:r>
                </w:p>
                <w:p w14:paraId="41FA8D6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第十八条</w:t>
                  </w:r>
                  <w:r>
                    <w:rPr>
                      <w:rFonts w:hint="eastAsia"/>
                      <w:color w:val="auto"/>
                      <w:szCs w:val="21"/>
                      <w:highlight w:val="none"/>
                    </w:rPr>
                    <w:t>、</w:t>
                  </w:r>
                  <w:r>
                    <w:rPr>
                      <w:rFonts w:hint="default"/>
                      <w:color w:val="auto"/>
                      <w:szCs w:val="21"/>
                      <w:highlight w:val="none"/>
                    </w:rPr>
                    <w:t>向大气排放污染物的重点排污单位，应当按照国家和本省有关规定安装使用大气污染物排放自动监测设备，并与环境保护主管部门的监控设备联网，保证监测设备正常运行并依法公开排放信息。重点排污单位不得破坏、损毁或者擅自拆除、闲置大气污染物排放自动监测设备，不得篡改、伪造监测数据。</w:t>
                  </w:r>
                </w:p>
              </w:tc>
              <w:tc>
                <w:tcPr>
                  <w:tcW w:w="1365" w:type="pct"/>
                  <w:noWrap w:val="0"/>
                  <w:vAlign w:val="center"/>
                </w:tcPr>
                <w:p w14:paraId="5EBDDD1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项目要求建设完成后，依法取得</w:t>
                  </w:r>
                  <w:r>
                    <w:rPr>
                      <w:rFonts w:hint="eastAsia"/>
                      <w:color w:val="auto"/>
                      <w:szCs w:val="21"/>
                      <w:highlight w:val="none"/>
                      <w:lang w:eastAsia="zh-CN"/>
                    </w:rPr>
                    <w:t>排污手续</w:t>
                  </w:r>
                  <w:r>
                    <w:rPr>
                      <w:rFonts w:hint="eastAsia"/>
                      <w:color w:val="auto"/>
                      <w:szCs w:val="21"/>
                      <w:highlight w:val="none"/>
                    </w:rPr>
                    <w:t>。对排入大气的排放口，</w:t>
                  </w:r>
                  <w:r>
                    <w:rPr>
                      <w:rFonts w:hint="default" w:ascii="Helvetica" w:hAnsi="Helvetica" w:eastAsia="Helvetica" w:cs="Helvetica"/>
                      <w:color w:val="auto"/>
                      <w:szCs w:val="21"/>
                      <w:highlight w:val="none"/>
                      <w:shd w:val="clear" w:color="auto" w:fill="FFFFFF"/>
                    </w:rPr>
                    <w:t>设置大气污染物排放标志</w:t>
                  </w:r>
                  <w:r>
                    <w:rPr>
                      <w:rFonts w:hint="eastAsia" w:ascii="Helvetica" w:hAnsi="Helvetica" w:cs="Helvetica"/>
                      <w:color w:val="auto"/>
                      <w:szCs w:val="21"/>
                      <w:highlight w:val="none"/>
                      <w:shd w:val="clear" w:color="auto" w:fill="FFFFFF"/>
                    </w:rPr>
                    <w:t>。同时根据检测要求，定期检测。</w:t>
                  </w:r>
                </w:p>
              </w:tc>
              <w:tc>
                <w:tcPr>
                  <w:tcW w:w="475" w:type="pct"/>
                  <w:noWrap w:val="0"/>
                  <w:vAlign w:val="center"/>
                </w:tcPr>
                <w:p w14:paraId="77F86AD9">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1442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046E19AA">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6123ADB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default"/>
                      <w:color w:val="auto"/>
                      <w:szCs w:val="21"/>
                      <w:highlight w:val="none"/>
                    </w:rPr>
                    <w:t>第二十九条</w:t>
                  </w:r>
                  <w:r>
                    <w:rPr>
                      <w:rFonts w:hint="eastAsia"/>
                      <w:color w:val="auto"/>
                      <w:szCs w:val="21"/>
                      <w:highlight w:val="none"/>
                    </w:rPr>
                    <w:t>、</w:t>
                  </w:r>
                  <w:r>
                    <w:rPr>
                      <w:rFonts w:hint="default"/>
                      <w:color w:val="auto"/>
                      <w:szCs w:val="21"/>
                      <w:highlight w:val="none"/>
                    </w:rPr>
                    <w:t>根据国家产业政策，严格控制新建、改建、扩建钢铁、水泥、平板玻璃、化学合成制药、有色金属冶炼、化工等工业项目。现有大气重污染工业项目应当按照国家和本省有关规定开展清洁生产审核。</w:t>
                  </w:r>
                </w:p>
              </w:tc>
              <w:tc>
                <w:tcPr>
                  <w:tcW w:w="1365" w:type="pct"/>
                  <w:noWrap w:val="0"/>
                  <w:vAlign w:val="center"/>
                </w:tcPr>
                <w:p w14:paraId="0742E8D0">
                  <w:pPr>
                    <w:pStyle w:val="67"/>
                    <w:keepNext w:val="0"/>
                    <w:keepLines w:val="0"/>
                    <w:suppressLineNumbers w:val="0"/>
                    <w:spacing w:before="0" w:beforeAutospacing="0" w:after="0" w:afterAutospacing="0"/>
                    <w:ind w:left="0" w:right="0"/>
                    <w:jc w:val="center"/>
                    <w:rPr>
                      <w:rFonts w:hint="eastAsia" w:eastAsia="宋体"/>
                      <w:bCs w:val="0"/>
                      <w:color w:val="auto"/>
                      <w:spacing w:val="0"/>
                      <w:kern w:val="2"/>
                      <w:szCs w:val="21"/>
                      <w:highlight w:val="none"/>
                      <w:lang w:eastAsia="zh-CN"/>
                    </w:rPr>
                  </w:pPr>
                  <w:r>
                    <w:rPr>
                      <w:rFonts w:hint="eastAsia"/>
                      <w:bCs w:val="0"/>
                      <w:color w:val="auto"/>
                      <w:spacing w:val="0"/>
                      <w:kern w:val="2"/>
                      <w:szCs w:val="21"/>
                      <w:highlight w:val="none"/>
                    </w:rPr>
                    <w:t>项目</w:t>
                  </w:r>
                  <w:r>
                    <w:rPr>
                      <w:rFonts w:hint="eastAsia"/>
                      <w:bCs w:val="0"/>
                      <w:color w:val="auto"/>
                      <w:spacing w:val="0"/>
                      <w:kern w:val="2"/>
                      <w:szCs w:val="21"/>
                      <w:highlight w:val="none"/>
                      <w:lang w:val="en-US" w:eastAsia="zh-CN"/>
                    </w:rPr>
                    <w:t>不涉及</w:t>
                  </w:r>
                </w:p>
              </w:tc>
              <w:tc>
                <w:tcPr>
                  <w:tcW w:w="475" w:type="pct"/>
                  <w:noWrap w:val="0"/>
                  <w:vAlign w:val="center"/>
                </w:tcPr>
                <w:p w14:paraId="3FC253FF">
                  <w:pPr>
                    <w:pStyle w:val="67"/>
                    <w:keepNext w:val="0"/>
                    <w:keepLines w:val="0"/>
                    <w:suppressLineNumbers w:val="0"/>
                    <w:spacing w:before="0" w:beforeAutospacing="0" w:after="0" w:afterAutospacing="0"/>
                    <w:ind w:left="0" w:right="0"/>
                    <w:jc w:val="center"/>
                    <w:rPr>
                      <w:rFonts w:hint="eastAsia"/>
                      <w:bCs w:val="0"/>
                      <w:color w:val="auto"/>
                      <w:spacing w:val="0"/>
                      <w:kern w:val="2"/>
                      <w:szCs w:val="21"/>
                      <w:highlight w:val="none"/>
                    </w:rPr>
                  </w:pPr>
                  <w:r>
                    <w:rPr>
                      <w:rFonts w:hint="eastAsia"/>
                      <w:bCs w:val="0"/>
                      <w:color w:val="auto"/>
                      <w:spacing w:val="0"/>
                      <w:kern w:val="2"/>
                      <w:szCs w:val="21"/>
                      <w:highlight w:val="none"/>
                    </w:rPr>
                    <w:t>符合</w:t>
                  </w:r>
                </w:p>
              </w:tc>
            </w:tr>
            <w:tr w14:paraId="7FB0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65578714">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1D4E8127">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default"/>
                      <w:color w:val="auto"/>
                      <w:szCs w:val="21"/>
                      <w:highlight w:val="none"/>
                    </w:rPr>
                    <w:t>第三十一条</w:t>
                  </w:r>
                  <w:r>
                    <w:rPr>
                      <w:rFonts w:hint="eastAsia"/>
                      <w:color w:val="auto"/>
                      <w:szCs w:val="21"/>
                      <w:highlight w:val="none"/>
                    </w:rPr>
                    <w:t>、</w:t>
                  </w:r>
                  <w:r>
                    <w:rPr>
                      <w:rFonts w:hint="default"/>
                      <w:color w:val="auto"/>
                      <w:szCs w:val="21"/>
                      <w:highlight w:val="none"/>
                    </w:rPr>
                    <w:t>在生产经营过程中产生有毒有害大气污染物的，排污单位应当安装收集净化装置或者采取其他措施，达到国家和本省规定的排放标准。禁止直接排放有毒有害大气污染物。</w:t>
                  </w:r>
                </w:p>
              </w:tc>
              <w:tc>
                <w:tcPr>
                  <w:tcW w:w="1365" w:type="pct"/>
                  <w:noWrap w:val="0"/>
                  <w:vAlign w:val="center"/>
                </w:tcPr>
                <w:p w14:paraId="1832742E">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bCs w:val="0"/>
                      <w:color w:val="auto"/>
                      <w:spacing w:val="0"/>
                      <w:kern w:val="2"/>
                      <w:szCs w:val="21"/>
                      <w:highlight w:val="none"/>
                    </w:rPr>
                    <w:t>项目</w:t>
                  </w:r>
                  <w:r>
                    <w:rPr>
                      <w:rFonts w:hint="eastAsia"/>
                      <w:color w:val="auto"/>
                      <w:spacing w:val="0"/>
                      <w:szCs w:val="21"/>
                      <w:highlight w:val="none"/>
                    </w:rPr>
                    <w:t>不涉及有毒有害大气污染物的排放，</w:t>
                  </w:r>
                  <w:r>
                    <w:rPr>
                      <w:rFonts w:hint="eastAsia"/>
                      <w:color w:val="auto"/>
                      <w:szCs w:val="21"/>
                      <w:highlight w:val="none"/>
                      <w:lang w:val="en-US" w:eastAsia="zh-CN"/>
                    </w:rPr>
                    <w:t>项目原料采用尼龙粒子，项目废气经集气罩收集后通过布袋除尘器+两级活性炭吸附装置+15m高排气筒排放</w:t>
                  </w:r>
                  <w:r>
                    <w:rPr>
                      <w:rFonts w:hint="eastAsia"/>
                      <w:color w:val="auto"/>
                      <w:spacing w:val="0"/>
                      <w:szCs w:val="21"/>
                      <w:highlight w:val="none"/>
                    </w:rPr>
                    <w:t>。</w:t>
                  </w:r>
                </w:p>
              </w:tc>
              <w:tc>
                <w:tcPr>
                  <w:tcW w:w="475" w:type="pct"/>
                  <w:noWrap w:val="0"/>
                  <w:vAlign w:val="center"/>
                </w:tcPr>
                <w:p w14:paraId="18842DC0">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6691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1C980E5D">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2C8DDCC3">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default"/>
                      <w:color w:val="auto"/>
                      <w:szCs w:val="21"/>
                      <w:highlight w:val="none"/>
                    </w:rPr>
                    <w:t>第三十三条</w:t>
                  </w:r>
                  <w:r>
                    <w:rPr>
                      <w:rFonts w:hint="eastAsia"/>
                      <w:color w:val="auto"/>
                      <w:szCs w:val="21"/>
                      <w:highlight w:val="none"/>
                    </w:rPr>
                    <w:t>、</w:t>
                  </w:r>
                  <w:r>
                    <w:rPr>
                      <w:rFonts w:hint="default"/>
                      <w:color w:val="auto"/>
                      <w:szCs w:val="21"/>
                      <w:highlight w:val="none"/>
                    </w:rPr>
                    <w:t>产生含挥发性有机物废气的生产和服务活动，应当在密闭空间或者设备中进行，并按照规定安装、使用污染防治设施；无法密闭的，应当采取措施减少废气排放。禁止在人口集中地区从事露天喷漆、喷涂、喷砂、制作玻璃钢以及其他散发有毒有害气体的作业。</w:t>
                  </w:r>
                </w:p>
              </w:tc>
              <w:tc>
                <w:tcPr>
                  <w:tcW w:w="1365" w:type="pct"/>
                  <w:noWrap w:val="0"/>
                  <w:vAlign w:val="center"/>
                </w:tcPr>
                <w:p w14:paraId="73A1A3B0">
                  <w:pPr>
                    <w:pStyle w:val="67"/>
                    <w:keepNext w:val="0"/>
                    <w:keepLines w:val="0"/>
                    <w:suppressLineNumbers w:val="0"/>
                    <w:spacing w:before="0" w:beforeAutospacing="0" w:after="0" w:afterAutospacing="0"/>
                    <w:ind w:left="0" w:right="0"/>
                    <w:jc w:val="center"/>
                    <w:rPr>
                      <w:rFonts w:hint="default"/>
                      <w:color w:val="auto"/>
                      <w:spacing w:val="0"/>
                      <w:szCs w:val="21"/>
                      <w:highlight w:val="none"/>
                    </w:rPr>
                  </w:pPr>
                  <w:r>
                    <w:rPr>
                      <w:rFonts w:hint="eastAsia"/>
                      <w:bCs w:val="0"/>
                      <w:color w:val="auto"/>
                      <w:spacing w:val="0"/>
                      <w:kern w:val="2"/>
                      <w:szCs w:val="21"/>
                      <w:highlight w:val="none"/>
                    </w:rPr>
                    <w:t>项目生产在密闭车间内进行</w:t>
                  </w:r>
                  <w:r>
                    <w:rPr>
                      <w:rFonts w:hint="eastAsia"/>
                      <w:bCs w:val="0"/>
                      <w:color w:val="auto"/>
                      <w:spacing w:val="0"/>
                      <w:kern w:val="2"/>
                      <w:szCs w:val="21"/>
                      <w:highlight w:val="none"/>
                      <w:lang w:eastAsia="zh-CN"/>
                    </w:rPr>
                    <w:t>，</w:t>
                  </w:r>
                  <w:r>
                    <w:rPr>
                      <w:rFonts w:hint="eastAsia"/>
                      <w:bCs w:val="0"/>
                      <w:color w:val="auto"/>
                      <w:spacing w:val="0"/>
                      <w:kern w:val="2"/>
                      <w:szCs w:val="21"/>
                      <w:highlight w:val="none"/>
                      <w:lang w:val="en-US" w:eastAsia="zh-CN"/>
                    </w:rPr>
                    <w:t>本评价要求企业按照要求安装、使用污染防治设施；</w:t>
                  </w:r>
                  <w:r>
                    <w:rPr>
                      <w:rFonts w:hint="eastAsia"/>
                      <w:bCs w:val="0"/>
                      <w:color w:val="auto"/>
                      <w:spacing w:val="0"/>
                      <w:kern w:val="2"/>
                      <w:szCs w:val="21"/>
                      <w:highlight w:val="none"/>
                    </w:rPr>
                    <w:t>不涉及</w:t>
                  </w:r>
                  <w:r>
                    <w:rPr>
                      <w:rFonts w:hint="default"/>
                      <w:bCs w:val="0"/>
                      <w:color w:val="auto"/>
                      <w:spacing w:val="0"/>
                      <w:kern w:val="2"/>
                      <w:szCs w:val="21"/>
                      <w:highlight w:val="none"/>
                    </w:rPr>
                    <w:t>在人口集中地区从事露天喷漆、喷涂、喷砂、制作玻璃钢以及其他散发有毒有害气体的作业</w:t>
                  </w:r>
                  <w:r>
                    <w:rPr>
                      <w:rFonts w:hint="eastAsia"/>
                      <w:bCs w:val="0"/>
                      <w:color w:val="auto"/>
                      <w:spacing w:val="0"/>
                      <w:kern w:val="2"/>
                      <w:szCs w:val="21"/>
                      <w:highlight w:val="none"/>
                    </w:rPr>
                    <w:t>。</w:t>
                  </w:r>
                </w:p>
              </w:tc>
              <w:tc>
                <w:tcPr>
                  <w:tcW w:w="475" w:type="pct"/>
                  <w:noWrap w:val="0"/>
                  <w:vAlign w:val="center"/>
                </w:tcPr>
                <w:p w14:paraId="299EA01F">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6303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14:paraId="30F3648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《河北省水污染防治条例》（河北省第十三届人民代表大会常务委员会公告第4号）</w:t>
                  </w:r>
                </w:p>
              </w:tc>
              <w:tc>
                <w:tcPr>
                  <w:tcW w:w="2156" w:type="pct"/>
                  <w:noWrap w:val="0"/>
                  <w:vAlign w:val="center"/>
                </w:tcPr>
                <w:p w14:paraId="576A058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排放工业废水的企业应当采取有效措施，收集和处理产生的全部废水，防止污染环境。含有毒有害水污染物的工业废水应当分类收集和处理，不得稀释排放。</w:t>
                  </w:r>
                </w:p>
              </w:tc>
              <w:tc>
                <w:tcPr>
                  <w:tcW w:w="1365" w:type="pct"/>
                  <w:noWrap w:val="0"/>
                  <w:vAlign w:val="center"/>
                </w:tcPr>
                <w:p w14:paraId="35FF0AD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项目废水主要为职工生活污水，生活污水经集成式生物化粪池处理后经园区污水管网排入绿源污水处理有限公司进一步处理</w:t>
                  </w:r>
                  <w:r>
                    <w:rPr>
                      <w:rFonts w:hint="eastAsia"/>
                      <w:color w:val="auto"/>
                      <w:szCs w:val="21"/>
                      <w:highlight w:val="none"/>
                    </w:rPr>
                    <w:t>，不会对环境造成污染</w:t>
                  </w:r>
                  <w:r>
                    <w:rPr>
                      <w:rFonts w:hint="default"/>
                      <w:color w:val="auto"/>
                      <w:szCs w:val="21"/>
                      <w:highlight w:val="none"/>
                    </w:rPr>
                    <w:t>。</w:t>
                  </w:r>
                </w:p>
              </w:tc>
              <w:tc>
                <w:tcPr>
                  <w:tcW w:w="475" w:type="pct"/>
                  <w:noWrap w:val="0"/>
                  <w:vAlign w:val="center"/>
                </w:tcPr>
                <w:p w14:paraId="706B152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14:paraId="524A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14:paraId="4D133650">
                  <w:pPr>
                    <w:pStyle w:val="67"/>
                    <w:keepNext w:val="0"/>
                    <w:keepLines w:val="0"/>
                    <w:suppressLineNumbers w:val="0"/>
                    <w:spacing w:before="0" w:beforeAutospacing="0" w:after="0" w:afterAutospacing="0"/>
                    <w:ind w:left="0" w:right="0"/>
                    <w:jc w:val="center"/>
                    <w:rPr>
                      <w:rFonts w:hint="default"/>
                      <w:color w:val="auto"/>
                      <w:spacing w:val="0"/>
                      <w:szCs w:val="21"/>
                      <w:highlight w:val="none"/>
                    </w:rPr>
                  </w:pPr>
                  <w:r>
                    <w:rPr>
                      <w:rFonts w:hint="default"/>
                      <w:color w:val="auto"/>
                      <w:spacing w:val="0"/>
                      <w:szCs w:val="21"/>
                      <w:highlight w:val="none"/>
                    </w:rPr>
                    <w:t>《河北省水污染防治工作方案》（冀发〔2015〕28号）</w:t>
                  </w:r>
                </w:p>
              </w:tc>
              <w:tc>
                <w:tcPr>
                  <w:tcW w:w="2156" w:type="pct"/>
                  <w:noWrap w:val="0"/>
                  <w:vAlign w:val="center"/>
                </w:tcPr>
                <w:p w14:paraId="4B023933">
                  <w:pPr>
                    <w:pStyle w:val="67"/>
                    <w:keepNext w:val="0"/>
                    <w:keepLines w:val="0"/>
                    <w:suppressLineNumbers w:val="0"/>
                    <w:spacing w:before="0" w:beforeAutospacing="0" w:after="0" w:afterAutospacing="0"/>
                    <w:ind w:left="0" w:right="0"/>
                    <w:jc w:val="center"/>
                    <w:rPr>
                      <w:rFonts w:hint="default"/>
                      <w:color w:val="auto"/>
                      <w:spacing w:val="0"/>
                      <w:szCs w:val="21"/>
                      <w:highlight w:val="none"/>
                    </w:rPr>
                  </w:pPr>
                  <w:r>
                    <w:rPr>
                      <w:rFonts w:hint="default"/>
                      <w:color w:val="auto"/>
                      <w:spacing w:val="0"/>
                      <w:szCs w:val="21"/>
                      <w:highlight w:val="none"/>
                    </w:rPr>
                    <w:t>严格控制高污染、高耗水行业新增产能。对造纸、焦化、氮肥、石油化工、印染、农副食品加工、原料药制造、制革、农药、电镀等</w:t>
                  </w:r>
                  <w:r>
                    <w:rPr>
                      <w:rFonts w:hint="eastAsia"/>
                      <w:color w:val="auto"/>
                      <w:spacing w:val="0"/>
                      <w:szCs w:val="21"/>
                      <w:highlight w:val="none"/>
                    </w:rPr>
                    <w:t>“</w:t>
                  </w:r>
                  <w:r>
                    <w:rPr>
                      <w:rFonts w:hint="default"/>
                      <w:color w:val="auto"/>
                      <w:spacing w:val="0"/>
                      <w:szCs w:val="21"/>
                      <w:highlight w:val="none"/>
                    </w:rPr>
                    <w:t>十大</w:t>
                  </w:r>
                  <w:r>
                    <w:rPr>
                      <w:rFonts w:hint="eastAsia"/>
                      <w:color w:val="auto"/>
                      <w:spacing w:val="0"/>
                      <w:szCs w:val="21"/>
                      <w:highlight w:val="none"/>
                    </w:rPr>
                    <w:t>”</w:t>
                  </w:r>
                  <w:r>
                    <w:rPr>
                      <w:rFonts w:hint="default"/>
                      <w:color w:val="auto"/>
                      <w:spacing w:val="0"/>
                      <w:szCs w:val="21"/>
                      <w:highlight w:val="none"/>
                    </w:rPr>
                    <w:t>重点行业，新建、</w:t>
                  </w:r>
                  <w:r>
                    <w:rPr>
                      <w:rFonts w:hint="eastAsia"/>
                      <w:color w:val="auto"/>
                      <w:spacing w:val="0"/>
                      <w:szCs w:val="21"/>
                      <w:highlight w:val="none"/>
                    </w:rPr>
                    <w:t>技改</w:t>
                  </w:r>
                  <w:r>
                    <w:rPr>
                      <w:rFonts w:hint="default"/>
                      <w:color w:val="auto"/>
                      <w:spacing w:val="0"/>
                      <w:szCs w:val="21"/>
                      <w:highlight w:val="none"/>
                    </w:rPr>
                    <w:t>、扩建项目实行新增主要污染物排放倍量替代。</w:t>
                  </w:r>
                </w:p>
              </w:tc>
              <w:tc>
                <w:tcPr>
                  <w:tcW w:w="1365" w:type="pct"/>
                  <w:noWrap w:val="0"/>
                  <w:vAlign w:val="center"/>
                </w:tcPr>
                <w:p w14:paraId="18A1BDF5">
                  <w:pPr>
                    <w:pStyle w:val="67"/>
                    <w:keepNext w:val="0"/>
                    <w:keepLines w:val="0"/>
                    <w:suppressLineNumbers w:val="0"/>
                    <w:spacing w:before="0" w:beforeAutospacing="0" w:after="0" w:afterAutospacing="0"/>
                    <w:ind w:left="0" w:right="0"/>
                    <w:jc w:val="center"/>
                    <w:rPr>
                      <w:rFonts w:hint="default"/>
                      <w:bCs w:val="0"/>
                      <w:color w:val="auto"/>
                      <w:spacing w:val="0"/>
                      <w:kern w:val="2"/>
                      <w:szCs w:val="21"/>
                      <w:highlight w:val="none"/>
                    </w:rPr>
                  </w:pPr>
                  <w:r>
                    <w:rPr>
                      <w:rFonts w:hint="default"/>
                      <w:bCs w:val="0"/>
                      <w:color w:val="auto"/>
                      <w:spacing w:val="0"/>
                      <w:kern w:val="2"/>
                      <w:szCs w:val="21"/>
                      <w:highlight w:val="none"/>
                    </w:rPr>
                    <w:t>项目不属于高污染、高耗水行业，不属于</w:t>
                  </w:r>
                  <w:r>
                    <w:rPr>
                      <w:rFonts w:hint="eastAsia"/>
                      <w:bCs w:val="0"/>
                      <w:color w:val="auto"/>
                      <w:spacing w:val="0"/>
                      <w:kern w:val="2"/>
                      <w:szCs w:val="21"/>
                      <w:highlight w:val="none"/>
                    </w:rPr>
                    <w:t>“</w:t>
                  </w:r>
                  <w:r>
                    <w:rPr>
                      <w:rFonts w:hint="default"/>
                      <w:bCs w:val="0"/>
                      <w:color w:val="auto"/>
                      <w:spacing w:val="0"/>
                      <w:kern w:val="2"/>
                      <w:szCs w:val="21"/>
                      <w:highlight w:val="none"/>
                    </w:rPr>
                    <w:t>十大重点行业</w:t>
                  </w:r>
                  <w:r>
                    <w:rPr>
                      <w:rFonts w:hint="eastAsia"/>
                      <w:bCs w:val="0"/>
                      <w:color w:val="auto"/>
                      <w:spacing w:val="0"/>
                      <w:kern w:val="2"/>
                      <w:szCs w:val="21"/>
                      <w:highlight w:val="none"/>
                    </w:rPr>
                    <w:t>”</w:t>
                  </w:r>
                  <w:r>
                    <w:rPr>
                      <w:rFonts w:hint="default"/>
                      <w:bCs w:val="0"/>
                      <w:color w:val="auto"/>
                      <w:spacing w:val="0"/>
                      <w:kern w:val="2"/>
                      <w:szCs w:val="21"/>
                      <w:highlight w:val="none"/>
                    </w:rPr>
                    <w:t>。</w:t>
                  </w:r>
                </w:p>
              </w:tc>
              <w:tc>
                <w:tcPr>
                  <w:tcW w:w="475" w:type="pct"/>
                  <w:noWrap w:val="0"/>
                  <w:vAlign w:val="center"/>
                </w:tcPr>
                <w:p w14:paraId="1F63E083">
                  <w:pPr>
                    <w:pStyle w:val="67"/>
                    <w:keepNext w:val="0"/>
                    <w:keepLines w:val="0"/>
                    <w:suppressLineNumbers w:val="0"/>
                    <w:spacing w:before="0" w:beforeAutospacing="0" w:after="0" w:afterAutospacing="0"/>
                    <w:ind w:left="0" w:right="0"/>
                    <w:jc w:val="center"/>
                    <w:rPr>
                      <w:rFonts w:hint="default"/>
                      <w:bCs w:val="0"/>
                      <w:color w:val="auto"/>
                      <w:spacing w:val="0"/>
                      <w:kern w:val="2"/>
                      <w:szCs w:val="21"/>
                      <w:highlight w:val="none"/>
                    </w:rPr>
                  </w:pPr>
                  <w:r>
                    <w:rPr>
                      <w:rFonts w:hint="default"/>
                      <w:bCs w:val="0"/>
                      <w:color w:val="auto"/>
                      <w:spacing w:val="0"/>
                      <w:kern w:val="2"/>
                      <w:szCs w:val="21"/>
                      <w:highlight w:val="none"/>
                    </w:rPr>
                    <w:t>符合</w:t>
                  </w:r>
                </w:p>
              </w:tc>
            </w:tr>
            <w:tr w14:paraId="535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14:paraId="2F9514BC">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《土壤污染防治行动计划》（国发〔2016〕31号）</w:t>
                  </w:r>
                </w:p>
              </w:tc>
              <w:tc>
                <w:tcPr>
                  <w:tcW w:w="2156" w:type="pct"/>
                  <w:noWrap w:val="0"/>
                  <w:vAlign w:val="center"/>
                </w:tcPr>
                <w:p w14:paraId="5E30A180">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严格控制在优先保护类耕地集中区域新建有色金属冶炼、石油加工、化工、焦化、电镀、制革等行业企业，现有相关行业企业要采用新技术、新工艺，加快提标升级改造步伐。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365" w:type="pct"/>
                  <w:noWrap w:val="0"/>
                  <w:vAlign w:val="center"/>
                </w:tcPr>
                <w:p w14:paraId="0259DE2D">
                  <w:pPr>
                    <w:pStyle w:val="67"/>
                    <w:keepNext w:val="0"/>
                    <w:keepLines w:val="0"/>
                    <w:suppressLineNumbers w:val="0"/>
                    <w:spacing w:before="0" w:beforeAutospacing="0" w:after="0" w:afterAutospacing="0"/>
                    <w:ind w:left="0" w:right="0"/>
                    <w:jc w:val="center"/>
                    <w:rPr>
                      <w:rFonts w:hint="default"/>
                      <w:bCs w:val="0"/>
                      <w:color w:val="auto"/>
                      <w:spacing w:val="0"/>
                      <w:szCs w:val="21"/>
                      <w:highlight w:val="none"/>
                    </w:rPr>
                  </w:pPr>
                  <w:r>
                    <w:rPr>
                      <w:rFonts w:hint="default"/>
                      <w:color w:val="auto"/>
                      <w:spacing w:val="0"/>
                      <w:szCs w:val="21"/>
                      <w:highlight w:val="none"/>
                    </w:rPr>
                    <w:t>项目不属于计划中限制行业，不涉及有色金属冶炼、焦化等，项目废气</w:t>
                  </w:r>
                  <w:r>
                    <w:rPr>
                      <w:rFonts w:hint="eastAsia"/>
                      <w:color w:val="auto"/>
                      <w:spacing w:val="0"/>
                      <w:szCs w:val="21"/>
                      <w:highlight w:val="none"/>
                    </w:rPr>
                    <w:t>污染物，</w:t>
                  </w:r>
                  <w:r>
                    <w:rPr>
                      <w:rFonts w:hint="default"/>
                      <w:color w:val="auto"/>
                      <w:spacing w:val="0"/>
                      <w:szCs w:val="21"/>
                      <w:highlight w:val="none"/>
                    </w:rPr>
                    <w:t>经过治理措施处理后</w:t>
                  </w:r>
                  <w:r>
                    <w:rPr>
                      <w:rFonts w:hint="eastAsia"/>
                      <w:color w:val="auto"/>
                      <w:spacing w:val="0"/>
                      <w:szCs w:val="21"/>
                      <w:highlight w:val="none"/>
                    </w:rPr>
                    <w:t>达标排放</w:t>
                  </w:r>
                  <w:r>
                    <w:rPr>
                      <w:rFonts w:hint="default"/>
                      <w:color w:val="auto"/>
                      <w:spacing w:val="0"/>
                      <w:szCs w:val="21"/>
                      <w:highlight w:val="none"/>
                    </w:rPr>
                    <w:t>，不会对土壤造成严重污染</w:t>
                  </w:r>
                  <w:r>
                    <w:rPr>
                      <w:rFonts w:hint="eastAsia"/>
                      <w:color w:val="auto"/>
                      <w:spacing w:val="0"/>
                      <w:szCs w:val="21"/>
                      <w:highlight w:val="none"/>
                    </w:rPr>
                    <w:t>；</w:t>
                  </w:r>
                  <w:r>
                    <w:rPr>
                      <w:rFonts w:hint="eastAsia"/>
                      <w:color w:val="auto"/>
                      <w:spacing w:val="0"/>
                      <w:szCs w:val="21"/>
                      <w:highlight w:val="none"/>
                      <w:lang w:eastAsia="zh-CN"/>
                    </w:rPr>
                    <w:t>项目废水主要为职工生活污水，生活污水经集成式生物化粪池处理后经园区污水管网排入绿源污水处理有限公司进一步处理</w:t>
                  </w:r>
                  <w:r>
                    <w:rPr>
                      <w:rFonts w:hint="eastAsia"/>
                      <w:color w:val="auto"/>
                      <w:spacing w:val="0"/>
                      <w:szCs w:val="21"/>
                      <w:highlight w:val="none"/>
                    </w:rPr>
                    <w:t>，不会对土壤造成严重污染；项目固废均合理处置，不会对土壤造成严重污染</w:t>
                  </w:r>
                  <w:r>
                    <w:rPr>
                      <w:rFonts w:hint="default"/>
                      <w:color w:val="auto"/>
                      <w:spacing w:val="0"/>
                      <w:szCs w:val="21"/>
                      <w:highlight w:val="none"/>
                    </w:rPr>
                    <w:t>。</w:t>
                  </w:r>
                  <w:r>
                    <w:rPr>
                      <w:rFonts w:hint="eastAsia"/>
                      <w:color w:val="auto"/>
                      <w:spacing w:val="0"/>
                      <w:szCs w:val="21"/>
                      <w:highlight w:val="none"/>
                    </w:rPr>
                    <w:t>且项目分区进行防渗，正常生产情况下，对土壤环境的影响较小。</w:t>
                  </w:r>
                </w:p>
              </w:tc>
              <w:tc>
                <w:tcPr>
                  <w:tcW w:w="475" w:type="pct"/>
                  <w:noWrap w:val="0"/>
                  <w:vAlign w:val="center"/>
                </w:tcPr>
                <w:p w14:paraId="669A815F">
                  <w:pPr>
                    <w:pStyle w:val="67"/>
                    <w:keepNext w:val="0"/>
                    <w:keepLines w:val="0"/>
                    <w:suppressLineNumbers w:val="0"/>
                    <w:spacing w:before="0" w:beforeAutospacing="0" w:after="0" w:afterAutospacing="0"/>
                    <w:ind w:left="0" w:right="0"/>
                    <w:jc w:val="center"/>
                    <w:rPr>
                      <w:rFonts w:hint="default"/>
                      <w:bCs w:val="0"/>
                      <w:color w:val="auto"/>
                      <w:spacing w:val="0"/>
                      <w:szCs w:val="21"/>
                      <w:highlight w:val="none"/>
                    </w:rPr>
                  </w:pPr>
                  <w:r>
                    <w:rPr>
                      <w:rFonts w:hint="default"/>
                      <w:color w:val="auto"/>
                      <w:spacing w:val="0"/>
                      <w:szCs w:val="21"/>
                      <w:highlight w:val="none"/>
                    </w:rPr>
                    <w:t>符合</w:t>
                  </w:r>
                </w:p>
              </w:tc>
            </w:tr>
            <w:tr w14:paraId="7237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restart"/>
                  <w:noWrap w:val="0"/>
                  <w:vAlign w:val="center"/>
                </w:tcPr>
                <w:p w14:paraId="1A6EF48E">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《河北省人民政府办公厅关于进一步加强全省土壤污染防治工作的实施意见》（冀政办字〔2020〕11号）</w:t>
                  </w:r>
                </w:p>
              </w:tc>
              <w:tc>
                <w:tcPr>
                  <w:tcW w:w="2156" w:type="pct"/>
                  <w:noWrap w:val="0"/>
                  <w:vAlign w:val="center"/>
                </w:tcPr>
                <w:p w14:paraId="7992CA56">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开展建设用地调查评估。对土壤状况普查、详查、监测、现场检查等表明有土壤污染风险的建设用地地块，土地使用权人要开展土壤污染状况调查；用途变更为住宅、公共管理与公共服务用地的，变更前要进行土壤污染状况调查，对污染物含量超过土壤污染风险管控标准的地块，要按规定进行风险评估。2020年6月底前，各县（市、区）政府要组织对未经土壤污染状况调查，已开发利用为住宅、公共管理与公共服务用地的地块进行摸底调查，采取有效措施，确保人居环境安全。</w:t>
                  </w:r>
                </w:p>
              </w:tc>
              <w:tc>
                <w:tcPr>
                  <w:tcW w:w="1365" w:type="pct"/>
                  <w:noWrap w:val="0"/>
                  <w:vAlign w:val="center"/>
                </w:tcPr>
                <w:p w14:paraId="42CBE5CC">
                  <w:pPr>
                    <w:keepNext w:val="0"/>
                    <w:keepLines w:val="0"/>
                    <w:suppressLineNumbers w:val="0"/>
                    <w:adjustRightInd w:val="0"/>
                    <w:snapToGrid w:val="0"/>
                    <w:spacing w:before="0" w:beforeAutospacing="0" w:after="0" w:afterAutospacing="0"/>
                    <w:ind w:left="0" w:right="0"/>
                    <w:jc w:val="center"/>
                    <w:rPr>
                      <w:rFonts w:hint="default"/>
                      <w:bCs/>
                      <w:color w:val="auto"/>
                      <w:kern w:val="0"/>
                      <w:szCs w:val="21"/>
                      <w:highlight w:val="none"/>
                    </w:rPr>
                  </w:pPr>
                  <w:r>
                    <w:rPr>
                      <w:rFonts w:hint="eastAsia"/>
                      <w:bCs/>
                      <w:color w:val="auto"/>
                      <w:kern w:val="0"/>
                      <w:szCs w:val="21"/>
                      <w:highlight w:val="none"/>
                    </w:rPr>
                    <w:t>项目位于</w:t>
                  </w:r>
                  <w:r>
                    <w:rPr>
                      <w:rFonts w:hint="eastAsia"/>
                      <w:bCs/>
                      <w:color w:val="auto"/>
                      <w:kern w:val="0"/>
                      <w:szCs w:val="21"/>
                      <w:highlight w:val="none"/>
                      <w:lang w:eastAsia="zh-CN"/>
                    </w:rPr>
                    <w:t>河北省石家庄市栾城区窦妪村装备制造产业园区奥翔街6-1号（院内3号房）</w:t>
                  </w:r>
                  <w:r>
                    <w:rPr>
                      <w:rFonts w:hint="eastAsia"/>
                      <w:bCs/>
                      <w:color w:val="auto"/>
                      <w:kern w:val="0"/>
                      <w:szCs w:val="21"/>
                      <w:highlight w:val="none"/>
                    </w:rPr>
                    <w:t>，</w:t>
                  </w:r>
                  <w:r>
                    <w:rPr>
                      <w:rFonts w:hint="eastAsia"/>
                      <w:bCs/>
                      <w:color w:val="auto"/>
                      <w:kern w:val="0"/>
                      <w:szCs w:val="21"/>
                      <w:highlight w:val="none"/>
                      <w:lang w:eastAsia="zh-CN"/>
                    </w:rPr>
                    <w:t>租赁现有厂房进行汽车塑料配件生产</w:t>
                  </w:r>
                  <w:r>
                    <w:rPr>
                      <w:rFonts w:hint="eastAsia"/>
                      <w:bCs/>
                      <w:color w:val="auto"/>
                      <w:kern w:val="0"/>
                      <w:szCs w:val="21"/>
                      <w:highlight w:val="none"/>
                    </w:rPr>
                    <w:t>。</w:t>
                  </w:r>
                  <w:r>
                    <w:rPr>
                      <w:rFonts w:hint="eastAsia"/>
                      <w:bCs/>
                      <w:color w:val="auto"/>
                      <w:kern w:val="0"/>
                      <w:szCs w:val="21"/>
                      <w:highlight w:val="none"/>
                      <w:lang w:eastAsia="zh-CN"/>
                    </w:rPr>
                    <w:t>根据不动产权证，占地为工业用地</w:t>
                  </w:r>
                  <w:r>
                    <w:rPr>
                      <w:rFonts w:hint="eastAsia"/>
                      <w:bCs/>
                      <w:color w:val="auto"/>
                      <w:kern w:val="0"/>
                      <w:sz w:val="21"/>
                      <w:szCs w:val="21"/>
                      <w:highlight w:val="none"/>
                    </w:rPr>
                    <w:t>，符合</w:t>
                  </w:r>
                  <w:r>
                    <w:rPr>
                      <w:rFonts w:hint="eastAsia"/>
                      <w:bCs/>
                      <w:color w:val="auto"/>
                      <w:kern w:val="0"/>
                      <w:sz w:val="21"/>
                      <w:szCs w:val="21"/>
                      <w:highlight w:val="none"/>
                      <w:lang w:eastAsia="zh-CN"/>
                    </w:rPr>
                    <w:t>河北省石家庄装备制造产业园总体规划要求</w:t>
                  </w:r>
                  <w:r>
                    <w:rPr>
                      <w:rFonts w:hint="eastAsia"/>
                      <w:bCs/>
                      <w:color w:val="auto"/>
                      <w:kern w:val="0"/>
                      <w:szCs w:val="21"/>
                      <w:highlight w:val="none"/>
                    </w:rPr>
                    <w:t>。项目无需开展土壤污染状况</w:t>
                  </w:r>
                  <w:r>
                    <w:rPr>
                      <w:rFonts w:hint="eastAsia"/>
                      <w:color w:val="auto"/>
                      <w:szCs w:val="21"/>
                      <w:highlight w:val="none"/>
                    </w:rPr>
                    <w:t>调查。</w:t>
                  </w:r>
                </w:p>
              </w:tc>
              <w:tc>
                <w:tcPr>
                  <w:tcW w:w="475" w:type="pct"/>
                  <w:noWrap w:val="0"/>
                  <w:vAlign w:val="center"/>
                </w:tcPr>
                <w:p w14:paraId="38952127">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2E36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25660BF3">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532B2D5C">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严格建设用地准入管理。加强对土地征收、收回、收购的监督管理，土壤污染重点监管单位生产经营用地用途变更或土地使用权回收、转让的土壤污染状况调查报告，作为不动产登记资料送交当地政府不动产登记机构。对列入建设用地土壤污染风险管控和修复名录的地块，不得作为住宅、公共管理与公共服务用地；对未达到土壤污染风险管控、修复目标的地块，禁止开工建设任何与风险管控、修复无关的项目；有关部门不得批准环境影响评价技术文件、建设工程规划许可证等事项。</w:t>
                  </w:r>
                </w:p>
              </w:tc>
              <w:tc>
                <w:tcPr>
                  <w:tcW w:w="1365" w:type="pct"/>
                  <w:noWrap w:val="0"/>
                  <w:vAlign w:val="center"/>
                </w:tcPr>
                <w:p w14:paraId="05B10DA0">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项目所在地块未列入建设用地土壤污染风险管控和修复名录，无需开展土壤污染状况调查。</w:t>
                  </w:r>
                </w:p>
              </w:tc>
              <w:tc>
                <w:tcPr>
                  <w:tcW w:w="475" w:type="pct"/>
                  <w:noWrap w:val="0"/>
                  <w:vAlign w:val="center"/>
                </w:tcPr>
                <w:p w14:paraId="0D37A7FE">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4C37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center"/>
                </w:tcPr>
                <w:p w14:paraId="5DA94D63">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p>
              </w:tc>
              <w:tc>
                <w:tcPr>
                  <w:tcW w:w="2156" w:type="pct"/>
                  <w:noWrap w:val="0"/>
                  <w:vAlign w:val="center"/>
                </w:tcPr>
                <w:p w14:paraId="696E9948">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规范固体废物处置利用。加强工业固体废物堆存场所环境整治，提升大宗固体废物综合利用能力。统筹区域危险废物利用处置能力建设，严格危险废物经营许可审批。规范和完善医疗废物分类收集处置体系，2020年底前，全省医疗废物集中收集和集中处置率达到100%。全面禁止洋垃圾入境，推进实现固体废物零进口。积极推进雄安新区“无废城市”示范建设。</w:t>
                  </w:r>
                </w:p>
              </w:tc>
              <w:tc>
                <w:tcPr>
                  <w:tcW w:w="1365" w:type="pct"/>
                  <w:noWrap w:val="0"/>
                  <w:vAlign w:val="center"/>
                </w:tcPr>
                <w:p w14:paraId="01BC8C23">
                  <w:pPr>
                    <w:pStyle w:val="67"/>
                    <w:keepNext w:val="0"/>
                    <w:keepLines w:val="0"/>
                    <w:suppressLineNumbers w:val="0"/>
                    <w:spacing w:before="0" w:beforeAutospacing="0" w:after="0" w:afterAutospacing="0"/>
                    <w:ind w:left="0" w:right="0"/>
                    <w:jc w:val="center"/>
                    <w:rPr>
                      <w:rFonts w:hint="default"/>
                      <w:color w:val="auto"/>
                      <w:spacing w:val="0"/>
                      <w:szCs w:val="21"/>
                      <w:highlight w:val="none"/>
                    </w:rPr>
                  </w:pPr>
                  <w:r>
                    <w:rPr>
                      <w:rFonts w:hint="eastAsia"/>
                      <w:color w:val="auto"/>
                      <w:spacing w:val="0"/>
                      <w:szCs w:val="21"/>
                      <w:highlight w:val="none"/>
                    </w:rPr>
                    <w:t>项目一般固体废物均合理处置；危险废物分类</w:t>
                  </w:r>
                  <w:r>
                    <w:rPr>
                      <w:rFonts w:hint="eastAsia"/>
                      <w:color w:val="auto"/>
                      <w:spacing w:val="0"/>
                      <w:szCs w:val="21"/>
                      <w:highlight w:val="none"/>
                      <w:lang w:val="zh-CN"/>
                    </w:rPr>
                    <w:t>收集后暂存于危废间，定期交由有资质的单位处理，</w:t>
                  </w:r>
                  <w:r>
                    <w:rPr>
                      <w:rFonts w:hint="eastAsia"/>
                      <w:color w:val="auto"/>
                      <w:spacing w:val="0"/>
                      <w:szCs w:val="21"/>
                      <w:highlight w:val="none"/>
                    </w:rPr>
                    <w:t>固体废物规范处置。</w:t>
                  </w:r>
                </w:p>
              </w:tc>
              <w:tc>
                <w:tcPr>
                  <w:tcW w:w="475" w:type="pct"/>
                  <w:noWrap w:val="0"/>
                  <w:vAlign w:val="center"/>
                </w:tcPr>
                <w:p w14:paraId="4876DF45">
                  <w:pPr>
                    <w:pStyle w:val="67"/>
                    <w:keepNext w:val="0"/>
                    <w:keepLines w:val="0"/>
                    <w:suppressLineNumbers w:val="0"/>
                    <w:spacing w:before="0" w:beforeAutospacing="0" w:after="0" w:afterAutospacing="0"/>
                    <w:ind w:left="0" w:right="0"/>
                    <w:jc w:val="center"/>
                    <w:rPr>
                      <w:rFonts w:hint="eastAsia"/>
                      <w:color w:val="auto"/>
                      <w:spacing w:val="0"/>
                      <w:szCs w:val="21"/>
                      <w:highlight w:val="none"/>
                    </w:rPr>
                  </w:pPr>
                  <w:r>
                    <w:rPr>
                      <w:rFonts w:hint="eastAsia"/>
                      <w:color w:val="auto"/>
                      <w:spacing w:val="0"/>
                      <w:szCs w:val="21"/>
                      <w:highlight w:val="none"/>
                    </w:rPr>
                    <w:t>符合</w:t>
                  </w:r>
                </w:p>
              </w:tc>
            </w:tr>
            <w:tr w14:paraId="5163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shd w:val="clear" w:color="auto" w:fill="auto"/>
                  <w:noWrap w:val="0"/>
                  <w:vAlign w:val="center"/>
                </w:tcPr>
                <w:p w14:paraId="367150B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《关于进一步做好沙区建设项目环境影响评价工作的通知》冀环办字函</w:t>
                  </w:r>
                  <w:r>
                    <w:rPr>
                      <w:rFonts w:hint="default"/>
                      <w:color w:val="auto"/>
                      <w:szCs w:val="21"/>
                      <w:highlight w:val="none"/>
                    </w:rPr>
                    <w:t>〔202</w:t>
                  </w:r>
                  <w:r>
                    <w:rPr>
                      <w:rFonts w:hint="eastAsia"/>
                      <w:color w:val="auto"/>
                      <w:szCs w:val="21"/>
                      <w:highlight w:val="none"/>
                      <w:lang w:val="en-US" w:eastAsia="zh-CN"/>
                    </w:rPr>
                    <w:t>3</w:t>
                  </w:r>
                  <w:r>
                    <w:rPr>
                      <w:rFonts w:hint="default"/>
                      <w:color w:val="auto"/>
                      <w:szCs w:val="21"/>
                      <w:highlight w:val="none"/>
                    </w:rPr>
                    <w:t>〕</w:t>
                  </w:r>
                  <w:r>
                    <w:rPr>
                      <w:rFonts w:hint="eastAsia"/>
                      <w:color w:val="auto"/>
                      <w:szCs w:val="21"/>
                      <w:highlight w:val="none"/>
                      <w:lang w:val="en-US" w:eastAsia="zh-CN"/>
                    </w:rPr>
                    <w:t>326</w:t>
                  </w:r>
                  <w:r>
                    <w:rPr>
                      <w:rFonts w:hint="default"/>
                      <w:color w:val="auto"/>
                      <w:szCs w:val="21"/>
                      <w:highlight w:val="none"/>
                    </w:rPr>
                    <w:t>号</w:t>
                  </w:r>
                </w:p>
              </w:tc>
              <w:tc>
                <w:tcPr>
                  <w:tcW w:w="2156" w:type="pct"/>
                  <w:shd w:val="clear" w:color="auto" w:fill="auto"/>
                  <w:noWrap w:val="0"/>
                  <w:vAlign w:val="center"/>
                </w:tcPr>
                <w:p w14:paraId="32762B2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沙区范围主要涉及的区域-</w:t>
                  </w:r>
                  <w:r>
                    <w:rPr>
                      <w:rFonts w:hint="eastAsia" w:ascii="Times New Roman" w:hAnsi="Times New Roman" w:eastAsia="宋体" w:cs="Times New Roman"/>
                      <w:color w:val="auto"/>
                      <w:kern w:val="2"/>
                      <w:sz w:val="21"/>
                      <w:szCs w:val="21"/>
                      <w:highlight w:val="none"/>
                      <w:lang w:val="en-US" w:eastAsia="zh-CN" w:bidi="ar-SA"/>
                    </w:rPr>
                    <w:t>石家庄：藁城区、行唐县、晋州市、灵寿县、深泽县、无极县、新乐市、赵县、正定县。</w:t>
                  </w:r>
                </w:p>
              </w:tc>
              <w:tc>
                <w:tcPr>
                  <w:tcW w:w="1365" w:type="pct"/>
                  <w:shd w:val="clear" w:color="auto" w:fill="auto"/>
                  <w:noWrap w:val="0"/>
                  <w:vAlign w:val="center"/>
                </w:tcPr>
                <w:p w14:paraId="5B63C91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项目位于栾城区，不涉及沙区范围</w:t>
                  </w:r>
                </w:p>
              </w:tc>
              <w:tc>
                <w:tcPr>
                  <w:tcW w:w="475" w:type="pct"/>
                  <w:shd w:val="clear" w:color="auto" w:fill="auto"/>
                  <w:noWrap w:val="0"/>
                  <w:vAlign w:val="center"/>
                </w:tcPr>
                <w:p w14:paraId="39E02A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符合</w:t>
                  </w:r>
                </w:p>
              </w:tc>
            </w:tr>
            <w:tr w14:paraId="2377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03" w:type="pct"/>
                  <w:vMerge w:val="restart"/>
                  <w:shd w:val="clear" w:color="auto" w:fill="auto"/>
                  <w:noWrap w:val="0"/>
                  <w:vAlign w:val="center"/>
                </w:tcPr>
                <w:p w14:paraId="0753D28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《石家庄市2025年挥发性有机物治理工作实施方案的通知》</w:t>
                  </w:r>
                </w:p>
              </w:tc>
              <w:tc>
                <w:tcPr>
                  <w:tcW w:w="2156" w:type="pct"/>
                  <w:shd w:val="clear" w:color="auto" w:fill="auto"/>
                  <w:noWrap w:val="0"/>
                  <w:vAlign w:val="center"/>
                </w:tcPr>
                <w:p w14:paraId="79056EDF">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严格活性炭使用管理。</w:t>
                  </w:r>
                  <w:r>
                    <w:rPr>
                      <w:rFonts w:hint="eastAsia" w:cs="Times New Roman"/>
                      <w:color w:val="auto"/>
                      <w:kern w:val="2"/>
                      <w:sz w:val="21"/>
                      <w:szCs w:val="21"/>
                      <w:highlight w:val="none"/>
                      <w:lang w:val="en-US" w:eastAsia="zh-CN" w:bidi="ar-SA"/>
                    </w:rPr>
                    <w:t>3月底前，3062家使用活性炭吸附治理设施的企业，完成一轮活性炭、过滤棉更换，颗粒型活性炭填充量与每小时处理废气量体积比例1：7000，蜂窝状活性炭填充量与每小时处理废气量体积比例 1：5000；使用喷淋塔吸收治理工艺的，完成一轮吸收液更换；1342家使用RCO治理设施的，完成一轮活性炭再生脱附并对脱附废气进行检测。</w:t>
                  </w:r>
                </w:p>
              </w:tc>
              <w:tc>
                <w:tcPr>
                  <w:tcW w:w="1365" w:type="pct"/>
                  <w:shd w:val="clear" w:color="auto" w:fill="auto"/>
                  <w:noWrap w:val="0"/>
                  <w:vAlign w:val="center"/>
                </w:tcPr>
                <w:p w14:paraId="7C8391CA">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采用颗粒型活性炭，填充量与每小时处理废气量体积比例大于1：7000，现有工程净化设施调整已于2024年6月12日取得《石家庄旭照电子科技有限公司废气治理设施提升改造项目环境影响登记表》，由布袋除尘器+UV光氧+活性炭吸附装置调整为布袋除尘器+二级活性炭吸附装置，现有工程活性炭已完成更换。</w:t>
                  </w:r>
                </w:p>
              </w:tc>
              <w:tc>
                <w:tcPr>
                  <w:tcW w:w="475" w:type="pct"/>
                  <w:shd w:val="clear" w:color="auto" w:fill="auto"/>
                  <w:noWrap w:val="0"/>
                  <w:vAlign w:val="center"/>
                </w:tcPr>
                <w:p w14:paraId="17861941">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符合</w:t>
                  </w:r>
                </w:p>
              </w:tc>
            </w:tr>
            <w:tr w14:paraId="1265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03" w:type="pct"/>
                  <w:vMerge w:val="continue"/>
                  <w:shd w:val="clear" w:color="auto" w:fill="auto"/>
                  <w:noWrap w:val="0"/>
                  <w:vAlign w:val="center"/>
                </w:tcPr>
                <w:p w14:paraId="33E79FC4">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2156" w:type="pct"/>
                  <w:shd w:val="clear" w:color="auto" w:fill="auto"/>
                  <w:noWrap w:val="0"/>
                  <w:vAlign w:val="center"/>
                </w:tcPr>
                <w:p w14:paraId="506D6BF2">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严把活性炭质量。</w:t>
                  </w:r>
                  <w:r>
                    <w:rPr>
                      <w:rFonts w:hint="eastAsia" w:cs="Times New Roman"/>
                      <w:color w:val="auto"/>
                      <w:kern w:val="2"/>
                      <w:sz w:val="21"/>
                      <w:szCs w:val="21"/>
                      <w:highlight w:val="none"/>
                      <w:lang w:val="en-US" w:eastAsia="zh-CN" w:bidi="ar-SA"/>
                    </w:rPr>
                    <w:t>县(市、区)配备足量的便携式活性炭碘值检测仪，3月底前，所有完成活性炭更换的企业必须完成炭碘值检测，确保颗粒型活性炭碘值不低于800mg/g，蜂窝状活性炭碘值不低于650mg/g，严禁使用不合格活性炭。6月底前，完成一轮活性炭碘值检测，不满足使用要求的全部完成更换。</w:t>
                  </w:r>
                </w:p>
              </w:tc>
              <w:tc>
                <w:tcPr>
                  <w:tcW w:w="1365" w:type="pct"/>
                  <w:shd w:val="clear" w:color="auto" w:fill="auto"/>
                  <w:noWrap w:val="0"/>
                  <w:vAlign w:val="center"/>
                </w:tcPr>
                <w:p w14:paraId="1E40C32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项目采用颗粒型活性炭，采用的碘值不低于800mg/g</w:t>
                  </w:r>
                </w:p>
              </w:tc>
              <w:tc>
                <w:tcPr>
                  <w:tcW w:w="475" w:type="pct"/>
                  <w:shd w:val="clear" w:color="auto" w:fill="auto"/>
                  <w:noWrap w:val="0"/>
                  <w:vAlign w:val="center"/>
                </w:tcPr>
                <w:p w14:paraId="6D4CA01E">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符合</w:t>
                  </w:r>
                </w:p>
              </w:tc>
            </w:tr>
          </w:tbl>
          <w:p w14:paraId="2B18E45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综上所述</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项目符合</w:t>
            </w:r>
            <w:r>
              <w:rPr>
                <w:rFonts w:hint="default" w:ascii="Times New Roman" w:hAnsi="Times New Roman" w:cs="Times New Roman"/>
                <w:smallCaps w:val="0"/>
                <w:color w:val="auto"/>
                <w:spacing w:val="0"/>
                <w:highlight w:val="none"/>
                <w:lang w:val="en-US" w:eastAsia="zh-CN"/>
              </w:rPr>
              <w:t>相关环境</w:t>
            </w:r>
            <w:r>
              <w:rPr>
                <w:rFonts w:hint="default" w:ascii="Times New Roman" w:hAnsi="Times New Roman" w:cs="Times New Roman"/>
                <w:smallCaps w:val="0"/>
                <w:color w:val="auto"/>
                <w:spacing w:val="0"/>
                <w:highlight w:val="none"/>
              </w:rPr>
              <w:t>管理政策的要求。</w:t>
            </w:r>
          </w:p>
          <w:p w14:paraId="6F9A0CF2">
            <w:pPr>
              <w:pStyle w:val="172"/>
              <w:keepNext w:val="0"/>
              <w:keepLines w:val="0"/>
              <w:suppressLineNumbers w:val="0"/>
              <w:spacing w:before="0" w:beforeAutospacing="0" w:after="0" w:afterAutospacing="0"/>
              <w:ind w:left="0" w:right="0" w:firstLine="439" w:firstLineChars="1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lang w:val="en-US" w:eastAsia="zh-CN"/>
              </w:rPr>
              <w:t>6</w:t>
            </w:r>
            <w:r>
              <w:rPr>
                <w:rFonts w:hint="default" w:ascii="Times New Roman" w:hAnsi="Times New Roman" w:cs="Times New Roman"/>
                <w:b/>
                <w:smallCaps w:val="0"/>
                <w:color w:val="auto"/>
                <w:spacing w:val="0"/>
                <w:highlight w:val="none"/>
              </w:rPr>
              <w:t>、项目</w:t>
            </w:r>
            <w:r>
              <w:rPr>
                <w:rFonts w:hint="default" w:ascii="Times New Roman" w:hAnsi="Times New Roman" w:cs="Times New Roman"/>
                <w:b/>
                <w:smallCaps w:val="0"/>
                <w:color w:val="auto"/>
                <w:spacing w:val="0"/>
                <w:highlight w:val="none"/>
                <w:lang w:val="en-US" w:eastAsia="zh-CN"/>
              </w:rPr>
              <w:t>与其他环境管理要求</w:t>
            </w:r>
            <w:r>
              <w:rPr>
                <w:rFonts w:hint="default" w:ascii="Times New Roman" w:hAnsi="Times New Roman" w:cs="Times New Roman"/>
                <w:b/>
                <w:smallCaps w:val="0"/>
                <w:color w:val="auto"/>
                <w:spacing w:val="0"/>
                <w:highlight w:val="none"/>
              </w:rPr>
              <w:t>符合性分析</w:t>
            </w:r>
          </w:p>
          <w:p w14:paraId="1938358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（1）项目与《河北省生态环境保护“十四五”规划》（冀政字[2022]2号）符合性分析</w:t>
            </w:r>
          </w:p>
          <w:p w14:paraId="40734CC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项目与《河北省生态环境保护“十四五”规划》（冀政字[2022]2号）符合性分析见表1-</w:t>
            </w:r>
            <w:r>
              <w:rPr>
                <w:rFonts w:hint="eastAsia" w:cs="Times New Roman"/>
                <w:smallCaps w:val="0"/>
                <w:color w:val="auto"/>
                <w:spacing w:val="0"/>
                <w:highlight w:val="none"/>
                <w:lang w:val="en-US" w:eastAsia="zh-CN"/>
              </w:rPr>
              <w:t>8</w:t>
            </w:r>
            <w:r>
              <w:rPr>
                <w:rFonts w:hint="default" w:ascii="Times New Roman" w:hAnsi="Times New Roman" w:cs="Times New Roman"/>
                <w:smallCaps w:val="0"/>
                <w:color w:val="auto"/>
                <w:spacing w:val="0"/>
                <w:highlight w:val="none"/>
                <w:lang w:val="en-US" w:eastAsia="zh-CN"/>
              </w:rPr>
              <w:t>。</w:t>
            </w:r>
          </w:p>
          <w:p w14:paraId="6F1B8ACF">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8</w:t>
            </w:r>
            <w:r>
              <w:rPr>
                <w:rFonts w:hint="default" w:ascii="Times New Roman" w:hAnsi="Times New Roman" w:cs="Times New Roman"/>
                <w:smallCaps w:val="0"/>
                <w:color w:val="auto"/>
                <w:spacing w:val="0"/>
                <w:highlight w:val="none"/>
              </w:rPr>
              <w:t xml:space="preserve">    项目与《河北省生态环境保护“十四五”规划》（冀政字[2022]2号）符合性分析一览表</w:t>
            </w:r>
          </w:p>
          <w:tbl>
            <w:tblPr>
              <w:tblStyle w:val="47"/>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74"/>
              <w:gridCol w:w="4417"/>
              <w:gridCol w:w="1839"/>
              <w:gridCol w:w="590"/>
            </w:tblGrid>
            <w:tr w14:paraId="4740C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05" w:type="pct"/>
                  <w:gridSpan w:val="2"/>
                  <w:tcBorders>
                    <w:top w:val="single" w:color="auto" w:sz="4" w:space="0"/>
                    <w:left w:val="single" w:color="auto" w:sz="4" w:space="0"/>
                    <w:bottom w:val="single" w:color="auto" w:sz="4" w:space="0"/>
                    <w:right w:val="single" w:color="auto" w:sz="4" w:space="0"/>
                  </w:tcBorders>
                  <w:noWrap w:val="0"/>
                  <w:vAlign w:val="center"/>
                </w:tcPr>
                <w:p w14:paraId="711EF6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相关内容要求</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12C175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项目情况</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26F0E3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符合性</w:t>
                  </w:r>
                </w:p>
              </w:tc>
            </w:tr>
            <w:tr w14:paraId="7A280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restart"/>
                  <w:tcBorders>
                    <w:top w:val="single" w:color="auto" w:sz="4" w:space="0"/>
                    <w:left w:val="single" w:color="auto" w:sz="4" w:space="0"/>
                    <w:right w:val="single" w:color="auto" w:sz="4" w:space="0"/>
                  </w:tcBorders>
                  <w:noWrap w:val="0"/>
                  <w:vAlign w:val="center"/>
                </w:tcPr>
                <w:p w14:paraId="1883CF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三、创新引领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推动绿色低碳发展</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0986A4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（一）统筹推进区域绿色发展。2.建立生态环境分区管控体系。衔接国土空间规划分区和用途管制</w:t>
                  </w:r>
                  <w:r>
                    <w:rPr>
                      <w:rFonts w:hint="default" w:ascii="Times New Roman" w:hAnsi="Times New Roman" w:cs="Times New Roman"/>
                      <w:smallCaps w:val="0"/>
                      <w:snapToGrid w:val="0"/>
                      <w:color w:val="auto"/>
                      <w:spacing w:val="0"/>
                      <w:kern w:val="0"/>
                      <w:sz w:val="21"/>
                      <w:szCs w:val="21"/>
                      <w:highlight w:val="none"/>
                    </w:rPr>
                    <w:cr/>
                  </w:r>
                  <w:r>
                    <w:rPr>
                      <w:rFonts w:hint="default" w:ascii="Times New Roman" w:hAnsi="Times New Roman" w:cs="Times New Roman"/>
                      <w:smallCaps w:val="0"/>
                      <w:snapToGrid w:val="0"/>
                      <w:color w:val="auto"/>
                      <w:spacing w:val="0"/>
                      <w:kern w:val="0"/>
                      <w:sz w:val="21"/>
                      <w:szCs w:val="21"/>
                      <w:highlight w:val="none"/>
                    </w:rPr>
                    <w:t>要求</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将生态保护红线、环境质量底线、资源利用上线的硬约束落实到环境管控单元</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建立差别化的生态环境准入清单</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加强“三线一单”成果在政策制定、环境准入、园区管理、执法监管等方面的应用。健全以环评制度为主体的源头预防体系</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严格规划环评审查和项目环评准入</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开展重大经济技术政策的生态环境影响分析和重大生态环境政策的社会经济影响评估。</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48E920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项目建设符合“三线一单”相关文件要求。</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305DB3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4E09E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continue"/>
                  <w:tcBorders>
                    <w:left w:val="single" w:color="auto" w:sz="4" w:space="0"/>
                    <w:right w:val="single" w:color="auto" w:sz="4" w:space="0"/>
                  </w:tcBorders>
                  <w:noWrap w:val="0"/>
                  <w:vAlign w:val="center"/>
                </w:tcPr>
                <w:p w14:paraId="7087B9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p>
              </w:tc>
              <w:tc>
                <w:tcPr>
                  <w:tcW w:w="2897" w:type="pct"/>
                  <w:tcBorders>
                    <w:top w:val="single" w:color="auto" w:sz="4" w:space="0"/>
                    <w:left w:val="single" w:color="auto" w:sz="4" w:space="0"/>
                    <w:bottom w:val="single" w:color="auto" w:sz="4" w:space="0"/>
                    <w:right w:val="single" w:color="auto" w:sz="4" w:space="0"/>
                  </w:tcBorders>
                  <w:noWrap w:val="0"/>
                  <w:vAlign w:val="center"/>
                </w:tcPr>
                <w:p w14:paraId="6BF4F5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（二）加快产业绿色转型升级。1.加强宏观治理的环境政策支撑。加强能耗总量和强度双控、煤炭</w:t>
                  </w:r>
                  <w:r>
                    <w:rPr>
                      <w:rFonts w:hint="default" w:ascii="Times New Roman" w:hAnsi="Times New Roman" w:cs="Times New Roman"/>
                      <w:smallCaps w:val="0"/>
                      <w:snapToGrid w:val="0"/>
                      <w:color w:val="auto"/>
                      <w:spacing w:val="0"/>
                      <w:kern w:val="0"/>
                      <w:sz w:val="21"/>
                      <w:szCs w:val="21"/>
                      <w:highlight w:val="none"/>
                    </w:rPr>
                    <w:cr/>
                  </w:r>
                  <w:r>
                    <w:rPr>
                      <w:rFonts w:hint="default" w:ascii="Times New Roman" w:hAnsi="Times New Roman" w:cs="Times New Roman"/>
                      <w:smallCaps w:val="0"/>
                      <w:snapToGrid w:val="0"/>
                      <w:color w:val="auto"/>
                      <w:spacing w:val="0"/>
                      <w:kern w:val="0"/>
                      <w:sz w:val="21"/>
                      <w:szCs w:val="21"/>
                      <w:highlight w:val="none"/>
                    </w:rPr>
                    <w:t>消费和污染物排放总量控制</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强化市场准入约束</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抑制高碳投资</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严格控制高耗能高排放项目盲目发展。严禁新增钢铁、焦化、水泥熟料、平板玻璃、煤化工产能</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合理控制煤制油气产能规模。依法依规加强节能审查事中事后监管。深化生态环境“放管服”改革</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推进环评审批、生态环境监管和监督执法“正面清单”制度化、规范化</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持续优化营商环境。2.优化重点行业企业布局。3.推进重点行业绿色转型。以钢铁、焦化、铸造、建材、有色、石化、化工、工业涂装、包装印刷、电镀、制革、石油开采、造纸、纺织印染、农副食品加工等行业为重点</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开展全流程清洁化、循环化、低碳化改造</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促进传统产业绿色转型升级。在电力、钢铁、建材等重点行业实施减污降碳行动</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实施全产业链和产品全生命周期降碳减污</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打造多维度、全覆盖的绿色低碳产业体系。推动重点行业完成限制类产能装备的升级改造。更好发挥电弧炉短流程炼钢企业绿色低碳、市场调节作用</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有序引导电弧炉短流程炼钢发展。依法推进强制性清洁生产审核</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行业、园区和产业集群探索开展整体审核。4.实施产业园区和产业集群升级改造。5.提升产业链供应链绿色化水平。6.做大做强环保产业。</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6C2131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color w:val="auto"/>
                      <w:spacing w:val="0"/>
                      <w:kern w:val="0"/>
                      <w:sz w:val="21"/>
                      <w:szCs w:val="21"/>
                      <w:highlight w:val="none"/>
                    </w:rPr>
                    <w:t>项目使用能源为电能</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rPr>
                    <w:t>不涉及煤炭等能源消耗</w:t>
                  </w:r>
                  <w:r>
                    <w:rPr>
                      <w:rFonts w:hint="eastAsia" w:cs="Times New Roman"/>
                      <w:smallCaps w:val="0"/>
                      <w:color w:val="auto"/>
                      <w:spacing w:val="0"/>
                      <w:kern w:val="0"/>
                      <w:sz w:val="21"/>
                      <w:szCs w:val="21"/>
                      <w:highlight w:val="none"/>
                      <w:lang w:eastAsia="zh-CN"/>
                    </w:rPr>
                    <w:t>，</w:t>
                  </w:r>
                  <w:r>
                    <w:rPr>
                      <w:rFonts w:hint="eastAsia" w:cs="Times New Roman"/>
                      <w:smallCaps w:val="0"/>
                      <w:color w:val="auto"/>
                      <w:spacing w:val="0"/>
                      <w:kern w:val="0"/>
                      <w:sz w:val="21"/>
                      <w:szCs w:val="21"/>
                      <w:highlight w:val="none"/>
                      <w:lang w:val="en-US" w:eastAsia="zh-CN"/>
                    </w:rPr>
                    <w:t>项目污染物排放满足总量控制指标</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rPr>
                    <w:t>项目</w:t>
                  </w:r>
                  <w:r>
                    <w:rPr>
                      <w:rFonts w:hint="default" w:ascii="Times New Roman" w:hAnsi="Times New Roman" w:cs="Times New Roman"/>
                      <w:smallCaps w:val="0"/>
                      <w:color w:val="auto"/>
                      <w:spacing w:val="0"/>
                      <w:kern w:val="0"/>
                      <w:sz w:val="21"/>
                      <w:szCs w:val="21"/>
                      <w:highlight w:val="none"/>
                      <w:lang w:val="en-US" w:eastAsia="zh-CN"/>
                    </w:rPr>
                    <w:t>不属于重点行业</w:t>
                  </w:r>
                  <w:r>
                    <w:rPr>
                      <w:rFonts w:hint="default" w:ascii="Times New Roman" w:hAnsi="Times New Roman" w:cs="Times New Roman"/>
                      <w:smallCaps w:val="0"/>
                      <w:color w:val="auto"/>
                      <w:spacing w:val="0"/>
                      <w:kern w:val="0"/>
                      <w:sz w:val="21"/>
                      <w:szCs w:val="21"/>
                      <w:highlight w:val="none"/>
                    </w:rPr>
                    <w:t>；项目不</w:t>
                  </w:r>
                  <w:r>
                    <w:rPr>
                      <w:rFonts w:hint="default" w:ascii="Times New Roman" w:hAnsi="Times New Roman" w:cs="Times New Roman"/>
                      <w:smallCaps w:val="0"/>
                      <w:snapToGrid w:val="0"/>
                      <w:color w:val="auto"/>
                      <w:spacing w:val="0"/>
                      <w:kern w:val="0"/>
                      <w:sz w:val="21"/>
                      <w:szCs w:val="21"/>
                      <w:highlight w:val="none"/>
                    </w:rPr>
                    <w:t>新增钢铁、焦化、水泥熟料、平板玻璃、煤化工产能</w:t>
                  </w:r>
                  <w:r>
                    <w:rPr>
                      <w:rFonts w:hint="default" w:ascii="Times New Roman" w:hAnsi="Times New Roman" w:cs="Times New Roman"/>
                      <w:smallCaps w:val="0"/>
                      <w:color w:val="auto"/>
                      <w:spacing w:val="0"/>
                      <w:kern w:val="0"/>
                      <w:sz w:val="21"/>
                      <w:szCs w:val="21"/>
                      <w:highlight w:val="none"/>
                    </w:rPr>
                    <w:t>。</w:t>
                  </w:r>
                  <w:r>
                    <w:rPr>
                      <w:rFonts w:hint="default" w:ascii="Times New Roman" w:hAnsi="Times New Roman" w:cs="Times New Roman"/>
                      <w:smallCaps w:val="0"/>
                      <w:color w:val="auto"/>
                      <w:spacing w:val="0"/>
                      <w:kern w:val="0"/>
                      <w:sz w:val="21"/>
                      <w:szCs w:val="21"/>
                      <w:highlight w:val="none"/>
                      <w:lang w:val="en-US" w:eastAsia="zh-CN"/>
                    </w:rPr>
                    <w:t>企业属于</w:t>
                  </w:r>
                  <w:r>
                    <w:rPr>
                      <w:rFonts w:hint="eastAsia" w:cs="Times New Roman"/>
                      <w:smallCaps w:val="0"/>
                      <w:color w:val="auto"/>
                      <w:spacing w:val="0"/>
                      <w:kern w:val="0"/>
                      <w:sz w:val="21"/>
                      <w:szCs w:val="21"/>
                      <w:highlight w:val="none"/>
                      <w:lang w:eastAsia="zh-CN"/>
                    </w:rPr>
                    <w:t>其他</w:t>
                  </w:r>
                  <w:r>
                    <w:rPr>
                      <w:rFonts w:hint="eastAsia" w:cs="Times New Roman"/>
                      <w:smallCaps w:val="0"/>
                      <w:color w:val="auto"/>
                      <w:spacing w:val="0"/>
                      <w:kern w:val="0"/>
                      <w:sz w:val="21"/>
                      <w:szCs w:val="21"/>
                      <w:highlight w:val="none"/>
                      <w:lang w:val="en-US" w:eastAsia="zh-CN"/>
                    </w:rPr>
                    <w:t>塑料制品业</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rPr>
                    <w:t>不属于重点行业企业</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lang w:val="en-US" w:eastAsia="zh-CN"/>
                    </w:rPr>
                    <w:t>项目位于</w:t>
                  </w:r>
                  <w:r>
                    <w:rPr>
                      <w:rFonts w:hint="eastAsia" w:cs="Times New Roman"/>
                      <w:smallCaps w:val="0"/>
                      <w:color w:val="auto"/>
                      <w:spacing w:val="0"/>
                      <w:kern w:val="0"/>
                      <w:sz w:val="21"/>
                      <w:szCs w:val="21"/>
                      <w:highlight w:val="none"/>
                      <w:lang w:eastAsia="zh-CN"/>
                    </w:rPr>
                    <w:t>河北省石家庄市栾城区窦妪村装备制造产业园区奥翔街6-1号（院内3号房）</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lang w:val="en-US" w:eastAsia="zh-CN"/>
                    </w:rPr>
                    <w:t>占地为工业用地</w:t>
                  </w:r>
                  <w:r>
                    <w:rPr>
                      <w:rFonts w:hint="default" w:ascii="Times New Roman" w:hAnsi="Times New Roman" w:cs="Times New Roman"/>
                      <w:smallCaps w:val="0"/>
                      <w:snapToGrid w:val="0"/>
                      <w:color w:val="auto"/>
                      <w:spacing w:val="0"/>
                      <w:kern w:val="0"/>
                      <w:sz w:val="21"/>
                      <w:szCs w:val="21"/>
                      <w:highlight w:val="none"/>
                    </w:rPr>
                    <w:t>。</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71036B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68F79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continue"/>
                  <w:tcBorders>
                    <w:left w:val="single" w:color="auto" w:sz="4" w:space="0"/>
                    <w:bottom w:val="single" w:color="auto" w:sz="4" w:space="0"/>
                    <w:right w:val="single" w:color="auto" w:sz="4" w:space="0"/>
                  </w:tcBorders>
                  <w:noWrap w:val="0"/>
                  <w:vAlign w:val="center"/>
                </w:tcPr>
                <w:p w14:paraId="16A5EE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p>
              </w:tc>
              <w:tc>
                <w:tcPr>
                  <w:tcW w:w="2897" w:type="pct"/>
                  <w:tcBorders>
                    <w:top w:val="single" w:color="auto" w:sz="4" w:space="0"/>
                    <w:left w:val="single" w:color="auto" w:sz="4" w:space="0"/>
                    <w:bottom w:val="single" w:color="auto" w:sz="4" w:space="0"/>
                    <w:right w:val="single" w:color="auto" w:sz="4" w:space="0"/>
                  </w:tcBorders>
                  <w:noWrap w:val="0"/>
                  <w:vAlign w:val="center"/>
                </w:tcPr>
                <w:p w14:paraId="3A34E8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（三）推动能源清洁高效利用。1.调整优化能源供给结构。2.控制煤炭消费总量。3.实施终端用能清洁化替代。</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1F1B9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color w:val="auto"/>
                      <w:spacing w:val="0"/>
                      <w:kern w:val="0"/>
                      <w:sz w:val="21"/>
                      <w:szCs w:val="21"/>
                      <w:highlight w:val="none"/>
                    </w:rPr>
                    <w:t>项目使用能源为电能</w:t>
                  </w:r>
                  <w:r>
                    <w:rPr>
                      <w:rFonts w:hint="eastAsia" w:cs="Times New Roman"/>
                      <w:smallCaps w:val="0"/>
                      <w:color w:val="auto"/>
                      <w:spacing w:val="0"/>
                      <w:kern w:val="0"/>
                      <w:sz w:val="21"/>
                      <w:szCs w:val="21"/>
                      <w:highlight w:val="none"/>
                      <w:lang w:val="en-US" w:eastAsia="zh-CN"/>
                    </w:rPr>
                    <w:t>，为清洁能源</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rPr>
                    <w:t>不涉及煤炭能源消耗。</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2442B9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33A6A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tcBorders>
                    <w:top w:val="single" w:color="auto" w:sz="4" w:space="0"/>
                    <w:left w:val="single" w:color="auto" w:sz="4" w:space="0"/>
                    <w:bottom w:val="single" w:color="auto" w:sz="4" w:space="0"/>
                    <w:right w:val="single" w:color="auto" w:sz="4" w:space="0"/>
                  </w:tcBorders>
                  <w:noWrap w:val="0"/>
                  <w:vAlign w:val="center"/>
                </w:tcPr>
                <w:p w14:paraId="732F9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四、降碳减排</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积极应对气候变化</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442EA2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（二）控制温室气体排放。1.控制工业二氧化碳排放。2.控制交通领域二氧化碳排放。3.控制建筑领域二氧化碳排放。4.控制非二氧化碳温室气体排放。5.实施温室气体和污染物协同控制。</w:t>
                  </w:r>
                  <w:r>
                    <w:rPr>
                      <w:rFonts w:hint="default" w:ascii="Times New Roman" w:hAnsi="Times New Roman" w:cs="Times New Roman"/>
                      <w:smallCaps w:val="0"/>
                      <w:snapToGrid w:val="0"/>
                      <w:color w:val="auto"/>
                      <w:spacing w:val="0"/>
                      <w:kern w:val="0"/>
                      <w:sz w:val="21"/>
                      <w:szCs w:val="21"/>
                      <w:highlight w:val="none"/>
                    </w:rPr>
                    <w:cr/>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6A3022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color w:val="auto"/>
                      <w:spacing w:val="0"/>
                      <w:kern w:val="0"/>
                      <w:sz w:val="21"/>
                      <w:szCs w:val="21"/>
                      <w:highlight w:val="none"/>
                    </w:rPr>
                    <w:t>项目使用能源为电能</w:t>
                  </w:r>
                  <w:r>
                    <w:rPr>
                      <w:rFonts w:hint="eastAsia" w:cs="Times New Roman"/>
                      <w:smallCaps w:val="0"/>
                      <w:color w:val="auto"/>
                      <w:spacing w:val="0"/>
                      <w:kern w:val="0"/>
                      <w:sz w:val="21"/>
                      <w:szCs w:val="21"/>
                      <w:highlight w:val="none"/>
                      <w:lang w:val="en-US" w:eastAsia="zh-CN"/>
                    </w:rPr>
                    <w:t>，为清洁能源</w:t>
                  </w:r>
                  <w:r>
                    <w:rPr>
                      <w:rFonts w:hint="default" w:ascii="Times New Roman" w:hAnsi="Times New Roman" w:cs="Times New Roman"/>
                      <w:smallCaps w:val="0"/>
                      <w:color w:val="auto"/>
                      <w:spacing w:val="0"/>
                      <w:kern w:val="0"/>
                      <w:sz w:val="21"/>
                      <w:szCs w:val="21"/>
                      <w:highlight w:val="none"/>
                      <w:lang w:eastAsia="zh-CN"/>
                    </w:rPr>
                    <w:t>，</w:t>
                  </w:r>
                  <w:r>
                    <w:rPr>
                      <w:rFonts w:hint="default" w:ascii="Times New Roman" w:hAnsi="Times New Roman" w:cs="Times New Roman"/>
                      <w:smallCaps w:val="0"/>
                      <w:color w:val="auto"/>
                      <w:spacing w:val="0"/>
                      <w:kern w:val="0"/>
                      <w:sz w:val="21"/>
                      <w:szCs w:val="21"/>
                      <w:highlight w:val="none"/>
                    </w:rPr>
                    <w:t>不涉及煤炭能源消耗。</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68595A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0F122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restart"/>
                  <w:tcBorders>
                    <w:top w:val="single" w:color="auto" w:sz="4" w:space="0"/>
                    <w:left w:val="single" w:color="auto" w:sz="4" w:space="0"/>
                    <w:right w:val="single" w:color="auto" w:sz="4" w:space="0"/>
                  </w:tcBorders>
                  <w:noWrap w:val="0"/>
                  <w:vAlign w:val="center"/>
                </w:tcPr>
                <w:p w14:paraId="77CAA6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五、精准治理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持续改善环境空气质量</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5C62C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（二）推进工业领域污染减排。1.推动重点行业深度治理和超低排放。巩固钢铁、焦化、煤电、水泥、平板玻璃、陶瓷等行业超低排放成效</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实施工艺全流程深度治理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全面加强无组织排放管控。推进砖瓦、石灰、铸造、铁合金、耐火材料等重点行业污染深度治理。以工业炉窑污染综合治理为重点</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深化工业氮氧化物减排。开展生活垃圾焚烧烟气深度治理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探索研发二噁英治理和控制技术</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到2025年</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所有焚烧炉烟气达到生活垃圾焚烧大气污染物排放控制标准。2.深化重点行业挥发性有机物（VOCs）治理。以石化、化工、涂装、医药、包装印刷、油品储运销等行业领域为重点</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安全高效推进挥发性有机物（VOCs）综合治理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实施原辅材料和产品源头替代、无组织排放和末端深度治理等提升改造工程。……</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5210B2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eastAsia" w:cs="Times New Roman"/>
                      <w:smallCaps w:val="0"/>
                      <w:color w:val="auto"/>
                      <w:spacing w:val="0"/>
                      <w:kern w:val="0"/>
                      <w:sz w:val="21"/>
                      <w:szCs w:val="21"/>
                      <w:highlight w:val="none"/>
                      <w:lang w:val="en-US" w:eastAsia="zh-CN"/>
                    </w:rPr>
                    <w:t>项目不涉及超低排放；</w:t>
                  </w:r>
                  <w:r>
                    <w:rPr>
                      <w:rFonts w:hint="eastAsia"/>
                      <w:color w:val="auto"/>
                      <w:szCs w:val="21"/>
                      <w:highlight w:val="none"/>
                      <w:lang w:val="en-US" w:eastAsia="zh-CN"/>
                    </w:rPr>
                    <w:t>项目原料采用尼龙粒子，项目废气经集气罩收集后通过布袋除尘器+两级活性炭吸附装置+15m高排气筒排放</w:t>
                  </w:r>
                  <w:r>
                    <w:rPr>
                      <w:rFonts w:hint="default" w:ascii="Times New Roman" w:hAnsi="Times New Roman" w:cs="Times New Roman"/>
                      <w:smallCaps w:val="0"/>
                      <w:snapToGrid w:val="0"/>
                      <w:color w:val="auto"/>
                      <w:spacing w:val="0"/>
                      <w:kern w:val="0"/>
                      <w:sz w:val="21"/>
                      <w:szCs w:val="21"/>
                      <w:highlight w:val="none"/>
                    </w:rPr>
                    <w:t>。</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3AC63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5F481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continue"/>
                  <w:tcBorders>
                    <w:left w:val="single" w:color="auto" w:sz="4" w:space="0"/>
                    <w:bottom w:val="single" w:color="auto" w:sz="4" w:space="0"/>
                    <w:right w:val="single" w:color="auto" w:sz="4" w:space="0"/>
                  </w:tcBorders>
                  <w:noWrap w:val="0"/>
                  <w:vAlign w:val="center"/>
                </w:tcPr>
                <w:p w14:paraId="16D59F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p>
              </w:tc>
              <w:tc>
                <w:tcPr>
                  <w:tcW w:w="2897" w:type="pct"/>
                  <w:tcBorders>
                    <w:top w:val="single" w:color="auto" w:sz="4" w:space="0"/>
                    <w:left w:val="single" w:color="auto" w:sz="4" w:space="0"/>
                    <w:bottom w:val="single" w:color="auto" w:sz="4" w:space="0"/>
                    <w:right w:val="single" w:color="auto" w:sz="4" w:space="0"/>
                  </w:tcBorders>
                  <w:noWrap w:val="0"/>
                  <w:vAlign w:val="center"/>
                </w:tcPr>
                <w:p w14:paraId="0AB3E4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（四）实施面源污染治理攻坚。1.强化扬尘精细化管控。建立健全绿色施工标准和扬尘管控体系</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对扬尘重点污染源实行清单化动态管理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将绿色施工纳入企业资质评价、生态环境信用评价。加强城市道路低尘机械化湿式清扫作业</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加大城市出入口、城乡结合部等重要路段冲洗保洁力度</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实施渣土车密闭运输</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完善降尘监测和考评体系。城市裸露地面、粉料类物料堆放及大型煤炭和矿石码头物料堆场基本完成抑尘设施建设和物料输送系统封闭改造</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鼓励有条件的大型煤炭和矿石码头等干散货码头堆场实施全封闭改造。强化重点时段秸秆禁烧专项整治</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完善秸秆焚烧视频监控系统点位建设</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基本实现全省涉农区域全覆盖。严格落实矿产资源开采、运输和加工过程防尘、除尘措施</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实施矿山生产污染物排放在线监测。</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3C6AFA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项目利用现有厂房，施工期主要为厂房装修及设备安装。无废气产生。</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52EECD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08B4A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tcBorders>
                    <w:top w:val="single" w:color="auto" w:sz="4" w:space="0"/>
                    <w:left w:val="single" w:color="auto" w:sz="4" w:space="0"/>
                    <w:bottom w:val="single" w:color="auto" w:sz="4" w:space="0"/>
                    <w:right w:val="single" w:color="auto" w:sz="4" w:space="0"/>
                  </w:tcBorders>
                  <w:noWrap w:val="0"/>
                  <w:vAlign w:val="center"/>
                </w:tcPr>
                <w:p w14:paraId="7D6F0A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六、“三水”统筹</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打造良好水生态环境</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8D96C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（四）强化水污染源头防控。1.强化工业污染减排。实施差别化环境准入政策</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推进涉水工业企</w:t>
                  </w:r>
                  <w:r>
                    <w:rPr>
                      <w:rFonts w:hint="default" w:ascii="Times New Roman" w:hAnsi="Times New Roman" w:cs="Times New Roman"/>
                      <w:smallCaps w:val="0"/>
                      <w:snapToGrid w:val="0"/>
                      <w:color w:val="auto"/>
                      <w:spacing w:val="0"/>
                      <w:kern w:val="0"/>
                      <w:sz w:val="21"/>
                      <w:szCs w:val="21"/>
                      <w:highlight w:val="none"/>
                    </w:rPr>
                    <w:cr/>
                  </w:r>
                  <w:r>
                    <w:rPr>
                      <w:rFonts w:hint="default" w:ascii="Times New Roman" w:hAnsi="Times New Roman" w:cs="Times New Roman"/>
                      <w:smallCaps w:val="0"/>
                      <w:snapToGrid w:val="0"/>
                      <w:color w:val="auto"/>
                      <w:spacing w:val="0"/>
                      <w:kern w:val="0"/>
                      <w:sz w:val="21"/>
                      <w:szCs w:val="21"/>
                      <w:highlight w:val="none"/>
                    </w:rPr>
                    <w:t>业全面入园进区。新设立和升级的经济技术开发区、高新技术产业开发区等工业园区同步规划建设污水集中处理设施</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加快完善工业园区配套管网</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推进“清污分流、雨污分流”</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实现园区污水全收集、全处理。</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3C9040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项目废水主要为职工生活污水，生活污水经集成式生物化粪池处理后经园区污水管网排入绿源污水处理有限公司进一步处理</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3245FE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1A118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tcBorders>
                    <w:top w:val="single" w:color="auto" w:sz="4" w:space="0"/>
                    <w:left w:val="single" w:color="auto" w:sz="4" w:space="0"/>
                    <w:bottom w:val="single" w:color="auto" w:sz="4" w:space="0"/>
                    <w:right w:val="single" w:color="auto" w:sz="4" w:space="0"/>
                  </w:tcBorders>
                  <w:noWrap w:val="0"/>
                  <w:vAlign w:val="center"/>
                </w:tcPr>
                <w:p w14:paraId="26D5C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八、协同防控</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保障土壤地下水环境安全</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D7F20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（一）强化污染源头防控。1.加强空间布局管控。将土壤和地下水环境要求纳入相关规划。永久基本农田集中区域禁止新建可能造成土壤污染的建设项目。污染地块再开发利用</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严格落实规划用途及相应的土壤环境质量要求</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科学设定成片污染地块及周边土地开发时序。2.强化工业企业土壤污染风险防控。新（改、扩）建项目涉及有毒</w:t>
                  </w:r>
                  <w:r>
                    <w:rPr>
                      <w:rFonts w:hint="default" w:ascii="Times New Roman" w:hAnsi="Times New Roman" w:cs="Times New Roman"/>
                      <w:smallCaps w:val="0"/>
                      <w:snapToGrid w:val="0"/>
                      <w:color w:val="auto"/>
                      <w:spacing w:val="0"/>
                      <w:kern w:val="0"/>
                      <w:sz w:val="21"/>
                      <w:szCs w:val="21"/>
                      <w:highlight w:val="none"/>
                    </w:rPr>
                    <w:cr/>
                  </w:r>
                  <w:r>
                    <w:rPr>
                      <w:rFonts w:hint="default" w:ascii="Times New Roman" w:hAnsi="Times New Roman" w:cs="Times New Roman"/>
                      <w:smallCaps w:val="0"/>
                      <w:snapToGrid w:val="0"/>
                      <w:color w:val="auto"/>
                      <w:spacing w:val="0"/>
                      <w:kern w:val="0"/>
                      <w:sz w:val="21"/>
                      <w:szCs w:val="21"/>
                      <w:highlight w:val="none"/>
                    </w:rPr>
                    <w:t>有害物质可能造成土壤污染的</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落实土壤和地下水污染防治要求。开展典型行业企业用地及周边土壤污染状况调查</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持续推进耕地周边涉重金属行业企业排查整治。动态更新土壤污染重点监管单位名录</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将土壤污染防治义务依法纳入排污许可管理。加强企业拆除活动污染防治监管</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落实拆除活动污染防治措施。3.严格控制重金属排放总量。</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01DE2C3B">
                  <w:pPr>
                    <w:pStyle w:val="67"/>
                    <w:keepNext w:val="0"/>
                    <w:keepLines w:val="0"/>
                    <w:suppressLineNumbers w:val="0"/>
                    <w:spacing w:before="0" w:beforeAutospacing="0" w:after="0" w:afterAutospacing="0"/>
                    <w:ind w:left="0" w:right="0"/>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bCs/>
                      <w:smallCaps w:val="0"/>
                      <w:color w:val="auto"/>
                      <w:spacing w:val="0"/>
                      <w:sz w:val="21"/>
                      <w:szCs w:val="21"/>
                      <w:highlight w:val="none"/>
                    </w:rPr>
                    <w:t>项目实施后</w:t>
                  </w:r>
                  <w:r>
                    <w:rPr>
                      <w:rFonts w:hint="default" w:ascii="Times New Roman" w:hAnsi="Times New Roman" w:cs="Times New Roman"/>
                      <w:smallCaps w:val="0"/>
                      <w:snapToGrid w:val="0"/>
                      <w:color w:val="auto"/>
                      <w:spacing w:val="0"/>
                      <w:kern w:val="0"/>
                      <w:sz w:val="21"/>
                      <w:szCs w:val="21"/>
                      <w:highlight w:val="none"/>
                    </w:rPr>
                    <w:t>无生产废水产生</w:t>
                  </w:r>
                  <w:r>
                    <w:rPr>
                      <w:rFonts w:hint="default" w:ascii="Times New Roman" w:hAnsi="Times New Roman" w:cs="Times New Roman"/>
                      <w:smallCaps w:val="0"/>
                      <w:snapToGrid w:val="0"/>
                      <w:color w:val="auto"/>
                      <w:spacing w:val="0"/>
                      <w:kern w:val="0"/>
                      <w:sz w:val="21"/>
                      <w:szCs w:val="21"/>
                      <w:highlight w:val="none"/>
                      <w:lang w:eastAsia="zh-CN"/>
                    </w:rPr>
                    <w:t>，</w:t>
                  </w:r>
                  <w:r>
                    <w:rPr>
                      <w:rFonts w:hint="eastAsia" w:cs="Times New Roman"/>
                      <w:smallCaps w:val="0"/>
                      <w:color w:val="auto"/>
                      <w:spacing w:val="0"/>
                      <w:sz w:val="21"/>
                      <w:szCs w:val="21"/>
                      <w:highlight w:val="none"/>
                      <w:lang w:val="en-US" w:eastAsia="zh-CN"/>
                    </w:rPr>
                    <w:t>项目实施分区防渗措施，需拆除的设备不涉及地基，无需恢复，重点防渗区：危废间等效黏土防渗层Mb≥6.0m，K≤1.0×10</w:t>
                  </w:r>
                  <w:r>
                    <w:rPr>
                      <w:rFonts w:hint="eastAsia" w:cs="Times New Roman"/>
                      <w:smallCaps w:val="0"/>
                      <w:color w:val="auto"/>
                      <w:spacing w:val="0"/>
                      <w:sz w:val="21"/>
                      <w:szCs w:val="21"/>
                      <w:highlight w:val="none"/>
                      <w:vertAlign w:val="superscript"/>
                      <w:lang w:val="en-US" w:eastAsia="zh-CN"/>
                    </w:rPr>
                    <w:t>-7</w:t>
                  </w:r>
                  <w:r>
                    <w:rPr>
                      <w:rFonts w:hint="eastAsia" w:cs="Times New Roman"/>
                      <w:smallCaps w:val="0"/>
                      <w:color w:val="auto"/>
                      <w:spacing w:val="0"/>
                      <w:sz w:val="21"/>
                      <w:szCs w:val="21"/>
                      <w:highlight w:val="none"/>
                      <w:lang w:val="en-US" w:eastAsia="zh-CN"/>
                    </w:rPr>
                    <w:t>cm/s</w:t>
                  </w:r>
                  <w:r>
                    <w:rPr>
                      <w:rFonts w:hint="eastAsia" w:cs="Arial Unicode MS"/>
                      <w:color w:val="auto"/>
                      <w:sz w:val="21"/>
                      <w:szCs w:val="21"/>
                      <w:highlight w:val="none"/>
                      <w:lang w:val="en-US" w:eastAsia="zh-CN"/>
                    </w:rPr>
                    <w:t>；</w:t>
                  </w:r>
                  <w:r>
                    <w:rPr>
                      <w:rFonts w:hint="default" w:ascii="Times New Roman" w:hAnsi="Times New Roman" w:eastAsia="宋体" w:cs="Times New Roman"/>
                      <w:smallCaps w:val="0"/>
                      <w:color w:val="auto"/>
                      <w:spacing w:val="0"/>
                      <w:sz w:val="21"/>
                      <w:szCs w:val="21"/>
                      <w:highlight w:val="none"/>
                      <w:lang w:val="en-US" w:eastAsia="zh-CN"/>
                    </w:rPr>
                    <w:t>一般防渗：</w:t>
                  </w:r>
                  <w:r>
                    <w:rPr>
                      <w:rFonts w:hint="eastAsia" w:cs="Times New Roman"/>
                      <w:smallCaps w:val="0"/>
                      <w:color w:val="auto"/>
                      <w:spacing w:val="0"/>
                      <w:sz w:val="21"/>
                      <w:szCs w:val="21"/>
                      <w:highlight w:val="none"/>
                      <w:lang w:val="en-US" w:eastAsia="zh-CN"/>
                    </w:rPr>
                    <w:t>生产区、机加工区</w:t>
                  </w:r>
                  <w:r>
                    <w:rPr>
                      <w:rFonts w:hint="default" w:ascii="Times New Roman" w:hAnsi="Times New Roman" w:eastAsia="宋体" w:cs="Times New Roman"/>
                      <w:smallCaps w:val="0"/>
                      <w:color w:val="auto"/>
                      <w:spacing w:val="0"/>
                      <w:sz w:val="21"/>
                      <w:szCs w:val="21"/>
                      <w:highlight w:val="none"/>
                      <w:lang w:val="en-US" w:eastAsia="zh-CN"/>
                    </w:rPr>
                    <w:t>其等效黏土防渗层Mb≥1.5m，渗透系数≤10</w:t>
                  </w:r>
                  <w:r>
                    <w:rPr>
                      <w:rFonts w:hint="default" w:ascii="Times New Roman" w:hAnsi="Times New Roman" w:eastAsia="宋体" w:cs="Times New Roman"/>
                      <w:smallCaps w:val="0"/>
                      <w:color w:val="auto"/>
                      <w:spacing w:val="0"/>
                      <w:sz w:val="21"/>
                      <w:szCs w:val="21"/>
                      <w:highlight w:val="none"/>
                      <w:vertAlign w:val="superscript"/>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cm/s</w:t>
                  </w:r>
                  <w:r>
                    <w:rPr>
                      <w:rFonts w:hint="eastAsia" w:cs="Times New Roman"/>
                      <w:smallCaps w:val="0"/>
                      <w:color w:val="auto"/>
                      <w:spacing w:val="0"/>
                      <w:sz w:val="21"/>
                      <w:szCs w:val="21"/>
                      <w:highlight w:val="none"/>
                      <w:lang w:val="en-US" w:eastAsia="zh-CN"/>
                    </w:rPr>
                    <w:t>；简单防渗：办公室、杂物间、模具暂存区、原料区、成品区、人工组装区等其他区域利用现有水泥硬化简单防渗措施</w:t>
                  </w:r>
                  <w:r>
                    <w:rPr>
                      <w:rFonts w:hint="default" w:ascii="Times New Roman" w:hAnsi="Times New Roman" w:eastAsia="宋体" w:cs="Times New Roman"/>
                      <w:smallCaps w:val="0"/>
                      <w:color w:val="auto"/>
                      <w:spacing w:val="0"/>
                      <w:sz w:val="21"/>
                      <w:szCs w:val="21"/>
                      <w:highlight w:val="none"/>
                      <w:lang w:val="en-US" w:eastAsia="zh-CN"/>
                    </w:rPr>
                    <w:t>，</w:t>
                  </w:r>
                  <w:r>
                    <w:rPr>
                      <w:rFonts w:hint="default" w:ascii="Times New Roman" w:hAnsi="Times New Roman" w:cs="Times New Roman"/>
                      <w:smallCaps w:val="0"/>
                      <w:color w:val="auto"/>
                      <w:spacing w:val="0"/>
                      <w:sz w:val="21"/>
                      <w:szCs w:val="21"/>
                      <w:highlight w:val="none"/>
                    </w:rPr>
                    <w:t>不会对土壤环境、地下水环境造成污染。项目不涉及</w:t>
                  </w:r>
                  <w:r>
                    <w:rPr>
                      <w:rFonts w:hint="default" w:ascii="Times New Roman" w:hAnsi="Times New Roman" w:cs="Times New Roman"/>
                      <w:smallCaps w:val="0"/>
                      <w:snapToGrid w:val="0"/>
                      <w:color w:val="auto"/>
                      <w:spacing w:val="0"/>
                      <w:kern w:val="0"/>
                      <w:sz w:val="21"/>
                      <w:szCs w:val="21"/>
                      <w:highlight w:val="none"/>
                    </w:rPr>
                    <w:t>重金属排放总量。</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2B686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36139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restart"/>
                  <w:tcBorders>
                    <w:top w:val="single" w:color="auto" w:sz="4" w:space="0"/>
                    <w:left w:val="single" w:color="auto" w:sz="4" w:space="0"/>
                    <w:right w:val="single" w:color="auto" w:sz="4" w:space="0"/>
                  </w:tcBorders>
                  <w:noWrap w:val="0"/>
                  <w:vAlign w:val="center"/>
                </w:tcPr>
                <w:p w14:paraId="625CDE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九、防治结合，构建固体废物监管体系。</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FE465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（一）规范危险废物环境管理。1.完善危险废物监管体制机制。拓宽部门沟通协作渠道</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建立覆盖危险废物产生、收集、贮存、运输、利用、处置等全过程、全链条式监管体系。完善联席会议制度</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促进信息共享。严格落实“网格化”监管</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深化网格长、网格监督员、监督执法人员、企业内部监管人员“一长三员”监管机制。建立危险废物环境风险区域联防联控机制。2.加大源头管控力度。严格执行危险废物名录管理制度</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动态更新危险废物环境重点监管单位清单。严把涉危险废物工业项目环境准入关</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落实工业危险废物排污许可制度。组织危险废物相关企业实施强制性清洁生产审核。鼓励生产者责任延伸</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支持研发、推广减少工业危险废物产生量和降低工业危险废物危害性的生产工艺和设备。3.规范危险废物收集转运。推动建立危险废物跨省转移“白名单”制度。开展工业园区危险废物收集转运试点。严格危险废物产生、运输、利用处置转移联单管理</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推动转移运输规范化和便捷化。支持危险废物专业收集转运</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利用处置单位和社会力量建设区域性收集网点和贮存设施。鼓励在有条件的高校集中区域开展实验室危险废物分类收集和预处理示范项目建设。6.强化危险废物环境风险防控能力。强化对危险废物收集、贮存、处置单位的监管</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严防危险废物超期超量贮存。推进智能化视频监控体系建设。在环境风险可控的前提下</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鼓励工业企业对产生的危险废物回收再利用处置</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开展“点对点”定向利用的危险废物经营许可豁免管理试点。</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1010E3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eastAsia="宋体" w:cs="Times New Roman"/>
                      <w:smallCaps w:val="0"/>
                      <w:color w:val="auto"/>
                      <w:spacing w:val="0"/>
                      <w:sz w:val="21"/>
                      <w:szCs w:val="21"/>
                      <w:highlight w:val="none"/>
                      <w:lang w:val="en-US" w:eastAsia="zh-CN"/>
                    </w:rPr>
                    <w:t>项目</w:t>
                  </w:r>
                  <w:r>
                    <w:rPr>
                      <w:rFonts w:hint="eastAsia" w:cs="Times New Roman"/>
                      <w:smallCaps w:val="0"/>
                      <w:color w:val="auto"/>
                      <w:spacing w:val="0"/>
                      <w:sz w:val="21"/>
                      <w:szCs w:val="21"/>
                      <w:highlight w:val="none"/>
                      <w:lang w:val="en-US" w:eastAsia="zh-CN"/>
                    </w:rPr>
                    <w:t>从产废环节、贮存、转运均全过程把控</w:t>
                  </w:r>
                  <w:r>
                    <w:rPr>
                      <w:rFonts w:hint="default" w:ascii="Times New Roman" w:hAnsi="Times New Roman" w:eastAsia="宋体" w:cs="Times New Roman"/>
                      <w:smallCaps w:val="0"/>
                      <w:color w:val="auto"/>
                      <w:spacing w:val="0"/>
                      <w:sz w:val="21"/>
                      <w:szCs w:val="21"/>
                      <w:highlight w:val="none"/>
                      <w:lang w:val="en-US" w:eastAsia="zh-CN"/>
                    </w:rPr>
                    <w:t>。项目要求危险废物转移严格按照《危险废物转移管理办法》（部令 第23号）中规定进行。</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0DCF58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r w14:paraId="2899D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8" w:type="pct"/>
                  <w:vMerge w:val="continue"/>
                  <w:tcBorders>
                    <w:left w:val="single" w:color="auto" w:sz="4" w:space="0"/>
                    <w:bottom w:val="single" w:color="auto" w:sz="4" w:space="0"/>
                    <w:right w:val="single" w:color="auto" w:sz="4" w:space="0"/>
                  </w:tcBorders>
                  <w:noWrap w:val="0"/>
                  <w:vAlign w:val="center"/>
                </w:tcPr>
                <w:p w14:paraId="058EB3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p>
              </w:tc>
              <w:tc>
                <w:tcPr>
                  <w:tcW w:w="28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AB9C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cs="Times New Roman"/>
                      <w:smallCaps w:val="0"/>
                      <w:snapToGrid w:val="0"/>
                      <w:color w:val="auto"/>
                      <w:spacing w:val="0"/>
                      <w:kern w:val="0"/>
                      <w:sz w:val="21"/>
                      <w:szCs w:val="21"/>
                      <w:highlight w:val="none"/>
                    </w:rPr>
                    <w:t>（三）提高固体废物综合利用水平。2.强化工业固体废物污染防治。持续开展非法和不规范堆存渣场排查整治</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建立排污单位工业固体废物管理台账。推行生产企业“逆向回收”等模式</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推动大宗工业固体废物贮存处置总量趋零增长。加快建设邯郸、唐山国家大宗固体废弃物综合利用基地</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推进综合利用产业集聚发展</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提升综合利用水平。</w:t>
                  </w:r>
                </w:p>
              </w:tc>
              <w:tc>
                <w:tcPr>
                  <w:tcW w:w="12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1B88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cs="Times New Roman"/>
                      <w:smallCaps w:val="0"/>
                      <w:snapToGrid w:val="0"/>
                      <w:color w:val="auto"/>
                      <w:spacing w:val="0"/>
                      <w:kern w:val="0"/>
                      <w:sz w:val="21"/>
                      <w:szCs w:val="21"/>
                      <w:highlight w:val="none"/>
                    </w:rPr>
                    <w:t>项目建立工业固体废物管理台账</w:t>
                  </w:r>
                  <w:r>
                    <w:rPr>
                      <w:rFonts w:hint="default" w:ascii="Times New Roman" w:hAnsi="Times New Roman" w:cs="Times New Roman"/>
                      <w:smallCaps w:val="0"/>
                      <w:snapToGrid w:val="0"/>
                      <w:color w:val="auto"/>
                      <w:spacing w:val="0"/>
                      <w:kern w:val="0"/>
                      <w:sz w:val="21"/>
                      <w:szCs w:val="21"/>
                      <w:highlight w:val="none"/>
                      <w:lang w:eastAsia="zh-CN"/>
                    </w:rPr>
                    <w:t>，</w:t>
                  </w:r>
                  <w:r>
                    <w:rPr>
                      <w:rFonts w:hint="default" w:ascii="Times New Roman" w:hAnsi="Times New Roman" w:cs="Times New Roman"/>
                      <w:smallCaps w:val="0"/>
                      <w:snapToGrid w:val="0"/>
                      <w:color w:val="auto"/>
                      <w:spacing w:val="0"/>
                      <w:kern w:val="0"/>
                      <w:sz w:val="21"/>
                      <w:szCs w:val="21"/>
                      <w:highlight w:val="none"/>
                    </w:rPr>
                    <w:t>产生的一般固废外售综合利用</w:t>
                  </w:r>
                  <w:r>
                    <w:rPr>
                      <w:rFonts w:hint="default" w:ascii="Times New Roman" w:hAnsi="Times New Roman" w:cs="Times New Roman"/>
                      <w:smallCaps w:val="0"/>
                      <w:snapToGrid w:val="0"/>
                      <w:color w:val="auto"/>
                      <w:spacing w:val="0"/>
                      <w:kern w:val="0"/>
                      <w:sz w:val="21"/>
                      <w:szCs w:val="21"/>
                      <w:highlight w:val="none"/>
                      <w:lang w:eastAsia="zh-CN"/>
                    </w:rPr>
                    <w:t>；</w:t>
                  </w:r>
                  <w:r>
                    <w:rPr>
                      <w:rFonts w:hint="eastAsia" w:cs="Times New Roman"/>
                      <w:smallCaps w:val="0"/>
                      <w:snapToGrid w:val="0"/>
                      <w:color w:val="auto"/>
                      <w:spacing w:val="0"/>
                      <w:kern w:val="0"/>
                      <w:sz w:val="21"/>
                      <w:szCs w:val="21"/>
                      <w:highlight w:val="none"/>
                      <w:lang w:val="en-US" w:eastAsia="zh-CN"/>
                    </w:rPr>
                    <w:t>项目产生的危险废物建立危险废物管理台账，产生危险废物均放置危废间后，交由有资质单位处置</w:t>
                  </w:r>
                  <w:r>
                    <w:rPr>
                      <w:rFonts w:hint="default" w:ascii="Times New Roman" w:hAnsi="Times New Roman" w:cs="Times New Roman"/>
                      <w:smallCaps w:val="0"/>
                      <w:snapToGrid w:val="0"/>
                      <w:color w:val="auto"/>
                      <w:spacing w:val="0"/>
                      <w:kern w:val="0"/>
                      <w:sz w:val="21"/>
                      <w:szCs w:val="21"/>
                      <w:highlight w:val="none"/>
                    </w:rPr>
                    <w:t>。</w:t>
                  </w:r>
                </w:p>
              </w:tc>
              <w:tc>
                <w:tcPr>
                  <w:tcW w:w="387" w:type="pct"/>
                  <w:tcBorders>
                    <w:top w:val="single" w:color="auto" w:sz="4" w:space="0"/>
                    <w:left w:val="single" w:color="auto" w:sz="4" w:space="0"/>
                    <w:bottom w:val="single" w:color="auto" w:sz="4" w:space="0"/>
                    <w:right w:val="single" w:color="auto" w:sz="8" w:space="0"/>
                  </w:tcBorders>
                  <w:noWrap w:val="0"/>
                  <w:vAlign w:val="center"/>
                </w:tcPr>
                <w:p w14:paraId="7449E1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w:t>
                  </w:r>
                </w:p>
              </w:tc>
            </w:tr>
          </w:tbl>
          <w:p w14:paraId="799DDB5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本项目符合《河北省生态环境保护“十四五”规划》（冀政字[2022]2号）</w:t>
            </w:r>
            <w:r>
              <w:rPr>
                <w:rFonts w:hint="default" w:ascii="Times New Roman" w:hAnsi="Times New Roman" w:cs="Times New Roman"/>
                <w:smallCaps w:val="0"/>
                <w:color w:val="auto"/>
                <w:spacing w:val="0"/>
                <w:highlight w:val="none"/>
                <w:lang w:val="en-US" w:eastAsia="zh-CN"/>
              </w:rPr>
              <w:t>要求。</w:t>
            </w:r>
          </w:p>
          <w:p w14:paraId="68C2706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w:t>
            </w:r>
            <w:r>
              <w:rPr>
                <w:rFonts w:hint="default" w:ascii="Times New Roman" w:hAnsi="Times New Roman" w:cs="Times New Roman"/>
                <w:smallCaps w:val="0"/>
                <w:color w:val="auto"/>
                <w:spacing w:val="0"/>
                <w:highlight w:val="none"/>
                <w:lang w:val="en-US" w:eastAsia="zh-CN"/>
              </w:rPr>
              <w:t>2</w:t>
            </w:r>
            <w:r>
              <w:rPr>
                <w:rFonts w:hint="default" w:ascii="Times New Roman" w:hAnsi="Times New Roman" w:cs="Times New Roman"/>
                <w:smallCaps w:val="0"/>
                <w:color w:val="auto"/>
                <w:spacing w:val="0"/>
                <w:highlight w:val="none"/>
              </w:rPr>
              <w:t>）项目与《石家庄市生态环境保护</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十四五</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规划》（石政函〔2022〕72号）符合性分析</w:t>
            </w:r>
          </w:p>
          <w:p w14:paraId="27BE3AE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项目与《石家庄市生态环境保护</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十四五</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规划》（石政函〔2022〕72号）符合性分析见表1-</w:t>
            </w:r>
            <w:r>
              <w:rPr>
                <w:rFonts w:hint="eastAsia" w:cs="Times New Roman"/>
                <w:smallCaps w:val="0"/>
                <w:color w:val="auto"/>
                <w:spacing w:val="0"/>
                <w:highlight w:val="none"/>
                <w:lang w:val="en-US" w:eastAsia="zh-CN"/>
              </w:rPr>
              <w:t>9</w:t>
            </w:r>
            <w:r>
              <w:rPr>
                <w:rFonts w:hint="default" w:ascii="Times New Roman" w:hAnsi="Times New Roman" w:cs="Times New Roman"/>
                <w:smallCaps w:val="0"/>
                <w:color w:val="auto"/>
                <w:spacing w:val="0"/>
                <w:highlight w:val="none"/>
                <w:lang w:val="en-US" w:eastAsia="zh-CN"/>
              </w:rPr>
              <w:t>。</w:t>
            </w:r>
          </w:p>
          <w:p w14:paraId="48193CC3">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9</w:t>
            </w:r>
            <w:r>
              <w:rPr>
                <w:rFonts w:hint="default" w:ascii="Times New Roman" w:hAnsi="Times New Roman" w:cs="Times New Roman"/>
                <w:smallCaps w:val="0"/>
                <w:color w:val="auto"/>
                <w:spacing w:val="0"/>
                <w:highlight w:val="none"/>
              </w:rPr>
              <w:t xml:space="preserve">    项目与《石家庄市生态环境保护“十四五”规划》（石政函〔2022〕72号）符合性分析一览表</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198"/>
              <w:gridCol w:w="1842"/>
              <w:gridCol w:w="592"/>
            </w:tblGrid>
            <w:tr w14:paraId="5A477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04" w:type="pct"/>
                  <w:tcBorders>
                    <w:top w:val="single" w:color="auto" w:sz="4" w:space="0"/>
                    <w:left w:val="single" w:color="auto" w:sz="4" w:space="0"/>
                    <w:bottom w:val="single" w:color="auto" w:sz="4" w:space="0"/>
                    <w:right w:val="single" w:color="auto" w:sz="4" w:space="0"/>
                  </w:tcBorders>
                  <w:noWrap w:val="0"/>
                  <w:vAlign w:val="center"/>
                </w:tcPr>
                <w:p w14:paraId="4F745D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相关内容要求</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5145EA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项目情况</w:t>
                  </w:r>
                </w:p>
              </w:tc>
              <w:tc>
                <w:tcPr>
                  <w:tcW w:w="388" w:type="pct"/>
                  <w:tcBorders>
                    <w:top w:val="single" w:color="auto" w:sz="4" w:space="0"/>
                    <w:left w:val="single" w:color="auto" w:sz="4" w:space="0"/>
                    <w:bottom w:val="single" w:color="auto" w:sz="4" w:space="0"/>
                    <w:right w:val="single" w:color="auto" w:sz="8" w:space="0"/>
                  </w:tcBorders>
                  <w:noWrap w:val="0"/>
                  <w:vAlign w:val="center"/>
                </w:tcPr>
                <w:p w14:paraId="53051B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符合性</w:t>
                  </w:r>
                </w:p>
              </w:tc>
            </w:tr>
            <w:tr w14:paraId="2E79C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04" w:type="pct"/>
                  <w:tcBorders>
                    <w:top w:val="single" w:color="auto" w:sz="4" w:space="0"/>
                    <w:left w:val="single" w:color="auto" w:sz="4" w:space="0"/>
                    <w:bottom w:val="single" w:color="auto" w:sz="4" w:space="0"/>
                    <w:right w:val="single" w:color="auto" w:sz="4" w:space="0"/>
                  </w:tcBorders>
                  <w:noWrap w:val="0"/>
                  <w:vAlign w:val="center"/>
                </w:tcPr>
                <w:p w14:paraId="6DCEA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三、健全优化开发政策</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统筹推动绿色低碳发展(二)着力优化功能布局</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加快产业绿色升级严格环境准入门槛</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全市禁止钢铁、焦化、水泥、平板玻璃、铸造（高端或精密铸造项目以及《产业结构调整指导目录（2019年本）》第一类鼓励类项目除外）、有色、炭素、钙镁、煤化工、陶瓷、砖瓦等行业新建、扩建单纯新增产能（搬迁升级改造项目和产能置换项目除外）的项目和企业。对搬迁升级改造项目的环境影响评价。应满足规划环评要求</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对本地过剩产能重点行业搬迁、改建项目</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实行大气污染物排放倍量替代。严格控制新增燃煤项目（产能置换项目除外）建设。</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05AAC2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项目属于</w:t>
                  </w:r>
                  <w:r>
                    <w:rPr>
                      <w:rFonts w:hint="eastAsia" w:cs="Times New Roman"/>
                      <w:smallCaps w:val="0"/>
                      <w:snapToGrid w:val="0"/>
                      <w:color w:val="auto"/>
                      <w:spacing w:val="0"/>
                      <w:kern w:val="0"/>
                      <w:sz w:val="21"/>
                      <w:szCs w:val="21"/>
                      <w:highlight w:val="none"/>
                      <w:lang w:eastAsia="zh-CN"/>
                    </w:rPr>
                    <w:t>《产业结构调整指导目录（2024年本）》</w:t>
                  </w:r>
                  <w:r>
                    <w:rPr>
                      <w:rFonts w:hint="default" w:ascii="Times New Roman" w:hAnsi="Times New Roman" w:cs="Times New Roman"/>
                      <w:smallCaps w:val="0"/>
                      <w:snapToGrid w:val="0"/>
                      <w:color w:val="auto"/>
                      <w:spacing w:val="0"/>
                      <w:kern w:val="0"/>
                      <w:sz w:val="21"/>
                      <w:szCs w:val="21"/>
                      <w:highlight w:val="none"/>
                      <w:lang w:val="en-US" w:eastAsia="zh-CN"/>
                    </w:rPr>
                    <w:t>允许</w:t>
                  </w:r>
                  <w:r>
                    <w:rPr>
                      <w:rFonts w:hint="default" w:ascii="Times New Roman" w:hAnsi="Times New Roman" w:eastAsia="宋体" w:cs="Times New Roman"/>
                      <w:smallCaps w:val="0"/>
                      <w:snapToGrid w:val="0"/>
                      <w:color w:val="auto"/>
                      <w:spacing w:val="0"/>
                      <w:kern w:val="0"/>
                      <w:sz w:val="21"/>
                      <w:szCs w:val="21"/>
                      <w:highlight w:val="none"/>
                    </w:rPr>
                    <w:t>类。</w:t>
                  </w:r>
                </w:p>
              </w:tc>
              <w:tc>
                <w:tcPr>
                  <w:tcW w:w="388" w:type="pct"/>
                  <w:tcBorders>
                    <w:top w:val="single" w:color="auto" w:sz="4" w:space="0"/>
                    <w:left w:val="single" w:color="auto" w:sz="4" w:space="0"/>
                    <w:bottom w:val="single" w:color="auto" w:sz="4" w:space="0"/>
                    <w:right w:val="single" w:color="auto" w:sz="8" w:space="0"/>
                  </w:tcBorders>
                  <w:noWrap w:val="0"/>
                  <w:vAlign w:val="center"/>
                </w:tcPr>
                <w:p w14:paraId="093649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符合</w:t>
                  </w:r>
                </w:p>
              </w:tc>
            </w:tr>
            <w:tr w14:paraId="450C0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04" w:type="pct"/>
                  <w:tcBorders>
                    <w:top w:val="single" w:color="auto" w:sz="4" w:space="0"/>
                    <w:left w:val="single" w:color="auto" w:sz="4" w:space="0"/>
                    <w:bottom w:val="single" w:color="auto" w:sz="4" w:space="0"/>
                    <w:right w:val="single" w:color="auto" w:sz="4" w:space="0"/>
                  </w:tcBorders>
                  <w:noWrap w:val="0"/>
                  <w:vAlign w:val="center"/>
                </w:tcPr>
                <w:p w14:paraId="29A0F1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三、健全优化开发政策</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统筹推动绿色低碳发展(三)加快调整能源结构</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打造低碳能源体系加快产业和能源结构调整。聚焦钢铁、建材、石化、化工、装备、医药、纺织、皮革等重点行业</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实施传统产业“千企绿色改造”助推“万企转型”加快发展新能源、新材料、新能源汽车等绿色新兴产业。优化工业用能结构</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严格控制钢铁、化工、平板玻璃等重点行业主要用煤行业煤炭消费</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提升清洁能源消费比重降低煤炭消费总量。鼓励电厂使用高热值煤炭</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优化发电方式</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进一步控制煤炭消耗。科学论证“以热定电”方案</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落实“碳达峰”方案</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以年度污染物排放目标任务</w:t>
                  </w:r>
                  <w:r>
                    <w:rPr>
                      <w:rFonts w:hint="eastAsia" w:cs="Times New Roman"/>
                      <w:smallCaps w:val="0"/>
                      <w:snapToGrid w:val="0"/>
                      <w:color w:val="auto"/>
                      <w:spacing w:val="0"/>
                      <w:kern w:val="0"/>
                      <w:sz w:val="21"/>
                      <w:szCs w:val="21"/>
                      <w:highlight w:val="none"/>
                      <w:lang w:val="en-US" w:eastAsia="zh-CN"/>
                    </w:rPr>
                    <w:t>核定</w:t>
                  </w:r>
                  <w:r>
                    <w:rPr>
                      <w:rFonts w:hint="default" w:ascii="Times New Roman" w:hAnsi="Times New Roman" w:eastAsia="宋体" w:cs="Times New Roman"/>
                      <w:smallCaps w:val="0"/>
                      <w:snapToGrid w:val="0"/>
                      <w:color w:val="auto"/>
                      <w:spacing w:val="0"/>
                      <w:kern w:val="0"/>
                      <w:sz w:val="21"/>
                      <w:szCs w:val="21"/>
                      <w:highlight w:val="none"/>
                    </w:rPr>
                    <w:t>用煤量</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有效压减电煤</w:t>
                  </w:r>
                  <w:r>
                    <w:rPr>
                      <w:rFonts w:hint="default" w:ascii="Times New Roman" w:hAnsi="Times New Roman" w:eastAsia="宋体"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增加外购电和绿电比例。</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6F75C1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项目不属于钢铁、建材、石化、化工、装备、医药、纺织、皮革等重点行业。</w:t>
                  </w:r>
                </w:p>
              </w:tc>
              <w:tc>
                <w:tcPr>
                  <w:tcW w:w="388" w:type="pct"/>
                  <w:tcBorders>
                    <w:top w:val="single" w:color="auto" w:sz="4" w:space="0"/>
                    <w:left w:val="single" w:color="auto" w:sz="4" w:space="0"/>
                    <w:bottom w:val="single" w:color="auto" w:sz="4" w:space="0"/>
                    <w:right w:val="single" w:color="auto" w:sz="8" w:space="0"/>
                  </w:tcBorders>
                  <w:noWrap w:val="0"/>
                  <w:vAlign w:val="center"/>
                </w:tcPr>
                <w:p w14:paraId="4105C0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符合</w:t>
                  </w:r>
                </w:p>
              </w:tc>
            </w:tr>
          </w:tbl>
          <w:p w14:paraId="1EA4EBD6">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本项目符合《石家庄市生态环境保护“十四五”规划》（石政函〔2022〕72号）</w:t>
            </w:r>
            <w:r>
              <w:rPr>
                <w:rFonts w:hint="default" w:ascii="Times New Roman" w:hAnsi="Times New Roman" w:cs="Times New Roman"/>
                <w:smallCaps w:val="0"/>
                <w:color w:val="auto"/>
                <w:spacing w:val="0"/>
                <w:highlight w:val="none"/>
                <w:lang w:val="en-US" w:eastAsia="zh-CN"/>
              </w:rPr>
              <w:t>要求</w:t>
            </w:r>
            <w:r>
              <w:rPr>
                <w:rFonts w:hint="eastAsia" w:cs="Times New Roman"/>
                <w:smallCaps w:val="0"/>
                <w:color w:val="auto"/>
                <w:spacing w:val="0"/>
                <w:highlight w:val="none"/>
                <w:lang w:val="en-US" w:eastAsia="zh-CN"/>
              </w:rPr>
              <w:t>。</w:t>
            </w:r>
          </w:p>
          <w:p w14:paraId="6F0A313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）项目与《河北省涉V</w:t>
            </w:r>
            <w:r>
              <w:rPr>
                <w:rFonts w:hint="eastAsia" w:cs="Times New Roman"/>
                <w:smallCaps w:val="0"/>
                <w:color w:val="auto"/>
                <w:spacing w:val="0"/>
                <w:highlight w:val="none"/>
                <w:lang w:val="en-US" w:eastAsia="zh-CN"/>
              </w:rPr>
              <w:t>O</w:t>
            </w:r>
            <w:r>
              <w:rPr>
                <w:rFonts w:hint="default" w:ascii="Times New Roman" w:hAnsi="Times New Roman" w:cs="Times New Roman"/>
                <w:smallCaps w:val="0"/>
                <w:color w:val="auto"/>
                <w:spacing w:val="0"/>
                <w:highlight w:val="none"/>
              </w:rPr>
              <w:t>Cs工业企业常用治理技术指南》符合性分析</w:t>
            </w:r>
          </w:p>
          <w:p w14:paraId="0CE8429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项目与《河北省涉V</w:t>
            </w:r>
            <w:r>
              <w:rPr>
                <w:rFonts w:hint="eastAsia" w:cs="Times New Roman"/>
                <w:smallCaps w:val="0"/>
                <w:color w:val="auto"/>
                <w:spacing w:val="0"/>
                <w:highlight w:val="none"/>
                <w:lang w:val="en-US" w:eastAsia="zh-CN"/>
              </w:rPr>
              <w:t>O</w:t>
            </w:r>
            <w:r>
              <w:rPr>
                <w:rFonts w:hint="default" w:ascii="Times New Roman" w:hAnsi="Times New Roman" w:cs="Times New Roman"/>
                <w:smallCaps w:val="0"/>
                <w:color w:val="auto"/>
                <w:spacing w:val="0"/>
                <w:highlight w:val="none"/>
              </w:rPr>
              <w:t>Cs工业企业常用治理技术指南》符合性分析见表1-</w:t>
            </w:r>
            <w:r>
              <w:rPr>
                <w:rFonts w:hint="eastAsia" w:cs="Times New Roman"/>
                <w:smallCaps w:val="0"/>
                <w:color w:val="auto"/>
                <w:spacing w:val="0"/>
                <w:highlight w:val="none"/>
                <w:lang w:val="en-US" w:eastAsia="zh-CN"/>
              </w:rPr>
              <w:t>10</w:t>
            </w:r>
            <w:r>
              <w:rPr>
                <w:rFonts w:hint="default" w:ascii="Times New Roman" w:hAnsi="Times New Roman" w:cs="Times New Roman"/>
                <w:smallCaps w:val="0"/>
                <w:color w:val="auto"/>
                <w:spacing w:val="0"/>
                <w:highlight w:val="none"/>
                <w:lang w:val="en-US" w:eastAsia="zh-CN"/>
              </w:rPr>
              <w:t>。</w:t>
            </w:r>
          </w:p>
          <w:p w14:paraId="21D4D2B0">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10</w:t>
            </w:r>
            <w:r>
              <w:rPr>
                <w:rFonts w:hint="default" w:ascii="Times New Roman" w:hAnsi="Times New Roman" w:cs="Times New Roman"/>
                <w:smallCaps w:val="0"/>
                <w:color w:val="auto"/>
                <w:spacing w:val="0"/>
                <w:highlight w:val="none"/>
              </w:rPr>
              <w:t xml:space="preserve">    项目与《河北省涉V</w:t>
            </w:r>
            <w:r>
              <w:rPr>
                <w:rFonts w:hint="eastAsia" w:cs="Times New Roman"/>
                <w:smallCaps w:val="0"/>
                <w:color w:val="auto"/>
                <w:spacing w:val="0"/>
                <w:highlight w:val="none"/>
                <w:lang w:val="en-US" w:eastAsia="zh-CN"/>
              </w:rPr>
              <w:t>O</w:t>
            </w:r>
            <w:r>
              <w:rPr>
                <w:rFonts w:hint="default" w:ascii="Times New Roman" w:hAnsi="Times New Roman" w:cs="Times New Roman"/>
                <w:smallCaps w:val="0"/>
                <w:color w:val="auto"/>
                <w:spacing w:val="0"/>
                <w:highlight w:val="none"/>
              </w:rPr>
              <w:t>Cs工业企业常用治理技术指南》符合性分析一览表</w:t>
            </w:r>
          </w:p>
          <w:tbl>
            <w:tblPr>
              <w:tblStyle w:val="47"/>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98"/>
              <w:gridCol w:w="4223"/>
              <w:gridCol w:w="1946"/>
              <w:gridCol w:w="553"/>
            </w:tblGrid>
            <w:tr w14:paraId="0DEEB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359" w:type="pct"/>
                  <w:gridSpan w:val="2"/>
                  <w:tcBorders>
                    <w:top w:val="single" w:color="auto" w:sz="4" w:space="0"/>
                    <w:left w:val="single" w:color="auto" w:sz="4" w:space="0"/>
                    <w:bottom w:val="single" w:color="auto" w:sz="4" w:space="0"/>
                    <w:right w:val="single" w:color="auto" w:sz="4" w:space="0"/>
                  </w:tcBorders>
                  <w:noWrap w:val="0"/>
                  <w:vAlign w:val="center"/>
                </w:tcPr>
                <w:p w14:paraId="31BE29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相关内容要求</w:t>
                  </w:r>
                </w:p>
              </w:tc>
              <w:tc>
                <w:tcPr>
                  <w:tcW w:w="1276" w:type="pct"/>
                  <w:tcBorders>
                    <w:top w:val="single" w:color="auto" w:sz="4" w:space="0"/>
                    <w:left w:val="single" w:color="auto" w:sz="4" w:space="0"/>
                    <w:bottom w:val="single" w:color="auto" w:sz="4" w:space="0"/>
                    <w:right w:val="single" w:color="auto" w:sz="4" w:space="0"/>
                  </w:tcBorders>
                  <w:noWrap w:val="0"/>
                  <w:vAlign w:val="center"/>
                </w:tcPr>
                <w:p w14:paraId="2E33B8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项目情况</w:t>
                  </w:r>
                </w:p>
              </w:tc>
              <w:tc>
                <w:tcPr>
                  <w:tcW w:w="363" w:type="pct"/>
                  <w:tcBorders>
                    <w:top w:val="single" w:color="auto" w:sz="4" w:space="0"/>
                    <w:left w:val="single" w:color="auto" w:sz="4" w:space="0"/>
                    <w:bottom w:val="single" w:color="auto" w:sz="4" w:space="0"/>
                    <w:right w:val="single" w:color="auto" w:sz="8" w:space="0"/>
                  </w:tcBorders>
                  <w:noWrap w:val="0"/>
                  <w:vAlign w:val="center"/>
                </w:tcPr>
                <w:p w14:paraId="7C1A14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符合性</w:t>
                  </w:r>
                </w:p>
              </w:tc>
            </w:tr>
            <w:tr w14:paraId="6F55E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89" w:type="pct"/>
                  <w:tcBorders>
                    <w:top w:val="single" w:color="auto" w:sz="4" w:space="0"/>
                    <w:left w:val="single" w:color="auto" w:sz="4" w:space="0"/>
                    <w:bottom w:val="single" w:color="auto" w:sz="4" w:space="0"/>
                    <w:right w:val="single" w:color="auto" w:sz="4" w:space="0"/>
                  </w:tcBorders>
                  <w:noWrap w:val="0"/>
                  <w:vAlign w:val="center"/>
                </w:tcPr>
                <w:p w14:paraId="7B7F72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选用原则</w:t>
                  </w:r>
                </w:p>
              </w:tc>
              <w:tc>
                <w:tcPr>
                  <w:tcW w:w="2770" w:type="pct"/>
                  <w:tcBorders>
                    <w:top w:val="single" w:color="auto" w:sz="4" w:space="0"/>
                    <w:left w:val="single" w:color="auto" w:sz="4" w:space="0"/>
                    <w:bottom w:val="single" w:color="auto" w:sz="4" w:space="0"/>
                    <w:right w:val="single" w:color="auto" w:sz="4" w:space="0"/>
                  </w:tcBorders>
                  <w:noWrap w:val="0"/>
                  <w:vAlign w:val="center"/>
                </w:tcPr>
                <w:p w14:paraId="7BF639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1.针对生产过程中产生的连续稳定VOCs废气宜选用固定床或转轮吸附处理技术，非连续性生产或产生浓度不稳定的VOCs废气宜选用固定床吸附处理技术。</w:t>
                  </w:r>
                </w:p>
                <w:p w14:paraId="383B53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eastAsia="zh-CN"/>
                    </w:rPr>
                  </w:pPr>
                  <w:r>
                    <w:rPr>
                      <w:rFonts w:hint="default" w:ascii="Times New Roman" w:hAnsi="Times New Roman" w:eastAsia="宋体" w:cs="Times New Roman"/>
                      <w:smallCaps w:val="0"/>
                      <w:snapToGrid w:val="0"/>
                      <w:color w:val="auto"/>
                      <w:spacing w:val="0"/>
                      <w:kern w:val="0"/>
                      <w:sz w:val="21"/>
                      <w:szCs w:val="21"/>
                      <w:highlight w:val="none"/>
                    </w:rPr>
                    <w:t>2.当废气VOCs浓度较高时，宜先采用冷凝、吸收等回收技术降低废气中VOCs含量，再选择适宜吸附技术</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采用固定床吸附技术时，当VOCs产生量&gt;500kg/年，宜配合具有再生、回收、销功能的组合处理技术</w:t>
                  </w:r>
                  <w:r>
                    <w:rPr>
                      <w:rFonts w:hint="eastAsia" w:cs="Times New Roman"/>
                      <w:smallCaps w:val="0"/>
                      <w:snapToGrid w:val="0"/>
                      <w:color w:val="auto"/>
                      <w:spacing w:val="0"/>
                      <w:kern w:val="0"/>
                      <w:sz w:val="21"/>
                      <w:szCs w:val="21"/>
                      <w:highlight w:val="none"/>
                      <w:lang w:eastAsia="zh-CN"/>
                    </w:rPr>
                    <w:t>。</w:t>
                  </w:r>
                </w:p>
                <w:p w14:paraId="7A06CA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eastAsia="zh-CN"/>
                    </w:rPr>
                  </w:pPr>
                  <w:r>
                    <w:rPr>
                      <w:rFonts w:hint="default" w:ascii="Times New Roman" w:hAnsi="Times New Roman" w:eastAsia="宋体" w:cs="Times New Roman"/>
                      <w:smallCaps w:val="0"/>
                      <w:snapToGrid w:val="0"/>
                      <w:color w:val="auto"/>
                      <w:spacing w:val="0"/>
                      <w:kern w:val="0"/>
                      <w:sz w:val="21"/>
                      <w:szCs w:val="21"/>
                      <w:highlight w:val="none"/>
                    </w:rPr>
                    <w:t>3.当废气中VOCs有回收价值时，根据情况宜选用水蒸气、热气流、氮气脱附等方法进行活性炭再生，脱附后的VOCs可采用冷凝或液体吸收技术进行富集回收，并确保不凝汽及未吸收废气达标排放</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当</w:t>
                  </w:r>
                  <w:r>
                    <w:rPr>
                      <w:rFonts w:hint="eastAsia" w:cs="Times New Roman"/>
                      <w:smallCaps w:val="0"/>
                      <w:snapToGrid w:val="0"/>
                      <w:color w:val="auto"/>
                      <w:spacing w:val="0"/>
                      <w:kern w:val="0"/>
                      <w:sz w:val="21"/>
                      <w:szCs w:val="21"/>
                      <w:highlight w:val="none"/>
                      <w:lang w:val="en-US" w:eastAsia="zh-CN"/>
                    </w:rPr>
                    <w:t>废气</w:t>
                  </w:r>
                  <w:r>
                    <w:rPr>
                      <w:rFonts w:hint="default" w:ascii="Times New Roman" w:hAnsi="Times New Roman" w:eastAsia="宋体" w:cs="Times New Roman"/>
                      <w:smallCaps w:val="0"/>
                      <w:snapToGrid w:val="0"/>
                      <w:color w:val="auto"/>
                      <w:spacing w:val="0"/>
                      <w:kern w:val="0"/>
                      <w:sz w:val="21"/>
                      <w:szCs w:val="21"/>
                      <w:highlight w:val="none"/>
                    </w:rPr>
                    <w:t>中的VOCs不宜回收时，宜采用燃烧工艺进行销毁</w:t>
                  </w:r>
                  <w:r>
                    <w:rPr>
                      <w:rFonts w:hint="eastAsia" w:cs="Times New Roman"/>
                      <w:smallCaps w:val="0"/>
                      <w:snapToGrid w:val="0"/>
                      <w:color w:val="auto"/>
                      <w:spacing w:val="0"/>
                      <w:kern w:val="0"/>
                      <w:sz w:val="21"/>
                      <w:szCs w:val="21"/>
                      <w:highlight w:val="none"/>
                      <w:lang w:eastAsia="zh-CN"/>
                    </w:rPr>
                    <w:t>。</w:t>
                  </w:r>
                </w:p>
                <w:p w14:paraId="39C50B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4.废气中含有SVOC(漆雾、油滴)及颗粒物时，应配备过滤电捕集等适宜高效前处理技术，最大限度减少SVOC及颗粒物对吸附材料的污染</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当废气中含有CVOC(卤化挥发性有机化合物)时，选用燃烧工艺进行销毁时应控制适宜燃烧温度及废气停留时间，监控二噁英等相关污染物的排放。</w:t>
                  </w:r>
                </w:p>
              </w:tc>
              <w:tc>
                <w:tcPr>
                  <w:tcW w:w="1276" w:type="pct"/>
                  <w:tcBorders>
                    <w:top w:val="single" w:color="auto" w:sz="4" w:space="0"/>
                    <w:left w:val="single" w:color="auto" w:sz="4" w:space="0"/>
                    <w:bottom w:val="single" w:color="auto" w:sz="4" w:space="0"/>
                    <w:right w:val="single" w:color="auto" w:sz="4" w:space="0"/>
                  </w:tcBorders>
                  <w:noWrap w:val="0"/>
                  <w:vAlign w:val="center"/>
                </w:tcPr>
                <w:p w14:paraId="7C7CB93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生产过程中产生的VOCs废气为连续稳定产生，项目废气VOCs（以非甲烷总烃计）浓度较低且无回收价值，不涉及漆雾、油滴，项目产生的非甲烷总烃、颗粒物经布袋除尘器+两级活性炭吸附装置处理后通过15m高排气筒排放，满足《工业企业挥发性有机物排放控制标准》（DB13/2322-2025）标准</w:t>
                  </w:r>
                  <w:r>
                    <w:rPr>
                      <w:rFonts w:hint="eastAsia" w:cs="Times New Roman"/>
                      <w:smallCaps w:val="0"/>
                      <w:snapToGrid w:val="0"/>
                      <w:color w:val="auto"/>
                      <w:spacing w:val="0"/>
                      <w:kern w:val="0"/>
                      <w:sz w:val="21"/>
                      <w:szCs w:val="21"/>
                      <w:highlight w:val="none"/>
                      <w:lang w:eastAsia="zh-CN"/>
                    </w:rPr>
                    <w:t>。</w:t>
                  </w:r>
                </w:p>
              </w:tc>
              <w:tc>
                <w:tcPr>
                  <w:tcW w:w="363" w:type="pct"/>
                  <w:tcBorders>
                    <w:top w:val="single" w:color="auto" w:sz="4" w:space="0"/>
                    <w:left w:val="single" w:color="auto" w:sz="4" w:space="0"/>
                    <w:bottom w:val="single" w:color="auto" w:sz="4" w:space="0"/>
                    <w:right w:val="single" w:color="auto" w:sz="8" w:space="0"/>
                  </w:tcBorders>
                  <w:noWrap w:val="0"/>
                  <w:vAlign w:val="center"/>
                </w:tcPr>
                <w:p w14:paraId="40139A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符合</w:t>
                  </w:r>
                </w:p>
              </w:tc>
            </w:tr>
          </w:tbl>
          <w:p w14:paraId="2F67D749">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本项目符合《河北省涉VOCs工业企业常用治理技术指南》</w:t>
            </w:r>
            <w:r>
              <w:rPr>
                <w:rFonts w:hint="default" w:ascii="Times New Roman" w:hAnsi="Times New Roman" w:cs="Times New Roman"/>
                <w:smallCaps w:val="0"/>
                <w:color w:val="auto"/>
                <w:spacing w:val="0"/>
                <w:highlight w:val="none"/>
                <w:lang w:val="en-US" w:eastAsia="zh-CN"/>
              </w:rPr>
              <w:t>要求</w:t>
            </w:r>
            <w:r>
              <w:rPr>
                <w:rFonts w:hint="eastAsia" w:cs="Times New Roman"/>
                <w:smallCaps w:val="0"/>
                <w:color w:val="auto"/>
                <w:spacing w:val="0"/>
                <w:highlight w:val="none"/>
                <w:lang w:val="en-US" w:eastAsia="zh-CN"/>
              </w:rPr>
              <w:t>。</w:t>
            </w:r>
          </w:p>
          <w:p w14:paraId="6E3ED41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val="en-US" w:eastAsia="zh-CN"/>
              </w:rPr>
              <w:t>4</w:t>
            </w:r>
            <w:r>
              <w:rPr>
                <w:rFonts w:hint="default" w:ascii="Times New Roman" w:hAnsi="Times New Roman" w:cs="Times New Roman"/>
                <w:smallCaps w:val="0"/>
                <w:color w:val="auto"/>
                <w:spacing w:val="0"/>
                <w:highlight w:val="none"/>
              </w:rPr>
              <w:t>）项目与《石家庄市涉VOC企业活性炭吸附脱附技术指南》符合性分析</w:t>
            </w:r>
          </w:p>
          <w:p w14:paraId="777E918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项目与《石家庄市涉VOC企业活性炭吸附脱附技术指南》符合性分析见表1-</w:t>
            </w:r>
            <w:r>
              <w:rPr>
                <w:rFonts w:hint="eastAsia" w:cs="Times New Roman"/>
                <w:smallCaps w:val="0"/>
                <w:color w:val="auto"/>
                <w:spacing w:val="0"/>
                <w:highlight w:val="none"/>
                <w:lang w:val="en-US" w:eastAsia="zh-CN"/>
              </w:rPr>
              <w:t>11</w:t>
            </w:r>
            <w:r>
              <w:rPr>
                <w:rFonts w:hint="default" w:ascii="Times New Roman" w:hAnsi="Times New Roman" w:cs="Times New Roman"/>
                <w:smallCaps w:val="0"/>
                <w:color w:val="auto"/>
                <w:spacing w:val="0"/>
                <w:highlight w:val="none"/>
                <w:lang w:val="en-US" w:eastAsia="zh-CN"/>
              </w:rPr>
              <w:t>。</w:t>
            </w:r>
          </w:p>
          <w:p w14:paraId="2057138D">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表1-</w:t>
            </w:r>
            <w:r>
              <w:rPr>
                <w:rFonts w:hint="eastAsia" w:cs="Times New Roman"/>
                <w:smallCaps w:val="0"/>
                <w:color w:val="auto"/>
                <w:spacing w:val="0"/>
                <w:highlight w:val="none"/>
                <w:lang w:val="en-US" w:eastAsia="zh-CN"/>
              </w:rPr>
              <w:t>11</w:t>
            </w:r>
            <w:r>
              <w:rPr>
                <w:rFonts w:hint="default" w:ascii="Times New Roman" w:hAnsi="Times New Roman" w:cs="Times New Roman"/>
                <w:smallCaps w:val="0"/>
                <w:color w:val="auto"/>
                <w:spacing w:val="0"/>
                <w:highlight w:val="none"/>
              </w:rPr>
              <w:t xml:space="preserve">    项目与《石家庄市涉VOC企业活性炭吸附脱附技术指南》符合性分析一览表</w:t>
            </w:r>
          </w:p>
          <w:tbl>
            <w:tblPr>
              <w:tblStyle w:val="47"/>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96"/>
              <w:gridCol w:w="4225"/>
              <w:gridCol w:w="1945"/>
              <w:gridCol w:w="554"/>
            </w:tblGrid>
            <w:tr w14:paraId="3E8E2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359" w:type="pct"/>
                  <w:gridSpan w:val="2"/>
                  <w:tcBorders>
                    <w:top w:val="single" w:color="auto" w:sz="4" w:space="0"/>
                    <w:left w:val="single" w:color="auto" w:sz="4" w:space="0"/>
                    <w:bottom w:val="single" w:color="auto" w:sz="4" w:space="0"/>
                    <w:right w:val="single" w:color="auto" w:sz="4" w:space="0"/>
                  </w:tcBorders>
                  <w:noWrap w:val="0"/>
                  <w:vAlign w:val="center"/>
                </w:tcPr>
                <w:p w14:paraId="6C72CE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相关内容要求</w:t>
                  </w:r>
                </w:p>
              </w:tc>
              <w:tc>
                <w:tcPr>
                  <w:tcW w:w="1276" w:type="pct"/>
                  <w:tcBorders>
                    <w:top w:val="single" w:color="auto" w:sz="4" w:space="0"/>
                    <w:left w:val="single" w:color="auto" w:sz="4" w:space="0"/>
                    <w:bottom w:val="single" w:color="auto" w:sz="4" w:space="0"/>
                    <w:right w:val="single" w:color="auto" w:sz="4" w:space="0"/>
                  </w:tcBorders>
                  <w:noWrap w:val="0"/>
                  <w:vAlign w:val="center"/>
                </w:tcPr>
                <w:p w14:paraId="1D51C0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项目情况</w:t>
                  </w:r>
                </w:p>
              </w:tc>
              <w:tc>
                <w:tcPr>
                  <w:tcW w:w="363" w:type="pct"/>
                  <w:tcBorders>
                    <w:top w:val="single" w:color="auto" w:sz="4" w:space="0"/>
                    <w:left w:val="single" w:color="auto" w:sz="4" w:space="0"/>
                    <w:bottom w:val="single" w:color="auto" w:sz="4" w:space="0"/>
                    <w:right w:val="single" w:color="auto" w:sz="8" w:space="0"/>
                  </w:tcBorders>
                  <w:noWrap w:val="0"/>
                  <w:vAlign w:val="center"/>
                </w:tcPr>
                <w:p w14:paraId="06C45A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snapToGrid w:val="0"/>
                      <w:color w:val="auto"/>
                      <w:spacing w:val="0"/>
                      <w:kern w:val="0"/>
                      <w:sz w:val="21"/>
                      <w:szCs w:val="21"/>
                      <w:highlight w:val="none"/>
                    </w:rPr>
                  </w:pPr>
                  <w:r>
                    <w:rPr>
                      <w:rFonts w:hint="default" w:ascii="Times New Roman" w:hAnsi="Times New Roman" w:cs="Times New Roman"/>
                      <w:smallCaps w:val="0"/>
                      <w:snapToGrid w:val="0"/>
                      <w:color w:val="auto"/>
                      <w:spacing w:val="0"/>
                      <w:kern w:val="0"/>
                      <w:sz w:val="21"/>
                      <w:szCs w:val="21"/>
                      <w:highlight w:val="none"/>
                    </w:rPr>
                    <w:t>符合性</w:t>
                  </w:r>
                </w:p>
              </w:tc>
            </w:tr>
            <w:tr w14:paraId="1C8EF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tcBorders>
                    <w:top w:val="single" w:color="auto" w:sz="4" w:space="0"/>
                    <w:left w:val="single" w:color="auto" w:sz="4" w:space="0"/>
                    <w:bottom w:val="single" w:color="auto" w:sz="4" w:space="0"/>
                    <w:right w:val="single" w:color="auto" w:sz="4" w:space="0"/>
                  </w:tcBorders>
                  <w:noWrap w:val="0"/>
                  <w:vAlign w:val="center"/>
                </w:tcPr>
                <w:p w14:paraId="024E70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活性炭吸附技术要求</w:t>
                  </w:r>
                </w:p>
              </w:tc>
              <w:tc>
                <w:tcPr>
                  <w:tcW w:w="2770" w:type="pct"/>
                  <w:tcBorders>
                    <w:top w:val="single" w:color="auto" w:sz="4" w:space="0"/>
                    <w:left w:val="single" w:color="auto" w:sz="4" w:space="0"/>
                    <w:bottom w:val="single" w:color="auto" w:sz="4" w:space="0"/>
                    <w:right w:val="single" w:color="auto" w:sz="4" w:space="0"/>
                  </w:tcBorders>
                  <w:noWrap w:val="0"/>
                  <w:vAlign w:val="center"/>
                </w:tcPr>
                <w:p w14:paraId="2A1D9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本技术指南适用于规范使用活性炭吸附、活性炭吸附-催化燃烧、活性炭吸附-移动再生工艺治理VOCs的相关技术，企业应按照实际需求进行工艺选择。生产过程中连续稳定产生的废气可以采用固定床或转轮吸附等吸附装置，非连续性产生或浓度不稳定的废气宜采用固定床吸附装置。</w:t>
                  </w:r>
                </w:p>
                <w:p w14:paraId="7B107F2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eastAsia="zh-CN"/>
                    </w:rPr>
                  </w:pPr>
                  <w:r>
                    <w:rPr>
                      <w:rFonts w:hint="default" w:ascii="Times New Roman" w:hAnsi="Times New Roman" w:eastAsia="宋体" w:cs="Times New Roman"/>
                      <w:smallCaps w:val="0"/>
                      <w:snapToGrid w:val="0"/>
                      <w:color w:val="auto"/>
                      <w:spacing w:val="0"/>
                      <w:kern w:val="0"/>
                      <w:sz w:val="21"/>
                      <w:szCs w:val="21"/>
                      <w:highlight w:val="none"/>
                    </w:rPr>
                    <w:t>当采用固定床时，尽量选用有原位脱附功能的活性炭吸附技术</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当废气中有机物有回收价值时，可根据情况采用水蒸气再生、热气流再生、氮气脱附等方法，脱附后的有机气体可采用冷凝或液体吸收工艺进行回收</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当废气中的有机物不宜回收时</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脱附产生的有机气体采用燃烧工艺进行销毁</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废气中有机物浓度、温度较高时，宜先采用冷凝工艺对废气进行处理后，再进行吸附</w:t>
                  </w:r>
                  <w:r>
                    <w:rPr>
                      <w:rFonts w:hint="eastAsia" w:cs="Times New Roman"/>
                      <w:smallCaps w:val="0"/>
                      <w:snapToGrid w:val="0"/>
                      <w:color w:val="auto"/>
                      <w:spacing w:val="0"/>
                      <w:kern w:val="0"/>
                      <w:sz w:val="21"/>
                      <w:szCs w:val="21"/>
                      <w:highlight w:val="none"/>
                      <w:lang w:eastAsia="zh-CN"/>
                    </w:rPr>
                    <w:t>：</w:t>
                  </w:r>
                  <w:r>
                    <w:rPr>
                      <w:rFonts w:hint="default" w:ascii="Times New Roman" w:hAnsi="Times New Roman" w:eastAsia="宋体" w:cs="Times New Roman"/>
                      <w:smallCaps w:val="0"/>
                      <w:snapToGrid w:val="0"/>
                      <w:color w:val="auto"/>
                      <w:spacing w:val="0"/>
                      <w:kern w:val="0"/>
                      <w:sz w:val="21"/>
                      <w:szCs w:val="21"/>
                      <w:highlight w:val="none"/>
                    </w:rPr>
                    <w:t>原则上废气中有机物主要成分沸点&gt;100℃或废气中颗粒物、油滴、湿度较高的，不建议直接使用活性炭吸附</w:t>
                  </w:r>
                  <w:r>
                    <w:rPr>
                      <w:rFonts w:hint="eastAsia" w:cs="Times New Roman"/>
                      <w:smallCaps w:val="0"/>
                      <w:snapToGrid w:val="0"/>
                      <w:color w:val="auto"/>
                      <w:spacing w:val="0"/>
                      <w:kern w:val="0"/>
                      <w:sz w:val="21"/>
                      <w:szCs w:val="21"/>
                      <w:highlight w:val="none"/>
                      <w:lang w:val="en-US" w:eastAsia="zh-CN"/>
                    </w:rPr>
                    <w:t>工艺。</w:t>
                  </w:r>
                </w:p>
                <w:p w14:paraId="6BE144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一、工艺要求</w:t>
                  </w:r>
                </w:p>
                <w:p w14:paraId="316B71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1.活性炭吸附技术设备应按照经规定程序批准的图纸和技术文件加工制造，设备便于安装、保养与维护。</w:t>
                  </w:r>
                </w:p>
                <w:p w14:paraId="7FCEC0E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eastAsia="zh-CN"/>
                    </w:rPr>
                  </w:pPr>
                  <w:r>
                    <w:rPr>
                      <w:rFonts w:hint="default" w:ascii="Times New Roman" w:hAnsi="Times New Roman" w:eastAsia="宋体" w:cs="Times New Roman"/>
                      <w:smallCaps w:val="0"/>
                      <w:snapToGrid w:val="0"/>
                      <w:color w:val="auto"/>
                      <w:spacing w:val="0"/>
                      <w:kern w:val="0"/>
                      <w:sz w:val="21"/>
                      <w:szCs w:val="21"/>
                      <w:highlight w:val="none"/>
                    </w:rPr>
                    <w:t>2.活性炭吸附技术设备使用环境</w:t>
                  </w:r>
                  <w:r>
                    <w:rPr>
                      <w:rFonts w:hint="eastAsia" w:cs="Times New Roman"/>
                      <w:smallCaps w:val="0"/>
                      <w:snapToGrid w:val="0"/>
                      <w:color w:val="auto"/>
                      <w:spacing w:val="0"/>
                      <w:kern w:val="0"/>
                      <w:sz w:val="21"/>
                      <w:szCs w:val="21"/>
                      <w:highlight w:val="none"/>
                      <w:lang w:eastAsia="zh-CN"/>
                    </w:rPr>
                    <w:t>：</w:t>
                  </w:r>
                </w:p>
                <w:p w14:paraId="2A03B9E2">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(1)环境温度：-10℃~50℃；</w:t>
                  </w:r>
                </w:p>
                <w:p w14:paraId="21A40E68">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(2)废气温、湿度：废气温度≤40℃，湿度RH≤50%。</w:t>
                  </w:r>
                </w:p>
                <w:p w14:paraId="7B044B14">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3.要求活性炭吸附环保设备制造商应具备专业设计能力，设施完备的生产车间、装配车间等硬件设施，完善的管理制度及规范，必要的检验、试验设备，且能独立完成产品的出厂试验。</w:t>
                  </w:r>
                </w:p>
                <w:p w14:paraId="19186DBD">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4.活性炭技术环保设施各处理单元的处理能力应根据废气的实测排放量确定，每个实际处理单元的处理能力应按照最大废气实测排放量的120%进行设计。</w:t>
                  </w:r>
                </w:p>
                <w:p w14:paraId="39E43D7D">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5.设备部件的结构设计合理，气体流通顺畅、无短路、无死角。</w:t>
                  </w:r>
                </w:p>
                <w:p w14:paraId="092477B7">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6.排放风机宜安装在设备后端，使设备形成负压，在设备密封性能良好情况下允许前置风机，尽量保证无污染气体泄漏到设备箱罐体体外，风机选型时应考虑收集及环保设施阻力。</w:t>
                  </w:r>
                </w:p>
                <w:p w14:paraId="1BBA4B7E">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7.活性炭技术处理装置应先于产生废气的生产工艺设备开启、晚于生产工艺设备停机，有条件的可实现与生产装置的连锁控制。</w:t>
                  </w:r>
                </w:p>
                <w:p w14:paraId="2E32547E">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8.活性炭相关技术设施前应安装过滤处理系统，企业应制定定期更换过滤材料的设备运行维护规程，保障活性炭在低颗粒物、低含水率条件下使用。</w:t>
                  </w:r>
                </w:p>
                <w:p w14:paraId="5CDBC7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9.采用活性炭吸附装置的企业应配备VOCs快速监测设备，活性炭吸附相关技术处理装置应在设备进气和出气管道上设置气体采样口，采样口的设置应符合《环境保护产品技术要求工业废气吸附净化装置HJT3862007》的要求，便于日常监测活性炭吸附效率，当出口废气浓度≥排放限值的70%时，应及时更换活性炭，并做好相应台账更换记录及危废入库记录。</w:t>
                  </w:r>
                </w:p>
              </w:tc>
              <w:tc>
                <w:tcPr>
                  <w:tcW w:w="1276" w:type="pct"/>
                  <w:tcBorders>
                    <w:top w:val="single" w:color="auto" w:sz="4" w:space="0"/>
                    <w:left w:val="single" w:color="auto" w:sz="4" w:space="0"/>
                    <w:bottom w:val="single" w:color="auto" w:sz="4" w:space="0"/>
                    <w:right w:val="single" w:color="auto" w:sz="4" w:space="0"/>
                  </w:tcBorders>
                  <w:noWrap w:val="0"/>
                  <w:vAlign w:val="center"/>
                </w:tcPr>
                <w:p w14:paraId="5FBDBE64">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项目生产过程中为连续稳定产生的废气，采取固定床吸附装置；项目不采用脱附装置，废气中有机物无回收价值，定期更换废活性炭，废活性炭交由有资质单位处置；项目有机物浓度较低。</w:t>
                  </w:r>
                </w:p>
                <w:p w14:paraId="403103F7">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项目采用布袋除尘器+两级活性炭吸附装置，设备厂家已按照</w:t>
                  </w:r>
                  <w:r>
                    <w:rPr>
                      <w:rFonts w:hint="default" w:ascii="Times New Roman" w:hAnsi="Times New Roman" w:eastAsia="宋体" w:cs="Times New Roman"/>
                      <w:smallCaps w:val="0"/>
                      <w:snapToGrid w:val="0"/>
                      <w:color w:val="auto"/>
                      <w:spacing w:val="0"/>
                      <w:kern w:val="0"/>
                      <w:sz w:val="21"/>
                      <w:szCs w:val="21"/>
                      <w:highlight w:val="none"/>
                    </w:rPr>
                    <w:t>经规定程序批准的图纸和技术文件加工制造</w:t>
                  </w:r>
                  <w:r>
                    <w:rPr>
                      <w:rFonts w:hint="eastAsia" w:cs="Times New Roman"/>
                      <w:smallCaps w:val="0"/>
                      <w:snapToGrid w:val="0"/>
                      <w:color w:val="auto"/>
                      <w:spacing w:val="0"/>
                      <w:kern w:val="0"/>
                      <w:sz w:val="21"/>
                      <w:szCs w:val="21"/>
                      <w:highlight w:val="none"/>
                      <w:lang w:eastAsia="zh-CN"/>
                    </w:rPr>
                    <w:t>。</w:t>
                  </w:r>
                </w:p>
                <w:p w14:paraId="2C3E784A">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项目两级活性炭吸附环境温度满足</w:t>
                  </w:r>
                  <w:r>
                    <w:rPr>
                      <w:rFonts w:hint="eastAsia" w:cs="Times New Roman"/>
                      <w:smallCaps w:val="0"/>
                      <w:snapToGrid w:val="0"/>
                      <w:color w:val="auto"/>
                      <w:spacing w:val="0"/>
                      <w:kern w:val="0"/>
                      <w:sz w:val="21"/>
                      <w:szCs w:val="21"/>
                      <w:highlight w:val="none"/>
                      <w:lang w:eastAsia="zh-CN"/>
                    </w:rPr>
                    <w:t>-10℃~50℃；</w:t>
                  </w:r>
                  <w:r>
                    <w:rPr>
                      <w:rFonts w:hint="eastAsia" w:cs="Times New Roman"/>
                      <w:smallCaps w:val="0"/>
                      <w:snapToGrid w:val="0"/>
                      <w:color w:val="auto"/>
                      <w:spacing w:val="0"/>
                      <w:kern w:val="0"/>
                      <w:sz w:val="21"/>
                      <w:szCs w:val="21"/>
                      <w:highlight w:val="none"/>
                      <w:lang w:val="en-US" w:eastAsia="zh-CN"/>
                    </w:rPr>
                    <w:t>废气温度</w:t>
                  </w:r>
                  <w:r>
                    <w:rPr>
                      <w:rFonts w:hint="eastAsia" w:cs="Times New Roman"/>
                      <w:smallCaps w:val="0"/>
                      <w:snapToGrid w:val="0"/>
                      <w:color w:val="auto"/>
                      <w:spacing w:val="0"/>
                      <w:kern w:val="0"/>
                      <w:sz w:val="21"/>
                      <w:szCs w:val="21"/>
                      <w:highlight w:val="none"/>
                      <w:lang w:eastAsia="zh-CN"/>
                    </w:rPr>
                    <w:t>≤40℃，湿度RH≤50%。</w:t>
                  </w:r>
                </w:p>
                <w:p w14:paraId="3C3B0DFE">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项目选用有行业经验的活性炭吸附环保设备制造商。选用的设备带出厂合格证。</w:t>
                  </w:r>
                </w:p>
                <w:p w14:paraId="1C1FAFC9">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w:t>
                  </w:r>
                  <w:r>
                    <w:rPr>
                      <w:rFonts w:hint="eastAsia" w:cs="Times New Roman"/>
                      <w:smallCaps w:val="0"/>
                      <w:snapToGrid w:val="0"/>
                      <w:color w:val="auto"/>
                      <w:spacing w:val="0"/>
                      <w:kern w:val="0"/>
                      <w:sz w:val="21"/>
                      <w:szCs w:val="21"/>
                      <w:highlight w:val="none"/>
                      <w:lang w:eastAsia="zh-CN"/>
                    </w:rPr>
                    <w:t>按照最大废气实测排放量的120%进行设计。</w:t>
                  </w:r>
                </w:p>
                <w:p w14:paraId="3E5DF4D9">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项目设备厂家需保证</w:t>
                  </w:r>
                  <w:r>
                    <w:rPr>
                      <w:rFonts w:hint="eastAsia" w:cs="Times New Roman"/>
                      <w:smallCaps w:val="0"/>
                      <w:snapToGrid w:val="0"/>
                      <w:color w:val="auto"/>
                      <w:spacing w:val="0"/>
                      <w:kern w:val="0"/>
                      <w:sz w:val="21"/>
                      <w:szCs w:val="21"/>
                      <w:highlight w:val="none"/>
                      <w:lang w:eastAsia="zh-CN"/>
                    </w:rPr>
                    <w:t>设备部件的结构设计合理，气体流通顺畅、无短路、无死角。</w:t>
                  </w:r>
                </w:p>
                <w:p w14:paraId="30F452BB">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排放风机安装在设备后端，使设备形成负压，风机选型时考虑收集及环保设施阻力。</w:t>
                  </w:r>
                </w:p>
                <w:p w14:paraId="0C5F34BF">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活性炭技术处理装置先于产生废气的生产工艺设备开启、晚于生产工艺设备停机。</w:t>
                  </w:r>
                </w:p>
                <w:p w14:paraId="4BA3CCEF">
                  <w:pPr>
                    <w:keepNext w:val="0"/>
                    <w:keepLines w:val="0"/>
                    <w:suppressLineNumbers w:val="0"/>
                    <w:adjustRightInd w:val="0"/>
                    <w:snapToGrid w:val="0"/>
                    <w:spacing w:before="0" w:beforeAutospacing="0" w:after="0" w:afterAutospacing="0"/>
                    <w:ind w:left="0" w:right="0"/>
                    <w:jc w:val="center"/>
                    <w:rPr>
                      <w:rFonts w:hint="default"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项目采用布袋除尘器+两级活性炭吸附装置，前置布袋除尘器进行吸附，保障活性炭正产运转。</w:t>
                  </w:r>
                </w:p>
                <w:p w14:paraId="59740F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项目因浓度较低，不在</w:t>
                  </w:r>
                  <w:r>
                    <w:rPr>
                      <w:rFonts w:hint="eastAsia" w:cs="Times New Roman"/>
                      <w:smallCaps w:val="0"/>
                      <w:snapToGrid w:val="0"/>
                      <w:color w:val="auto"/>
                      <w:spacing w:val="0"/>
                      <w:kern w:val="0"/>
                      <w:sz w:val="21"/>
                      <w:szCs w:val="21"/>
                      <w:highlight w:val="none"/>
                      <w:lang w:eastAsia="zh-CN"/>
                    </w:rPr>
                    <w:t>配备VOCs快速监测设备。</w:t>
                  </w:r>
                </w:p>
              </w:tc>
              <w:tc>
                <w:tcPr>
                  <w:tcW w:w="363" w:type="pct"/>
                  <w:tcBorders>
                    <w:top w:val="single" w:color="auto" w:sz="4" w:space="0"/>
                    <w:left w:val="single" w:color="auto" w:sz="4" w:space="0"/>
                    <w:bottom w:val="single" w:color="auto" w:sz="4" w:space="0"/>
                    <w:right w:val="single" w:color="auto" w:sz="8" w:space="0"/>
                  </w:tcBorders>
                  <w:noWrap w:val="0"/>
                  <w:vAlign w:val="center"/>
                </w:tcPr>
                <w:p w14:paraId="1FE4A8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rPr>
                  </w:pPr>
                  <w:r>
                    <w:rPr>
                      <w:rFonts w:hint="default" w:ascii="Times New Roman" w:hAnsi="Times New Roman" w:eastAsia="宋体" w:cs="Times New Roman"/>
                      <w:smallCaps w:val="0"/>
                      <w:snapToGrid w:val="0"/>
                      <w:color w:val="auto"/>
                      <w:spacing w:val="0"/>
                      <w:kern w:val="0"/>
                      <w:sz w:val="21"/>
                      <w:szCs w:val="21"/>
                      <w:highlight w:val="none"/>
                    </w:rPr>
                    <w:t>符合</w:t>
                  </w:r>
                </w:p>
              </w:tc>
            </w:tr>
            <w:tr w14:paraId="1C9B1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tcBorders>
                    <w:top w:val="single" w:color="auto" w:sz="4" w:space="0"/>
                    <w:left w:val="single" w:color="auto" w:sz="4" w:space="0"/>
                    <w:bottom w:val="single" w:color="auto" w:sz="4" w:space="0"/>
                    <w:right w:val="single" w:color="auto" w:sz="4" w:space="0"/>
                  </w:tcBorders>
                  <w:noWrap w:val="0"/>
                  <w:vAlign w:val="center"/>
                </w:tcPr>
                <w:p w14:paraId="0F40E913">
                  <w:pPr>
                    <w:keepNext w:val="0"/>
                    <w:keepLines w:val="0"/>
                    <w:suppressLineNumbers w:val="0"/>
                    <w:adjustRightInd w:val="0"/>
                    <w:snapToGrid w:val="0"/>
                    <w:spacing w:before="0" w:beforeAutospacing="0" w:after="0" w:afterAutospacing="0"/>
                    <w:ind w:left="0" w:right="0"/>
                    <w:jc w:val="center"/>
                    <w:rPr>
                      <w:rFonts w:hint="default"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活性炭</w:t>
                  </w:r>
                </w:p>
              </w:tc>
              <w:tc>
                <w:tcPr>
                  <w:tcW w:w="2770" w:type="pct"/>
                  <w:tcBorders>
                    <w:top w:val="single" w:color="auto" w:sz="4" w:space="0"/>
                    <w:left w:val="single" w:color="auto" w:sz="4" w:space="0"/>
                    <w:bottom w:val="single" w:color="auto" w:sz="4" w:space="0"/>
                    <w:right w:val="single" w:color="auto" w:sz="4" w:space="0"/>
                  </w:tcBorders>
                  <w:noWrap w:val="0"/>
                  <w:vAlign w:val="center"/>
                </w:tcPr>
                <w:p w14:paraId="2630219E">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一、过滤+活性炭吸附工艺</w:t>
                  </w:r>
                </w:p>
                <w:p w14:paraId="69E71ADA">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1.基本要求</w:t>
                  </w:r>
                </w:p>
                <w:p w14:paraId="3947997B">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活性炭吸附装置，应提前落实场地空间、活性炭使用周期、运行费用及安全问额，设备安装位置应方便定期运维及更换活性炭材料。</w:t>
                  </w:r>
                </w:p>
                <w:p w14:paraId="77D32D52">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2.性能要求</w:t>
                  </w:r>
                </w:p>
                <w:p w14:paraId="6751A3A5">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(1)活性炭过滤箱结构设计合理，不得让未经过滤的气体进入后续工艺流程：多层过滤材料应按照过滤等级高低随气体流动方向由低到高布置，各层过滤材料应间隔一定距离布置，最后一级应选用高于F7等级过滤材料，过滤后尾气中颗粒物含量&lt;1mg</w:t>
                  </w:r>
                  <w:r>
                    <w:rPr>
                      <w:rFonts w:hint="eastAsia" w:cs="Times New Roman"/>
                      <w:smallCaps w:val="0"/>
                      <w:snapToGrid w:val="0"/>
                      <w:color w:val="auto"/>
                      <w:spacing w:val="0"/>
                      <w:kern w:val="0"/>
                      <w:sz w:val="21"/>
                      <w:szCs w:val="21"/>
                      <w:highlight w:val="none"/>
                      <w:lang w:val="en-US" w:eastAsia="zh-CN"/>
                    </w:rPr>
                    <w:t>/</w:t>
                  </w:r>
                  <w:r>
                    <w:rPr>
                      <w:rFonts w:hint="eastAsia" w:cs="Times New Roman"/>
                      <w:smallCaps w:val="0"/>
                      <w:snapToGrid w:val="0"/>
                      <w:color w:val="auto"/>
                      <w:spacing w:val="0"/>
                      <w:kern w:val="0"/>
                      <w:sz w:val="21"/>
                      <w:szCs w:val="21"/>
                      <w:highlight w:val="none"/>
                      <w:lang w:eastAsia="zh-CN"/>
                    </w:rPr>
                    <w:t>m</w:t>
                  </w:r>
                  <w:r>
                    <w:rPr>
                      <w:rFonts w:hint="eastAsia" w:cs="Times New Roman"/>
                      <w:smallCaps w:val="0"/>
                      <w:snapToGrid w:val="0"/>
                      <w:color w:val="auto"/>
                      <w:spacing w:val="0"/>
                      <w:kern w:val="0"/>
                      <w:sz w:val="21"/>
                      <w:szCs w:val="21"/>
                      <w:highlight w:val="none"/>
                      <w:vertAlign w:val="superscript"/>
                      <w:lang w:eastAsia="zh-CN"/>
                    </w:rPr>
                    <w:t>3</w:t>
                  </w:r>
                  <w:r>
                    <w:rPr>
                      <w:rFonts w:hint="eastAsia" w:cs="Times New Roman"/>
                      <w:smallCaps w:val="0"/>
                      <w:snapToGrid w:val="0"/>
                      <w:color w:val="auto"/>
                      <w:spacing w:val="0"/>
                      <w:kern w:val="0"/>
                      <w:sz w:val="21"/>
                      <w:szCs w:val="21"/>
                      <w:highlight w:val="none"/>
                      <w:lang w:eastAsia="zh-CN"/>
                    </w:rPr>
                    <w:t>。过滤箱应有压差计，压力过大时及时更换并记录。</w:t>
                  </w:r>
                </w:p>
                <w:p w14:paraId="27326E43">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(2)活性炭填充量与每小时处理废气量体积之比应不小于1：5000，每1万Nm</w:t>
                  </w:r>
                  <w:r>
                    <w:rPr>
                      <w:rFonts w:hint="eastAsia" w:cs="Times New Roman"/>
                      <w:smallCaps w:val="0"/>
                      <w:snapToGrid w:val="0"/>
                      <w:color w:val="auto"/>
                      <w:spacing w:val="0"/>
                      <w:kern w:val="0"/>
                      <w:sz w:val="21"/>
                      <w:szCs w:val="21"/>
                      <w:highlight w:val="none"/>
                      <w:vertAlign w:val="superscript"/>
                      <w:lang w:eastAsia="zh-CN"/>
                    </w:rPr>
                    <w:t>3</w:t>
                  </w:r>
                  <w:r>
                    <w:rPr>
                      <w:rFonts w:hint="eastAsia" w:cs="Times New Roman"/>
                      <w:smallCaps w:val="0"/>
                      <w:snapToGrid w:val="0"/>
                      <w:color w:val="auto"/>
                      <w:spacing w:val="0"/>
                      <w:kern w:val="0"/>
                      <w:sz w:val="21"/>
                      <w:szCs w:val="21"/>
                      <w:highlight w:val="none"/>
                      <w:lang w:eastAsia="zh-CN"/>
                    </w:rPr>
                    <w:t>h废气处理蜂窝活性炭吸附截面积不小于2.3m</w:t>
                  </w:r>
                  <w:r>
                    <w:rPr>
                      <w:rFonts w:hint="eastAsia" w:cs="Times New Roman"/>
                      <w:smallCaps w:val="0"/>
                      <w:snapToGrid w:val="0"/>
                      <w:color w:val="auto"/>
                      <w:spacing w:val="0"/>
                      <w:kern w:val="0"/>
                      <w:sz w:val="21"/>
                      <w:szCs w:val="21"/>
                      <w:highlight w:val="none"/>
                      <w:vertAlign w:val="superscript"/>
                      <w:lang w:eastAsia="zh-CN"/>
                    </w:rPr>
                    <w:t>2</w:t>
                  </w:r>
                  <w:r>
                    <w:rPr>
                      <w:rFonts w:hint="eastAsia" w:cs="Times New Roman"/>
                      <w:smallCaps w:val="0"/>
                      <w:snapToGrid w:val="0"/>
                      <w:color w:val="auto"/>
                      <w:spacing w:val="0"/>
                      <w:kern w:val="0"/>
                      <w:sz w:val="21"/>
                      <w:szCs w:val="21"/>
                      <w:highlight w:val="none"/>
                      <w:lang w:eastAsia="zh-CN"/>
                    </w:rPr>
                    <w:t>，颗粒活性炭吸附截面积不小于4.6m</w:t>
                  </w:r>
                  <w:r>
                    <w:rPr>
                      <w:rFonts w:hint="eastAsia" w:cs="Times New Roman"/>
                      <w:smallCaps w:val="0"/>
                      <w:snapToGrid w:val="0"/>
                      <w:color w:val="auto"/>
                      <w:spacing w:val="0"/>
                      <w:kern w:val="0"/>
                      <w:sz w:val="21"/>
                      <w:szCs w:val="21"/>
                      <w:highlight w:val="none"/>
                      <w:vertAlign w:val="superscript"/>
                      <w:lang w:eastAsia="zh-CN"/>
                    </w:rPr>
                    <w:t>2</w:t>
                  </w:r>
                  <w:r>
                    <w:rPr>
                      <w:rFonts w:hint="eastAsia" w:cs="Times New Roman"/>
                      <w:smallCaps w:val="0"/>
                      <w:snapToGrid w:val="0"/>
                      <w:color w:val="auto"/>
                      <w:spacing w:val="0"/>
                      <w:kern w:val="0"/>
                      <w:sz w:val="21"/>
                      <w:szCs w:val="21"/>
                      <w:highlight w:val="none"/>
                      <w:lang w:eastAsia="zh-CN"/>
                    </w:rPr>
                    <w:t>。</w:t>
                  </w:r>
                </w:p>
                <w:p w14:paraId="0DE17E79">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(3)颗粒活性炭最好选择柱状活性炭，直径≤5mm，比表面积&gt;1200m</w:t>
                  </w:r>
                  <w:r>
                    <w:rPr>
                      <w:rFonts w:hint="eastAsia" w:cs="Times New Roman"/>
                      <w:smallCaps w:val="0"/>
                      <w:snapToGrid w:val="0"/>
                      <w:color w:val="auto"/>
                      <w:spacing w:val="0"/>
                      <w:kern w:val="0"/>
                      <w:sz w:val="21"/>
                      <w:szCs w:val="21"/>
                      <w:highlight w:val="none"/>
                      <w:vertAlign w:val="superscript"/>
                      <w:lang w:eastAsia="zh-CN"/>
                    </w:rPr>
                    <w:t>2</w:t>
                  </w:r>
                  <w:r>
                    <w:rPr>
                      <w:rFonts w:hint="eastAsia" w:cs="Times New Roman"/>
                      <w:smallCaps w:val="0"/>
                      <w:snapToGrid w:val="0"/>
                      <w:color w:val="auto"/>
                      <w:spacing w:val="0"/>
                      <w:kern w:val="0"/>
                      <w:sz w:val="21"/>
                      <w:szCs w:val="21"/>
                      <w:highlight w:val="none"/>
                      <w:lang w:eastAsia="zh-CN"/>
                    </w:rPr>
                    <w:t>/g或碘值≥800mg/g；蜂窝活性炭的横向强度应不低于0.3MPa，纵向强度应不低于0.8MPa，比表面积&gt;750m</w:t>
                  </w:r>
                  <w:r>
                    <w:rPr>
                      <w:rFonts w:hint="eastAsia" w:cs="Times New Roman"/>
                      <w:smallCaps w:val="0"/>
                      <w:snapToGrid w:val="0"/>
                      <w:color w:val="auto"/>
                      <w:spacing w:val="0"/>
                      <w:kern w:val="0"/>
                      <w:sz w:val="21"/>
                      <w:szCs w:val="21"/>
                      <w:highlight w:val="none"/>
                      <w:vertAlign w:val="superscript"/>
                      <w:lang w:eastAsia="zh-CN"/>
                    </w:rPr>
                    <w:t>2</w:t>
                  </w:r>
                  <w:r>
                    <w:rPr>
                      <w:rFonts w:hint="eastAsia" w:cs="Times New Roman"/>
                      <w:smallCaps w:val="0"/>
                      <w:snapToGrid w:val="0"/>
                      <w:color w:val="auto"/>
                      <w:spacing w:val="0"/>
                      <w:kern w:val="0"/>
                      <w:sz w:val="21"/>
                      <w:szCs w:val="21"/>
                      <w:highlight w:val="none"/>
                      <w:lang w:eastAsia="zh-CN"/>
                    </w:rPr>
                    <w:t>/g或碘值&gt;800mg</w:t>
                  </w:r>
                  <w:r>
                    <w:rPr>
                      <w:rFonts w:hint="eastAsia" w:cs="Times New Roman"/>
                      <w:smallCaps w:val="0"/>
                      <w:snapToGrid w:val="0"/>
                      <w:color w:val="auto"/>
                      <w:spacing w:val="0"/>
                      <w:kern w:val="0"/>
                      <w:sz w:val="21"/>
                      <w:szCs w:val="21"/>
                      <w:highlight w:val="none"/>
                      <w:lang w:val="en-US" w:eastAsia="zh-CN"/>
                    </w:rPr>
                    <w:t>/</w:t>
                  </w:r>
                  <w:r>
                    <w:rPr>
                      <w:rFonts w:hint="eastAsia" w:cs="Times New Roman"/>
                      <w:smallCaps w:val="0"/>
                      <w:snapToGrid w:val="0"/>
                      <w:color w:val="auto"/>
                      <w:spacing w:val="0"/>
                      <w:kern w:val="0"/>
                      <w:sz w:val="21"/>
                      <w:szCs w:val="21"/>
                      <w:highlight w:val="none"/>
                      <w:lang w:eastAsia="zh-CN"/>
                    </w:rPr>
                    <w:t>g。</w:t>
                  </w:r>
                </w:p>
                <w:p w14:paraId="11B57EB3">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(4)活性炭吸附设备设置装卸碳孔，内置均风装置，箱内气速控制&lt;1.2m/s，整体压降≤2.5kpa，活性炭吸附设备配置的吸附进出口阀门泄量&lt;1%。外壳厚度≥1mm，考虑热胀冷缩变形应设置合理补偿：设备应加装消防、</w:t>
                  </w:r>
                  <w:r>
                    <w:rPr>
                      <w:rFonts w:hint="eastAsia" w:cs="Times New Roman"/>
                      <w:smallCaps w:val="0"/>
                      <w:snapToGrid w:val="0"/>
                      <w:color w:val="auto"/>
                      <w:spacing w:val="0"/>
                      <w:kern w:val="0"/>
                      <w:sz w:val="21"/>
                      <w:szCs w:val="21"/>
                      <w:highlight w:val="none"/>
                      <w:lang w:val="en-US" w:eastAsia="zh-CN"/>
                    </w:rPr>
                    <w:t>卸爆</w:t>
                  </w:r>
                  <w:r>
                    <w:rPr>
                      <w:rFonts w:hint="eastAsia" w:cs="Times New Roman"/>
                      <w:smallCaps w:val="0"/>
                      <w:snapToGrid w:val="0"/>
                      <w:color w:val="auto"/>
                      <w:spacing w:val="0"/>
                      <w:kern w:val="0"/>
                      <w:sz w:val="21"/>
                      <w:szCs w:val="21"/>
                      <w:highlight w:val="none"/>
                      <w:lang w:eastAsia="zh-CN"/>
                    </w:rPr>
                    <w:t>安全监测仪器和连锁控制系统。</w:t>
                  </w:r>
                </w:p>
                <w:p w14:paraId="5EEDD5A7">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(5)活性炭吸附装置废气出口应定期检测VOCs浓度，当出口污染物浓度超过规定限值的70%时，应停止吸附，立即更换新活性炭，更换下来的废活性炭应按照危险废物管理。</w:t>
                  </w:r>
                </w:p>
                <w:p w14:paraId="570E797C">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eastAsia="zh-CN"/>
                    </w:rPr>
                    <w:t>(6)使用过滤+单一活性炭吸附工艺企业应具有VOCs或非甲烷总烃自行监测能力，定期检测活性炭吸附效率，并记录留存，保存一年设备运维台账。</w:t>
                  </w:r>
                </w:p>
                <w:p w14:paraId="08954310">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p>
              </w:tc>
              <w:tc>
                <w:tcPr>
                  <w:tcW w:w="1276" w:type="pct"/>
                  <w:tcBorders>
                    <w:top w:val="single" w:color="auto" w:sz="4" w:space="0"/>
                    <w:left w:val="single" w:color="auto" w:sz="4" w:space="0"/>
                    <w:bottom w:val="single" w:color="auto" w:sz="4" w:space="0"/>
                    <w:right w:val="single" w:color="auto" w:sz="4" w:space="0"/>
                  </w:tcBorders>
                  <w:noWrap w:val="0"/>
                  <w:vAlign w:val="center"/>
                </w:tcPr>
                <w:p w14:paraId="59138295">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项目设置的活性炭吸附装置有足够的空间场地，活性炭使用周期按照规范计算，设备安装位置方便更换活性炭材料。</w:t>
                  </w:r>
                </w:p>
                <w:p w14:paraId="7BB34B68">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项目设置的活性炭吸附装置为两级活性炭吸附装置，前配套布袋除尘器处理，经处理后的颗粒物较低，因此不设置压差计。</w:t>
                  </w:r>
                </w:p>
                <w:p w14:paraId="3EEA2561">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活性炭填充量</w:t>
                  </w:r>
                  <w:r>
                    <w:rPr>
                      <w:rFonts w:hint="eastAsia" w:cs="Times New Roman"/>
                      <w:smallCaps w:val="0"/>
                      <w:snapToGrid w:val="0"/>
                      <w:color w:val="auto"/>
                      <w:spacing w:val="0"/>
                      <w:kern w:val="0"/>
                      <w:sz w:val="21"/>
                      <w:szCs w:val="21"/>
                      <w:highlight w:val="none"/>
                      <w:lang w:eastAsia="zh-CN"/>
                    </w:rPr>
                    <w:t>与每小时处理废气量体积之比</w:t>
                  </w:r>
                  <w:r>
                    <w:rPr>
                      <w:rFonts w:hint="eastAsia" w:cs="Times New Roman"/>
                      <w:smallCaps w:val="0"/>
                      <w:snapToGrid w:val="0"/>
                      <w:color w:val="auto"/>
                      <w:spacing w:val="0"/>
                      <w:kern w:val="0"/>
                      <w:sz w:val="21"/>
                      <w:szCs w:val="21"/>
                      <w:highlight w:val="none"/>
                      <w:lang w:val="en-US" w:eastAsia="zh-CN"/>
                    </w:rPr>
                    <w:t>为</w:t>
                  </w:r>
                  <w:r>
                    <w:rPr>
                      <w:rFonts w:hint="eastAsia" w:cs="Times New Roman"/>
                      <w:smallCaps w:val="0"/>
                      <w:snapToGrid w:val="0"/>
                      <w:color w:val="auto"/>
                      <w:spacing w:val="0"/>
                      <w:kern w:val="0"/>
                      <w:sz w:val="21"/>
                      <w:szCs w:val="21"/>
                      <w:highlight w:val="none"/>
                      <w:lang w:eastAsia="zh-CN"/>
                    </w:rPr>
                    <w:t>1：</w:t>
                  </w:r>
                  <w:r>
                    <w:rPr>
                      <w:rFonts w:hint="eastAsia" w:cs="Times New Roman"/>
                      <w:smallCaps w:val="0"/>
                      <w:snapToGrid w:val="0"/>
                      <w:color w:val="auto"/>
                      <w:spacing w:val="0"/>
                      <w:kern w:val="0"/>
                      <w:sz w:val="21"/>
                      <w:szCs w:val="21"/>
                      <w:highlight w:val="none"/>
                      <w:lang w:val="en-US" w:eastAsia="zh-CN"/>
                    </w:rPr>
                    <w:t>5</w:t>
                  </w:r>
                  <w:r>
                    <w:rPr>
                      <w:rFonts w:hint="eastAsia" w:cs="Times New Roman"/>
                      <w:smallCaps w:val="0"/>
                      <w:snapToGrid w:val="0"/>
                      <w:color w:val="auto"/>
                      <w:spacing w:val="0"/>
                      <w:kern w:val="0"/>
                      <w:sz w:val="21"/>
                      <w:szCs w:val="21"/>
                      <w:highlight w:val="none"/>
                      <w:lang w:eastAsia="zh-CN"/>
                    </w:rPr>
                    <w:t>000，</w:t>
                  </w:r>
                  <w:r>
                    <w:rPr>
                      <w:rFonts w:hint="eastAsia" w:cs="Times New Roman"/>
                      <w:smallCaps w:val="0"/>
                      <w:snapToGrid w:val="0"/>
                      <w:color w:val="auto"/>
                      <w:spacing w:val="0"/>
                      <w:kern w:val="0"/>
                      <w:sz w:val="21"/>
                      <w:szCs w:val="21"/>
                      <w:highlight w:val="none"/>
                      <w:lang w:val="en-US" w:eastAsia="zh-CN"/>
                    </w:rPr>
                    <w:t>设置两级。</w:t>
                  </w:r>
                </w:p>
                <w:p w14:paraId="4EC2514D">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项目采用颗粒活性炭，选用柱状活性炭，</w:t>
                  </w:r>
                  <w:r>
                    <w:rPr>
                      <w:rFonts w:hint="eastAsia" w:cs="Times New Roman"/>
                      <w:smallCaps w:val="0"/>
                      <w:snapToGrid w:val="0"/>
                      <w:color w:val="auto"/>
                      <w:spacing w:val="0"/>
                      <w:kern w:val="0"/>
                      <w:sz w:val="21"/>
                      <w:szCs w:val="21"/>
                      <w:highlight w:val="none"/>
                      <w:lang w:eastAsia="zh-CN"/>
                    </w:rPr>
                    <w:t>直径≤5mm，碘值≥800mg/g。</w:t>
                  </w:r>
                </w:p>
                <w:p w14:paraId="3163D9FB">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eastAsia="zh-CN"/>
                    </w:rPr>
                  </w:pPr>
                  <w:r>
                    <w:rPr>
                      <w:rFonts w:hint="eastAsia" w:cs="Times New Roman"/>
                      <w:smallCaps w:val="0"/>
                      <w:snapToGrid w:val="0"/>
                      <w:color w:val="auto"/>
                      <w:spacing w:val="0"/>
                      <w:kern w:val="0"/>
                      <w:sz w:val="21"/>
                      <w:szCs w:val="21"/>
                      <w:highlight w:val="none"/>
                      <w:lang w:val="en-US" w:eastAsia="zh-CN"/>
                    </w:rPr>
                    <w:t>项目活性炭设备设置装卸碳孔，</w:t>
                  </w:r>
                  <w:r>
                    <w:rPr>
                      <w:rFonts w:hint="eastAsia" w:cs="Times New Roman"/>
                      <w:smallCaps w:val="0"/>
                      <w:snapToGrid w:val="0"/>
                      <w:color w:val="auto"/>
                      <w:spacing w:val="0"/>
                      <w:kern w:val="0"/>
                      <w:sz w:val="21"/>
                      <w:szCs w:val="21"/>
                      <w:highlight w:val="none"/>
                      <w:lang w:eastAsia="zh-CN"/>
                    </w:rPr>
                    <w:t>内置均风装置，箱内气速控制&lt;1.2m/s，整体压降≤2.5kpa，活性炭吸附设备配置的吸附进出口阀门泄量&lt;1%。外壳厚度≥1mm。</w:t>
                  </w:r>
                </w:p>
                <w:p w14:paraId="40810D75">
                  <w:pPr>
                    <w:keepNext w:val="0"/>
                    <w:keepLines w:val="0"/>
                    <w:suppressLineNumbers w:val="0"/>
                    <w:adjustRightInd w:val="0"/>
                    <w:snapToGrid w:val="0"/>
                    <w:spacing w:before="0" w:beforeAutospacing="0" w:after="0" w:afterAutospacing="0"/>
                    <w:ind w:left="0" w:right="0"/>
                    <w:jc w:val="center"/>
                    <w:rPr>
                      <w:rFonts w:hint="eastAsia"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项目布袋除尘器+两级活性炭吸附装置废气出口根据检测计划定期检测，当出口浓度</w:t>
                  </w:r>
                  <w:r>
                    <w:rPr>
                      <w:rFonts w:hint="eastAsia" w:cs="Times New Roman"/>
                      <w:smallCaps w:val="0"/>
                      <w:snapToGrid w:val="0"/>
                      <w:color w:val="auto"/>
                      <w:spacing w:val="0"/>
                      <w:kern w:val="0"/>
                      <w:sz w:val="21"/>
                      <w:szCs w:val="21"/>
                      <w:highlight w:val="none"/>
                      <w:lang w:eastAsia="zh-CN"/>
                    </w:rPr>
                    <w:t>超过规定限值的70%时，应停止吸附，立即更换新活性炭，</w:t>
                  </w:r>
                  <w:r>
                    <w:rPr>
                      <w:rFonts w:hint="eastAsia" w:cs="Times New Roman"/>
                      <w:smallCaps w:val="0"/>
                      <w:snapToGrid w:val="0"/>
                      <w:color w:val="auto"/>
                      <w:spacing w:val="0"/>
                      <w:kern w:val="0"/>
                      <w:sz w:val="21"/>
                      <w:szCs w:val="21"/>
                      <w:highlight w:val="none"/>
                      <w:lang w:val="en-US" w:eastAsia="zh-CN"/>
                    </w:rPr>
                    <w:t>废活性炭危废间暂存后交由有资质单位处置。</w:t>
                  </w:r>
                </w:p>
                <w:p w14:paraId="4AFF61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项目不属于过滤+单一活性炭吸附，项目采用布袋除尘器+两级活性炭吸附装置。</w:t>
                  </w:r>
                </w:p>
              </w:tc>
              <w:tc>
                <w:tcPr>
                  <w:tcW w:w="363" w:type="pct"/>
                  <w:tcBorders>
                    <w:top w:val="single" w:color="auto" w:sz="4" w:space="0"/>
                    <w:left w:val="single" w:color="auto" w:sz="4" w:space="0"/>
                    <w:bottom w:val="single" w:color="auto" w:sz="4" w:space="0"/>
                    <w:right w:val="single" w:color="auto" w:sz="8" w:space="0"/>
                  </w:tcBorders>
                  <w:noWrap w:val="0"/>
                  <w:vAlign w:val="center"/>
                </w:tcPr>
                <w:p w14:paraId="6BB8BDB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snapToGrid w:val="0"/>
                      <w:color w:val="auto"/>
                      <w:spacing w:val="0"/>
                      <w:kern w:val="0"/>
                      <w:sz w:val="21"/>
                      <w:szCs w:val="21"/>
                      <w:highlight w:val="none"/>
                      <w:lang w:val="en-US" w:eastAsia="zh-CN"/>
                    </w:rPr>
                  </w:pPr>
                  <w:r>
                    <w:rPr>
                      <w:rFonts w:hint="eastAsia" w:cs="Times New Roman"/>
                      <w:smallCaps w:val="0"/>
                      <w:snapToGrid w:val="0"/>
                      <w:color w:val="auto"/>
                      <w:spacing w:val="0"/>
                      <w:kern w:val="0"/>
                      <w:sz w:val="21"/>
                      <w:szCs w:val="21"/>
                      <w:highlight w:val="none"/>
                      <w:lang w:val="en-US" w:eastAsia="zh-CN"/>
                    </w:rPr>
                    <w:t>符合</w:t>
                  </w:r>
                </w:p>
              </w:tc>
            </w:tr>
          </w:tbl>
          <w:p w14:paraId="21183250">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本项目符合《石家庄市涉VOC企业活性炭吸附脱附技术指南》</w:t>
            </w:r>
            <w:r>
              <w:rPr>
                <w:rFonts w:hint="default" w:ascii="Times New Roman" w:hAnsi="Times New Roman" w:cs="Times New Roman"/>
                <w:smallCaps w:val="0"/>
                <w:color w:val="auto"/>
                <w:spacing w:val="0"/>
                <w:highlight w:val="none"/>
                <w:lang w:val="en-US" w:eastAsia="zh-CN"/>
              </w:rPr>
              <w:t>要求</w:t>
            </w:r>
            <w:r>
              <w:rPr>
                <w:rFonts w:hint="eastAsia" w:cs="Times New Roman"/>
                <w:smallCaps w:val="0"/>
                <w:color w:val="auto"/>
                <w:spacing w:val="0"/>
                <w:highlight w:val="none"/>
                <w:lang w:val="en-US" w:eastAsia="zh-CN"/>
              </w:rPr>
              <w:t>。</w:t>
            </w:r>
          </w:p>
          <w:p w14:paraId="3D6DE157">
            <w:pPr>
              <w:pStyle w:val="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szCs w:val="20"/>
                <w:highlight w:val="none"/>
                <w:lang w:eastAsia="zh-CN"/>
              </w:rPr>
            </w:pPr>
          </w:p>
        </w:tc>
      </w:tr>
    </w:tbl>
    <w:p w14:paraId="64AE5C1B">
      <w:pPr>
        <w:rPr>
          <w:rFonts w:hint="default" w:ascii="Times New Roman" w:hAnsi="Times New Roman" w:eastAsia="黑体" w:cs="Times New Roman"/>
          <w:smallCaps w:val="0"/>
          <w:color w:val="auto"/>
          <w:spacing w:val="0"/>
          <w:sz w:val="30"/>
          <w:highlight w:val="none"/>
        </w:rPr>
        <w:sectPr>
          <w:footerReference r:id="rId5" w:type="default"/>
          <w:pgSz w:w="11906" w:h="16838"/>
          <w:pgMar w:top="1701" w:right="1531" w:bottom="1701" w:left="1531" w:header="851" w:footer="1077" w:gutter="0"/>
          <w:pgNumType w:start="1"/>
          <w:cols w:space="720" w:num="1"/>
          <w:docGrid w:linePitch="312" w:charSpace="0"/>
        </w:sectPr>
      </w:pPr>
    </w:p>
    <w:p w14:paraId="76DEFA05">
      <w:pPr>
        <w:pStyle w:val="41"/>
        <w:jc w:val="center"/>
        <w:outlineLvl w:val="0"/>
        <w:rPr>
          <w:rFonts w:hint="default" w:ascii="Times New Roman" w:hAnsi="Times New Roman" w:eastAsia="黑体" w:cs="Times New Roman"/>
          <w:smallCaps w:val="0"/>
          <w:snapToGrid w:val="0"/>
          <w:color w:val="auto"/>
          <w:spacing w:val="0"/>
          <w:sz w:val="30"/>
          <w:szCs w:val="30"/>
          <w:highlight w:val="none"/>
        </w:rPr>
      </w:pPr>
      <w:bookmarkStart w:id="6" w:name="_Toc27745"/>
      <w:r>
        <w:rPr>
          <w:rFonts w:hint="default" w:ascii="Times New Roman" w:hAnsi="Times New Roman" w:eastAsia="黑体" w:cs="Times New Roman"/>
          <w:smallCaps w:val="0"/>
          <w:snapToGrid w:val="0"/>
          <w:color w:val="auto"/>
          <w:spacing w:val="0"/>
          <w:sz w:val="30"/>
          <w:szCs w:val="30"/>
          <w:highlight w:val="none"/>
        </w:rPr>
        <w:t>二、建设项目工程分析</w:t>
      </w:r>
      <w:bookmarkEnd w:id="6"/>
    </w:p>
    <w:tbl>
      <w:tblPr>
        <w:tblStyle w:val="4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5"/>
      </w:tblGrid>
      <w:tr w14:paraId="04A4B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061DDDBA">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Cs w:val="21"/>
                <w:highlight w:val="none"/>
              </w:rPr>
              <w:t>建设内容</w:t>
            </w:r>
          </w:p>
        </w:tc>
        <w:tc>
          <w:tcPr>
            <w:tcW w:w="8385" w:type="dxa"/>
          </w:tcPr>
          <w:p w14:paraId="78279891">
            <w:pPr>
              <w:pStyle w:val="172"/>
              <w:keepNext w:val="0"/>
              <w:keepLines w:val="0"/>
              <w:suppressLineNumbers w:val="0"/>
              <w:spacing w:before="0" w:beforeAutospacing="0" w:after="0" w:afterAutospacing="0"/>
              <w:ind w:left="0" w:right="0" w:firstLine="482"/>
              <w:rPr>
                <w:rFonts w:hint="default" w:ascii="Times New Roman" w:hAnsi="Times New Roman" w:eastAsia="宋体" w:cs="Times New Roman"/>
                <w:b/>
                <w:bCs/>
                <w:smallCaps w:val="0"/>
                <w:color w:val="auto"/>
                <w:spacing w:val="0"/>
                <w:highlight w:val="none"/>
                <w:lang w:val="en-US" w:eastAsia="zh-CN"/>
              </w:rPr>
            </w:pPr>
            <w:r>
              <w:rPr>
                <w:rFonts w:hint="eastAsia" w:cs="Times New Roman"/>
                <w:b/>
                <w:bCs/>
                <w:smallCaps w:val="0"/>
                <w:color w:val="auto"/>
                <w:spacing w:val="0"/>
                <w:highlight w:val="none"/>
                <w:lang w:val="en-US" w:eastAsia="zh-CN"/>
              </w:rPr>
              <w:t>项目背景和由来</w:t>
            </w:r>
          </w:p>
          <w:p w14:paraId="0FE1387D">
            <w:pPr>
              <w:pStyle w:val="172"/>
              <w:keepNext w:val="0"/>
              <w:keepLines w:val="0"/>
              <w:suppressLineNumbers w:val="0"/>
              <w:spacing w:before="0" w:beforeAutospacing="0" w:after="0" w:afterAutospacing="0"/>
              <w:ind w:left="0" w:right="0" w:firstLine="482"/>
              <w:rPr>
                <w:rFonts w:hint="eastAsia" w:cs="Times New Roman"/>
                <w:b w:val="0"/>
                <w:bCs w:val="0"/>
                <w:smallCaps w:val="0"/>
                <w:color w:val="auto"/>
                <w:spacing w:val="0"/>
                <w:highlight w:val="none"/>
                <w:lang w:val="en-US" w:eastAsia="zh-CN"/>
              </w:rPr>
            </w:pPr>
            <w:r>
              <w:rPr>
                <w:rFonts w:hint="eastAsia" w:cs="Times New Roman"/>
                <w:b w:val="0"/>
                <w:bCs w:val="0"/>
                <w:smallCaps w:val="0"/>
                <w:color w:val="auto"/>
                <w:spacing w:val="0"/>
                <w:highlight w:val="none"/>
                <w:lang w:val="en-US" w:eastAsia="zh-CN"/>
              </w:rPr>
              <w:t>企业2020年4月石家庄旭照电子科技有限公司委托石家庄冀宁工程项目管理有限公司编制了《石家庄旭照电子科技有限公司年产90万（只）套集水杯及配套塑料制品项目环境影响报告表》，设计年产90万（只）套集水杯及配套塑料制品，其中中间产品电极片90万件、其他金属零部件90万套、注塑模具50件；于2020年5月28日取得石家庄市栾城区行政审批局审批意见，于2020年11月26日取得了石家庄旭照电子科技有限公司年产90万（只）套集水杯及配套塑料制品项目竣工环境保护阶段性验收专家意见，于2022年8月11日取得石家庄旭照电子科技有限公司年产90万（只）套集水杯及配套塑料制品项目验收意见。2020年11月25日首次申请固定污染源登记回执，2024年6月12日进行变更申请取得固定污染源登记回执，回执编号：91130132MA08M7644N001X，有效期2024年6月12日至2029年6月11日。</w:t>
            </w:r>
          </w:p>
          <w:p w14:paraId="541F11C0">
            <w:pPr>
              <w:pStyle w:val="172"/>
              <w:keepNext w:val="0"/>
              <w:keepLines w:val="0"/>
              <w:suppressLineNumbers w:val="0"/>
              <w:spacing w:before="0" w:beforeAutospacing="0" w:after="0" w:afterAutospacing="0"/>
              <w:ind w:left="0" w:right="0" w:firstLine="482"/>
              <w:rPr>
                <w:rFonts w:hint="default" w:cs="Times New Roman"/>
                <w:b w:val="0"/>
                <w:bCs w:val="0"/>
                <w:smallCaps w:val="0"/>
                <w:color w:val="auto"/>
                <w:spacing w:val="0"/>
                <w:highlight w:val="none"/>
                <w:lang w:val="en-US" w:eastAsia="zh-CN"/>
              </w:rPr>
            </w:pPr>
            <w:r>
              <w:rPr>
                <w:rFonts w:hint="eastAsia" w:cs="Times New Roman"/>
                <w:b w:val="0"/>
                <w:bCs w:val="0"/>
                <w:smallCaps w:val="0"/>
                <w:color w:val="auto"/>
                <w:spacing w:val="0"/>
                <w:highlight w:val="none"/>
                <w:lang w:val="en-US" w:eastAsia="zh-CN"/>
              </w:rPr>
              <w:t>本次改建项目位于现有厂房东侧。现有建筑仅保留东南角的机加工区、杂物间、危废间及1#、2#办公室，其余车间在改扩建完成后将不再使用。</w:t>
            </w:r>
          </w:p>
          <w:p w14:paraId="69EAFB2A">
            <w:pPr>
              <w:pStyle w:val="172"/>
              <w:keepNext w:val="0"/>
              <w:keepLines w:val="0"/>
              <w:suppressLineNumbers w:val="0"/>
              <w:spacing w:before="0" w:beforeAutospacing="0" w:after="0" w:afterAutospacing="0"/>
              <w:ind w:left="0" w:right="0" w:firstLine="482"/>
              <w:rPr>
                <w:rFonts w:hint="default" w:ascii="Times New Roman" w:hAnsi="Times New Roman" w:eastAsia="宋体" w:cs="Times New Roman"/>
                <w:b w:val="0"/>
                <w:bCs w:val="0"/>
                <w:smallCaps w:val="0"/>
                <w:color w:val="auto"/>
                <w:spacing w:val="0"/>
                <w:highlight w:val="none"/>
                <w:lang w:val="en-US" w:eastAsia="zh-CN"/>
              </w:rPr>
            </w:pPr>
            <w:r>
              <w:rPr>
                <w:rFonts w:hint="eastAsia" w:cs="Times New Roman"/>
                <w:b w:val="0"/>
                <w:bCs w:val="0"/>
                <w:smallCaps w:val="0"/>
                <w:color w:val="auto"/>
                <w:spacing w:val="0"/>
                <w:highlight w:val="none"/>
                <w:lang w:val="en-US" w:eastAsia="zh-CN"/>
              </w:rPr>
              <w:t>现因集水杯及配套制品市场需求小，随着汽车配件行业因技术门槛较高、供应链稳定，故企业在</w:t>
            </w:r>
            <w:r>
              <w:rPr>
                <w:rFonts w:hint="default" w:ascii="Times New Roman" w:hAnsi="Times New Roman" w:cs="Times New Roman"/>
                <w:smallCaps w:val="0"/>
                <w:color w:val="auto"/>
                <w:spacing w:val="0"/>
                <w:highlight w:val="none"/>
                <w:lang w:eastAsia="zh-CN"/>
              </w:rPr>
              <w:t>河北省石家庄市栾城区</w:t>
            </w:r>
            <w:r>
              <w:rPr>
                <w:rFonts w:hint="eastAsia" w:cs="Times New Roman"/>
                <w:smallCaps w:val="0"/>
                <w:color w:val="auto"/>
                <w:spacing w:val="0"/>
                <w:highlight w:val="none"/>
                <w:lang w:eastAsia="zh-CN"/>
              </w:rPr>
              <w:t>窦妪村装备制造产业园区奥翔街6-1号（院内3号房）</w:t>
            </w:r>
            <w:r>
              <w:rPr>
                <w:rFonts w:hint="eastAsia" w:cs="Times New Roman"/>
                <w:smallCaps w:val="0"/>
                <w:color w:val="auto"/>
                <w:spacing w:val="0"/>
                <w:highlight w:val="none"/>
                <w:lang w:val="en-US" w:eastAsia="zh-CN"/>
              </w:rPr>
              <w:t>拟</w:t>
            </w:r>
            <w:r>
              <w:rPr>
                <w:rFonts w:hint="eastAsia" w:cs="Times New Roman"/>
                <w:b w:val="0"/>
                <w:bCs w:val="0"/>
                <w:smallCaps w:val="0"/>
                <w:color w:val="auto"/>
                <w:spacing w:val="0"/>
                <w:highlight w:val="none"/>
                <w:lang w:val="en-US" w:eastAsia="zh-CN"/>
              </w:rPr>
              <w:t>投资50万元建设“</w:t>
            </w:r>
            <w:r>
              <w:rPr>
                <w:rFonts w:hint="eastAsia" w:cs="Times New Roman"/>
                <w:smallCaps w:val="0"/>
                <w:color w:val="auto"/>
                <w:spacing w:val="0"/>
                <w:highlight w:val="none"/>
                <w:lang w:eastAsia="zh-CN"/>
              </w:rPr>
              <w:t>石家庄旭照电子科技有限公司汽车塑料配件改扩建项目</w:t>
            </w:r>
            <w:r>
              <w:rPr>
                <w:rFonts w:hint="eastAsia" w:cs="Times New Roman"/>
                <w:b w:val="0"/>
                <w:bCs w:val="0"/>
                <w:smallCaps w:val="0"/>
                <w:color w:val="auto"/>
                <w:spacing w:val="0"/>
                <w:highlight w:val="none"/>
                <w:lang w:val="en-US" w:eastAsia="zh-CN"/>
              </w:rPr>
              <w:t>”，项目建设完成后全厂完成转型，产品为汽车塑料配件，产量为</w:t>
            </w:r>
            <w:r>
              <w:rPr>
                <w:rFonts w:hint="default" w:ascii="Times New Roman" w:hAnsi="Times New Roman" w:cs="Times New Roman"/>
                <w:smallCaps w:val="0"/>
                <w:color w:val="auto"/>
                <w:spacing w:val="0"/>
                <w:highlight w:val="none"/>
              </w:rPr>
              <w:t>160万件（约100t）</w:t>
            </w:r>
            <w:r>
              <w:rPr>
                <w:rFonts w:hint="eastAsia" w:cs="Times New Roman"/>
                <w:smallCaps w:val="0"/>
                <w:color w:val="auto"/>
                <w:spacing w:val="0"/>
                <w:highlight w:val="none"/>
                <w:lang w:eastAsia="zh-CN"/>
              </w:rPr>
              <w:t>。</w:t>
            </w:r>
          </w:p>
          <w:p w14:paraId="366D6672">
            <w:pPr>
              <w:pStyle w:val="172"/>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1、项目基本情况</w:t>
            </w:r>
          </w:p>
          <w:p w14:paraId="0F21F99A">
            <w:pPr>
              <w:pStyle w:val="172"/>
              <w:keepNext w:val="0"/>
              <w:keepLines w:val="0"/>
              <w:suppressLineNumbers w:val="0"/>
              <w:spacing w:before="0" w:beforeAutospacing="0" w:after="0" w:afterAutospacing="0"/>
              <w:ind w:left="0" w:right="0" w:firstLine="480"/>
              <w:rPr>
                <w:rFonts w:hint="eastAsia"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（1）项目名称：</w:t>
            </w:r>
            <w:r>
              <w:rPr>
                <w:rFonts w:hint="eastAsia" w:cs="Times New Roman"/>
                <w:smallCaps w:val="0"/>
                <w:color w:val="auto"/>
                <w:spacing w:val="0"/>
                <w:highlight w:val="none"/>
                <w:lang w:eastAsia="zh-CN"/>
              </w:rPr>
              <w:t>石家庄旭照电子科技有限公司汽车塑料配件改扩建项目</w:t>
            </w:r>
          </w:p>
          <w:p w14:paraId="38A0E78A">
            <w:pPr>
              <w:pStyle w:val="172"/>
              <w:keepNext w:val="0"/>
              <w:keepLines w:val="0"/>
              <w:suppressLineNumbers w:val="0"/>
              <w:spacing w:before="0" w:beforeAutospacing="0" w:after="0" w:afterAutospacing="0"/>
              <w:ind w:left="0" w:right="0" w:firstLine="480"/>
              <w:rPr>
                <w:rFonts w:hint="eastAsia"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（2）建设单位：</w:t>
            </w:r>
            <w:r>
              <w:rPr>
                <w:rFonts w:hint="eastAsia" w:cs="Times New Roman"/>
                <w:smallCaps w:val="0"/>
                <w:color w:val="auto"/>
                <w:spacing w:val="0"/>
                <w:highlight w:val="none"/>
                <w:lang w:eastAsia="zh-CN"/>
              </w:rPr>
              <w:t>石家庄旭照电子科技有限公司</w:t>
            </w:r>
          </w:p>
          <w:p w14:paraId="4C1C82B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（3）</w:t>
            </w:r>
            <w:r>
              <w:rPr>
                <w:rFonts w:hint="default" w:ascii="Times New Roman" w:hAnsi="Times New Roman" w:cs="Times New Roman"/>
                <w:smallCaps w:val="0"/>
                <w:color w:val="auto"/>
                <w:spacing w:val="0"/>
                <w:highlight w:val="none"/>
                <w:lang w:val="en-US" w:eastAsia="zh-CN"/>
              </w:rPr>
              <w:t>项目性质</w:t>
            </w: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val="en-US" w:eastAsia="zh-CN"/>
              </w:rPr>
              <w:t>改建</w:t>
            </w:r>
          </w:p>
          <w:p w14:paraId="6555221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（4）建设地点及周边关系：本项目位于</w:t>
            </w:r>
            <w:r>
              <w:rPr>
                <w:rFonts w:hint="default" w:ascii="Times New Roman" w:hAnsi="Times New Roman" w:cs="Times New Roman"/>
                <w:smallCaps w:val="0"/>
                <w:color w:val="auto"/>
                <w:spacing w:val="0"/>
                <w:highlight w:val="none"/>
                <w:lang w:eastAsia="zh-CN"/>
              </w:rPr>
              <w:t>河北省石家庄市栾城区</w:t>
            </w:r>
            <w:r>
              <w:rPr>
                <w:rFonts w:hint="eastAsia" w:cs="Times New Roman"/>
                <w:smallCaps w:val="0"/>
                <w:color w:val="auto"/>
                <w:spacing w:val="0"/>
                <w:highlight w:val="none"/>
                <w:lang w:eastAsia="zh-CN"/>
              </w:rPr>
              <w:t>窦妪村装备制造产业园区奥翔街6-1号（院内3号房）</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占地为工业用地。项目中心地理</w:t>
            </w:r>
            <w:r>
              <w:rPr>
                <w:rFonts w:hint="default" w:ascii="Times New Roman" w:hAnsi="Times New Roman" w:cs="Times New Roman"/>
                <w:smallCaps w:val="0"/>
                <w:color w:val="auto"/>
                <w:spacing w:val="0"/>
                <w:highlight w:val="none"/>
                <w:lang w:eastAsia="zh-CN"/>
              </w:rPr>
              <w:t>坐标</w:t>
            </w:r>
            <w:r>
              <w:rPr>
                <w:rFonts w:hint="default" w:ascii="Times New Roman" w:hAnsi="Times New Roman" w:cs="Times New Roman"/>
                <w:smallCaps w:val="0"/>
                <w:color w:val="auto"/>
                <w:spacing w:val="0"/>
                <w:highlight w:val="none"/>
              </w:rPr>
              <w:t>为</w:t>
            </w:r>
            <w:r>
              <w:rPr>
                <w:rFonts w:hint="eastAsia" w:cs="Times New Roman"/>
                <w:smallCaps w:val="0"/>
                <w:color w:val="auto"/>
                <w:spacing w:val="0"/>
                <w:highlight w:val="none"/>
                <w:lang w:eastAsia="zh-CN"/>
              </w:rPr>
              <w:t>东</w:t>
            </w:r>
            <w:r>
              <w:rPr>
                <w:rFonts w:hint="default" w:ascii="Times New Roman" w:hAnsi="Times New Roman" w:cs="Times New Roman"/>
                <w:smallCaps w:val="0"/>
                <w:color w:val="auto"/>
                <w:spacing w:val="0"/>
                <w:highlight w:val="none"/>
                <w:lang w:eastAsia="zh-CN"/>
              </w:rPr>
              <w:t>经114°30′49.861″，北纬37°54′26.679″</w:t>
            </w: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eastAsia="zh-CN"/>
              </w:rPr>
              <w:t>厂区东侧为道路，隔路为石家庄天祥电机配件有限公司，南侧为道路，隔路为帆布厂，西侧为闲置厂房，北侧为石家庄建臣机械制造有限公司</w:t>
            </w:r>
            <w:r>
              <w:rPr>
                <w:rFonts w:hint="default" w:ascii="Times New Roman" w:hAnsi="Times New Roman" w:cs="Times New Roman"/>
                <w:smallCaps w:val="0"/>
                <w:color w:val="auto"/>
                <w:spacing w:val="0"/>
                <w:highlight w:val="none"/>
              </w:rPr>
              <w:t>。</w:t>
            </w:r>
          </w:p>
          <w:p w14:paraId="5BE0607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项目地理位置见附图1</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周边关系见附图2</w:t>
            </w:r>
            <w:r>
              <w:rPr>
                <w:rFonts w:hint="default" w:ascii="Times New Roman" w:hAnsi="Times New Roman" w:cs="Times New Roman"/>
                <w:smallCaps w:val="0"/>
                <w:color w:val="auto"/>
                <w:spacing w:val="0"/>
                <w:highlight w:val="none"/>
                <w:lang w:eastAsia="zh-CN"/>
              </w:rPr>
              <w:t>；</w:t>
            </w:r>
          </w:p>
          <w:p w14:paraId="24906FDB">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lang w:val="en-US" w:eastAsia="zh-CN"/>
              </w:rPr>
              <w:t>5</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lang w:val="en-US" w:eastAsia="zh-CN"/>
              </w:rPr>
              <w:t>项目占地：项目占地为工业用地，占地面积</w:t>
            </w:r>
            <w:r>
              <w:rPr>
                <w:rFonts w:hint="eastAsia" w:cs="Times New Roman"/>
                <w:smallCaps w:val="0"/>
                <w:color w:val="auto"/>
                <w:spacing w:val="0"/>
                <w:highlight w:val="none"/>
                <w:lang w:val="en-US" w:eastAsia="zh-CN"/>
              </w:rPr>
              <w:t>880</w:t>
            </w:r>
            <w:r>
              <w:rPr>
                <w:rFonts w:hint="default" w:ascii="Times New Roman" w:hAnsi="Times New Roman" w:cs="Times New Roman"/>
                <w:smallCaps w:val="0"/>
                <w:color w:val="auto"/>
                <w:spacing w:val="0"/>
                <w:highlight w:val="none"/>
                <w:lang w:val="en-US" w:eastAsia="zh-CN"/>
              </w:rPr>
              <w:t>m</w:t>
            </w:r>
            <w:r>
              <w:rPr>
                <w:rFonts w:hint="default" w:ascii="Times New Roman" w:hAnsi="Times New Roman" w:cs="Times New Roman"/>
                <w:smallCaps w:val="0"/>
                <w:color w:val="auto"/>
                <w:spacing w:val="0"/>
                <w:highlight w:val="none"/>
                <w:vertAlign w:val="superscript"/>
                <w:lang w:val="en-US" w:eastAsia="zh-CN"/>
              </w:rPr>
              <w:t>2</w:t>
            </w:r>
            <w:r>
              <w:rPr>
                <w:rFonts w:hint="default" w:ascii="Times New Roman" w:hAnsi="Times New Roman" w:cs="Times New Roman"/>
                <w:smallCaps w:val="0"/>
                <w:color w:val="auto"/>
                <w:spacing w:val="0"/>
                <w:highlight w:val="none"/>
                <w:lang w:eastAsia="zh-CN"/>
              </w:rPr>
              <w:t>。</w:t>
            </w:r>
          </w:p>
          <w:p w14:paraId="5BF0C59B">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lang w:val="en-US" w:eastAsia="zh-CN"/>
              </w:rPr>
              <w:t>2</w:t>
            </w:r>
            <w:r>
              <w:rPr>
                <w:rFonts w:hint="default" w:ascii="Times New Roman" w:hAnsi="Times New Roman" w:cs="Times New Roman"/>
                <w:b/>
                <w:smallCaps w:val="0"/>
                <w:color w:val="auto"/>
                <w:spacing w:val="0"/>
                <w:highlight w:val="none"/>
              </w:rPr>
              <w:t>、主要产品及产能</w:t>
            </w:r>
          </w:p>
          <w:p w14:paraId="722EADF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改扩建完成后产品汽车塑料配件主要为线束插头、传感器、连接器等汽车所用的可导电的塑料零部件，产品均由购买方提出质量标准并进行验收检验，合格后大批量生产，</w:t>
            </w:r>
            <w:r>
              <w:rPr>
                <w:rFonts w:hint="default" w:ascii="Times New Roman" w:hAnsi="Times New Roman" w:cs="Times New Roman"/>
                <w:smallCaps w:val="0"/>
                <w:color w:val="auto"/>
                <w:spacing w:val="0"/>
                <w:highlight w:val="none"/>
              </w:rPr>
              <w:t>主要产品见下表：</w:t>
            </w:r>
          </w:p>
          <w:p w14:paraId="227AFE96">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表2-</w:t>
            </w:r>
            <w:r>
              <w:rPr>
                <w:rFonts w:hint="default" w:ascii="Times New Roman" w:hAnsi="Times New Roman" w:cs="Times New Roman"/>
                <w:smallCaps w:val="0"/>
                <w:color w:val="auto"/>
                <w:spacing w:val="0"/>
                <w:highlight w:val="none"/>
                <w:lang w:val="en-US" w:eastAsia="zh-CN"/>
              </w:rPr>
              <w:t>1</w:t>
            </w:r>
            <w:r>
              <w:rPr>
                <w:rFonts w:hint="default" w:ascii="Times New Roman" w:hAnsi="Times New Roman" w:cs="Times New Roman"/>
                <w:smallCaps w:val="0"/>
                <w:color w:val="auto"/>
                <w:spacing w:val="0"/>
                <w:highlight w:val="none"/>
              </w:rPr>
              <w:t xml:space="preserve">   主要产品</w:t>
            </w:r>
            <w:r>
              <w:rPr>
                <w:rFonts w:hint="eastAsia" w:cs="Times New Roman"/>
                <w:smallCaps w:val="0"/>
                <w:color w:val="auto"/>
                <w:spacing w:val="0"/>
                <w:highlight w:val="none"/>
                <w:lang w:val="en-US" w:eastAsia="zh-CN"/>
              </w:rPr>
              <w:t>变化</w:t>
            </w:r>
            <w:r>
              <w:rPr>
                <w:rFonts w:hint="default" w:ascii="Times New Roman" w:hAnsi="Times New Roman" w:cs="Times New Roman"/>
                <w:smallCaps w:val="0"/>
                <w:color w:val="auto"/>
                <w:spacing w:val="0"/>
                <w:highlight w:val="none"/>
              </w:rPr>
              <w:t>一览表</w:t>
            </w:r>
          </w:p>
          <w:tbl>
            <w:tblPr>
              <w:tblStyle w:val="4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6"/>
              <w:gridCol w:w="1204"/>
              <w:gridCol w:w="1204"/>
              <w:gridCol w:w="1204"/>
              <w:gridCol w:w="1209"/>
              <w:gridCol w:w="1609"/>
            </w:tblGrid>
            <w:tr w14:paraId="2B27F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58" w:type="pct"/>
                  <w:vMerge w:val="restart"/>
                  <w:noWrap w:val="0"/>
                  <w:vAlign w:val="center"/>
                </w:tcPr>
                <w:p w14:paraId="2313C480">
                  <w:pPr>
                    <w:keepNext w:val="0"/>
                    <w:keepLines w:val="0"/>
                    <w:suppressLineNumbers w:val="0"/>
                    <w:spacing w:before="0" w:beforeAutospacing="0" w:after="0" w:afterAutospacing="0" w:line="240" w:lineRule="auto"/>
                    <w:ind w:left="0" w:right="0"/>
                    <w:jc w:val="center"/>
                    <w:rPr>
                      <w:rFonts w:hint="default"/>
                      <w:color w:val="auto"/>
                      <w:szCs w:val="20"/>
                      <w:highlight w:val="none"/>
                    </w:rPr>
                  </w:pPr>
                  <w:r>
                    <w:rPr>
                      <w:rFonts w:hint="default"/>
                      <w:color w:val="auto"/>
                      <w:szCs w:val="20"/>
                      <w:highlight w:val="none"/>
                    </w:rPr>
                    <w:t>产品品种</w:t>
                  </w:r>
                </w:p>
              </w:tc>
              <w:tc>
                <w:tcPr>
                  <w:tcW w:w="2955" w:type="pct"/>
                  <w:gridSpan w:val="4"/>
                  <w:tcBorders>
                    <w:bottom w:val="single" w:color="auto" w:sz="4" w:space="0"/>
                  </w:tcBorders>
                  <w:noWrap w:val="0"/>
                  <w:vAlign w:val="center"/>
                </w:tcPr>
                <w:p w14:paraId="588607F7">
                  <w:pPr>
                    <w:keepNext w:val="0"/>
                    <w:keepLines w:val="0"/>
                    <w:suppressLineNumbers w:val="0"/>
                    <w:spacing w:before="0" w:beforeAutospacing="0" w:after="0" w:afterAutospacing="0" w:line="240" w:lineRule="auto"/>
                    <w:ind w:left="0" w:right="0"/>
                    <w:jc w:val="center"/>
                    <w:rPr>
                      <w:rFonts w:hint="default"/>
                      <w:color w:val="auto"/>
                      <w:szCs w:val="20"/>
                      <w:highlight w:val="none"/>
                    </w:rPr>
                  </w:pPr>
                  <w:r>
                    <w:rPr>
                      <w:rFonts w:hint="default"/>
                      <w:color w:val="auto"/>
                      <w:szCs w:val="20"/>
                      <w:highlight w:val="none"/>
                    </w:rPr>
                    <w:t>年产量（只/套</w:t>
                  </w:r>
                  <w:r>
                    <w:rPr>
                      <w:rFonts w:hint="eastAsia"/>
                      <w:color w:val="auto"/>
                      <w:szCs w:val="20"/>
                      <w:highlight w:val="none"/>
                      <w:lang w:val="en-US" w:eastAsia="zh-CN"/>
                    </w:rPr>
                    <w:t>/件</w:t>
                  </w:r>
                  <w:r>
                    <w:rPr>
                      <w:rFonts w:hint="default"/>
                      <w:color w:val="auto"/>
                      <w:szCs w:val="20"/>
                      <w:highlight w:val="none"/>
                    </w:rPr>
                    <w:t>）</w:t>
                  </w:r>
                </w:p>
              </w:tc>
              <w:tc>
                <w:tcPr>
                  <w:tcW w:w="986" w:type="pct"/>
                  <w:vMerge w:val="restart"/>
                  <w:noWrap w:val="0"/>
                  <w:vAlign w:val="center"/>
                </w:tcPr>
                <w:p w14:paraId="53C87504">
                  <w:pPr>
                    <w:keepNext w:val="0"/>
                    <w:keepLines w:val="0"/>
                    <w:suppressLineNumbers w:val="0"/>
                    <w:spacing w:before="0" w:beforeAutospacing="0" w:after="0" w:afterAutospacing="0" w:line="240" w:lineRule="auto"/>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备注</w:t>
                  </w:r>
                </w:p>
              </w:tc>
            </w:tr>
            <w:tr w14:paraId="7BC5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1058" w:type="pct"/>
                  <w:vMerge w:val="continue"/>
                  <w:noWrap w:val="0"/>
                  <w:vAlign w:val="center"/>
                </w:tcPr>
                <w:p w14:paraId="32DA896D">
                  <w:pPr>
                    <w:keepNext w:val="0"/>
                    <w:keepLines w:val="0"/>
                    <w:suppressLineNumbers w:val="0"/>
                    <w:spacing w:before="0" w:beforeAutospacing="0" w:after="0" w:afterAutospacing="0" w:line="240" w:lineRule="auto"/>
                    <w:ind w:left="0" w:right="0"/>
                    <w:jc w:val="center"/>
                    <w:rPr>
                      <w:rFonts w:hint="default"/>
                      <w:color w:val="auto"/>
                      <w:szCs w:val="20"/>
                      <w:highlight w:val="none"/>
                    </w:rPr>
                  </w:pPr>
                </w:p>
              </w:tc>
              <w:tc>
                <w:tcPr>
                  <w:tcW w:w="738" w:type="pct"/>
                  <w:tcBorders>
                    <w:top w:val="single" w:color="auto" w:sz="4" w:space="0"/>
                    <w:right w:val="single" w:color="auto" w:sz="4" w:space="0"/>
                  </w:tcBorders>
                  <w:noWrap w:val="0"/>
                  <w:vAlign w:val="center"/>
                </w:tcPr>
                <w:p w14:paraId="000E1D5A">
                  <w:pPr>
                    <w:keepNext w:val="0"/>
                    <w:keepLines w:val="0"/>
                    <w:suppressLineNumbers w:val="0"/>
                    <w:spacing w:before="0" w:beforeAutospacing="0" w:after="0" w:afterAutospacing="0" w:line="240" w:lineRule="auto"/>
                    <w:ind w:left="0" w:right="0"/>
                    <w:jc w:val="center"/>
                    <w:rPr>
                      <w:rFonts w:hint="default"/>
                      <w:color w:val="auto"/>
                      <w:szCs w:val="20"/>
                      <w:highlight w:val="none"/>
                    </w:rPr>
                  </w:pPr>
                  <w:r>
                    <w:rPr>
                      <w:rFonts w:hint="eastAsia"/>
                      <w:color w:val="auto"/>
                      <w:szCs w:val="20"/>
                      <w:highlight w:val="none"/>
                      <w:lang w:val="en-US" w:eastAsia="zh-CN"/>
                    </w:rPr>
                    <w:t>现有工程</w:t>
                  </w:r>
                </w:p>
              </w:tc>
              <w:tc>
                <w:tcPr>
                  <w:tcW w:w="738" w:type="pct"/>
                  <w:tcBorders>
                    <w:top w:val="single" w:color="auto" w:sz="4" w:space="0"/>
                    <w:left w:val="single" w:color="auto" w:sz="4" w:space="0"/>
                    <w:right w:val="single" w:color="auto" w:sz="4" w:space="0"/>
                  </w:tcBorders>
                  <w:noWrap w:val="0"/>
                  <w:vAlign w:val="center"/>
                </w:tcPr>
                <w:p w14:paraId="61BFC996">
                  <w:pPr>
                    <w:keepNext w:val="0"/>
                    <w:keepLines w:val="0"/>
                    <w:suppressLineNumbers w:val="0"/>
                    <w:spacing w:before="0" w:beforeAutospacing="0" w:after="0" w:afterAutospacing="0" w:line="240" w:lineRule="auto"/>
                    <w:ind w:left="0" w:right="0"/>
                    <w:jc w:val="center"/>
                    <w:rPr>
                      <w:rFonts w:hint="default" w:eastAsia="宋体"/>
                      <w:color w:val="auto"/>
                      <w:szCs w:val="20"/>
                      <w:highlight w:val="none"/>
                      <w:lang w:val="en-US" w:eastAsia="zh-CN"/>
                    </w:rPr>
                  </w:pPr>
                  <w:r>
                    <w:rPr>
                      <w:rFonts w:hint="eastAsia" w:eastAsia="宋体"/>
                      <w:color w:val="auto"/>
                      <w:szCs w:val="20"/>
                      <w:highlight w:val="none"/>
                      <w:lang w:val="en-US" w:eastAsia="zh-CN"/>
                    </w:rPr>
                    <w:t>本次</w:t>
                  </w:r>
                  <w:r>
                    <w:rPr>
                      <w:rFonts w:hint="eastAsia"/>
                      <w:color w:val="auto"/>
                      <w:szCs w:val="20"/>
                      <w:highlight w:val="none"/>
                      <w:lang w:val="en-US" w:eastAsia="zh-CN"/>
                    </w:rPr>
                    <w:t>改建项目</w:t>
                  </w:r>
                </w:p>
              </w:tc>
              <w:tc>
                <w:tcPr>
                  <w:tcW w:w="738" w:type="pct"/>
                  <w:tcBorders>
                    <w:top w:val="single" w:color="auto" w:sz="4" w:space="0"/>
                    <w:left w:val="single" w:color="auto" w:sz="4" w:space="0"/>
                    <w:right w:val="single" w:color="auto" w:sz="4" w:space="0"/>
                  </w:tcBorders>
                  <w:noWrap w:val="0"/>
                  <w:vAlign w:val="center"/>
                </w:tcPr>
                <w:p w14:paraId="07F0E471">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改扩建完成后全厂</w:t>
                  </w:r>
                </w:p>
              </w:tc>
              <w:tc>
                <w:tcPr>
                  <w:tcW w:w="741" w:type="pct"/>
                  <w:tcBorders>
                    <w:top w:val="single" w:color="auto" w:sz="4" w:space="0"/>
                    <w:left w:val="single" w:color="auto" w:sz="4" w:space="0"/>
                  </w:tcBorders>
                  <w:noWrap w:val="0"/>
                  <w:vAlign w:val="center"/>
                </w:tcPr>
                <w:p w14:paraId="26E1EBC6">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变化量</w:t>
                  </w:r>
                </w:p>
              </w:tc>
              <w:tc>
                <w:tcPr>
                  <w:tcW w:w="986" w:type="pct"/>
                  <w:vMerge w:val="continue"/>
                  <w:noWrap w:val="0"/>
                  <w:vAlign w:val="center"/>
                </w:tcPr>
                <w:p w14:paraId="10BD2F15">
                  <w:pPr>
                    <w:keepNext w:val="0"/>
                    <w:keepLines w:val="0"/>
                    <w:suppressLineNumbers w:val="0"/>
                    <w:spacing w:before="0" w:beforeAutospacing="0" w:after="0" w:afterAutospacing="0" w:line="240" w:lineRule="auto"/>
                    <w:ind w:left="0" w:right="0"/>
                    <w:jc w:val="center"/>
                    <w:rPr>
                      <w:rFonts w:hint="eastAsia"/>
                      <w:color w:val="auto"/>
                      <w:szCs w:val="20"/>
                      <w:highlight w:val="none"/>
                      <w:lang w:val="en-US" w:eastAsia="zh-CN"/>
                    </w:rPr>
                  </w:pPr>
                </w:p>
              </w:tc>
            </w:tr>
            <w:tr w14:paraId="43473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1058" w:type="pct"/>
                  <w:noWrap w:val="0"/>
                  <w:vAlign w:val="center"/>
                </w:tcPr>
                <w:p w14:paraId="5F162A36">
                  <w:pPr>
                    <w:keepNext w:val="0"/>
                    <w:keepLines w:val="0"/>
                    <w:suppressLineNumbers w:val="0"/>
                    <w:spacing w:before="0" w:beforeAutospacing="0" w:after="0" w:afterAutospacing="0" w:line="240" w:lineRule="auto"/>
                    <w:ind w:left="0" w:right="0"/>
                    <w:jc w:val="center"/>
                    <w:rPr>
                      <w:rFonts w:hint="default" w:eastAsia="宋体"/>
                      <w:color w:val="auto"/>
                      <w:szCs w:val="20"/>
                      <w:highlight w:val="none"/>
                      <w:lang w:val="en-US" w:eastAsia="zh-CN"/>
                    </w:rPr>
                  </w:pPr>
                  <w:r>
                    <w:rPr>
                      <w:rFonts w:hint="default" w:eastAsia="宋体"/>
                      <w:color w:val="auto"/>
                      <w:szCs w:val="20"/>
                      <w:highlight w:val="none"/>
                      <w:lang w:val="en-US" w:eastAsia="zh-CN"/>
                    </w:rPr>
                    <w:t>集水杯及其配套制品</w:t>
                  </w:r>
                </w:p>
              </w:tc>
              <w:tc>
                <w:tcPr>
                  <w:tcW w:w="738" w:type="pct"/>
                  <w:tcBorders>
                    <w:right w:val="single" w:color="auto" w:sz="4" w:space="0"/>
                  </w:tcBorders>
                  <w:noWrap w:val="0"/>
                  <w:vAlign w:val="center"/>
                </w:tcPr>
                <w:p w14:paraId="2153574B">
                  <w:pPr>
                    <w:keepNext w:val="0"/>
                    <w:keepLines w:val="0"/>
                    <w:suppressLineNumbers w:val="0"/>
                    <w:spacing w:before="0" w:beforeAutospacing="0" w:after="0" w:afterAutospacing="0" w:line="240" w:lineRule="auto"/>
                    <w:ind w:left="0" w:right="0"/>
                    <w:jc w:val="center"/>
                    <w:rPr>
                      <w:rFonts w:hint="default"/>
                      <w:color w:val="auto"/>
                      <w:szCs w:val="20"/>
                      <w:highlight w:val="none"/>
                    </w:rPr>
                  </w:pPr>
                  <w:r>
                    <w:rPr>
                      <w:rFonts w:hint="default"/>
                      <w:color w:val="auto"/>
                      <w:szCs w:val="20"/>
                      <w:highlight w:val="none"/>
                    </w:rPr>
                    <w:t>90万</w:t>
                  </w:r>
                </w:p>
              </w:tc>
              <w:tc>
                <w:tcPr>
                  <w:tcW w:w="738" w:type="pct"/>
                  <w:tcBorders>
                    <w:left w:val="single" w:color="auto" w:sz="4" w:space="0"/>
                    <w:right w:val="single" w:color="auto" w:sz="4" w:space="0"/>
                  </w:tcBorders>
                  <w:noWrap w:val="0"/>
                  <w:vAlign w:val="center"/>
                </w:tcPr>
                <w:p w14:paraId="0F0C07FF">
                  <w:pPr>
                    <w:keepNext w:val="0"/>
                    <w:keepLines w:val="0"/>
                    <w:suppressLineNumbers w:val="0"/>
                    <w:spacing w:before="0" w:beforeAutospacing="0" w:after="0" w:afterAutospacing="0" w:line="240" w:lineRule="auto"/>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0</w:t>
                  </w:r>
                </w:p>
              </w:tc>
              <w:tc>
                <w:tcPr>
                  <w:tcW w:w="738" w:type="pct"/>
                  <w:tcBorders>
                    <w:left w:val="single" w:color="auto" w:sz="4" w:space="0"/>
                    <w:right w:val="single" w:color="auto" w:sz="4" w:space="0"/>
                  </w:tcBorders>
                  <w:noWrap w:val="0"/>
                  <w:vAlign w:val="center"/>
                </w:tcPr>
                <w:p w14:paraId="06F34D5F">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0</w:t>
                  </w:r>
                </w:p>
              </w:tc>
              <w:tc>
                <w:tcPr>
                  <w:tcW w:w="741" w:type="pct"/>
                  <w:tcBorders>
                    <w:left w:val="single" w:color="auto" w:sz="4" w:space="0"/>
                  </w:tcBorders>
                  <w:noWrap w:val="0"/>
                  <w:vAlign w:val="center"/>
                </w:tcPr>
                <w:p w14:paraId="6AF1C0D3">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-90万</w:t>
                  </w:r>
                </w:p>
              </w:tc>
              <w:tc>
                <w:tcPr>
                  <w:tcW w:w="986" w:type="pct"/>
                  <w:tcBorders>
                    <w:left w:val="single" w:color="auto" w:sz="4" w:space="0"/>
                  </w:tcBorders>
                  <w:noWrap w:val="0"/>
                  <w:vAlign w:val="center"/>
                </w:tcPr>
                <w:p w14:paraId="7C033AD8">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改建后不再生产</w:t>
                  </w:r>
                </w:p>
              </w:tc>
            </w:tr>
            <w:tr w14:paraId="7D90C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058" w:type="pct"/>
                  <w:noWrap w:val="0"/>
                  <w:vAlign w:val="center"/>
                </w:tcPr>
                <w:p w14:paraId="51DCA7FA">
                  <w:pPr>
                    <w:keepNext w:val="0"/>
                    <w:keepLines w:val="0"/>
                    <w:suppressLineNumbers w:val="0"/>
                    <w:spacing w:before="0" w:beforeAutospacing="0" w:after="0" w:afterAutospacing="0" w:line="240" w:lineRule="auto"/>
                    <w:ind w:left="0" w:right="0"/>
                    <w:jc w:val="center"/>
                    <w:rPr>
                      <w:rFonts w:hint="eastAsia"/>
                      <w:color w:val="auto"/>
                      <w:szCs w:val="20"/>
                      <w:highlight w:val="none"/>
                      <w:lang w:eastAsia="zh-CN"/>
                    </w:rPr>
                  </w:pPr>
                  <w:r>
                    <w:rPr>
                      <w:rFonts w:hint="eastAsia"/>
                      <w:color w:val="auto"/>
                      <w:szCs w:val="20"/>
                      <w:highlight w:val="none"/>
                      <w:lang w:eastAsia="zh-CN"/>
                    </w:rPr>
                    <w:t>注塑模具</w:t>
                  </w:r>
                </w:p>
              </w:tc>
              <w:tc>
                <w:tcPr>
                  <w:tcW w:w="738" w:type="pct"/>
                  <w:tcBorders>
                    <w:right w:val="single" w:color="auto" w:sz="4" w:space="0"/>
                  </w:tcBorders>
                  <w:noWrap w:val="0"/>
                  <w:vAlign w:val="center"/>
                </w:tcPr>
                <w:p w14:paraId="5C75C89E">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50</w:t>
                  </w:r>
                </w:p>
              </w:tc>
              <w:tc>
                <w:tcPr>
                  <w:tcW w:w="738" w:type="pct"/>
                  <w:tcBorders>
                    <w:left w:val="single" w:color="auto" w:sz="4" w:space="0"/>
                    <w:right w:val="single" w:color="auto" w:sz="4" w:space="0"/>
                  </w:tcBorders>
                  <w:noWrap w:val="0"/>
                  <w:vAlign w:val="center"/>
                </w:tcPr>
                <w:p w14:paraId="621B469E">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0</w:t>
                  </w:r>
                </w:p>
              </w:tc>
              <w:tc>
                <w:tcPr>
                  <w:tcW w:w="738" w:type="pct"/>
                  <w:tcBorders>
                    <w:left w:val="single" w:color="auto" w:sz="4" w:space="0"/>
                    <w:right w:val="single" w:color="auto" w:sz="4" w:space="0"/>
                  </w:tcBorders>
                  <w:noWrap w:val="0"/>
                  <w:vAlign w:val="center"/>
                </w:tcPr>
                <w:p w14:paraId="3760330C">
                  <w:pPr>
                    <w:keepNext w:val="0"/>
                    <w:keepLines w:val="0"/>
                    <w:suppressLineNumbers w:val="0"/>
                    <w:spacing w:before="0" w:beforeAutospacing="0" w:after="0" w:afterAutospacing="0" w:line="240" w:lineRule="auto"/>
                    <w:ind w:left="0" w:right="0"/>
                    <w:jc w:val="center"/>
                    <w:rPr>
                      <w:rFonts w:hint="eastAsia"/>
                      <w:color w:val="auto"/>
                      <w:szCs w:val="20"/>
                      <w:highlight w:val="none"/>
                      <w:lang w:val="en-US" w:eastAsia="zh-CN"/>
                    </w:rPr>
                  </w:pPr>
                  <w:r>
                    <w:rPr>
                      <w:rFonts w:hint="eastAsia"/>
                      <w:color w:val="auto"/>
                      <w:szCs w:val="20"/>
                      <w:highlight w:val="none"/>
                      <w:lang w:val="en-US" w:eastAsia="zh-CN"/>
                    </w:rPr>
                    <w:t>0</w:t>
                  </w:r>
                </w:p>
              </w:tc>
              <w:tc>
                <w:tcPr>
                  <w:tcW w:w="741" w:type="pct"/>
                  <w:tcBorders>
                    <w:left w:val="single" w:color="auto" w:sz="4" w:space="0"/>
                  </w:tcBorders>
                  <w:noWrap w:val="0"/>
                  <w:vAlign w:val="center"/>
                </w:tcPr>
                <w:p w14:paraId="14016C0D">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-50</w:t>
                  </w:r>
                </w:p>
              </w:tc>
              <w:tc>
                <w:tcPr>
                  <w:tcW w:w="986" w:type="pct"/>
                  <w:tcBorders>
                    <w:left w:val="single" w:color="auto" w:sz="4" w:space="0"/>
                  </w:tcBorders>
                  <w:noWrap w:val="0"/>
                  <w:vAlign w:val="center"/>
                </w:tcPr>
                <w:p w14:paraId="07E9ABDB">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改建后不再生产模具，全部外购成品模具</w:t>
                  </w:r>
                </w:p>
              </w:tc>
            </w:tr>
            <w:tr w14:paraId="60D1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058" w:type="pct"/>
                  <w:noWrap w:val="0"/>
                  <w:vAlign w:val="center"/>
                </w:tcPr>
                <w:p w14:paraId="56B13C93">
                  <w:pPr>
                    <w:keepNext w:val="0"/>
                    <w:keepLines w:val="0"/>
                    <w:suppressLineNumbers w:val="0"/>
                    <w:spacing w:before="0" w:beforeAutospacing="0" w:after="0" w:afterAutospacing="0" w:line="240" w:lineRule="auto"/>
                    <w:ind w:left="0" w:right="0"/>
                    <w:jc w:val="center"/>
                    <w:rPr>
                      <w:rFonts w:hint="eastAsia"/>
                      <w:color w:val="auto"/>
                      <w:szCs w:val="20"/>
                      <w:highlight w:val="none"/>
                      <w:lang w:eastAsia="zh-CN"/>
                    </w:rPr>
                  </w:pPr>
                  <w:r>
                    <w:rPr>
                      <w:rFonts w:hint="eastAsia"/>
                      <w:color w:val="auto"/>
                      <w:szCs w:val="20"/>
                      <w:highlight w:val="none"/>
                      <w:lang w:val="en-US" w:eastAsia="zh-CN"/>
                    </w:rPr>
                    <w:t>汽车塑料配件</w:t>
                  </w:r>
                </w:p>
              </w:tc>
              <w:tc>
                <w:tcPr>
                  <w:tcW w:w="738" w:type="pct"/>
                  <w:tcBorders>
                    <w:right w:val="single" w:color="auto" w:sz="4" w:space="0"/>
                  </w:tcBorders>
                  <w:noWrap w:val="0"/>
                  <w:vAlign w:val="center"/>
                </w:tcPr>
                <w:p w14:paraId="5EE10EBB">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0</w:t>
                  </w:r>
                </w:p>
              </w:tc>
              <w:tc>
                <w:tcPr>
                  <w:tcW w:w="738" w:type="pct"/>
                  <w:tcBorders>
                    <w:left w:val="single" w:color="auto" w:sz="4" w:space="0"/>
                    <w:right w:val="single" w:color="auto" w:sz="4" w:space="0"/>
                  </w:tcBorders>
                  <w:noWrap w:val="0"/>
                  <w:vAlign w:val="center"/>
                </w:tcPr>
                <w:p w14:paraId="5066BDCE">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160万</w:t>
                  </w:r>
                </w:p>
              </w:tc>
              <w:tc>
                <w:tcPr>
                  <w:tcW w:w="738" w:type="pct"/>
                  <w:tcBorders>
                    <w:left w:val="single" w:color="auto" w:sz="4" w:space="0"/>
                    <w:right w:val="single" w:color="auto" w:sz="4" w:space="0"/>
                  </w:tcBorders>
                  <w:noWrap w:val="0"/>
                  <w:vAlign w:val="center"/>
                </w:tcPr>
                <w:p w14:paraId="0275995B">
                  <w:pPr>
                    <w:keepNext w:val="0"/>
                    <w:keepLines w:val="0"/>
                    <w:suppressLineNumbers w:val="0"/>
                    <w:spacing w:before="0" w:beforeAutospacing="0" w:after="0" w:afterAutospacing="0" w:line="240" w:lineRule="auto"/>
                    <w:ind w:left="0" w:right="0"/>
                    <w:jc w:val="center"/>
                    <w:rPr>
                      <w:rFonts w:hint="eastAsia"/>
                      <w:color w:val="auto"/>
                      <w:szCs w:val="20"/>
                      <w:highlight w:val="none"/>
                      <w:lang w:val="en-US" w:eastAsia="zh-CN"/>
                    </w:rPr>
                  </w:pPr>
                  <w:r>
                    <w:rPr>
                      <w:rFonts w:hint="eastAsia"/>
                      <w:color w:val="auto"/>
                      <w:szCs w:val="20"/>
                      <w:highlight w:val="none"/>
                      <w:lang w:val="en-US" w:eastAsia="zh-CN"/>
                    </w:rPr>
                    <w:t>160万</w:t>
                  </w:r>
                </w:p>
              </w:tc>
              <w:tc>
                <w:tcPr>
                  <w:tcW w:w="741" w:type="pct"/>
                  <w:tcBorders>
                    <w:left w:val="single" w:color="auto" w:sz="4" w:space="0"/>
                  </w:tcBorders>
                  <w:noWrap w:val="0"/>
                  <w:vAlign w:val="center"/>
                </w:tcPr>
                <w:p w14:paraId="0C274B2B">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+160万</w:t>
                  </w:r>
                </w:p>
              </w:tc>
              <w:tc>
                <w:tcPr>
                  <w:tcW w:w="986" w:type="pct"/>
                  <w:tcBorders>
                    <w:left w:val="single" w:color="auto" w:sz="4" w:space="0"/>
                  </w:tcBorders>
                  <w:noWrap w:val="0"/>
                  <w:vAlign w:val="center"/>
                </w:tcPr>
                <w:p w14:paraId="30B95ABC">
                  <w:pPr>
                    <w:keepNext w:val="0"/>
                    <w:keepLines w:val="0"/>
                    <w:suppressLineNumbers w:val="0"/>
                    <w:spacing w:before="0" w:beforeAutospacing="0" w:after="0" w:afterAutospacing="0" w:line="240" w:lineRule="auto"/>
                    <w:ind w:left="0" w:right="0"/>
                    <w:jc w:val="center"/>
                    <w:rPr>
                      <w:rFonts w:hint="default"/>
                      <w:color w:val="auto"/>
                      <w:szCs w:val="20"/>
                      <w:highlight w:val="none"/>
                      <w:lang w:val="en-US" w:eastAsia="zh-CN"/>
                    </w:rPr>
                  </w:pPr>
                  <w:r>
                    <w:rPr>
                      <w:rFonts w:hint="eastAsia"/>
                      <w:color w:val="auto"/>
                      <w:szCs w:val="20"/>
                      <w:highlight w:val="none"/>
                      <w:lang w:val="en-US" w:eastAsia="zh-CN"/>
                    </w:rPr>
                    <w:t>产品，入库后待售</w:t>
                  </w:r>
                </w:p>
              </w:tc>
            </w:tr>
          </w:tbl>
          <w:p w14:paraId="3EEB7854">
            <w:pPr>
              <w:pStyle w:val="33"/>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szCs w:val="20"/>
                <w:highlight w:val="none"/>
              </w:rPr>
            </w:pPr>
            <w:r>
              <w:rPr>
                <w:rFonts w:hint="default" w:ascii="Times New Roman" w:hAnsi="Times New Roman" w:cs="Times New Roman"/>
                <w:b/>
                <w:bCs/>
                <w:smallCaps w:val="0"/>
                <w:color w:val="auto"/>
                <w:spacing w:val="0"/>
                <w:szCs w:val="20"/>
                <w:highlight w:val="none"/>
                <w:lang w:val="en-US" w:eastAsia="zh-CN"/>
              </w:rPr>
              <w:t>3</w:t>
            </w:r>
            <w:r>
              <w:rPr>
                <w:rFonts w:hint="default" w:ascii="Times New Roman" w:hAnsi="Times New Roman" w:cs="Times New Roman"/>
                <w:b/>
                <w:bCs/>
                <w:smallCaps w:val="0"/>
                <w:color w:val="auto"/>
                <w:spacing w:val="0"/>
                <w:szCs w:val="20"/>
                <w:highlight w:val="none"/>
              </w:rPr>
              <w:t>、工程内容及规模</w:t>
            </w:r>
          </w:p>
          <w:p w14:paraId="3D6B88C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本项目占地面积880平方米，建筑面积880平方米</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设置机加工区、办公室、杂物间、危废间、生产区等辅助用房</w:t>
            </w: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val="en-US" w:eastAsia="zh-CN"/>
              </w:rPr>
              <w:t>将现有工程设备（除机加工设备）搬迁至新租赁厂房，建设汽车塑料配件生产线、电极片生产线，配套模具维修设备。</w:t>
            </w:r>
            <w:r>
              <w:rPr>
                <w:rFonts w:hint="default" w:ascii="Times New Roman" w:hAnsi="Times New Roman" w:cs="Times New Roman"/>
                <w:smallCaps w:val="0"/>
                <w:color w:val="auto"/>
                <w:spacing w:val="0"/>
                <w:highlight w:val="none"/>
              </w:rPr>
              <w:t>项目建成后年产汽车塑料配件160万件（约100t）。</w:t>
            </w:r>
          </w:p>
          <w:p w14:paraId="560AA931">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表2-</w:t>
            </w:r>
            <w:r>
              <w:rPr>
                <w:rFonts w:hint="eastAsia" w:cs="Times New Roman"/>
                <w:smallCaps w:val="0"/>
                <w:color w:val="auto"/>
                <w:spacing w:val="0"/>
                <w:highlight w:val="none"/>
                <w:lang w:val="en-US" w:eastAsia="zh-CN"/>
              </w:rPr>
              <w:t>2</w:t>
            </w:r>
            <w:r>
              <w:rPr>
                <w:rFonts w:hint="default" w:ascii="Times New Roman" w:hAnsi="Times New Roman" w:cs="Times New Roman"/>
                <w:smallCaps w:val="0"/>
                <w:color w:val="auto"/>
                <w:spacing w:val="0"/>
                <w:highlight w:val="none"/>
              </w:rPr>
              <w:t xml:space="preserve">    项目主要建设内容组成一览表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87"/>
              <w:gridCol w:w="5217"/>
              <w:gridCol w:w="1129"/>
            </w:tblGrid>
            <w:tr w14:paraId="1558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noWrap w:val="0"/>
                  <w:vAlign w:val="center"/>
                </w:tcPr>
                <w:p w14:paraId="2B30066F">
                  <w:pPr>
                    <w:keepNext w:val="0"/>
                    <w:keepLines w:val="0"/>
                    <w:suppressLineNumbers w:val="0"/>
                    <w:spacing w:before="0" w:beforeAutospacing="0" w:after="0" w:afterAutospacing="0"/>
                    <w:ind w:left="0" w:right="0"/>
                    <w:jc w:val="center"/>
                    <w:rPr>
                      <w:rFonts w:hint="default"/>
                      <w:b w:val="0"/>
                      <w:bCs w:val="0"/>
                      <w:color w:val="auto"/>
                      <w:szCs w:val="21"/>
                      <w:highlight w:val="none"/>
                    </w:rPr>
                  </w:pPr>
                  <w:r>
                    <w:rPr>
                      <w:rFonts w:hint="default"/>
                      <w:b w:val="0"/>
                      <w:bCs w:val="0"/>
                      <w:color w:val="auto"/>
                      <w:szCs w:val="21"/>
                      <w:highlight w:val="none"/>
                    </w:rPr>
                    <w:t>名称</w:t>
                  </w:r>
                </w:p>
              </w:tc>
              <w:tc>
                <w:tcPr>
                  <w:tcW w:w="666" w:type="pct"/>
                  <w:noWrap w:val="0"/>
                  <w:vAlign w:val="center"/>
                </w:tcPr>
                <w:p w14:paraId="6477C046">
                  <w:pPr>
                    <w:keepNext w:val="0"/>
                    <w:keepLines w:val="0"/>
                    <w:suppressLineNumbers w:val="0"/>
                    <w:spacing w:before="0" w:beforeAutospacing="0" w:after="0" w:afterAutospacing="0"/>
                    <w:ind w:left="0" w:right="0"/>
                    <w:jc w:val="center"/>
                    <w:rPr>
                      <w:rFonts w:hint="default"/>
                      <w:b w:val="0"/>
                      <w:bCs w:val="0"/>
                      <w:color w:val="auto"/>
                      <w:szCs w:val="21"/>
                      <w:highlight w:val="none"/>
                    </w:rPr>
                  </w:pPr>
                  <w:r>
                    <w:rPr>
                      <w:rFonts w:hint="eastAsia"/>
                      <w:b w:val="0"/>
                      <w:bCs w:val="0"/>
                      <w:color w:val="auto"/>
                      <w:szCs w:val="21"/>
                      <w:highlight w:val="none"/>
                    </w:rPr>
                    <w:t>建设</w:t>
                  </w:r>
                  <w:r>
                    <w:rPr>
                      <w:rFonts w:hint="default"/>
                      <w:b w:val="0"/>
                      <w:bCs w:val="0"/>
                      <w:color w:val="auto"/>
                      <w:szCs w:val="21"/>
                      <w:highlight w:val="none"/>
                    </w:rPr>
                    <w:t>内容</w:t>
                  </w:r>
                </w:p>
              </w:tc>
              <w:tc>
                <w:tcPr>
                  <w:tcW w:w="3198" w:type="pct"/>
                  <w:noWrap w:val="0"/>
                  <w:vAlign w:val="center"/>
                </w:tcPr>
                <w:p w14:paraId="566133EF">
                  <w:pPr>
                    <w:keepNext w:val="0"/>
                    <w:keepLines w:val="0"/>
                    <w:suppressLineNumbers w:val="0"/>
                    <w:spacing w:before="0" w:beforeAutospacing="0" w:after="0" w:afterAutospacing="0"/>
                    <w:ind w:left="0" w:right="0"/>
                    <w:jc w:val="center"/>
                    <w:rPr>
                      <w:rFonts w:hint="eastAsia"/>
                      <w:b w:val="0"/>
                      <w:bCs w:val="0"/>
                      <w:color w:val="auto"/>
                      <w:szCs w:val="21"/>
                      <w:highlight w:val="none"/>
                    </w:rPr>
                  </w:pPr>
                  <w:r>
                    <w:rPr>
                      <w:rFonts w:hint="default"/>
                      <w:b w:val="0"/>
                      <w:bCs w:val="0"/>
                      <w:color w:val="auto"/>
                      <w:szCs w:val="21"/>
                      <w:highlight w:val="none"/>
                    </w:rPr>
                    <w:t>建筑内容及规模</w:t>
                  </w:r>
                </w:p>
              </w:tc>
              <w:tc>
                <w:tcPr>
                  <w:tcW w:w="692" w:type="pct"/>
                  <w:noWrap w:val="0"/>
                  <w:vAlign w:val="center"/>
                </w:tcPr>
                <w:p w14:paraId="020E0E03">
                  <w:pPr>
                    <w:keepNext w:val="0"/>
                    <w:keepLines w:val="0"/>
                    <w:suppressLineNumbers w:val="0"/>
                    <w:spacing w:before="0" w:beforeAutospacing="0" w:after="0" w:afterAutospacing="0"/>
                    <w:ind w:left="0" w:right="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备注</w:t>
                  </w:r>
                </w:p>
              </w:tc>
            </w:tr>
            <w:tr w14:paraId="4B80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restart"/>
                  <w:noWrap w:val="0"/>
                  <w:vAlign w:val="center"/>
                </w:tcPr>
                <w:p w14:paraId="768AC44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主体工程</w:t>
                  </w:r>
                </w:p>
              </w:tc>
              <w:tc>
                <w:tcPr>
                  <w:tcW w:w="666" w:type="pct"/>
                  <w:noWrap w:val="0"/>
                  <w:vAlign w:val="center"/>
                </w:tcPr>
                <w:p w14:paraId="0C42915B">
                  <w:pPr>
                    <w:keepNext w:val="0"/>
                    <w:keepLines w:val="0"/>
                    <w:suppressLineNumbers w:val="0"/>
                    <w:spacing w:before="0" w:beforeAutospacing="0" w:after="0" w:afterAutospacing="0"/>
                    <w:ind w:left="0" w:right="0"/>
                    <w:jc w:val="center"/>
                    <w:rPr>
                      <w:rFonts w:hint="eastAsia"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生产区</w:t>
                  </w:r>
                </w:p>
              </w:tc>
              <w:tc>
                <w:tcPr>
                  <w:tcW w:w="3198" w:type="pct"/>
                  <w:noWrap w:val="0"/>
                  <w:vAlign w:val="center"/>
                </w:tcPr>
                <w:p w14:paraId="29AA566A">
                  <w:pPr>
                    <w:keepNext w:val="0"/>
                    <w:keepLines w:val="0"/>
                    <w:suppressLineNumbers w:val="0"/>
                    <w:spacing w:before="0" w:beforeAutospacing="0" w:after="0" w:afterAutospacing="0"/>
                    <w:ind w:left="0" w:right="0"/>
                    <w:rPr>
                      <w:rFonts w:hint="eastAsia"/>
                      <w:color w:val="auto"/>
                      <w:spacing w:val="-4"/>
                      <w:szCs w:val="21"/>
                      <w:highlight w:val="none"/>
                    </w:rPr>
                  </w:pPr>
                  <w:r>
                    <w:rPr>
                      <w:rFonts w:hint="eastAsia"/>
                      <w:snapToGrid w:val="0"/>
                      <w:color w:val="auto"/>
                      <w:kern w:val="0"/>
                      <w:szCs w:val="21"/>
                      <w:highlight w:val="none"/>
                      <w:lang w:val="en-US" w:eastAsia="zh-CN"/>
                    </w:rPr>
                    <w:t>位于厂房内</w:t>
                  </w:r>
                  <w:r>
                    <w:rPr>
                      <w:rFonts w:hint="default"/>
                      <w:snapToGrid w:val="0"/>
                      <w:color w:val="auto"/>
                      <w:kern w:val="0"/>
                      <w:szCs w:val="21"/>
                      <w:highlight w:val="none"/>
                    </w:rPr>
                    <w:t>，占地面积</w:t>
                  </w:r>
                  <w:r>
                    <w:rPr>
                      <w:rFonts w:hint="eastAsia"/>
                      <w:snapToGrid w:val="0"/>
                      <w:color w:val="auto"/>
                      <w:kern w:val="0"/>
                      <w:szCs w:val="21"/>
                      <w:highlight w:val="none"/>
                      <w:lang w:val="en-US" w:eastAsia="zh-CN"/>
                    </w:rPr>
                    <w:t>338.25</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建筑面积338.25</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lang w:eastAsia="zh-CN"/>
                    </w:rPr>
                    <w:t>，</w:t>
                  </w:r>
                  <w:r>
                    <w:rPr>
                      <w:rFonts w:hint="eastAsia"/>
                      <w:snapToGrid w:val="0"/>
                      <w:color w:val="auto"/>
                      <w:kern w:val="0"/>
                      <w:szCs w:val="21"/>
                      <w:highlight w:val="none"/>
                    </w:rPr>
                    <w:t>高度</w:t>
                  </w:r>
                  <w:r>
                    <w:rPr>
                      <w:rFonts w:hint="eastAsia"/>
                      <w:snapToGrid w:val="0"/>
                      <w:color w:val="auto"/>
                      <w:kern w:val="0"/>
                      <w:szCs w:val="21"/>
                      <w:highlight w:val="none"/>
                      <w:lang w:val="en-US" w:eastAsia="zh-CN"/>
                    </w:rPr>
                    <w:t>8</w:t>
                  </w:r>
                  <w:r>
                    <w:rPr>
                      <w:rFonts w:hint="eastAsia"/>
                      <w:snapToGrid w:val="0"/>
                      <w:color w:val="auto"/>
                      <w:kern w:val="0"/>
                      <w:szCs w:val="21"/>
                      <w:highlight w:val="none"/>
                    </w:rPr>
                    <w:t>m</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分为烘干区、注塑区</w:t>
                  </w:r>
                  <w:r>
                    <w:rPr>
                      <w:rFonts w:hint="eastAsia"/>
                      <w:snapToGrid w:val="0"/>
                      <w:color w:val="auto"/>
                      <w:kern w:val="0"/>
                      <w:szCs w:val="21"/>
                      <w:highlight w:val="none"/>
                    </w:rPr>
                    <w:t>，购置</w:t>
                  </w:r>
                  <w:r>
                    <w:rPr>
                      <w:rFonts w:hint="eastAsia"/>
                      <w:snapToGrid w:val="0"/>
                      <w:color w:val="auto"/>
                      <w:kern w:val="0"/>
                      <w:szCs w:val="21"/>
                      <w:highlight w:val="none"/>
                      <w:lang w:val="en-US" w:eastAsia="zh-CN"/>
                    </w:rPr>
                    <w:t>注塑机、干燥机、干燥箱</w:t>
                  </w:r>
                  <w:r>
                    <w:rPr>
                      <w:rFonts w:hint="eastAsia"/>
                      <w:snapToGrid w:val="0"/>
                      <w:color w:val="auto"/>
                      <w:kern w:val="0"/>
                      <w:szCs w:val="21"/>
                      <w:highlight w:val="none"/>
                    </w:rPr>
                    <w:t>等设备，用于</w:t>
                  </w:r>
                  <w:r>
                    <w:rPr>
                      <w:rFonts w:hint="eastAsia"/>
                      <w:snapToGrid w:val="0"/>
                      <w:color w:val="auto"/>
                      <w:kern w:val="0"/>
                      <w:szCs w:val="21"/>
                      <w:highlight w:val="none"/>
                      <w:lang w:val="en-US" w:eastAsia="zh-CN"/>
                    </w:rPr>
                    <w:t>汽车塑料配件的烘干、注塑</w:t>
                  </w:r>
                  <w:r>
                    <w:rPr>
                      <w:rFonts w:hint="eastAsia"/>
                      <w:snapToGrid w:val="0"/>
                      <w:color w:val="auto"/>
                      <w:kern w:val="0"/>
                      <w:szCs w:val="21"/>
                      <w:highlight w:val="none"/>
                    </w:rPr>
                    <w:t>。</w:t>
                  </w:r>
                </w:p>
              </w:tc>
              <w:tc>
                <w:tcPr>
                  <w:tcW w:w="692" w:type="pct"/>
                  <w:noWrap w:val="0"/>
                  <w:vAlign w:val="center"/>
                </w:tcPr>
                <w:p w14:paraId="4BB4F6EF">
                  <w:pPr>
                    <w:keepNext w:val="0"/>
                    <w:keepLines w:val="0"/>
                    <w:suppressLineNumbers w:val="0"/>
                    <w:spacing w:before="0" w:beforeAutospacing="0" w:after="0" w:afterAutospacing="0"/>
                    <w:ind w:left="0" w:right="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新租厂房</w:t>
                  </w:r>
                </w:p>
              </w:tc>
            </w:tr>
            <w:tr w14:paraId="58B3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3F872A2A">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2381FE46">
                  <w:pPr>
                    <w:keepNext w:val="0"/>
                    <w:keepLines w:val="0"/>
                    <w:suppressLineNumbers w:val="0"/>
                    <w:spacing w:before="0" w:beforeAutospacing="0" w:after="0" w:afterAutospacing="0"/>
                    <w:ind w:left="0" w:right="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机加工区</w:t>
                  </w:r>
                </w:p>
              </w:tc>
              <w:tc>
                <w:tcPr>
                  <w:tcW w:w="3198" w:type="pct"/>
                  <w:noWrap w:val="0"/>
                  <w:vAlign w:val="center"/>
                </w:tcPr>
                <w:p w14:paraId="1A35BA41">
                  <w:pPr>
                    <w:keepNext w:val="0"/>
                    <w:keepLines w:val="0"/>
                    <w:suppressLineNumbers w:val="0"/>
                    <w:spacing w:before="0" w:beforeAutospacing="0" w:after="0" w:afterAutospacing="0"/>
                    <w:ind w:left="0" w:right="0"/>
                    <w:rPr>
                      <w:rFonts w:hint="eastAsia"/>
                      <w:snapToGrid w:val="0"/>
                      <w:color w:val="auto"/>
                      <w:kern w:val="0"/>
                      <w:szCs w:val="21"/>
                      <w:highlight w:val="none"/>
                    </w:rPr>
                  </w:pPr>
                  <w:r>
                    <w:rPr>
                      <w:rFonts w:hint="eastAsia"/>
                      <w:snapToGrid w:val="0"/>
                      <w:color w:val="auto"/>
                      <w:kern w:val="0"/>
                      <w:szCs w:val="21"/>
                      <w:highlight w:val="none"/>
                      <w:lang w:val="en-US" w:eastAsia="zh-CN"/>
                    </w:rPr>
                    <w:t>位于厂房内</w:t>
                  </w:r>
                  <w:r>
                    <w:rPr>
                      <w:rFonts w:hint="default"/>
                      <w:snapToGrid w:val="0"/>
                      <w:color w:val="auto"/>
                      <w:kern w:val="0"/>
                      <w:szCs w:val="21"/>
                      <w:highlight w:val="none"/>
                    </w:rPr>
                    <w:t>，占地面积</w:t>
                  </w:r>
                  <w:r>
                    <w:rPr>
                      <w:rFonts w:hint="eastAsia"/>
                      <w:snapToGrid w:val="0"/>
                      <w:color w:val="auto"/>
                      <w:kern w:val="0"/>
                      <w:szCs w:val="21"/>
                      <w:highlight w:val="none"/>
                      <w:lang w:val="en-US" w:eastAsia="zh-CN"/>
                    </w:rPr>
                    <w:t>60.21</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建筑面积60.21</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default"/>
                      <w:snapToGrid w:val="0"/>
                      <w:color w:val="auto"/>
                      <w:kern w:val="0"/>
                      <w:szCs w:val="21"/>
                      <w:highlight w:val="none"/>
                    </w:rPr>
                    <w:t>，</w:t>
                  </w:r>
                  <w:r>
                    <w:rPr>
                      <w:rFonts w:hint="eastAsia"/>
                      <w:i w:val="0"/>
                      <w:iCs w:val="0"/>
                      <w:snapToGrid w:val="0"/>
                      <w:color w:val="auto"/>
                      <w:kern w:val="0"/>
                      <w:szCs w:val="21"/>
                      <w:highlight w:val="none"/>
                    </w:rPr>
                    <w:t>高度</w:t>
                  </w:r>
                  <w:r>
                    <w:rPr>
                      <w:rFonts w:hint="eastAsia"/>
                      <w:i w:val="0"/>
                      <w:iCs w:val="0"/>
                      <w:snapToGrid w:val="0"/>
                      <w:color w:val="auto"/>
                      <w:kern w:val="0"/>
                      <w:szCs w:val="21"/>
                      <w:highlight w:val="none"/>
                      <w:lang w:val="en-US" w:eastAsia="zh-CN"/>
                    </w:rPr>
                    <w:t>8</w:t>
                  </w:r>
                  <w:r>
                    <w:rPr>
                      <w:rFonts w:hint="eastAsia"/>
                      <w:i w:val="0"/>
                      <w:iCs w:val="0"/>
                      <w:snapToGrid w:val="0"/>
                      <w:color w:val="auto"/>
                      <w:kern w:val="0"/>
                      <w:szCs w:val="21"/>
                      <w:highlight w:val="none"/>
                    </w:rPr>
                    <w:t>m</w:t>
                  </w:r>
                  <w:r>
                    <w:rPr>
                      <w:rFonts w:hint="eastAsia"/>
                      <w:snapToGrid w:val="0"/>
                      <w:color w:val="auto"/>
                      <w:kern w:val="0"/>
                      <w:szCs w:val="21"/>
                      <w:highlight w:val="none"/>
                      <w:lang w:eastAsia="zh-CN"/>
                    </w:rPr>
                    <w:t>，</w:t>
                  </w:r>
                  <w:r>
                    <w:rPr>
                      <w:rFonts w:hint="eastAsia"/>
                      <w:snapToGrid w:val="0"/>
                      <w:color w:val="auto"/>
                      <w:kern w:val="0"/>
                      <w:szCs w:val="21"/>
                      <w:highlight w:val="none"/>
                    </w:rPr>
                    <w:t>购置</w:t>
                  </w:r>
                  <w:r>
                    <w:rPr>
                      <w:rFonts w:hint="eastAsia"/>
                      <w:snapToGrid w:val="0"/>
                      <w:color w:val="auto"/>
                      <w:kern w:val="0"/>
                      <w:szCs w:val="21"/>
                      <w:highlight w:val="none"/>
                      <w:lang w:val="en-US" w:eastAsia="zh-CN"/>
                    </w:rPr>
                    <w:t>攻丝机、车床、铣床、钻床、磨床、线切割、模具维修设备</w:t>
                  </w:r>
                  <w:r>
                    <w:rPr>
                      <w:rFonts w:hint="eastAsia"/>
                      <w:snapToGrid w:val="0"/>
                      <w:color w:val="auto"/>
                      <w:kern w:val="0"/>
                      <w:szCs w:val="21"/>
                      <w:highlight w:val="none"/>
                    </w:rPr>
                    <w:t>等设备，用于</w:t>
                  </w:r>
                  <w:r>
                    <w:rPr>
                      <w:rFonts w:hint="eastAsia"/>
                      <w:snapToGrid w:val="0"/>
                      <w:color w:val="auto"/>
                      <w:kern w:val="0"/>
                      <w:szCs w:val="21"/>
                      <w:highlight w:val="none"/>
                      <w:lang w:val="en-US" w:eastAsia="zh-CN"/>
                    </w:rPr>
                    <w:t>电极片的生产、模具的维修</w:t>
                  </w:r>
                  <w:r>
                    <w:rPr>
                      <w:rFonts w:hint="eastAsia"/>
                      <w:snapToGrid w:val="0"/>
                      <w:color w:val="auto"/>
                      <w:kern w:val="0"/>
                      <w:szCs w:val="21"/>
                      <w:highlight w:val="none"/>
                    </w:rPr>
                    <w:t>。</w:t>
                  </w:r>
                </w:p>
              </w:tc>
              <w:tc>
                <w:tcPr>
                  <w:tcW w:w="692" w:type="pct"/>
                  <w:noWrap w:val="0"/>
                  <w:vAlign w:val="center"/>
                </w:tcPr>
                <w:p w14:paraId="603A04C7">
                  <w:pPr>
                    <w:keepNext w:val="0"/>
                    <w:keepLines w:val="0"/>
                    <w:suppressLineNumbers w:val="0"/>
                    <w:spacing w:before="0" w:beforeAutospacing="0" w:after="0" w:afterAutospacing="0"/>
                    <w:ind w:left="0" w:right="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利用现有</w:t>
                  </w:r>
                </w:p>
              </w:tc>
            </w:tr>
            <w:tr w14:paraId="6B43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restart"/>
                  <w:noWrap w:val="0"/>
                  <w:vAlign w:val="center"/>
                </w:tcPr>
                <w:p w14:paraId="17C3948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辅助工程</w:t>
                  </w:r>
                </w:p>
              </w:tc>
              <w:tc>
                <w:tcPr>
                  <w:tcW w:w="666" w:type="pct"/>
                  <w:noWrap w:val="0"/>
                  <w:vAlign w:val="center"/>
                </w:tcPr>
                <w:p w14:paraId="40610C2E">
                  <w:pPr>
                    <w:pStyle w:val="136"/>
                    <w:keepNext w:val="0"/>
                    <w:keepLines w:val="0"/>
                    <w:suppressLineNumbers w:val="0"/>
                    <w:kinsoku w:val="0"/>
                    <w:overflowPunct w:val="0"/>
                    <w:adjustRightInd w:val="0"/>
                    <w:snapToGrid w:val="0"/>
                    <w:spacing w:before="0" w:beforeAutospacing="0" w:after="0" w:afterAutospacing="0" w:line="300" w:lineRule="exact"/>
                    <w:ind w:left="0" w:right="0"/>
                    <w:jc w:val="center"/>
                    <w:rPr>
                      <w:rFonts w:hint="eastAsia"/>
                      <w:snapToGrid w:val="0"/>
                      <w:color w:val="auto"/>
                      <w:kern w:val="0"/>
                      <w:szCs w:val="21"/>
                      <w:highlight w:val="none"/>
                    </w:rPr>
                  </w:pPr>
                  <w:r>
                    <w:rPr>
                      <w:rFonts w:hint="eastAsia"/>
                      <w:snapToGrid w:val="0"/>
                      <w:color w:val="auto"/>
                      <w:kern w:val="0"/>
                      <w:sz w:val="21"/>
                      <w:szCs w:val="21"/>
                      <w:highlight w:val="none"/>
                      <w:lang w:val="en-US" w:eastAsia="zh-CN"/>
                    </w:rPr>
                    <w:t>1#</w:t>
                  </w:r>
                  <w:r>
                    <w:rPr>
                      <w:rFonts w:hint="eastAsia"/>
                      <w:snapToGrid w:val="0"/>
                      <w:color w:val="auto"/>
                      <w:kern w:val="0"/>
                      <w:sz w:val="21"/>
                      <w:szCs w:val="21"/>
                      <w:highlight w:val="none"/>
                    </w:rPr>
                    <w:t>办公室</w:t>
                  </w:r>
                </w:p>
              </w:tc>
              <w:tc>
                <w:tcPr>
                  <w:tcW w:w="3198" w:type="pct"/>
                  <w:noWrap w:val="0"/>
                  <w:vAlign w:val="center"/>
                </w:tcPr>
                <w:p w14:paraId="45F6D29E">
                  <w:pPr>
                    <w:keepNext w:val="0"/>
                    <w:keepLines w:val="0"/>
                    <w:suppressLineNumbers w:val="0"/>
                    <w:snapToGrid w:val="0"/>
                    <w:spacing w:before="0" w:beforeAutospacing="0" w:after="0" w:afterAutospacing="0" w:line="300" w:lineRule="exact"/>
                    <w:ind w:left="0" w:right="0"/>
                    <w:rPr>
                      <w:rFonts w:hint="default"/>
                      <w:snapToGrid w:val="0"/>
                      <w:color w:val="auto"/>
                      <w:kern w:val="0"/>
                      <w:szCs w:val="21"/>
                      <w:highlight w:val="none"/>
                    </w:rPr>
                  </w:pPr>
                  <w:r>
                    <w:rPr>
                      <w:rFonts w:hint="eastAsia"/>
                      <w:snapToGrid w:val="0"/>
                      <w:color w:val="auto"/>
                      <w:kern w:val="0"/>
                      <w:szCs w:val="21"/>
                      <w:highlight w:val="none"/>
                      <w:lang w:val="en-US" w:eastAsia="zh-CN"/>
                    </w:rPr>
                    <w:t>位于机加工东侧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占地面积44</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建筑面积44</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，用于职工办公。</w:t>
                  </w:r>
                </w:p>
              </w:tc>
              <w:tc>
                <w:tcPr>
                  <w:tcW w:w="692" w:type="pct"/>
                  <w:noWrap w:val="0"/>
                  <w:vAlign w:val="center"/>
                </w:tcPr>
                <w:p w14:paraId="0D73EE68">
                  <w:pPr>
                    <w:keepNext w:val="0"/>
                    <w:keepLines w:val="0"/>
                    <w:suppressLineNumbers w:val="0"/>
                    <w:snapToGrid w:val="0"/>
                    <w:spacing w:before="0" w:beforeAutospacing="0" w:after="0" w:afterAutospacing="0" w:line="300" w:lineRule="exact"/>
                    <w:ind w:left="0" w:right="0"/>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利用现有</w:t>
                  </w:r>
                </w:p>
              </w:tc>
            </w:tr>
            <w:tr w14:paraId="02D0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60710AFB">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10DF3150">
                  <w:pPr>
                    <w:pStyle w:val="136"/>
                    <w:keepNext w:val="0"/>
                    <w:keepLines w:val="0"/>
                    <w:suppressLineNumbers w:val="0"/>
                    <w:kinsoku w:val="0"/>
                    <w:overflowPunct w:val="0"/>
                    <w:adjustRightInd w:val="0"/>
                    <w:snapToGrid w:val="0"/>
                    <w:spacing w:before="0" w:beforeAutospacing="0" w:after="0" w:afterAutospacing="0" w:line="300" w:lineRule="exact"/>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lang w:val="en-US" w:eastAsia="zh-CN"/>
                    </w:rPr>
                    <w:t>2#</w:t>
                  </w:r>
                  <w:r>
                    <w:rPr>
                      <w:rFonts w:hint="eastAsia"/>
                      <w:snapToGrid w:val="0"/>
                      <w:color w:val="auto"/>
                      <w:kern w:val="0"/>
                      <w:sz w:val="21"/>
                      <w:szCs w:val="21"/>
                      <w:highlight w:val="none"/>
                    </w:rPr>
                    <w:t>办公室</w:t>
                  </w:r>
                </w:p>
              </w:tc>
              <w:tc>
                <w:tcPr>
                  <w:tcW w:w="3198" w:type="pct"/>
                  <w:noWrap w:val="0"/>
                  <w:vAlign w:val="center"/>
                </w:tcPr>
                <w:p w14:paraId="7AE1BCDF">
                  <w:pPr>
                    <w:keepNext w:val="0"/>
                    <w:keepLines w:val="0"/>
                    <w:suppressLineNumbers w:val="0"/>
                    <w:snapToGrid w:val="0"/>
                    <w:spacing w:before="0" w:beforeAutospacing="0" w:after="0" w:afterAutospacing="0" w:line="300" w:lineRule="exact"/>
                    <w:ind w:left="0" w:right="0"/>
                    <w:rPr>
                      <w:rFonts w:hint="eastAsia"/>
                      <w:snapToGrid w:val="0"/>
                      <w:color w:val="auto"/>
                      <w:kern w:val="0"/>
                      <w:szCs w:val="21"/>
                      <w:highlight w:val="none"/>
                    </w:rPr>
                  </w:pPr>
                  <w:r>
                    <w:rPr>
                      <w:rFonts w:hint="eastAsia"/>
                      <w:snapToGrid w:val="0"/>
                      <w:color w:val="auto"/>
                      <w:kern w:val="0"/>
                      <w:szCs w:val="21"/>
                      <w:highlight w:val="none"/>
                      <w:lang w:val="en-US" w:eastAsia="zh-CN"/>
                    </w:rPr>
                    <w:t>位于机加工东侧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占地面积44</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建筑面积44</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，用于职工办公。</w:t>
                  </w:r>
                </w:p>
              </w:tc>
              <w:tc>
                <w:tcPr>
                  <w:tcW w:w="692" w:type="pct"/>
                  <w:noWrap w:val="0"/>
                  <w:vAlign w:val="center"/>
                </w:tcPr>
                <w:p w14:paraId="621218D2">
                  <w:pPr>
                    <w:keepNext w:val="0"/>
                    <w:keepLines w:val="0"/>
                    <w:suppressLineNumbers w:val="0"/>
                    <w:snapToGrid w:val="0"/>
                    <w:spacing w:before="0" w:beforeAutospacing="0" w:after="0" w:afterAutospacing="0" w:line="300" w:lineRule="exact"/>
                    <w:ind w:left="0" w:right="0"/>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利用现有</w:t>
                  </w:r>
                </w:p>
              </w:tc>
            </w:tr>
            <w:tr w14:paraId="5951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45CF64DB">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7431F063">
                  <w:pPr>
                    <w:pStyle w:val="136"/>
                    <w:keepNext w:val="0"/>
                    <w:keepLines w:val="0"/>
                    <w:suppressLineNumbers w:val="0"/>
                    <w:kinsoku w:val="0"/>
                    <w:overflowPunct w:val="0"/>
                    <w:adjustRightInd w:val="0"/>
                    <w:snapToGrid w:val="0"/>
                    <w:spacing w:before="0" w:beforeAutospacing="0" w:after="0" w:afterAutospacing="0" w:line="300" w:lineRule="exact"/>
                    <w:ind w:left="0" w:right="0"/>
                    <w:jc w:val="center"/>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更衣室</w:t>
                  </w:r>
                </w:p>
              </w:tc>
              <w:tc>
                <w:tcPr>
                  <w:tcW w:w="3198" w:type="pct"/>
                  <w:noWrap w:val="0"/>
                  <w:vAlign w:val="center"/>
                </w:tcPr>
                <w:p w14:paraId="683B09A8">
                  <w:pPr>
                    <w:keepNext w:val="0"/>
                    <w:keepLines w:val="0"/>
                    <w:suppressLineNumbers w:val="0"/>
                    <w:snapToGrid w:val="0"/>
                    <w:spacing w:before="0" w:beforeAutospacing="0" w:after="0" w:afterAutospacing="0" w:line="300" w:lineRule="exact"/>
                    <w:ind w:left="0" w:right="0"/>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位于生产区东南侧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占地面积30.8</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建筑面积30.8</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，用于职工</w:t>
                  </w:r>
                  <w:r>
                    <w:rPr>
                      <w:rFonts w:hint="eastAsia"/>
                      <w:snapToGrid w:val="0"/>
                      <w:color w:val="auto"/>
                      <w:kern w:val="0"/>
                      <w:szCs w:val="21"/>
                      <w:highlight w:val="none"/>
                      <w:lang w:val="en-US" w:eastAsia="zh-CN"/>
                    </w:rPr>
                    <w:t>更衣</w:t>
                  </w:r>
                  <w:r>
                    <w:rPr>
                      <w:rFonts w:hint="eastAsia"/>
                      <w:snapToGrid w:val="0"/>
                      <w:color w:val="auto"/>
                      <w:kern w:val="0"/>
                      <w:szCs w:val="21"/>
                      <w:highlight w:val="none"/>
                    </w:rPr>
                    <w:t>。</w:t>
                  </w:r>
                </w:p>
              </w:tc>
              <w:tc>
                <w:tcPr>
                  <w:tcW w:w="692" w:type="pct"/>
                  <w:noWrap w:val="0"/>
                  <w:vAlign w:val="center"/>
                </w:tcPr>
                <w:p w14:paraId="7ED0F8C0">
                  <w:pPr>
                    <w:keepNext w:val="0"/>
                    <w:keepLines w:val="0"/>
                    <w:suppressLineNumbers w:val="0"/>
                    <w:snapToGrid w:val="0"/>
                    <w:spacing w:before="0" w:beforeAutospacing="0" w:after="0" w:afterAutospacing="0" w:line="300" w:lineRule="exact"/>
                    <w:ind w:left="0" w:right="0"/>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新租厂房</w:t>
                  </w:r>
                </w:p>
              </w:tc>
            </w:tr>
            <w:tr w14:paraId="17DC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2FF9DF8C">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657761F5">
                  <w:pPr>
                    <w:pStyle w:val="136"/>
                    <w:keepNext w:val="0"/>
                    <w:keepLines w:val="0"/>
                    <w:suppressLineNumbers w:val="0"/>
                    <w:kinsoku w:val="0"/>
                    <w:overflowPunct w:val="0"/>
                    <w:adjustRightInd w:val="0"/>
                    <w:snapToGrid w:val="0"/>
                    <w:spacing w:before="0" w:beforeAutospacing="0" w:after="0" w:afterAutospacing="0" w:line="300" w:lineRule="exact"/>
                    <w:ind w:left="0" w:right="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人工组装区</w:t>
                  </w:r>
                </w:p>
              </w:tc>
              <w:tc>
                <w:tcPr>
                  <w:tcW w:w="3198" w:type="pct"/>
                  <w:noWrap w:val="0"/>
                  <w:vAlign w:val="center"/>
                </w:tcPr>
                <w:p w14:paraId="75285174">
                  <w:pPr>
                    <w:keepNext w:val="0"/>
                    <w:keepLines w:val="0"/>
                    <w:suppressLineNumbers w:val="0"/>
                    <w:snapToGrid w:val="0"/>
                    <w:spacing w:before="0" w:beforeAutospacing="0" w:after="0" w:afterAutospacing="0" w:line="300" w:lineRule="exact"/>
                    <w:ind w:left="0" w:right="0"/>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位于更衣室西侧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占地面积22</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建筑面积22</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w:t>
                  </w:r>
                  <w:r>
                    <w:rPr>
                      <w:rFonts w:hint="eastAsia"/>
                      <w:snapToGrid w:val="0"/>
                      <w:color w:val="auto"/>
                      <w:kern w:val="0"/>
                      <w:szCs w:val="21"/>
                      <w:highlight w:val="none"/>
                      <w:lang w:val="en-US" w:eastAsia="zh-CN"/>
                    </w:rPr>
                    <w:t>汽车塑料配件和电极片的组装</w:t>
                  </w:r>
                  <w:r>
                    <w:rPr>
                      <w:rFonts w:hint="eastAsia"/>
                      <w:snapToGrid w:val="0"/>
                      <w:color w:val="auto"/>
                      <w:kern w:val="0"/>
                      <w:szCs w:val="21"/>
                      <w:highlight w:val="none"/>
                    </w:rPr>
                    <w:t>。</w:t>
                  </w:r>
                </w:p>
              </w:tc>
              <w:tc>
                <w:tcPr>
                  <w:tcW w:w="692" w:type="pct"/>
                  <w:noWrap w:val="0"/>
                  <w:vAlign w:val="center"/>
                </w:tcPr>
                <w:p w14:paraId="1AC02F88">
                  <w:pPr>
                    <w:keepNext w:val="0"/>
                    <w:keepLines w:val="0"/>
                    <w:suppressLineNumbers w:val="0"/>
                    <w:snapToGrid w:val="0"/>
                    <w:spacing w:before="0" w:beforeAutospacing="0" w:after="0" w:afterAutospacing="0" w:line="300" w:lineRule="exact"/>
                    <w:ind w:left="0" w:right="0"/>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新租厂房</w:t>
                  </w:r>
                </w:p>
              </w:tc>
            </w:tr>
            <w:tr w14:paraId="2B45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5390FA47">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69CD128C">
                  <w:pPr>
                    <w:pStyle w:val="136"/>
                    <w:keepNext w:val="0"/>
                    <w:keepLines w:val="0"/>
                    <w:suppressLineNumbers w:val="0"/>
                    <w:kinsoku w:val="0"/>
                    <w:overflowPunct w:val="0"/>
                    <w:adjustRightInd w:val="0"/>
                    <w:snapToGrid w:val="0"/>
                    <w:spacing w:before="0" w:beforeAutospacing="0" w:after="0" w:afterAutospacing="0" w:line="300" w:lineRule="exact"/>
                    <w:ind w:left="0" w:right="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厕所</w:t>
                  </w:r>
                </w:p>
              </w:tc>
              <w:tc>
                <w:tcPr>
                  <w:tcW w:w="3198" w:type="pct"/>
                  <w:noWrap w:val="0"/>
                  <w:vAlign w:val="center"/>
                </w:tcPr>
                <w:p w14:paraId="47B83FCE">
                  <w:pPr>
                    <w:keepNext w:val="0"/>
                    <w:keepLines w:val="0"/>
                    <w:suppressLineNumbers w:val="0"/>
                    <w:snapToGrid w:val="0"/>
                    <w:spacing w:before="0" w:beforeAutospacing="0" w:after="0" w:afterAutospacing="0" w:line="300" w:lineRule="exact"/>
                    <w:ind w:left="0" w:right="0"/>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位于生产区东北侧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占地面积4.62</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建筑面积4.62</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w:t>
                  </w:r>
                </w:p>
              </w:tc>
              <w:tc>
                <w:tcPr>
                  <w:tcW w:w="692" w:type="pct"/>
                  <w:noWrap w:val="0"/>
                  <w:vAlign w:val="center"/>
                </w:tcPr>
                <w:p w14:paraId="201BB895">
                  <w:pPr>
                    <w:keepNext w:val="0"/>
                    <w:keepLines w:val="0"/>
                    <w:suppressLineNumbers w:val="0"/>
                    <w:snapToGrid w:val="0"/>
                    <w:spacing w:before="0" w:beforeAutospacing="0" w:after="0" w:afterAutospacing="0" w:line="300" w:lineRule="exact"/>
                    <w:ind w:left="0" w:right="0"/>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新租厂房</w:t>
                  </w:r>
                </w:p>
              </w:tc>
            </w:tr>
            <w:tr w14:paraId="2E31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restart"/>
                  <w:noWrap w:val="0"/>
                  <w:vAlign w:val="center"/>
                </w:tcPr>
                <w:p w14:paraId="0234BB89">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储运工程</w:t>
                  </w:r>
                </w:p>
              </w:tc>
              <w:tc>
                <w:tcPr>
                  <w:tcW w:w="666" w:type="pct"/>
                  <w:shd w:val="clear" w:color="auto" w:fill="auto"/>
                  <w:noWrap w:val="0"/>
                  <w:vAlign w:val="center"/>
                </w:tcPr>
                <w:p w14:paraId="02FF67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模具暂存区</w:t>
                  </w:r>
                </w:p>
              </w:tc>
              <w:tc>
                <w:tcPr>
                  <w:tcW w:w="3198" w:type="pct"/>
                  <w:shd w:val="clear" w:color="auto" w:fill="auto"/>
                  <w:noWrap w:val="0"/>
                  <w:vAlign w:val="center"/>
                </w:tcPr>
                <w:p w14:paraId="4CD5F341">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snapToGrid w:val="0"/>
                      <w:color w:val="auto"/>
                      <w:kern w:val="0"/>
                      <w:szCs w:val="21"/>
                      <w:highlight w:val="none"/>
                      <w:lang w:val="en-US" w:eastAsia="zh-CN"/>
                    </w:rPr>
                  </w:pPr>
                  <w:r>
                    <w:rPr>
                      <w:rFonts w:hint="eastAsia"/>
                      <w:snapToGrid w:val="0"/>
                      <w:color w:val="auto"/>
                      <w:kern w:val="0"/>
                      <w:szCs w:val="21"/>
                      <w:highlight w:val="none"/>
                    </w:rPr>
                    <w:t>1处，</w:t>
                  </w:r>
                  <w:r>
                    <w:rPr>
                      <w:rFonts w:hint="eastAsia"/>
                      <w:snapToGrid w:val="0"/>
                      <w:color w:val="auto"/>
                      <w:kern w:val="0"/>
                      <w:szCs w:val="21"/>
                      <w:highlight w:val="none"/>
                      <w:lang w:val="en-US" w:eastAsia="zh-CN"/>
                    </w:rPr>
                    <w:t>位于生产区西侧，占地面积</w:t>
                  </w:r>
                  <w:r>
                    <w:rPr>
                      <w:rFonts w:hint="eastAsia" w:ascii="Times New Roman" w:hAnsi="Times New Roman" w:eastAsia="宋体" w:cs="Times New Roman"/>
                      <w:snapToGrid w:val="0"/>
                      <w:color w:val="auto"/>
                      <w:kern w:val="0"/>
                      <w:szCs w:val="21"/>
                      <w:highlight w:val="none"/>
                      <w:lang w:val="en-US" w:eastAsia="zh-CN"/>
                    </w:rPr>
                    <w:t>56.25</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w:t>
                  </w:r>
                  <w:r>
                    <w:rPr>
                      <w:rFonts w:hint="eastAsia" w:ascii="Times New Roman" w:hAnsi="Times New Roman" w:eastAsia="宋体" w:cs="Times New Roman"/>
                      <w:snapToGrid w:val="0"/>
                      <w:color w:val="auto"/>
                      <w:kern w:val="0"/>
                      <w:szCs w:val="21"/>
                      <w:highlight w:val="none"/>
                      <w:lang w:val="en-US" w:eastAsia="zh-CN"/>
                    </w:rPr>
                    <w:t>56.25</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主要用于存放模具</w:t>
                  </w:r>
                </w:p>
              </w:tc>
              <w:tc>
                <w:tcPr>
                  <w:tcW w:w="692" w:type="pct"/>
                  <w:shd w:val="clear" w:color="auto" w:fill="auto"/>
                  <w:noWrap w:val="0"/>
                  <w:vAlign w:val="center"/>
                </w:tcPr>
                <w:p w14:paraId="28B1E3FA">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新租厂房</w:t>
                  </w:r>
                </w:p>
              </w:tc>
            </w:tr>
            <w:tr w14:paraId="7B2D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46059EF8">
                  <w:pPr>
                    <w:keepNext w:val="0"/>
                    <w:keepLines w:val="0"/>
                    <w:suppressLineNumbers w:val="0"/>
                    <w:spacing w:before="0" w:beforeAutospacing="0" w:after="0" w:afterAutospacing="0"/>
                    <w:ind w:left="0" w:right="0"/>
                    <w:jc w:val="center"/>
                    <w:rPr>
                      <w:rFonts w:hint="eastAsia"/>
                      <w:color w:val="auto"/>
                      <w:szCs w:val="21"/>
                      <w:highlight w:val="none"/>
                    </w:rPr>
                  </w:pPr>
                </w:p>
              </w:tc>
              <w:tc>
                <w:tcPr>
                  <w:tcW w:w="666" w:type="pct"/>
                  <w:shd w:val="clear" w:color="auto" w:fill="auto"/>
                  <w:noWrap w:val="0"/>
                  <w:vAlign w:val="center"/>
                </w:tcPr>
                <w:p w14:paraId="10BEC3E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原料区</w:t>
                  </w:r>
                </w:p>
              </w:tc>
              <w:tc>
                <w:tcPr>
                  <w:tcW w:w="3198" w:type="pct"/>
                  <w:shd w:val="clear" w:color="auto" w:fill="auto"/>
                  <w:noWrap w:val="0"/>
                  <w:vAlign w:val="center"/>
                </w:tcPr>
                <w:p w14:paraId="485E09C8">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snapToGrid w:val="0"/>
                      <w:color w:val="auto"/>
                      <w:kern w:val="0"/>
                      <w:szCs w:val="21"/>
                      <w:highlight w:val="none"/>
                      <w:lang w:val="en-US" w:eastAsia="zh-CN"/>
                    </w:rPr>
                  </w:pPr>
                  <w:r>
                    <w:rPr>
                      <w:rFonts w:hint="eastAsia"/>
                      <w:snapToGrid w:val="0"/>
                      <w:color w:val="auto"/>
                      <w:kern w:val="0"/>
                      <w:szCs w:val="21"/>
                      <w:highlight w:val="none"/>
                    </w:rPr>
                    <w:t>1处，</w:t>
                  </w:r>
                  <w:r>
                    <w:rPr>
                      <w:rFonts w:hint="eastAsia"/>
                      <w:snapToGrid w:val="0"/>
                      <w:color w:val="auto"/>
                      <w:kern w:val="0"/>
                      <w:szCs w:val="21"/>
                      <w:highlight w:val="none"/>
                      <w:lang w:val="en-US" w:eastAsia="zh-CN"/>
                    </w:rPr>
                    <w:t>位于生产区西侧，占地面积</w:t>
                  </w:r>
                  <w:r>
                    <w:rPr>
                      <w:rFonts w:hint="eastAsia" w:ascii="Times New Roman" w:hAnsi="Times New Roman" w:eastAsia="宋体" w:cs="Times New Roman"/>
                      <w:snapToGrid w:val="0"/>
                      <w:color w:val="auto"/>
                      <w:kern w:val="0"/>
                      <w:szCs w:val="21"/>
                      <w:highlight w:val="none"/>
                      <w:lang w:val="en-US" w:eastAsia="zh-CN"/>
                    </w:rPr>
                    <w:t>67.5</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w:t>
                  </w:r>
                  <w:r>
                    <w:rPr>
                      <w:rFonts w:hint="eastAsia" w:ascii="Times New Roman" w:hAnsi="Times New Roman" w:eastAsia="宋体" w:cs="Times New Roman"/>
                      <w:snapToGrid w:val="0"/>
                      <w:color w:val="auto"/>
                      <w:kern w:val="0"/>
                      <w:szCs w:val="21"/>
                      <w:highlight w:val="none"/>
                      <w:lang w:val="en-US" w:eastAsia="zh-CN"/>
                    </w:rPr>
                    <w:t>67.5</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p>
              </w:tc>
              <w:tc>
                <w:tcPr>
                  <w:tcW w:w="692" w:type="pct"/>
                  <w:shd w:val="clear" w:color="auto" w:fill="auto"/>
                  <w:noWrap w:val="0"/>
                  <w:vAlign w:val="center"/>
                </w:tcPr>
                <w:p w14:paraId="28BA0758">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新租厂房</w:t>
                  </w:r>
                </w:p>
              </w:tc>
            </w:tr>
            <w:tr w14:paraId="46D7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280A0D08">
                  <w:pPr>
                    <w:keepNext w:val="0"/>
                    <w:keepLines w:val="0"/>
                    <w:suppressLineNumbers w:val="0"/>
                    <w:spacing w:before="0" w:beforeAutospacing="0" w:after="0" w:afterAutospacing="0"/>
                    <w:ind w:left="0" w:right="0"/>
                    <w:jc w:val="center"/>
                    <w:rPr>
                      <w:rFonts w:hint="eastAsia"/>
                      <w:color w:val="auto"/>
                      <w:szCs w:val="21"/>
                      <w:highlight w:val="none"/>
                    </w:rPr>
                  </w:pPr>
                </w:p>
              </w:tc>
              <w:tc>
                <w:tcPr>
                  <w:tcW w:w="666" w:type="pct"/>
                  <w:shd w:val="clear" w:color="auto" w:fill="auto"/>
                  <w:noWrap w:val="0"/>
                  <w:vAlign w:val="center"/>
                </w:tcPr>
                <w:p w14:paraId="54FF9CE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成品区</w:t>
                  </w:r>
                </w:p>
              </w:tc>
              <w:tc>
                <w:tcPr>
                  <w:tcW w:w="3198" w:type="pct"/>
                  <w:shd w:val="clear" w:color="auto" w:fill="auto"/>
                  <w:noWrap w:val="0"/>
                  <w:vAlign w:val="center"/>
                </w:tcPr>
                <w:p w14:paraId="0DF59B80">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snapToGrid w:val="0"/>
                      <w:color w:val="auto"/>
                      <w:kern w:val="0"/>
                      <w:szCs w:val="21"/>
                      <w:highlight w:val="none"/>
                      <w:lang w:val="en-US" w:eastAsia="zh-CN"/>
                    </w:rPr>
                  </w:pPr>
                  <w:r>
                    <w:rPr>
                      <w:rFonts w:hint="eastAsia"/>
                      <w:snapToGrid w:val="0"/>
                      <w:color w:val="auto"/>
                      <w:kern w:val="0"/>
                      <w:szCs w:val="21"/>
                      <w:highlight w:val="none"/>
                    </w:rPr>
                    <w:t>1处</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位于人工组装区东侧</w:t>
                  </w:r>
                  <w:r>
                    <w:rPr>
                      <w:rFonts w:hint="eastAsia"/>
                      <w:snapToGrid w:val="0"/>
                      <w:color w:val="auto"/>
                      <w:kern w:val="0"/>
                      <w:szCs w:val="21"/>
                      <w:highlight w:val="none"/>
                    </w:rPr>
                    <w:t>，</w:t>
                  </w:r>
                  <w:r>
                    <w:rPr>
                      <w:rFonts w:hint="eastAsia"/>
                      <w:snapToGrid w:val="0"/>
                      <w:color w:val="auto"/>
                      <w:kern w:val="0"/>
                      <w:szCs w:val="21"/>
                      <w:highlight w:val="none"/>
                      <w:lang w:val="en-US" w:eastAsia="zh-CN"/>
                    </w:rPr>
                    <w:t>占地面积</w:t>
                  </w:r>
                  <w:r>
                    <w:rPr>
                      <w:rFonts w:hint="eastAsia" w:ascii="Times New Roman" w:hAnsi="Times New Roman" w:eastAsia="宋体" w:cs="Times New Roman"/>
                      <w:snapToGrid w:val="0"/>
                      <w:color w:val="auto"/>
                      <w:kern w:val="0"/>
                      <w:szCs w:val="21"/>
                      <w:highlight w:val="none"/>
                      <w:lang w:val="en-US" w:eastAsia="zh-CN"/>
                    </w:rPr>
                    <w:t>30</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w:t>
                  </w:r>
                  <w:r>
                    <w:rPr>
                      <w:rFonts w:hint="eastAsia" w:ascii="Times New Roman" w:hAnsi="Times New Roman" w:eastAsia="宋体" w:cs="Times New Roman"/>
                      <w:snapToGrid w:val="0"/>
                      <w:color w:val="auto"/>
                      <w:kern w:val="0"/>
                      <w:szCs w:val="21"/>
                      <w:highlight w:val="none"/>
                      <w:lang w:val="en-US" w:eastAsia="zh-CN"/>
                    </w:rPr>
                    <w:t>30</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p>
              </w:tc>
              <w:tc>
                <w:tcPr>
                  <w:tcW w:w="692" w:type="pct"/>
                  <w:shd w:val="clear" w:color="auto" w:fill="auto"/>
                  <w:noWrap w:val="0"/>
                  <w:vAlign w:val="center"/>
                </w:tcPr>
                <w:p w14:paraId="221A0F0C">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新租厂房</w:t>
                  </w:r>
                </w:p>
              </w:tc>
            </w:tr>
            <w:tr w14:paraId="799C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52DBA663">
                  <w:pPr>
                    <w:keepNext w:val="0"/>
                    <w:keepLines w:val="0"/>
                    <w:suppressLineNumbers w:val="0"/>
                    <w:spacing w:before="0" w:beforeAutospacing="0" w:after="0" w:afterAutospacing="0"/>
                    <w:ind w:left="0" w:right="0"/>
                    <w:jc w:val="center"/>
                    <w:rPr>
                      <w:rFonts w:hint="eastAsia"/>
                      <w:color w:val="auto"/>
                      <w:szCs w:val="21"/>
                      <w:highlight w:val="none"/>
                    </w:rPr>
                  </w:pPr>
                </w:p>
              </w:tc>
              <w:tc>
                <w:tcPr>
                  <w:tcW w:w="666" w:type="pct"/>
                  <w:shd w:val="clear" w:color="auto" w:fill="auto"/>
                  <w:noWrap w:val="0"/>
                  <w:vAlign w:val="center"/>
                </w:tcPr>
                <w:p w14:paraId="161329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杂物间</w:t>
                  </w:r>
                </w:p>
              </w:tc>
              <w:tc>
                <w:tcPr>
                  <w:tcW w:w="3198" w:type="pct"/>
                  <w:shd w:val="clear" w:color="auto" w:fill="auto"/>
                  <w:noWrap w:val="0"/>
                  <w:vAlign w:val="center"/>
                </w:tcPr>
                <w:p w14:paraId="5702BE17">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1处，位于生产车间</w:t>
                  </w:r>
                  <w:r>
                    <w:rPr>
                      <w:rFonts w:hint="eastAsia"/>
                      <w:snapToGrid w:val="0"/>
                      <w:color w:val="auto"/>
                      <w:kern w:val="0"/>
                      <w:szCs w:val="21"/>
                      <w:highlight w:val="none"/>
                      <w:lang w:val="en-US" w:eastAsia="zh-CN"/>
                    </w:rPr>
                    <w:t>北侧</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占地面积10.58</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建筑面积10.58</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default"/>
                      <w:snapToGrid w:val="0"/>
                      <w:color w:val="auto"/>
                      <w:kern w:val="0"/>
                      <w:szCs w:val="21"/>
                      <w:highlight w:val="none"/>
                    </w:rPr>
                    <w:t>，</w:t>
                  </w:r>
                  <w:r>
                    <w:rPr>
                      <w:rFonts w:hint="eastAsia"/>
                      <w:i w:val="0"/>
                      <w:iCs w:val="0"/>
                      <w:snapToGrid w:val="0"/>
                      <w:color w:val="auto"/>
                      <w:kern w:val="0"/>
                      <w:szCs w:val="21"/>
                      <w:highlight w:val="none"/>
                    </w:rPr>
                    <w:t>高度</w:t>
                  </w:r>
                  <w:r>
                    <w:rPr>
                      <w:rFonts w:hint="eastAsia"/>
                      <w:i w:val="0"/>
                      <w:iCs w:val="0"/>
                      <w:snapToGrid w:val="0"/>
                      <w:color w:val="auto"/>
                      <w:kern w:val="0"/>
                      <w:szCs w:val="21"/>
                      <w:highlight w:val="none"/>
                      <w:lang w:val="en-US" w:eastAsia="zh-CN"/>
                    </w:rPr>
                    <w:t>2.8</w:t>
                  </w:r>
                  <w:r>
                    <w:rPr>
                      <w:rFonts w:hint="eastAsia"/>
                      <w:i w:val="0"/>
                      <w:iCs w:val="0"/>
                      <w:snapToGrid w:val="0"/>
                      <w:color w:val="auto"/>
                      <w:kern w:val="0"/>
                      <w:szCs w:val="21"/>
                      <w:highlight w:val="none"/>
                    </w:rPr>
                    <w:t>m</w:t>
                  </w:r>
                  <w:r>
                    <w:rPr>
                      <w:rFonts w:hint="eastAsia"/>
                      <w:snapToGrid w:val="0"/>
                      <w:color w:val="auto"/>
                      <w:kern w:val="0"/>
                      <w:szCs w:val="21"/>
                      <w:highlight w:val="none"/>
                    </w:rPr>
                    <w:t>，</w:t>
                  </w:r>
                  <w:r>
                    <w:rPr>
                      <w:rFonts w:hint="eastAsia"/>
                      <w:snapToGrid w:val="0"/>
                      <w:color w:val="auto"/>
                      <w:kern w:val="0"/>
                      <w:szCs w:val="21"/>
                      <w:highlight w:val="none"/>
                      <w:lang w:val="en-US" w:eastAsia="zh-CN"/>
                    </w:rPr>
                    <w:t>主要存放原料与成品</w:t>
                  </w:r>
                  <w:r>
                    <w:rPr>
                      <w:rFonts w:hint="eastAsia"/>
                      <w:snapToGrid w:val="0"/>
                      <w:color w:val="auto"/>
                      <w:kern w:val="0"/>
                      <w:szCs w:val="21"/>
                      <w:highlight w:val="none"/>
                    </w:rPr>
                    <w:t>。</w:t>
                  </w:r>
                </w:p>
              </w:tc>
              <w:tc>
                <w:tcPr>
                  <w:tcW w:w="692" w:type="pct"/>
                  <w:shd w:val="clear" w:color="auto" w:fill="auto"/>
                  <w:noWrap w:val="0"/>
                  <w:vAlign w:val="center"/>
                </w:tcPr>
                <w:p w14:paraId="73DA19B4">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新租厂房</w:t>
                  </w:r>
                </w:p>
              </w:tc>
            </w:tr>
            <w:tr w14:paraId="17B5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1B6DBE07">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shd w:val="clear" w:color="auto" w:fill="auto"/>
                  <w:noWrap w:val="0"/>
                  <w:vAlign w:val="center"/>
                </w:tcPr>
                <w:p w14:paraId="783BEF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一般固废暂存区</w:t>
                  </w:r>
                </w:p>
              </w:tc>
              <w:tc>
                <w:tcPr>
                  <w:tcW w:w="3198" w:type="pct"/>
                  <w:shd w:val="clear" w:color="auto" w:fill="auto"/>
                  <w:noWrap w:val="0"/>
                  <w:vAlign w:val="center"/>
                </w:tcPr>
                <w:p w14:paraId="45D7BD5F">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1处，位于</w:t>
                  </w:r>
                  <w:r>
                    <w:rPr>
                      <w:rFonts w:hint="eastAsia"/>
                      <w:snapToGrid w:val="0"/>
                      <w:color w:val="auto"/>
                      <w:kern w:val="0"/>
                      <w:szCs w:val="21"/>
                      <w:highlight w:val="none"/>
                      <w:lang w:val="en-US" w:eastAsia="zh-CN"/>
                    </w:rPr>
                    <w:t>生产区</w:t>
                  </w:r>
                  <w:r>
                    <w:rPr>
                      <w:rFonts w:hint="eastAsia"/>
                      <w:snapToGrid w:val="0"/>
                      <w:color w:val="auto"/>
                      <w:kern w:val="0"/>
                      <w:szCs w:val="21"/>
                      <w:highlight w:val="none"/>
                    </w:rPr>
                    <w:t>内</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占地面积10</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建筑面积10</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，用于一般固废暂存。</w:t>
                  </w:r>
                </w:p>
              </w:tc>
              <w:tc>
                <w:tcPr>
                  <w:tcW w:w="692" w:type="pct"/>
                  <w:shd w:val="clear" w:color="auto" w:fill="auto"/>
                  <w:noWrap w:val="0"/>
                  <w:vAlign w:val="center"/>
                </w:tcPr>
                <w:p w14:paraId="7EB304FD">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新租厂房</w:t>
                  </w:r>
                </w:p>
              </w:tc>
            </w:tr>
            <w:tr w14:paraId="6F4C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15373763">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shd w:val="clear" w:color="auto" w:fill="auto"/>
                  <w:noWrap w:val="0"/>
                  <w:vAlign w:val="center"/>
                </w:tcPr>
                <w:p w14:paraId="66C3BCD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eastAsia="zh-CN"/>
                    </w:rPr>
                    <w:t>危废间</w:t>
                  </w:r>
                </w:p>
              </w:tc>
              <w:tc>
                <w:tcPr>
                  <w:tcW w:w="3198" w:type="pct"/>
                  <w:shd w:val="clear" w:color="auto" w:fill="auto"/>
                  <w:noWrap w:val="0"/>
                  <w:vAlign w:val="center"/>
                </w:tcPr>
                <w:p w14:paraId="03CB6D16">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1处，位于</w:t>
                  </w:r>
                  <w:r>
                    <w:rPr>
                      <w:rFonts w:hint="eastAsia"/>
                      <w:snapToGrid w:val="0"/>
                      <w:color w:val="auto"/>
                      <w:kern w:val="0"/>
                      <w:szCs w:val="21"/>
                      <w:highlight w:val="none"/>
                      <w:lang w:val="en-US" w:eastAsia="zh-CN"/>
                    </w:rPr>
                    <w:t>库房</w:t>
                  </w:r>
                  <w:r>
                    <w:rPr>
                      <w:rFonts w:hint="eastAsia"/>
                      <w:snapToGrid w:val="0"/>
                      <w:color w:val="auto"/>
                      <w:kern w:val="0"/>
                      <w:szCs w:val="21"/>
                      <w:highlight w:val="none"/>
                    </w:rPr>
                    <w:t>内</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占地面积6.21</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default"/>
                      <w:snapToGrid w:val="0"/>
                      <w:color w:val="auto"/>
                      <w:kern w:val="0"/>
                      <w:szCs w:val="21"/>
                      <w:highlight w:val="none"/>
                    </w:rPr>
                    <w:t>，</w:t>
                  </w:r>
                  <w:r>
                    <w:rPr>
                      <w:rFonts w:hint="eastAsia"/>
                      <w:snapToGrid w:val="0"/>
                      <w:color w:val="auto"/>
                      <w:kern w:val="0"/>
                      <w:szCs w:val="21"/>
                      <w:highlight w:val="none"/>
                      <w:lang w:val="en-US" w:eastAsia="zh-CN"/>
                    </w:rPr>
                    <w:t>建筑面积6.21</w:t>
                  </w:r>
                  <w:r>
                    <w:rPr>
                      <w:rFonts w:hint="default"/>
                      <w:snapToGrid w:val="0"/>
                      <w:color w:val="auto"/>
                      <w:kern w:val="0"/>
                      <w:szCs w:val="21"/>
                      <w:highlight w:val="none"/>
                    </w:rPr>
                    <w:t>m</w:t>
                  </w:r>
                  <w:r>
                    <w:rPr>
                      <w:rFonts w:hint="default"/>
                      <w:snapToGrid w:val="0"/>
                      <w:color w:val="auto"/>
                      <w:kern w:val="0"/>
                      <w:szCs w:val="21"/>
                      <w:highlight w:val="none"/>
                      <w:vertAlign w:val="superscript"/>
                    </w:rPr>
                    <w:t>2</w:t>
                  </w:r>
                  <w:r>
                    <w:rPr>
                      <w:rFonts w:hint="eastAsia"/>
                      <w:snapToGrid w:val="0"/>
                      <w:color w:val="auto"/>
                      <w:kern w:val="0"/>
                      <w:szCs w:val="21"/>
                      <w:highlight w:val="none"/>
                    </w:rPr>
                    <w:t>，用于危险废物暂存。</w:t>
                  </w:r>
                </w:p>
              </w:tc>
              <w:tc>
                <w:tcPr>
                  <w:tcW w:w="692" w:type="pct"/>
                  <w:shd w:val="clear" w:color="auto" w:fill="auto"/>
                  <w:noWrap w:val="0"/>
                  <w:vAlign w:val="center"/>
                </w:tcPr>
                <w:p w14:paraId="1C351CD6">
                  <w:pPr>
                    <w:keepNext w:val="0"/>
                    <w:keepLines w:val="0"/>
                    <w:suppressLineNumbers w:val="0"/>
                    <w:spacing w:before="0" w:beforeAutospacing="0" w:after="0" w:afterAutospacing="0"/>
                    <w:ind w:left="0" w:leftChars="0" w:right="0" w:rightChars="0"/>
                    <w:jc w:val="center"/>
                    <w:rPr>
                      <w:rFonts w:hint="eastAsia"/>
                      <w:snapToGrid w:val="0"/>
                      <w:color w:val="auto"/>
                      <w:kern w:val="0"/>
                      <w:szCs w:val="21"/>
                      <w:highlight w:val="none"/>
                    </w:rPr>
                  </w:pPr>
                  <w:r>
                    <w:rPr>
                      <w:rFonts w:hint="eastAsia"/>
                      <w:snapToGrid w:val="0"/>
                      <w:color w:val="auto"/>
                      <w:kern w:val="0"/>
                      <w:szCs w:val="21"/>
                      <w:highlight w:val="none"/>
                      <w:lang w:val="en-US" w:eastAsia="zh-CN"/>
                    </w:rPr>
                    <w:t>利用现有</w:t>
                  </w:r>
                </w:p>
              </w:tc>
            </w:tr>
            <w:tr w14:paraId="3AAB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3B068B1A">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566AF2DA">
                  <w:pPr>
                    <w:keepNext w:val="0"/>
                    <w:keepLines w:val="0"/>
                    <w:suppressLineNumbers w:val="0"/>
                    <w:spacing w:before="0" w:beforeAutospacing="0" w:after="0" w:afterAutospacing="0"/>
                    <w:ind w:left="0" w:right="0"/>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输送系统</w:t>
                  </w:r>
                </w:p>
              </w:tc>
              <w:tc>
                <w:tcPr>
                  <w:tcW w:w="3198" w:type="pct"/>
                  <w:noWrap w:val="0"/>
                  <w:vAlign w:val="center"/>
                </w:tcPr>
                <w:p w14:paraId="4D4E79A7">
                  <w:pPr>
                    <w:keepNext w:val="0"/>
                    <w:keepLines w:val="0"/>
                    <w:suppressLineNumbers w:val="0"/>
                    <w:spacing w:before="0" w:beforeAutospacing="0" w:after="0" w:afterAutospacing="0"/>
                    <w:ind w:left="0" w:right="0"/>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项目原料运输利用人工，成品运输采用人工装车输送。</w:t>
                  </w:r>
                </w:p>
              </w:tc>
              <w:tc>
                <w:tcPr>
                  <w:tcW w:w="692" w:type="pct"/>
                  <w:noWrap w:val="0"/>
                  <w:vAlign w:val="center"/>
                </w:tcPr>
                <w:p w14:paraId="07FD3652">
                  <w:pPr>
                    <w:keepNext w:val="0"/>
                    <w:keepLines w:val="0"/>
                    <w:suppressLineNumbers w:val="0"/>
                    <w:spacing w:before="0" w:beforeAutospacing="0" w:after="0" w:afterAutospacing="0"/>
                    <w:ind w:left="0" w:right="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w:t>
                  </w:r>
                </w:p>
              </w:tc>
            </w:tr>
            <w:tr w14:paraId="7FD4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restart"/>
                  <w:noWrap w:val="0"/>
                  <w:vAlign w:val="center"/>
                </w:tcPr>
                <w:p w14:paraId="74AF7A12">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公用工程</w:t>
                  </w:r>
                </w:p>
              </w:tc>
              <w:tc>
                <w:tcPr>
                  <w:tcW w:w="666" w:type="pct"/>
                  <w:noWrap w:val="0"/>
                  <w:vAlign w:val="center"/>
                </w:tcPr>
                <w:p w14:paraId="1401B22F">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给水</w:t>
                  </w:r>
                </w:p>
              </w:tc>
              <w:tc>
                <w:tcPr>
                  <w:tcW w:w="3198" w:type="pct"/>
                  <w:noWrap w:val="0"/>
                  <w:vAlign w:val="center"/>
                </w:tcPr>
                <w:p w14:paraId="66585943">
                  <w:pPr>
                    <w:keepNext w:val="0"/>
                    <w:keepLines w:val="0"/>
                    <w:suppressLineNumbers w:val="0"/>
                    <w:spacing w:before="0" w:beforeAutospacing="0" w:after="0" w:afterAutospacing="0"/>
                    <w:ind w:left="0" w:right="0"/>
                    <w:rPr>
                      <w:rFonts w:hint="eastAsia"/>
                      <w:snapToGrid w:val="0"/>
                      <w:color w:val="auto"/>
                      <w:kern w:val="0"/>
                      <w:szCs w:val="21"/>
                      <w:highlight w:val="none"/>
                    </w:rPr>
                  </w:pPr>
                  <w:r>
                    <w:rPr>
                      <w:rFonts w:hint="eastAsia"/>
                      <w:snapToGrid w:val="0"/>
                      <w:color w:val="auto"/>
                      <w:kern w:val="0"/>
                      <w:szCs w:val="21"/>
                      <w:highlight w:val="none"/>
                    </w:rPr>
                    <w:t>项目用水</w:t>
                  </w:r>
                  <w:r>
                    <w:rPr>
                      <w:rFonts w:hint="eastAsia"/>
                      <w:snapToGrid w:val="0"/>
                      <w:color w:val="auto"/>
                      <w:kern w:val="0"/>
                      <w:szCs w:val="21"/>
                      <w:highlight w:val="none"/>
                      <w:lang w:eastAsia="zh-CN"/>
                    </w:rPr>
                    <w:t>由园区供水管网提供</w:t>
                  </w:r>
                  <w:r>
                    <w:rPr>
                      <w:rFonts w:hint="eastAsia"/>
                      <w:snapToGrid w:val="0"/>
                      <w:color w:val="auto"/>
                      <w:kern w:val="0"/>
                      <w:szCs w:val="21"/>
                      <w:highlight w:val="none"/>
                    </w:rPr>
                    <w:t>。</w:t>
                  </w:r>
                </w:p>
              </w:tc>
              <w:tc>
                <w:tcPr>
                  <w:tcW w:w="692" w:type="pct"/>
                  <w:noWrap w:val="0"/>
                  <w:vAlign w:val="center"/>
                </w:tcPr>
                <w:p w14:paraId="754D24F9">
                  <w:pPr>
                    <w:keepNext w:val="0"/>
                    <w:keepLines w:val="0"/>
                    <w:suppressLineNumbers w:val="0"/>
                    <w:spacing w:before="0" w:beforeAutospacing="0" w:after="0" w:afterAutospacing="0"/>
                    <w:ind w:left="0" w:right="0"/>
                    <w:jc w:val="center"/>
                    <w:rPr>
                      <w:rFonts w:hint="eastAsia"/>
                      <w:snapToGrid w:val="0"/>
                      <w:color w:val="auto"/>
                      <w:kern w:val="0"/>
                      <w:szCs w:val="21"/>
                      <w:highlight w:val="none"/>
                    </w:rPr>
                  </w:pPr>
                  <w:r>
                    <w:rPr>
                      <w:rFonts w:hint="eastAsia"/>
                      <w:snapToGrid w:val="0"/>
                      <w:color w:val="auto"/>
                      <w:kern w:val="0"/>
                      <w:szCs w:val="21"/>
                      <w:highlight w:val="none"/>
                      <w:lang w:val="en-US" w:eastAsia="zh-CN"/>
                    </w:rPr>
                    <w:t>--</w:t>
                  </w:r>
                </w:p>
              </w:tc>
            </w:tr>
            <w:tr w14:paraId="2004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339ED19B">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44E385A6">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排水</w:t>
                  </w:r>
                </w:p>
              </w:tc>
              <w:tc>
                <w:tcPr>
                  <w:tcW w:w="3198" w:type="pct"/>
                  <w:noWrap w:val="0"/>
                  <w:vAlign w:val="center"/>
                </w:tcPr>
                <w:p w14:paraId="4CAB4421">
                  <w:pPr>
                    <w:keepNext w:val="0"/>
                    <w:keepLines w:val="0"/>
                    <w:suppressLineNumbers w:val="0"/>
                    <w:spacing w:before="0" w:beforeAutospacing="0" w:after="0" w:afterAutospacing="0"/>
                    <w:ind w:left="0" w:right="0"/>
                    <w:rPr>
                      <w:rFonts w:hint="eastAsia"/>
                      <w:color w:val="auto"/>
                      <w:szCs w:val="21"/>
                      <w:highlight w:val="none"/>
                    </w:rPr>
                  </w:pPr>
                  <w:r>
                    <w:rPr>
                      <w:rFonts w:hint="eastAsia"/>
                      <w:snapToGrid w:val="0"/>
                      <w:color w:val="auto"/>
                      <w:kern w:val="0"/>
                      <w:szCs w:val="21"/>
                      <w:highlight w:val="none"/>
                      <w:lang w:eastAsia="zh-CN"/>
                    </w:rPr>
                    <w:t>生活污水经集成式生物化粪池处理后经园区污水管网排入绿源污水处理有限公司进一步处理</w:t>
                  </w:r>
                  <w:r>
                    <w:rPr>
                      <w:rFonts w:hint="eastAsia"/>
                      <w:snapToGrid w:val="0"/>
                      <w:color w:val="auto"/>
                      <w:kern w:val="0"/>
                      <w:szCs w:val="21"/>
                      <w:highlight w:val="none"/>
                    </w:rPr>
                    <w:t>。</w:t>
                  </w:r>
                </w:p>
              </w:tc>
              <w:tc>
                <w:tcPr>
                  <w:tcW w:w="692" w:type="pct"/>
                  <w:noWrap w:val="0"/>
                  <w:vAlign w:val="center"/>
                </w:tcPr>
                <w:p w14:paraId="0A52882D">
                  <w:pPr>
                    <w:keepNext w:val="0"/>
                    <w:keepLines w:val="0"/>
                    <w:suppressLineNumbers w:val="0"/>
                    <w:spacing w:before="0" w:beforeAutospacing="0" w:after="0" w:afterAutospacing="0"/>
                    <w:ind w:left="0" w:right="0"/>
                    <w:jc w:val="center"/>
                    <w:rPr>
                      <w:rFonts w:hint="eastAsia"/>
                      <w:snapToGrid w:val="0"/>
                      <w:color w:val="auto"/>
                      <w:kern w:val="0"/>
                      <w:szCs w:val="21"/>
                      <w:highlight w:val="none"/>
                      <w:lang w:eastAsia="zh-CN"/>
                    </w:rPr>
                  </w:pPr>
                  <w:r>
                    <w:rPr>
                      <w:rFonts w:hint="eastAsia"/>
                      <w:snapToGrid w:val="0"/>
                      <w:color w:val="auto"/>
                      <w:kern w:val="0"/>
                      <w:szCs w:val="21"/>
                      <w:highlight w:val="none"/>
                      <w:lang w:val="en-US" w:eastAsia="zh-CN"/>
                    </w:rPr>
                    <w:t>--</w:t>
                  </w:r>
                </w:p>
              </w:tc>
            </w:tr>
            <w:tr w14:paraId="6708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75A6FBB4">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0978F45C">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供电</w:t>
                  </w:r>
                </w:p>
              </w:tc>
              <w:tc>
                <w:tcPr>
                  <w:tcW w:w="3198" w:type="pct"/>
                  <w:noWrap w:val="0"/>
                  <w:vAlign w:val="center"/>
                </w:tcPr>
                <w:p w14:paraId="36845AF6">
                  <w:pPr>
                    <w:keepNext w:val="0"/>
                    <w:keepLines w:val="0"/>
                    <w:suppressLineNumbers w:val="0"/>
                    <w:spacing w:before="0" w:beforeAutospacing="0" w:after="0" w:afterAutospacing="0"/>
                    <w:ind w:left="0" w:right="0"/>
                    <w:rPr>
                      <w:rFonts w:hint="eastAsia"/>
                      <w:color w:val="auto"/>
                      <w:szCs w:val="21"/>
                      <w:highlight w:val="none"/>
                    </w:rPr>
                  </w:pPr>
                  <w:r>
                    <w:rPr>
                      <w:rFonts w:hint="eastAsia"/>
                      <w:color w:val="auto"/>
                      <w:szCs w:val="21"/>
                      <w:highlight w:val="none"/>
                    </w:rPr>
                    <w:t>项目用电</w:t>
                  </w:r>
                  <w:r>
                    <w:rPr>
                      <w:rFonts w:hint="eastAsia"/>
                      <w:color w:val="auto"/>
                      <w:szCs w:val="21"/>
                      <w:highlight w:val="none"/>
                      <w:lang w:eastAsia="zh-CN"/>
                    </w:rPr>
                    <w:t>由园区供电管网提供</w:t>
                  </w:r>
                  <w:r>
                    <w:rPr>
                      <w:rFonts w:hint="eastAsia"/>
                      <w:color w:val="auto"/>
                      <w:szCs w:val="21"/>
                      <w:highlight w:val="none"/>
                    </w:rPr>
                    <w:t>。</w:t>
                  </w:r>
                </w:p>
              </w:tc>
              <w:tc>
                <w:tcPr>
                  <w:tcW w:w="692" w:type="pct"/>
                  <w:noWrap w:val="0"/>
                  <w:vAlign w:val="center"/>
                </w:tcPr>
                <w:p w14:paraId="2062CE0B">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snapToGrid w:val="0"/>
                      <w:color w:val="auto"/>
                      <w:kern w:val="0"/>
                      <w:szCs w:val="21"/>
                      <w:highlight w:val="none"/>
                      <w:lang w:val="en-US" w:eastAsia="zh-CN"/>
                    </w:rPr>
                    <w:t>--</w:t>
                  </w:r>
                </w:p>
              </w:tc>
            </w:tr>
            <w:tr w14:paraId="05C2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25DF0F99">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27F97CEC">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供热及制冷</w:t>
                  </w:r>
                </w:p>
              </w:tc>
              <w:tc>
                <w:tcPr>
                  <w:tcW w:w="3198" w:type="pct"/>
                  <w:noWrap w:val="0"/>
                  <w:vAlign w:val="center"/>
                </w:tcPr>
                <w:p w14:paraId="1B01FE65">
                  <w:pPr>
                    <w:keepNext w:val="0"/>
                    <w:keepLines w:val="0"/>
                    <w:suppressLineNumbers w:val="0"/>
                    <w:spacing w:before="0" w:beforeAutospacing="0" w:after="0" w:afterAutospacing="0"/>
                    <w:ind w:left="0" w:right="0"/>
                    <w:rPr>
                      <w:rFonts w:hint="eastAsia"/>
                      <w:color w:val="auto"/>
                      <w:szCs w:val="21"/>
                      <w:highlight w:val="none"/>
                    </w:rPr>
                  </w:pPr>
                  <w:r>
                    <w:rPr>
                      <w:rFonts w:hint="eastAsia"/>
                      <w:color w:val="auto"/>
                      <w:szCs w:val="21"/>
                      <w:highlight w:val="none"/>
                      <w:lang w:eastAsia="zh-CN"/>
                    </w:rPr>
                    <w:t>项目生产采用电加热</w:t>
                  </w:r>
                  <w:r>
                    <w:rPr>
                      <w:rFonts w:hint="eastAsia"/>
                      <w:color w:val="auto"/>
                      <w:szCs w:val="21"/>
                      <w:highlight w:val="none"/>
                    </w:rPr>
                    <w:t>及制冷，</w:t>
                  </w:r>
                  <w:r>
                    <w:rPr>
                      <w:rFonts w:hint="default"/>
                      <w:color w:val="auto"/>
                      <w:szCs w:val="21"/>
                      <w:highlight w:val="none"/>
                    </w:rPr>
                    <w:t>职工日常办公生活供暖</w:t>
                  </w:r>
                  <w:r>
                    <w:rPr>
                      <w:rFonts w:hint="eastAsia"/>
                      <w:color w:val="auto"/>
                      <w:szCs w:val="21"/>
                      <w:highlight w:val="none"/>
                    </w:rPr>
                    <w:t>、</w:t>
                  </w:r>
                  <w:r>
                    <w:rPr>
                      <w:rFonts w:hint="eastAsia"/>
                      <w:snapToGrid w:val="0"/>
                      <w:color w:val="auto"/>
                      <w:kern w:val="0"/>
                      <w:szCs w:val="21"/>
                      <w:highlight w:val="none"/>
                    </w:rPr>
                    <w:t>制冷均</w:t>
                  </w:r>
                  <w:r>
                    <w:rPr>
                      <w:rFonts w:hint="eastAsia"/>
                      <w:color w:val="auto"/>
                      <w:szCs w:val="21"/>
                      <w:highlight w:val="none"/>
                    </w:rPr>
                    <w:t>由</w:t>
                  </w:r>
                  <w:r>
                    <w:rPr>
                      <w:rFonts w:hint="default"/>
                      <w:color w:val="auto"/>
                      <w:szCs w:val="21"/>
                      <w:highlight w:val="none"/>
                    </w:rPr>
                    <w:t>空调</w:t>
                  </w:r>
                  <w:r>
                    <w:rPr>
                      <w:rFonts w:hint="eastAsia"/>
                      <w:color w:val="auto"/>
                      <w:szCs w:val="21"/>
                      <w:highlight w:val="none"/>
                    </w:rPr>
                    <w:t>提供。</w:t>
                  </w:r>
                </w:p>
              </w:tc>
              <w:tc>
                <w:tcPr>
                  <w:tcW w:w="692" w:type="pct"/>
                  <w:noWrap w:val="0"/>
                  <w:vAlign w:val="center"/>
                </w:tcPr>
                <w:p w14:paraId="4EFD99AE">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snapToGrid w:val="0"/>
                      <w:color w:val="auto"/>
                      <w:kern w:val="0"/>
                      <w:szCs w:val="21"/>
                      <w:highlight w:val="none"/>
                      <w:lang w:val="en-US" w:eastAsia="zh-CN"/>
                    </w:rPr>
                    <w:t>--</w:t>
                  </w:r>
                </w:p>
              </w:tc>
            </w:tr>
            <w:tr w14:paraId="7068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noWrap w:val="0"/>
                  <w:vAlign w:val="center"/>
                </w:tcPr>
                <w:p w14:paraId="618FCDBD">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拆除工程</w:t>
                  </w:r>
                </w:p>
              </w:tc>
              <w:tc>
                <w:tcPr>
                  <w:tcW w:w="666" w:type="pct"/>
                  <w:noWrap w:val="0"/>
                  <w:vAlign w:val="center"/>
                </w:tcPr>
                <w:p w14:paraId="3645A3AF">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除机加工设备搬迁</w:t>
                  </w:r>
                </w:p>
              </w:tc>
              <w:tc>
                <w:tcPr>
                  <w:tcW w:w="3198" w:type="pct"/>
                  <w:noWrap w:val="0"/>
                  <w:vAlign w:val="center"/>
                </w:tcPr>
                <w:p w14:paraId="1D0F0531">
                  <w:pPr>
                    <w:keepNext w:val="0"/>
                    <w:keepLines w:val="0"/>
                    <w:suppressLineNumbers w:val="0"/>
                    <w:spacing w:before="0" w:beforeAutospacing="0" w:after="0" w:afterAutospacing="0"/>
                    <w:ind w:left="0" w:right="0"/>
                    <w:rPr>
                      <w:rFonts w:hint="default"/>
                      <w:color w:val="auto"/>
                      <w:szCs w:val="21"/>
                      <w:highlight w:val="none"/>
                      <w:lang w:val="en-US" w:eastAsia="zh-CN"/>
                    </w:rPr>
                  </w:pPr>
                  <w:r>
                    <w:rPr>
                      <w:rFonts w:hint="eastAsia"/>
                      <w:color w:val="auto"/>
                      <w:szCs w:val="21"/>
                      <w:highlight w:val="none"/>
                      <w:lang w:val="en-US" w:eastAsia="zh-CN"/>
                    </w:rPr>
                    <w:t>本项目新增设备安装完成后，再将现有工程设备迁移至新租厂房生产区，现有工程设备不涉及地面基础，无需进行地面修复，恢复整洁后即可退租。现有工程冷却塔及环保设施不再使用，拆除后外售。</w:t>
                  </w:r>
                </w:p>
              </w:tc>
              <w:tc>
                <w:tcPr>
                  <w:tcW w:w="692" w:type="pct"/>
                  <w:noWrap w:val="0"/>
                  <w:vAlign w:val="center"/>
                </w:tcPr>
                <w:p w14:paraId="7420FF81">
                  <w:pPr>
                    <w:keepNext w:val="0"/>
                    <w:keepLines w:val="0"/>
                    <w:suppressLineNumbers w:val="0"/>
                    <w:spacing w:before="0" w:beforeAutospacing="0" w:after="0" w:afterAutospacing="0"/>
                    <w:ind w:left="0" w:right="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w:t>
                  </w:r>
                </w:p>
              </w:tc>
            </w:tr>
            <w:tr w14:paraId="6D3C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restart"/>
                  <w:noWrap w:val="0"/>
                  <w:vAlign w:val="center"/>
                </w:tcPr>
                <w:p w14:paraId="6998751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环保工程</w:t>
                  </w:r>
                </w:p>
              </w:tc>
              <w:tc>
                <w:tcPr>
                  <w:tcW w:w="666" w:type="pct"/>
                  <w:noWrap w:val="0"/>
                  <w:vAlign w:val="center"/>
                </w:tcPr>
                <w:p w14:paraId="2781A3F4">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废气治理</w:t>
                  </w:r>
                </w:p>
              </w:tc>
              <w:tc>
                <w:tcPr>
                  <w:tcW w:w="3198" w:type="pct"/>
                  <w:noWrap w:val="0"/>
                  <w:vAlign w:val="center"/>
                </w:tcPr>
                <w:p w14:paraId="23421FCC">
                  <w:pPr>
                    <w:keepNext w:val="0"/>
                    <w:keepLines w:val="0"/>
                    <w:suppressLineNumbers w:val="0"/>
                    <w:spacing w:before="0" w:beforeAutospacing="0" w:after="0" w:afterAutospacing="0"/>
                    <w:ind w:left="0" w:right="0"/>
                    <w:rPr>
                      <w:rFonts w:hint="default"/>
                      <w:b/>
                      <w:bCs/>
                      <w:color w:val="auto"/>
                      <w:szCs w:val="21"/>
                      <w:highlight w:val="none"/>
                    </w:rPr>
                  </w:pPr>
                  <w:r>
                    <w:rPr>
                      <w:rFonts w:hint="default"/>
                      <w:b/>
                      <w:bCs/>
                      <w:color w:val="auto"/>
                      <w:szCs w:val="21"/>
                      <w:highlight w:val="none"/>
                    </w:rPr>
                    <w:t>有组织：</w:t>
                  </w:r>
                </w:p>
                <w:p w14:paraId="5A1535B3">
                  <w:pPr>
                    <w:keepNext w:val="0"/>
                    <w:keepLines w:val="0"/>
                    <w:widowControl/>
                    <w:suppressLineNumbers w:val="0"/>
                    <w:adjustRightInd w:val="0"/>
                    <w:snapToGrid w:val="0"/>
                    <w:spacing w:before="0" w:beforeAutospacing="0" w:after="0" w:afterAutospacing="0"/>
                    <w:ind w:left="0" w:right="0"/>
                    <w:rPr>
                      <w:rFonts w:hint="eastAsia"/>
                      <w:color w:val="auto"/>
                      <w:szCs w:val="21"/>
                      <w:highlight w:val="none"/>
                    </w:rPr>
                  </w:pPr>
                  <w:r>
                    <w:rPr>
                      <w:rFonts w:hint="eastAsia"/>
                      <w:bCs/>
                      <w:color w:val="auto"/>
                      <w:kern w:val="0"/>
                      <w:szCs w:val="21"/>
                      <w:highlight w:val="none"/>
                    </w:rPr>
                    <w:t>①</w:t>
                  </w:r>
                  <w:r>
                    <w:rPr>
                      <w:rFonts w:hint="eastAsia"/>
                      <w:bCs/>
                      <w:color w:val="auto"/>
                      <w:kern w:val="0"/>
                      <w:szCs w:val="21"/>
                      <w:highlight w:val="none"/>
                      <w:lang w:eastAsia="zh-CN"/>
                    </w:rPr>
                    <w:t>拆包、投料、烘干、注塑废气经</w:t>
                  </w:r>
                  <w:r>
                    <w:rPr>
                      <w:rFonts w:hint="eastAsia"/>
                      <w:bCs/>
                      <w:color w:val="auto"/>
                      <w:kern w:val="0"/>
                      <w:szCs w:val="21"/>
                      <w:highlight w:val="none"/>
                      <w:lang w:val="en-US" w:eastAsia="zh-CN"/>
                    </w:rPr>
                    <w:t>集气罩</w:t>
                  </w:r>
                  <w:r>
                    <w:rPr>
                      <w:rFonts w:hint="eastAsia"/>
                      <w:bCs/>
                      <w:color w:val="auto"/>
                      <w:kern w:val="0"/>
                      <w:szCs w:val="21"/>
                      <w:highlight w:val="none"/>
                      <w:lang w:eastAsia="zh-CN"/>
                    </w:rPr>
                    <w:t>收集后由布袋除尘器+两级活性炭吸附装置TA002处理，通过1根15m高排气筒（DA002）排放</w:t>
                  </w:r>
                  <w:r>
                    <w:rPr>
                      <w:rFonts w:hint="eastAsia"/>
                      <w:color w:val="auto"/>
                      <w:szCs w:val="21"/>
                      <w:highlight w:val="none"/>
                    </w:rPr>
                    <w:t>；</w:t>
                  </w:r>
                </w:p>
                <w:p w14:paraId="03F27C0F">
                  <w:pPr>
                    <w:keepNext w:val="0"/>
                    <w:keepLines w:val="0"/>
                    <w:widowControl/>
                    <w:suppressLineNumbers w:val="0"/>
                    <w:adjustRightInd w:val="0"/>
                    <w:snapToGrid w:val="0"/>
                    <w:spacing w:before="0" w:beforeAutospacing="0" w:after="0" w:afterAutospacing="0"/>
                    <w:ind w:left="0" w:right="0"/>
                    <w:rPr>
                      <w:rFonts w:hint="eastAsia"/>
                      <w:b/>
                      <w:bCs/>
                      <w:snapToGrid w:val="0"/>
                      <w:color w:val="auto"/>
                      <w:kern w:val="0"/>
                      <w:szCs w:val="21"/>
                      <w:highlight w:val="none"/>
                    </w:rPr>
                  </w:pPr>
                  <w:r>
                    <w:rPr>
                      <w:rFonts w:hint="eastAsia"/>
                      <w:b/>
                      <w:bCs/>
                      <w:snapToGrid w:val="0"/>
                      <w:color w:val="auto"/>
                      <w:kern w:val="0"/>
                      <w:szCs w:val="21"/>
                      <w:highlight w:val="none"/>
                    </w:rPr>
                    <w:t>无组织：</w:t>
                  </w:r>
                </w:p>
                <w:p w14:paraId="27B22286">
                  <w:pPr>
                    <w:keepNext w:val="0"/>
                    <w:keepLines w:val="0"/>
                    <w:widowControl/>
                    <w:suppressLineNumbers w:val="0"/>
                    <w:adjustRightInd w:val="0"/>
                    <w:snapToGrid w:val="0"/>
                    <w:spacing w:before="0" w:beforeAutospacing="0" w:after="0" w:afterAutospacing="0"/>
                    <w:ind w:left="0" w:right="0"/>
                    <w:rPr>
                      <w:rFonts w:hint="eastAsia"/>
                      <w:color w:val="auto"/>
                      <w:szCs w:val="21"/>
                      <w:highlight w:val="none"/>
                    </w:rPr>
                  </w:pPr>
                  <w:r>
                    <w:rPr>
                      <w:rFonts w:hint="eastAsia" w:ascii="Calibri" w:hAnsi="Calibri"/>
                      <w:color w:val="auto"/>
                      <w:szCs w:val="21"/>
                      <w:highlight w:val="none"/>
                      <w:lang w:eastAsia="zh-CN"/>
                    </w:rPr>
                    <w:t>本项目原辅材料均在密闭库房内暂存，在贮存、输送、使用过程中保持密闭。本项目</w:t>
                  </w:r>
                  <w:r>
                    <w:rPr>
                      <w:rFonts w:hint="eastAsia" w:ascii="Calibri" w:hAnsi="Calibri"/>
                      <w:color w:val="auto"/>
                      <w:szCs w:val="21"/>
                      <w:highlight w:val="none"/>
                      <w:lang w:val="en-US" w:eastAsia="zh-CN"/>
                    </w:rPr>
                    <w:t>原料</w:t>
                  </w:r>
                  <w:r>
                    <w:rPr>
                      <w:rFonts w:hint="eastAsia" w:ascii="Calibri" w:hAnsi="Calibri"/>
                      <w:color w:val="auto"/>
                      <w:szCs w:val="21"/>
                      <w:highlight w:val="none"/>
                      <w:lang w:eastAsia="zh-CN"/>
                    </w:rPr>
                    <w:t>非即用状态袋装密封。</w:t>
                  </w:r>
                  <w:r>
                    <w:rPr>
                      <w:rFonts w:hint="eastAsia" w:ascii="Calibri" w:hAnsi="Calibri"/>
                      <w:color w:val="auto"/>
                      <w:szCs w:val="21"/>
                      <w:highlight w:val="none"/>
                      <w:lang w:val="en-US" w:eastAsia="zh-CN"/>
                    </w:rPr>
                    <w:t>加强</w:t>
                  </w:r>
                  <w:r>
                    <w:rPr>
                      <w:rFonts w:hint="eastAsia" w:ascii="Calibri" w:hAnsi="Calibri"/>
                      <w:color w:val="auto"/>
                      <w:szCs w:val="21"/>
                      <w:highlight w:val="none"/>
                      <w:lang w:eastAsia="zh-CN"/>
                    </w:rPr>
                    <w:t>拆包、投料、烘干、注塑废气集气罩收集。项目尼龙粒子采用原包料，采用密闭的包装袋进行转移；项目在开停工、检维修时，在退料阶段将残存物料退净，并用相应的密闭容器盛装，项目退料时两级活性炭吸附装置需开启。</w:t>
                  </w:r>
                </w:p>
              </w:tc>
              <w:tc>
                <w:tcPr>
                  <w:tcW w:w="692" w:type="pct"/>
                  <w:noWrap w:val="0"/>
                  <w:vAlign w:val="center"/>
                </w:tcPr>
                <w:p w14:paraId="358FC48B">
                  <w:pPr>
                    <w:keepNext w:val="0"/>
                    <w:keepLines w:val="0"/>
                    <w:widowControl/>
                    <w:suppressLineNumbers w:val="0"/>
                    <w:adjustRightInd w:val="0"/>
                    <w:snapToGrid w:val="0"/>
                    <w:spacing w:before="0" w:beforeAutospacing="0" w:after="0" w:afterAutospacing="0"/>
                    <w:ind w:left="0" w:right="0"/>
                    <w:jc w:val="center"/>
                    <w:rPr>
                      <w:rFonts w:hint="eastAsia" w:ascii="Calibri" w:hAnsi="Calibri"/>
                      <w:color w:val="auto"/>
                      <w:szCs w:val="21"/>
                      <w:highlight w:val="none"/>
                      <w:lang w:eastAsia="zh-CN"/>
                    </w:rPr>
                  </w:pPr>
                  <w:r>
                    <w:rPr>
                      <w:rFonts w:hint="eastAsia"/>
                      <w:snapToGrid w:val="0"/>
                      <w:color w:val="auto"/>
                      <w:kern w:val="0"/>
                      <w:szCs w:val="21"/>
                      <w:highlight w:val="none"/>
                      <w:lang w:val="en-US" w:eastAsia="zh-CN"/>
                    </w:rPr>
                    <w:t>新建</w:t>
                  </w:r>
                </w:p>
              </w:tc>
            </w:tr>
            <w:tr w14:paraId="5D85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1C72AB6A">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42AD8822">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废水治理</w:t>
                  </w:r>
                </w:p>
              </w:tc>
              <w:tc>
                <w:tcPr>
                  <w:tcW w:w="3198" w:type="pct"/>
                  <w:noWrap w:val="0"/>
                  <w:vAlign w:val="center"/>
                </w:tcPr>
                <w:p w14:paraId="3A1EECCD">
                  <w:pPr>
                    <w:keepNext w:val="0"/>
                    <w:keepLines w:val="0"/>
                    <w:suppressLineNumbers w:val="0"/>
                    <w:spacing w:before="0" w:beforeAutospacing="0" w:after="0" w:afterAutospacing="0"/>
                    <w:ind w:left="0" w:right="0"/>
                    <w:rPr>
                      <w:rFonts w:hint="eastAsia"/>
                      <w:color w:val="auto"/>
                      <w:szCs w:val="21"/>
                      <w:highlight w:val="none"/>
                      <w:lang w:val="zh-CN"/>
                    </w:rPr>
                  </w:pPr>
                  <w:r>
                    <w:rPr>
                      <w:rFonts w:hint="eastAsia"/>
                      <w:snapToGrid w:val="0"/>
                      <w:color w:val="auto"/>
                      <w:kern w:val="0"/>
                      <w:szCs w:val="21"/>
                      <w:highlight w:val="none"/>
                      <w:lang w:eastAsia="zh-CN"/>
                    </w:rPr>
                    <w:t>生活污水经集成式生物化粪池处理后经园区污水管网排入绿源污水处理有限公司进一步处理</w:t>
                  </w:r>
                  <w:r>
                    <w:rPr>
                      <w:rFonts w:hint="eastAsia"/>
                      <w:snapToGrid w:val="0"/>
                      <w:color w:val="auto"/>
                      <w:kern w:val="0"/>
                      <w:szCs w:val="21"/>
                      <w:highlight w:val="none"/>
                    </w:rPr>
                    <w:t>。</w:t>
                  </w:r>
                </w:p>
              </w:tc>
              <w:tc>
                <w:tcPr>
                  <w:tcW w:w="692" w:type="pct"/>
                  <w:noWrap w:val="0"/>
                  <w:vAlign w:val="center"/>
                </w:tcPr>
                <w:p w14:paraId="41D79667">
                  <w:pPr>
                    <w:keepNext w:val="0"/>
                    <w:keepLines w:val="0"/>
                    <w:suppressLineNumbers w:val="0"/>
                    <w:spacing w:before="0" w:beforeAutospacing="0" w:after="0" w:afterAutospacing="0"/>
                    <w:ind w:left="0" w:right="0"/>
                    <w:jc w:val="center"/>
                    <w:rPr>
                      <w:rFonts w:hint="eastAsia"/>
                      <w:snapToGrid w:val="0"/>
                      <w:color w:val="auto"/>
                      <w:kern w:val="0"/>
                      <w:szCs w:val="21"/>
                      <w:highlight w:val="none"/>
                      <w:lang w:eastAsia="zh-CN"/>
                    </w:rPr>
                  </w:pPr>
                  <w:r>
                    <w:rPr>
                      <w:rFonts w:hint="eastAsia"/>
                      <w:snapToGrid w:val="0"/>
                      <w:color w:val="auto"/>
                      <w:kern w:val="0"/>
                      <w:szCs w:val="21"/>
                      <w:highlight w:val="none"/>
                      <w:lang w:val="en-US" w:eastAsia="zh-CN"/>
                    </w:rPr>
                    <w:t>--</w:t>
                  </w:r>
                </w:p>
              </w:tc>
            </w:tr>
            <w:tr w14:paraId="2E7B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6EB01BC7">
                  <w:pPr>
                    <w:keepNext w:val="0"/>
                    <w:keepLines w:val="0"/>
                    <w:suppressLineNumbers w:val="0"/>
                    <w:spacing w:before="0" w:beforeAutospacing="0" w:after="0" w:afterAutospacing="0"/>
                    <w:ind w:left="0" w:right="0"/>
                    <w:jc w:val="center"/>
                    <w:rPr>
                      <w:rFonts w:hint="default"/>
                      <w:color w:val="auto"/>
                      <w:szCs w:val="21"/>
                      <w:highlight w:val="none"/>
                    </w:rPr>
                  </w:pPr>
                </w:p>
              </w:tc>
              <w:tc>
                <w:tcPr>
                  <w:tcW w:w="666" w:type="pct"/>
                  <w:noWrap w:val="0"/>
                  <w:vAlign w:val="center"/>
                </w:tcPr>
                <w:p w14:paraId="2DE0A2F1">
                  <w:pPr>
                    <w:keepNext w:val="0"/>
                    <w:keepLines w:val="0"/>
                    <w:suppressLineNumbers w:val="0"/>
                    <w:spacing w:before="0" w:beforeAutospacing="0" w:after="0" w:afterAutospacing="0"/>
                    <w:ind w:left="0" w:right="0"/>
                    <w:jc w:val="center"/>
                    <w:rPr>
                      <w:rFonts w:hint="default"/>
                      <w:color w:val="auto"/>
                      <w:szCs w:val="21"/>
                      <w:highlight w:val="none"/>
                      <w:lang w:val="zh-CN"/>
                    </w:rPr>
                  </w:pPr>
                  <w:r>
                    <w:rPr>
                      <w:rFonts w:hint="default"/>
                      <w:color w:val="auto"/>
                      <w:szCs w:val="21"/>
                      <w:highlight w:val="none"/>
                      <w:lang w:val="zh-CN"/>
                    </w:rPr>
                    <w:t>噪声治理</w:t>
                  </w:r>
                </w:p>
              </w:tc>
              <w:tc>
                <w:tcPr>
                  <w:tcW w:w="3198" w:type="pct"/>
                  <w:noWrap w:val="0"/>
                  <w:vAlign w:val="center"/>
                </w:tcPr>
                <w:p w14:paraId="54FE0C87">
                  <w:pPr>
                    <w:keepNext w:val="0"/>
                    <w:keepLines w:val="0"/>
                    <w:suppressLineNumbers w:val="0"/>
                    <w:spacing w:before="0" w:beforeAutospacing="0" w:after="0" w:afterAutospacing="0"/>
                    <w:ind w:left="0" w:right="0"/>
                    <w:rPr>
                      <w:rFonts w:hint="default"/>
                      <w:color w:val="auto"/>
                      <w:szCs w:val="21"/>
                      <w:highlight w:val="none"/>
                      <w:lang w:val="zh-CN"/>
                    </w:rPr>
                  </w:pPr>
                  <w:r>
                    <w:rPr>
                      <w:rFonts w:hint="default"/>
                      <w:color w:val="auto"/>
                      <w:szCs w:val="21"/>
                      <w:highlight w:val="none"/>
                      <w:lang w:val="zh-CN"/>
                    </w:rPr>
                    <w:t>选用低噪声设备，采取基础减</w:t>
                  </w:r>
                  <w:r>
                    <w:rPr>
                      <w:rFonts w:hint="eastAsia"/>
                      <w:color w:val="auto"/>
                      <w:szCs w:val="21"/>
                      <w:highlight w:val="none"/>
                      <w:lang w:val="zh-CN"/>
                    </w:rPr>
                    <w:t>振</w:t>
                  </w:r>
                  <w:r>
                    <w:rPr>
                      <w:rFonts w:hint="default"/>
                      <w:color w:val="auto"/>
                      <w:szCs w:val="21"/>
                      <w:highlight w:val="none"/>
                      <w:lang w:val="zh-CN"/>
                    </w:rPr>
                    <w:t>、厂房隔声等措施</w:t>
                  </w:r>
                  <w:r>
                    <w:rPr>
                      <w:rFonts w:hint="eastAsia"/>
                      <w:color w:val="auto"/>
                      <w:szCs w:val="21"/>
                      <w:highlight w:val="none"/>
                      <w:lang w:val="zh-CN"/>
                    </w:rPr>
                    <w:t>。</w:t>
                  </w:r>
                </w:p>
              </w:tc>
              <w:tc>
                <w:tcPr>
                  <w:tcW w:w="692" w:type="pct"/>
                  <w:noWrap w:val="0"/>
                  <w:vAlign w:val="center"/>
                </w:tcPr>
                <w:p w14:paraId="4F7FEA83">
                  <w:pPr>
                    <w:keepNext w:val="0"/>
                    <w:keepLines w:val="0"/>
                    <w:suppressLineNumbers w:val="0"/>
                    <w:spacing w:before="0" w:beforeAutospacing="0" w:after="0" w:afterAutospacing="0"/>
                    <w:ind w:left="0" w:right="0"/>
                    <w:jc w:val="center"/>
                    <w:rPr>
                      <w:rFonts w:hint="default"/>
                      <w:color w:val="auto"/>
                      <w:szCs w:val="21"/>
                      <w:highlight w:val="none"/>
                      <w:lang w:val="zh-CN"/>
                    </w:rPr>
                  </w:pPr>
                  <w:r>
                    <w:rPr>
                      <w:rFonts w:hint="eastAsia"/>
                      <w:snapToGrid w:val="0"/>
                      <w:color w:val="auto"/>
                      <w:kern w:val="0"/>
                      <w:szCs w:val="21"/>
                      <w:highlight w:val="none"/>
                      <w:lang w:val="en-US" w:eastAsia="zh-CN"/>
                    </w:rPr>
                    <w:t>--</w:t>
                  </w:r>
                </w:p>
              </w:tc>
            </w:tr>
            <w:tr w14:paraId="3CAB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3" w:type="pct"/>
                  <w:vMerge w:val="continue"/>
                  <w:noWrap w:val="0"/>
                  <w:vAlign w:val="center"/>
                </w:tcPr>
                <w:p w14:paraId="39ACB177">
                  <w:pPr>
                    <w:keepNext w:val="0"/>
                    <w:keepLines w:val="0"/>
                    <w:suppressLineNumbers w:val="0"/>
                    <w:spacing w:before="0" w:beforeAutospacing="0" w:after="0" w:afterAutospacing="0"/>
                    <w:ind w:left="0" w:right="0"/>
                    <w:rPr>
                      <w:rFonts w:hint="default"/>
                      <w:color w:val="auto"/>
                      <w:szCs w:val="21"/>
                      <w:highlight w:val="none"/>
                    </w:rPr>
                  </w:pPr>
                </w:p>
              </w:tc>
              <w:tc>
                <w:tcPr>
                  <w:tcW w:w="666" w:type="pct"/>
                  <w:noWrap w:val="0"/>
                  <w:vAlign w:val="center"/>
                </w:tcPr>
                <w:p w14:paraId="57DDB961">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固废治理</w:t>
                  </w:r>
                </w:p>
              </w:tc>
              <w:tc>
                <w:tcPr>
                  <w:tcW w:w="3198" w:type="pct"/>
                  <w:noWrap w:val="0"/>
                  <w:vAlign w:val="center"/>
                </w:tcPr>
                <w:p w14:paraId="38697CDE">
                  <w:pPr>
                    <w:keepNext w:val="0"/>
                    <w:keepLines w:val="0"/>
                    <w:suppressLineNumbers w:val="0"/>
                    <w:spacing w:before="0" w:beforeAutospacing="0" w:after="0" w:afterAutospacing="0"/>
                    <w:ind w:left="0" w:right="0"/>
                    <w:rPr>
                      <w:rFonts w:hint="default"/>
                      <w:color w:val="auto"/>
                      <w:szCs w:val="21"/>
                      <w:highlight w:val="none"/>
                      <w:lang w:val="zh-CN"/>
                    </w:rPr>
                  </w:pPr>
                  <w:r>
                    <w:rPr>
                      <w:rFonts w:hint="default"/>
                      <w:color w:val="auto"/>
                      <w:szCs w:val="21"/>
                      <w:highlight w:val="none"/>
                      <w:lang w:val="zh-CN"/>
                    </w:rPr>
                    <w:t>项目固体废物主要为一般固体废物</w:t>
                  </w:r>
                  <w:r>
                    <w:rPr>
                      <w:rFonts w:hint="eastAsia"/>
                      <w:color w:val="auto"/>
                      <w:szCs w:val="21"/>
                      <w:highlight w:val="none"/>
                      <w:lang w:val="zh-CN"/>
                    </w:rPr>
                    <w:t>、</w:t>
                  </w:r>
                  <w:r>
                    <w:rPr>
                      <w:rFonts w:hint="eastAsia"/>
                      <w:color w:val="auto"/>
                      <w:szCs w:val="21"/>
                      <w:highlight w:val="none"/>
                    </w:rPr>
                    <w:t>危险废物</w:t>
                  </w:r>
                  <w:r>
                    <w:rPr>
                      <w:rFonts w:hint="default"/>
                      <w:color w:val="auto"/>
                      <w:szCs w:val="21"/>
                      <w:highlight w:val="none"/>
                      <w:lang w:val="zh-CN"/>
                    </w:rPr>
                    <w:t>及职工生活垃圾。</w:t>
                  </w:r>
                </w:p>
                <w:p w14:paraId="54A525EB">
                  <w:pPr>
                    <w:keepNext w:val="0"/>
                    <w:keepLines w:val="0"/>
                    <w:suppressLineNumbers w:val="0"/>
                    <w:spacing w:before="0" w:beforeAutospacing="0" w:after="0" w:afterAutospacing="0"/>
                    <w:ind w:left="0" w:right="0"/>
                    <w:rPr>
                      <w:rFonts w:hint="default"/>
                      <w:color w:val="auto"/>
                      <w:szCs w:val="21"/>
                      <w:highlight w:val="none"/>
                      <w:lang w:val="zh-CN"/>
                    </w:rPr>
                  </w:pPr>
                  <w:r>
                    <w:rPr>
                      <w:rFonts w:hint="default"/>
                      <w:color w:val="auto"/>
                      <w:szCs w:val="21"/>
                      <w:highlight w:val="none"/>
                      <w:lang w:val="zh-CN"/>
                    </w:rPr>
                    <w:t>1）一般固体废物</w:t>
                  </w:r>
                </w:p>
                <w:p w14:paraId="005B384E">
                  <w:pPr>
                    <w:keepNext w:val="0"/>
                    <w:keepLines w:val="0"/>
                    <w:suppressLineNumbers w:val="0"/>
                    <w:spacing w:before="0" w:beforeAutospacing="0" w:after="0" w:afterAutospacing="0"/>
                    <w:ind w:left="0" w:right="0"/>
                    <w:rPr>
                      <w:rFonts w:hint="eastAsia"/>
                      <w:color w:val="auto"/>
                      <w:szCs w:val="21"/>
                      <w:highlight w:val="none"/>
                      <w:lang w:val="zh-CN"/>
                    </w:rPr>
                  </w:pPr>
                  <w:r>
                    <w:rPr>
                      <w:rFonts w:hint="eastAsia"/>
                      <w:color w:val="auto"/>
                      <w:szCs w:val="21"/>
                      <w:highlight w:val="none"/>
                      <w:lang w:val="zh-CN"/>
                    </w:rPr>
                    <w:t>废包装材料、废塑料边角料、不合格品、金属下脚料、不合格电极片收集后外售；</w:t>
                  </w:r>
                </w:p>
                <w:p w14:paraId="27570D39">
                  <w:pPr>
                    <w:keepNext w:val="0"/>
                    <w:keepLines w:val="0"/>
                    <w:suppressLineNumbers w:val="0"/>
                    <w:spacing w:before="0" w:beforeAutospacing="0" w:after="0" w:afterAutospacing="0"/>
                    <w:ind w:left="0" w:right="0"/>
                    <w:rPr>
                      <w:rFonts w:hint="eastAsia"/>
                      <w:color w:val="auto"/>
                      <w:szCs w:val="21"/>
                      <w:highlight w:val="none"/>
                    </w:rPr>
                  </w:pPr>
                  <w:r>
                    <w:rPr>
                      <w:rFonts w:hint="eastAsia"/>
                      <w:color w:val="auto"/>
                      <w:szCs w:val="21"/>
                      <w:highlight w:val="none"/>
                    </w:rPr>
                    <w:t>2</w:t>
                  </w:r>
                  <w:r>
                    <w:rPr>
                      <w:rFonts w:hint="default"/>
                      <w:color w:val="auto"/>
                      <w:szCs w:val="21"/>
                      <w:highlight w:val="none"/>
                      <w:lang w:val="zh-CN"/>
                    </w:rPr>
                    <w:t>）</w:t>
                  </w:r>
                  <w:r>
                    <w:rPr>
                      <w:rFonts w:hint="eastAsia"/>
                      <w:color w:val="auto"/>
                      <w:szCs w:val="21"/>
                      <w:highlight w:val="none"/>
                    </w:rPr>
                    <w:t>危险废物</w:t>
                  </w:r>
                </w:p>
                <w:p w14:paraId="7B087567">
                  <w:pPr>
                    <w:keepNext w:val="0"/>
                    <w:keepLines w:val="0"/>
                    <w:suppressLineNumbers w:val="0"/>
                    <w:spacing w:before="0" w:beforeAutospacing="0" w:after="0" w:afterAutospacing="0"/>
                    <w:ind w:left="0" w:right="0"/>
                    <w:rPr>
                      <w:rFonts w:hint="eastAsia"/>
                      <w:color w:val="auto"/>
                      <w:szCs w:val="21"/>
                      <w:highlight w:val="none"/>
                      <w:lang w:val="zh-CN"/>
                    </w:rPr>
                  </w:pPr>
                  <w:r>
                    <w:rPr>
                      <w:rFonts w:hint="eastAsia"/>
                      <w:color w:val="auto"/>
                      <w:szCs w:val="21"/>
                      <w:highlight w:val="none"/>
                      <w:lang w:val="zh-CN"/>
                    </w:rPr>
                    <w:t>废布袋、</w:t>
                  </w:r>
                  <w:r>
                    <w:rPr>
                      <w:rFonts w:hint="eastAsia"/>
                      <w:color w:val="auto"/>
                      <w:szCs w:val="21"/>
                      <w:highlight w:val="none"/>
                      <w:lang w:val="en-US" w:eastAsia="zh-CN"/>
                    </w:rPr>
                    <w:t>除尘灰</w:t>
                  </w:r>
                  <w:r>
                    <w:rPr>
                      <w:rFonts w:hint="eastAsia"/>
                      <w:color w:val="auto"/>
                      <w:szCs w:val="21"/>
                      <w:highlight w:val="none"/>
                      <w:lang w:val="zh-CN"/>
                    </w:rPr>
                    <w:t>、废活性炭、废切削液、废切削液桶、含油金属屑、废润滑油、废润滑油桶、含油抹布及废劳保用品，分类收集后暂存于危废间，定期交由有资质的单位处理；</w:t>
                  </w:r>
                </w:p>
                <w:p w14:paraId="7FC95A8E">
                  <w:pPr>
                    <w:keepNext w:val="0"/>
                    <w:keepLines w:val="0"/>
                    <w:suppressLineNumbers w:val="0"/>
                    <w:spacing w:before="0" w:beforeAutospacing="0" w:after="0" w:afterAutospacing="0"/>
                    <w:ind w:left="0" w:right="0"/>
                    <w:rPr>
                      <w:rFonts w:hint="default"/>
                      <w:color w:val="auto"/>
                      <w:szCs w:val="21"/>
                      <w:highlight w:val="none"/>
                      <w:lang w:val="zh-CN"/>
                    </w:rPr>
                  </w:pPr>
                  <w:r>
                    <w:rPr>
                      <w:rFonts w:hint="eastAsia"/>
                      <w:color w:val="auto"/>
                      <w:szCs w:val="21"/>
                      <w:highlight w:val="none"/>
                    </w:rPr>
                    <w:t>3）</w:t>
                  </w:r>
                  <w:r>
                    <w:rPr>
                      <w:rFonts w:hint="default"/>
                      <w:color w:val="auto"/>
                      <w:szCs w:val="21"/>
                      <w:highlight w:val="none"/>
                      <w:lang w:val="zh-CN"/>
                    </w:rPr>
                    <w:t>生活垃圾</w:t>
                  </w:r>
                </w:p>
                <w:p w14:paraId="2D3B518C">
                  <w:pPr>
                    <w:keepNext w:val="0"/>
                    <w:keepLines w:val="0"/>
                    <w:suppressLineNumbers w:val="0"/>
                    <w:spacing w:before="0" w:beforeAutospacing="0" w:after="0" w:afterAutospacing="0"/>
                    <w:ind w:left="0" w:right="0"/>
                    <w:rPr>
                      <w:rFonts w:hint="eastAsia"/>
                      <w:color w:val="auto"/>
                      <w:szCs w:val="21"/>
                      <w:highlight w:val="none"/>
                    </w:rPr>
                  </w:pPr>
                  <w:r>
                    <w:rPr>
                      <w:rFonts w:hint="default"/>
                      <w:color w:val="auto"/>
                      <w:szCs w:val="21"/>
                      <w:highlight w:val="none"/>
                      <w:lang w:val="zh-CN"/>
                    </w:rPr>
                    <w:t>职工生活垃圾收集后由环卫部门统一处置。</w:t>
                  </w:r>
                </w:p>
              </w:tc>
              <w:tc>
                <w:tcPr>
                  <w:tcW w:w="692" w:type="pct"/>
                  <w:noWrap w:val="0"/>
                  <w:vAlign w:val="center"/>
                </w:tcPr>
                <w:p w14:paraId="1F3778E6">
                  <w:pPr>
                    <w:keepNext w:val="0"/>
                    <w:keepLines w:val="0"/>
                    <w:suppressLineNumbers w:val="0"/>
                    <w:spacing w:before="0" w:beforeAutospacing="0" w:after="0" w:afterAutospacing="0"/>
                    <w:ind w:left="0" w:right="0"/>
                    <w:jc w:val="center"/>
                    <w:rPr>
                      <w:rFonts w:hint="default"/>
                      <w:color w:val="auto"/>
                      <w:szCs w:val="21"/>
                      <w:highlight w:val="none"/>
                      <w:lang w:val="zh-CN"/>
                    </w:rPr>
                  </w:pPr>
                  <w:r>
                    <w:rPr>
                      <w:rFonts w:hint="eastAsia"/>
                      <w:snapToGrid w:val="0"/>
                      <w:color w:val="auto"/>
                      <w:kern w:val="0"/>
                      <w:szCs w:val="21"/>
                      <w:highlight w:val="none"/>
                      <w:lang w:val="en-US" w:eastAsia="zh-CN"/>
                    </w:rPr>
                    <w:t>--</w:t>
                  </w:r>
                </w:p>
              </w:tc>
            </w:tr>
          </w:tbl>
          <w:p w14:paraId="0EFF46F6">
            <w:pPr>
              <w:pStyle w:val="172"/>
              <w:keepNext w:val="0"/>
              <w:keepLines w:val="0"/>
              <w:suppressLineNumbers w:val="0"/>
              <w:spacing w:before="0" w:beforeAutospacing="0" w:after="0" w:afterAutospacing="0"/>
              <w:ind w:left="0" w:right="0" w:firstLine="439" w:firstLineChars="1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lang w:val="en-US" w:eastAsia="zh-CN"/>
              </w:rPr>
              <w:t>4</w:t>
            </w:r>
            <w:r>
              <w:rPr>
                <w:rFonts w:hint="default" w:ascii="Times New Roman" w:hAnsi="Times New Roman" w:cs="Times New Roman"/>
                <w:b/>
                <w:smallCaps w:val="0"/>
                <w:color w:val="auto"/>
                <w:spacing w:val="0"/>
                <w:highlight w:val="none"/>
              </w:rPr>
              <w:t>、主要设备</w:t>
            </w:r>
          </w:p>
          <w:p w14:paraId="6A30AE0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项目主要设备见表2-</w:t>
            </w:r>
            <w:r>
              <w:rPr>
                <w:rFonts w:hint="eastAsia"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w:t>
            </w:r>
          </w:p>
          <w:p w14:paraId="26F83CFF">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表2-</w:t>
            </w:r>
            <w:r>
              <w:rPr>
                <w:rFonts w:hint="eastAsia"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 xml:space="preserve">   </w:t>
            </w:r>
            <w:r>
              <w:rPr>
                <w:rFonts w:hint="default" w:ascii="Times New Roman" w:hAnsi="Times New Roman" w:cs="Times New Roman"/>
                <w:smallCaps w:val="0"/>
                <w:color w:val="auto"/>
                <w:spacing w:val="0"/>
                <w:highlight w:val="none"/>
                <w:lang w:val="en-US" w:eastAsia="zh-CN"/>
              </w:rPr>
              <w:t>项目</w:t>
            </w:r>
            <w:r>
              <w:rPr>
                <w:rFonts w:hint="default" w:ascii="Times New Roman" w:hAnsi="Times New Roman" w:cs="Times New Roman"/>
                <w:smallCaps w:val="0"/>
                <w:color w:val="auto"/>
                <w:spacing w:val="0"/>
                <w:highlight w:val="none"/>
              </w:rPr>
              <w:t>设备</w:t>
            </w:r>
            <w:r>
              <w:rPr>
                <w:rFonts w:hint="eastAsia" w:cs="Times New Roman"/>
                <w:smallCaps w:val="0"/>
                <w:color w:val="auto"/>
                <w:spacing w:val="0"/>
                <w:highlight w:val="none"/>
                <w:lang w:val="en-US" w:eastAsia="zh-CN"/>
              </w:rPr>
              <w:t>变化</w:t>
            </w:r>
            <w:r>
              <w:rPr>
                <w:rFonts w:hint="default" w:ascii="Times New Roman" w:hAnsi="Times New Roman" w:cs="Times New Roman"/>
                <w:smallCaps w:val="0"/>
                <w:color w:val="auto"/>
                <w:spacing w:val="0"/>
                <w:highlight w:val="none"/>
              </w:rPr>
              <w:t>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142"/>
              <w:gridCol w:w="1330"/>
              <w:gridCol w:w="1976"/>
              <w:gridCol w:w="490"/>
              <w:gridCol w:w="620"/>
              <w:gridCol w:w="447"/>
              <w:gridCol w:w="500"/>
              <w:gridCol w:w="1138"/>
            </w:tblGrid>
            <w:tr w14:paraId="33E7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exact"/>
                <w:jc w:val="center"/>
              </w:trPr>
              <w:tc>
                <w:tcPr>
                  <w:tcW w:w="314" w:type="pct"/>
                  <w:noWrap w:val="0"/>
                  <w:vAlign w:val="center"/>
                </w:tcPr>
                <w:p w14:paraId="1FEF3045">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700" w:type="pct"/>
                  <w:noWrap w:val="0"/>
                  <w:vAlign w:val="center"/>
                </w:tcPr>
                <w:p w14:paraId="6F6CB282">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设备名称</w:t>
                  </w:r>
                </w:p>
              </w:tc>
              <w:tc>
                <w:tcPr>
                  <w:tcW w:w="815" w:type="pct"/>
                  <w:noWrap w:val="0"/>
                  <w:vAlign w:val="center"/>
                </w:tcPr>
                <w:p w14:paraId="6684E98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规格型号</w:t>
                  </w:r>
                </w:p>
              </w:tc>
              <w:tc>
                <w:tcPr>
                  <w:tcW w:w="1211" w:type="pct"/>
                  <w:noWrap w:val="0"/>
                  <w:vAlign w:val="center"/>
                </w:tcPr>
                <w:p w14:paraId="666C232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设施参数</w:t>
                  </w:r>
                </w:p>
              </w:tc>
              <w:tc>
                <w:tcPr>
                  <w:tcW w:w="300" w:type="pct"/>
                  <w:noWrap w:val="0"/>
                  <w:vAlign w:val="center"/>
                </w:tcPr>
                <w:p w14:paraId="3DFA5B1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单位</w:t>
                  </w:r>
                </w:p>
              </w:tc>
              <w:tc>
                <w:tcPr>
                  <w:tcW w:w="380" w:type="pct"/>
                  <w:noWrap w:val="0"/>
                  <w:vAlign w:val="center"/>
                </w:tcPr>
                <w:p w14:paraId="43B752E5">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现有工程数量</w:t>
                  </w:r>
                </w:p>
              </w:tc>
              <w:tc>
                <w:tcPr>
                  <w:tcW w:w="274" w:type="pct"/>
                  <w:noWrap w:val="0"/>
                  <w:vAlign w:val="center"/>
                </w:tcPr>
                <w:p w14:paraId="398DD35A">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新增设备</w:t>
                  </w:r>
                </w:p>
              </w:tc>
              <w:tc>
                <w:tcPr>
                  <w:tcW w:w="306" w:type="pct"/>
                  <w:noWrap w:val="0"/>
                  <w:vAlign w:val="center"/>
                </w:tcPr>
                <w:p w14:paraId="1C94DF8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改扩建项目完成后全厂</w:t>
                  </w:r>
                </w:p>
              </w:tc>
              <w:tc>
                <w:tcPr>
                  <w:tcW w:w="697" w:type="pct"/>
                  <w:noWrap w:val="0"/>
                  <w:vAlign w:val="center"/>
                </w:tcPr>
                <w:p w14:paraId="73EC02A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备注</w:t>
                  </w:r>
                </w:p>
              </w:tc>
            </w:tr>
            <w:tr w14:paraId="144F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exact"/>
                <w:jc w:val="center"/>
              </w:trPr>
              <w:tc>
                <w:tcPr>
                  <w:tcW w:w="314" w:type="pct"/>
                  <w:noWrap w:val="0"/>
                  <w:vAlign w:val="center"/>
                </w:tcPr>
                <w:p w14:paraId="5AFCF466">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700" w:type="pct"/>
                  <w:noWrap w:val="0"/>
                  <w:vAlign w:val="center"/>
                </w:tcPr>
                <w:p w14:paraId="6CBD621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注塑机</w:t>
                  </w:r>
                </w:p>
              </w:tc>
              <w:tc>
                <w:tcPr>
                  <w:tcW w:w="815" w:type="pct"/>
                  <w:noWrap w:val="0"/>
                  <w:vAlign w:val="center"/>
                </w:tcPr>
                <w:p w14:paraId="56218B4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PD-120T</w:t>
                  </w:r>
                </w:p>
              </w:tc>
              <w:tc>
                <w:tcPr>
                  <w:tcW w:w="1211" w:type="pct"/>
                  <w:shd w:val="clear" w:color="auto" w:fill="auto"/>
                  <w:noWrap w:val="0"/>
                  <w:vAlign w:val="center"/>
                </w:tcPr>
                <w:p w14:paraId="181B8F20">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现有9台处理能力0.002t/h；新增7台处理能力0.4kg/h</w:t>
                  </w:r>
                </w:p>
              </w:tc>
              <w:tc>
                <w:tcPr>
                  <w:tcW w:w="300" w:type="pct"/>
                  <w:noWrap w:val="0"/>
                  <w:vAlign w:val="center"/>
                </w:tcPr>
                <w:p w14:paraId="4AAFE952">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07996A33">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9</w:t>
                  </w:r>
                </w:p>
              </w:tc>
              <w:tc>
                <w:tcPr>
                  <w:tcW w:w="274" w:type="pct"/>
                  <w:shd w:val="clear" w:color="auto" w:fill="auto"/>
                  <w:noWrap w:val="0"/>
                  <w:vAlign w:val="center"/>
                </w:tcPr>
                <w:p w14:paraId="21B21DB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306" w:type="pct"/>
                  <w:noWrap w:val="0"/>
                  <w:vAlign w:val="center"/>
                </w:tcPr>
                <w:p w14:paraId="1F56CDF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16</w:t>
                  </w:r>
                </w:p>
              </w:tc>
              <w:tc>
                <w:tcPr>
                  <w:tcW w:w="697" w:type="pct"/>
                  <w:noWrap w:val="0"/>
                  <w:vAlign w:val="center"/>
                </w:tcPr>
                <w:p w14:paraId="7582475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9台利旧</w:t>
                  </w:r>
                </w:p>
              </w:tc>
            </w:tr>
            <w:tr w14:paraId="661D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314" w:type="pct"/>
                  <w:noWrap w:val="0"/>
                  <w:vAlign w:val="center"/>
                </w:tcPr>
                <w:p w14:paraId="7F1F1E38">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700" w:type="pct"/>
                  <w:noWrap w:val="0"/>
                  <w:vAlign w:val="center"/>
                </w:tcPr>
                <w:p w14:paraId="5A09203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干燥机</w:t>
                  </w:r>
                </w:p>
              </w:tc>
              <w:tc>
                <w:tcPr>
                  <w:tcW w:w="815" w:type="pct"/>
                  <w:noWrap w:val="0"/>
                  <w:vAlign w:val="center"/>
                </w:tcPr>
                <w:p w14:paraId="28FF199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SCD-160U/80H5</w:t>
                  </w:r>
                </w:p>
              </w:tc>
              <w:tc>
                <w:tcPr>
                  <w:tcW w:w="1211" w:type="pct"/>
                  <w:shd w:val="clear" w:color="auto" w:fill="auto"/>
                  <w:noWrap w:val="0"/>
                  <w:vAlign w:val="center"/>
                </w:tcPr>
                <w:p w14:paraId="327D4B3C">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处理能力0.005t/h</w:t>
                  </w:r>
                </w:p>
              </w:tc>
              <w:tc>
                <w:tcPr>
                  <w:tcW w:w="300" w:type="pct"/>
                  <w:noWrap w:val="0"/>
                  <w:vAlign w:val="center"/>
                </w:tcPr>
                <w:p w14:paraId="4BD30A36">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5F162FC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274" w:type="pct"/>
                  <w:shd w:val="clear" w:color="auto" w:fill="auto"/>
                  <w:noWrap w:val="0"/>
                  <w:vAlign w:val="center"/>
                </w:tcPr>
                <w:p w14:paraId="0E7443EB">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2F21B8E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w:t>
                  </w:r>
                </w:p>
              </w:tc>
              <w:tc>
                <w:tcPr>
                  <w:tcW w:w="697" w:type="pct"/>
                  <w:noWrap w:val="0"/>
                  <w:vAlign w:val="center"/>
                </w:tcPr>
                <w:p w14:paraId="5710BA6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0D3C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314" w:type="pct"/>
                  <w:noWrap w:val="0"/>
                  <w:vAlign w:val="center"/>
                </w:tcPr>
                <w:p w14:paraId="60537934">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700" w:type="pct"/>
                  <w:noWrap w:val="0"/>
                  <w:vAlign w:val="center"/>
                </w:tcPr>
                <w:p w14:paraId="5A85A7F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干燥箱</w:t>
                  </w:r>
                </w:p>
              </w:tc>
              <w:tc>
                <w:tcPr>
                  <w:tcW w:w="815" w:type="pct"/>
                  <w:noWrap w:val="0"/>
                  <w:vAlign w:val="center"/>
                </w:tcPr>
                <w:p w14:paraId="4966B97E">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SC202-4YB</w:t>
                  </w:r>
                </w:p>
              </w:tc>
              <w:tc>
                <w:tcPr>
                  <w:tcW w:w="1211" w:type="pct"/>
                  <w:shd w:val="clear" w:color="auto" w:fill="auto"/>
                  <w:noWrap w:val="0"/>
                  <w:vAlign w:val="center"/>
                </w:tcPr>
                <w:p w14:paraId="265FBD47">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处理能力0.005t/h</w:t>
                  </w:r>
                </w:p>
              </w:tc>
              <w:tc>
                <w:tcPr>
                  <w:tcW w:w="300" w:type="pct"/>
                  <w:noWrap w:val="0"/>
                  <w:vAlign w:val="center"/>
                </w:tcPr>
                <w:p w14:paraId="67DF505A">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0EFA420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w:t>
                  </w:r>
                </w:p>
              </w:tc>
              <w:tc>
                <w:tcPr>
                  <w:tcW w:w="274" w:type="pct"/>
                  <w:shd w:val="clear" w:color="auto" w:fill="auto"/>
                  <w:noWrap w:val="0"/>
                  <w:vAlign w:val="center"/>
                </w:tcPr>
                <w:p w14:paraId="22CFD95B">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5676033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3</w:t>
                  </w:r>
                </w:p>
              </w:tc>
              <w:tc>
                <w:tcPr>
                  <w:tcW w:w="697" w:type="pct"/>
                  <w:noWrap w:val="0"/>
                  <w:vAlign w:val="center"/>
                </w:tcPr>
                <w:p w14:paraId="04EB26C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6445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314" w:type="pct"/>
                  <w:shd w:val="clear" w:color="auto" w:fill="auto"/>
                  <w:noWrap w:val="0"/>
                  <w:vAlign w:val="center"/>
                </w:tcPr>
                <w:p w14:paraId="4DFACE0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Cs w:val="21"/>
                      <w:highlight w:val="none"/>
                    </w:rPr>
                    <w:t>4</w:t>
                  </w:r>
                </w:p>
              </w:tc>
              <w:tc>
                <w:tcPr>
                  <w:tcW w:w="700" w:type="pct"/>
                  <w:noWrap w:val="0"/>
                  <w:vAlign w:val="center"/>
                </w:tcPr>
                <w:p w14:paraId="6EB84B0C">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冷却塔</w:t>
                  </w:r>
                </w:p>
              </w:tc>
              <w:tc>
                <w:tcPr>
                  <w:tcW w:w="815" w:type="pct"/>
                  <w:noWrap w:val="0"/>
                  <w:vAlign w:val="center"/>
                </w:tcPr>
                <w:p w14:paraId="1551A33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40</w:t>
                  </w:r>
                  <w:r>
                    <w:rPr>
                      <w:rFonts w:hint="default" w:ascii="Times New Roman" w:hAnsi="Times New Roman" w:eastAsia="宋体" w:cs="Times New Roman"/>
                      <w:color w:val="auto"/>
                      <w:kern w:val="0"/>
                      <w:szCs w:val="21"/>
                      <w:highlight w:val="none"/>
                    </w:rPr>
                    <w:t>T</w:t>
                  </w:r>
                </w:p>
              </w:tc>
              <w:tc>
                <w:tcPr>
                  <w:tcW w:w="1211" w:type="pct"/>
                  <w:noWrap w:val="0"/>
                  <w:vAlign w:val="center"/>
                </w:tcPr>
                <w:p w14:paraId="5AC1DE3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循环水量40m</w:t>
                  </w:r>
                  <w:r>
                    <w:rPr>
                      <w:rFonts w:hint="eastAsia" w:cs="Times New Roman"/>
                      <w:color w:val="auto"/>
                      <w:kern w:val="0"/>
                      <w:szCs w:val="21"/>
                      <w:highlight w:val="none"/>
                      <w:vertAlign w:val="superscript"/>
                      <w:lang w:val="en-US" w:eastAsia="zh-CN"/>
                    </w:rPr>
                    <w:t>3</w:t>
                  </w:r>
                </w:p>
              </w:tc>
              <w:tc>
                <w:tcPr>
                  <w:tcW w:w="300" w:type="pct"/>
                  <w:noWrap w:val="0"/>
                  <w:vAlign w:val="center"/>
                </w:tcPr>
                <w:p w14:paraId="26A95116">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409C9EA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26DF764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306" w:type="pct"/>
                  <w:shd w:val="clear" w:color="auto" w:fill="auto"/>
                  <w:noWrap w:val="0"/>
                  <w:vAlign w:val="center"/>
                </w:tcPr>
                <w:p w14:paraId="2A24693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697" w:type="pct"/>
                  <w:noWrap w:val="0"/>
                  <w:vAlign w:val="center"/>
                </w:tcPr>
                <w:p w14:paraId="6F12BE0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现有1台设备拆除</w:t>
                  </w:r>
                </w:p>
              </w:tc>
            </w:tr>
            <w:tr w14:paraId="40FF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314" w:type="pct"/>
                  <w:shd w:val="clear" w:color="auto" w:fill="auto"/>
                  <w:noWrap w:val="0"/>
                  <w:vAlign w:val="center"/>
                </w:tcPr>
                <w:p w14:paraId="1A3BAFA8">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Cs w:val="21"/>
                      <w:highlight w:val="none"/>
                    </w:rPr>
                    <w:t>5</w:t>
                  </w:r>
                </w:p>
              </w:tc>
              <w:tc>
                <w:tcPr>
                  <w:tcW w:w="700" w:type="pct"/>
                  <w:noWrap w:val="0"/>
                  <w:vAlign w:val="center"/>
                </w:tcPr>
                <w:p w14:paraId="5814874F">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冷水机</w:t>
                  </w:r>
                </w:p>
              </w:tc>
              <w:tc>
                <w:tcPr>
                  <w:tcW w:w="815" w:type="pct"/>
                  <w:noWrap w:val="0"/>
                  <w:vAlign w:val="center"/>
                </w:tcPr>
                <w:p w14:paraId="784B67E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WD-5AC</w:t>
                  </w:r>
                </w:p>
              </w:tc>
              <w:tc>
                <w:tcPr>
                  <w:tcW w:w="1211" w:type="pct"/>
                  <w:noWrap w:val="0"/>
                  <w:vAlign w:val="center"/>
                </w:tcPr>
                <w:p w14:paraId="30189AA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功率10.1kw</w:t>
                  </w:r>
                </w:p>
              </w:tc>
              <w:tc>
                <w:tcPr>
                  <w:tcW w:w="300" w:type="pct"/>
                  <w:noWrap w:val="0"/>
                  <w:vAlign w:val="center"/>
                </w:tcPr>
                <w:p w14:paraId="2FA8BA8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18272192">
                  <w:pPr>
                    <w:keepNext w:val="0"/>
                    <w:keepLines w:val="0"/>
                    <w:suppressLineNumbers w:val="0"/>
                    <w:autoSpaceDE w:val="0"/>
                    <w:autoSpaceDN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274" w:type="pct"/>
                  <w:shd w:val="clear" w:color="auto" w:fill="auto"/>
                  <w:noWrap w:val="0"/>
                  <w:vAlign w:val="center"/>
                </w:tcPr>
                <w:p w14:paraId="3973C84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5A918FC2">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697" w:type="pct"/>
                  <w:noWrap w:val="0"/>
                  <w:vAlign w:val="center"/>
                </w:tcPr>
                <w:p w14:paraId="120BFBFE">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777C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314" w:type="pct"/>
                  <w:shd w:val="clear" w:color="auto" w:fill="auto"/>
                  <w:noWrap w:val="0"/>
                  <w:vAlign w:val="center"/>
                </w:tcPr>
                <w:p w14:paraId="28C79EA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6</w:t>
                  </w:r>
                </w:p>
              </w:tc>
              <w:tc>
                <w:tcPr>
                  <w:tcW w:w="700" w:type="pct"/>
                  <w:noWrap w:val="0"/>
                  <w:vAlign w:val="center"/>
                </w:tcPr>
                <w:p w14:paraId="277F0C1B">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攻丝机</w:t>
                  </w:r>
                </w:p>
              </w:tc>
              <w:tc>
                <w:tcPr>
                  <w:tcW w:w="815" w:type="pct"/>
                  <w:noWrap w:val="0"/>
                  <w:vAlign w:val="center"/>
                </w:tcPr>
                <w:p w14:paraId="4C18AA2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GT1-203</w:t>
                  </w:r>
                </w:p>
              </w:tc>
              <w:tc>
                <w:tcPr>
                  <w:tcW w:w="1211" w:type="pct"/>
                  <w:noWrap w:val="0"/>
                  <w:vAlign w:val="center"/>
                </w:tcPr>
                <w:p w14:paraId="62B4690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功率0.75kw</w:t>
                  </w:r>
                </w:p>
              </w:tc>
              <w:tc>
                <w:tcPr>
                  <w:tcW w:w="300" w:type="pct"/>
                  <w:noWrap w:val="0"/>
                  <w:vAlign w:val="center"/>
                </w:tcPr>
                <w:p w14:paraId="66D909C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1A8855BD">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5AEF9BE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5FEB5BAB">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697" w:type="pct"/>
                  <w:noWrap w:val="0"/>
                  <w:vAlign w:val="center"/>
                </w:tcPr>
                <w:p w14:paraId="25208F4F">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3973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314" w:type="pct"/>
                  <w:shd w:val="clear" w:color="auto" w:fill="auto"/>
                  <w:noWrap w:val="0"/>
                  <w:vAlign w:val="center"/>
                </w:tcPr>
                <w:p w14:paraId="79049D8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7</w:t>
                  </w:r>
                </w:p>
              </w:tc>
              <w:tc>
                <w:tcPr>
                  <w:tcW w:w="700" w:type="pct"/>
                  <w:noWrap w:val="0"/>
                  <w:vAlign w:val="center"/>
                </w:tcPr>
                <w:p w14:paraId="0F64D15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车床</w:t>
                  </w:r>
                </w:p>
              </w:tc>
              <w:tc>
                <w:tcPr>
                  <w:tcW w:w="815" w:type="pct"/>
                  <w:noWrap w:val="0"/>
                  <w:vAlign w:val="center"/>
                </w:tcPr>
                <w:p w14:paraId="50F85DF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CA6140</w:t>
                  </w:r>
                </w:p>
              </w:tc>
              <w:tc>
                <w:tcPr>
                  <w:tcW w:w="1211" w:type="pct"/>
                  <w:noWrap w:val="0"/>
                  <w:vAlign w:val="center"/>
                </w:tcPr>
                <w:p w14:paraId="51E5D91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功率4kw</w:t>
                  </w:r>
                </w:p>
              </w:tc>
              <w:tc>
                <w:tcPr>
                  <w:tcW w:w="300" w:type="pct"/>
                  <w:noWrap w:val="0"/>
                  <w:vAlign w:val="center"/>
                </w:tcPr>
                <w:p w14:paraId="3CE7A4D4">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14CA0177">
                  <w:pPr>
                    <w:keepNext w:val="0"/>
                    <w:keepLines w:val="0"/>
                    <w:suppressLineNumbers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274" w:type="pct"/>
                  <w:shd w:val="clear" w:color="auto" w:fill="auto"/>
                  <w:noWrap w:val="0"/>
                  <w:vAlign w:val="center"/>
                </w:tcPr>
                <w:p w14:paraId="0FF555F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3F29AB3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697" w:type="pct"/>
                  <w:noWrap w:val="0"/>
                  <w:vAlign w:val="center"/>
                </w:tcPr>
                <w:p w14:paraId="752A509D">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0632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314" w:type="pct"/>
                  <w:shd w:val="clear" w:color="auto" w:fill="auto"/>
                  <w:noWrap w:val="0"/>
                  <w:vAlign w:val="center"/>
                </w:tcPr>
                <w:p w14:paraId="706BE28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8</w:t>
                  </w:r>
                </w:p>
              </w:tc>
              <w:tc>
                <w:tcPr>
                  <w:tcW w:w="700" w:type="pct"/>
                  <w:noWrap w:val="0"/>
                  <w:vAlign w:val="center"/>
                </w:tcPr>
                <w:p w14:paraId="6BB940BC">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铣床</w:t>
                  </w:r>
                </w:p>
              </w:tc>
              <w:tc>
                <w:tcPr>
                  <w:tcW w:w="815" w:type="pct"/>
                  <w:noWrap w:val="0"/>
                  <w:vAlign w:val="center"/>
                </w:tcPr>
                <w:p w14:paraId="2B179A5A">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X63</w:t>
                  </w:r>
                  <w:r>
                    <w:rPr>
                      <w:rFonts w:hint="default" w:ascii="Times New Roman" w:hAnsi="Times New Roman" w:eastAsia="宋体" w:cs="Times New Roman"/>
                      <w:color w:val="auto"/>
                      <w:kern w:val="0"/>
                      <w:szCs w:val="21"/>
                      <w:highlight w:val="none"/>
                      <w:lang w:val="en-US" w:eastAsia="zh-CN"/>
                    </w:rPr>
                    <w:t>25</w:t>
                  </w:r>
                </w:p>
              </w:tc>
              <w:tc>
                <w:tcPr>
                  <w:tcW w:w="1211" w:type="pct"/>
                  <w:noWrap w:val="0"/>
                  <w:vAlign w:val="center"/>
                </w:tcPr>
                <w:p w14:paraId="3041C76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功率2.2kw</w:t>
                  </w:r>
                </w:p>
              </w:tc>
              <w:tc>
                <w:tcPr>
                  <w:tcW w:w="300" w:type="pct"/>
                  <w:noWrap w:val="0"/>
                  <w:vAlign w:val="center"/>
                </w:tcPr>
                <w:p w14:paraId="339D86B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456AEE3A">
                  <w:pPr>
                    <w:keepNext w:val="0"/>
                    <w:keepLines w:val="0"/>
                    <w:suppressLineNumbers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274" w:type="pct"/>
                  <w:shd w:val="clear" w:color="auto" w:fill="auto"/>
                  <w:noWrap w:val="0"/>
                  <w:vAlign w:val="center"/>
                </w:tcPr>
                <w:p w14:paraId="6D92F15E">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425621F6">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697" w:type="pct"/>
                  <w:noWrap w:val="0"/>
                  <w:vAlign w:val="center"/>
                </w:tcPr>
                <w:p w14:paraId="1621B13D">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7910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06A1830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9</w:t>
                  </w:r>
                </w:p>
              </w:tc>
              <w:tc>
                <w:tcPr>
                  <w:tcW w:w="700" w:type="pct"/>
                  <w:noWrap w:val="0"/>
                  <w:vAlign w:val="center"/>
                </w:tcPr>
                <w:p w14:paraId="665519FD">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钻床</w:t>
                  </w:r>
                </w:p>
              </w:tc>
              <w:tc>
                <w:tcPr>
                  <w:tcW w:w="815" w:type="pct"/>
                  <w:noWrap w:val="0"/>
                  <w:vAlign w:val="center"/>
                </w:tcPr>
                <w:p w14:paraId="0C61EB52">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Z</w:t>
                  </w:r>
                  <w:r>
                    <w:rPr>
                      <w:rFonts w:hint="default" w:ascii="Times New Roman" w:hAnsi="Times New Roman" w:eastAsia="宋体" w:cs="Times New Roman"/>
                      <w:color w:val="auto"/>
                      <w:kern w:val="0"/>
                      <w:szCs w:val="21"/>
                      <w:highlight w:val="none"/>
                      <w:lang w:val="en-US" w:eastAsia="zh-CN"/>
                    </w:rPr>
                    <w:t>516</w:t>
                  </w:r>
                </w:p>
              </w:tc>
              <w:tc>
                <w:tcPr>
                  <w:tcW w:w="1211" w:type="pct"/>
                  <w:noWrap w:val="0"/>
                  <w:vAlign w:val="center"/>
                </w:tcPr>
                <w:p w14:paraId="360B702B">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功率0.8kw</w:t>
                  </w:r>
                </w:p>
              </w:tc>
              <w:tc>
                <w:tcPr>
                  <w:tcW w:w="300" w:type="pct"/>
                  <w:noWrap w:val="0"/>
                  <w:vAlign w:val="center"/>
                </w:tcPr>
                <w:p w14:paraId="7F5EBD2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55DCB5B3">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3</w:t>
                  </w:r>
                </w:p>
              </w:tc>
              <w:tc>
                <w:tcPr>
                  <w:tcW w:w="274" w:type="pct"/>
                  <w:shd w:val="clear" w:color="auto" w:fill="auto"/>
                  <w:noWrap w:val="0"/>
                  <w:vAlign w:val="center"/>
                </w:tcPr>
                <w:p w14:paraId="18CEFCE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44815AB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3</w:t>
                  </w:r>
                </w:p>
              </w:tc>
              <w:tc>
                <w:tcPr>
                  <w:tcW w:w="697" w:type="pct"/>
                  <w:noWrap w:val="0"/>
                  <w:vAlign w:val="center"/>
                </w:tcPr>
                <w:p w14:paraId="47A2480A">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2BE5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7E9F1956">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10</w:t>
                  </w:r>
                </w:p>
              </w:tc>
              <w:tc>
                <w:tcPr>
                  <w:tcW w:w="700" w:type="pct"/>
                  <w:noWrap w:val="0"/>
                  <w:vAlign w:val="center"/>
                </w:tcPr>
                <w:p w14:paraId="49FA2AED">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磨床</w:t>
                  </w:r>
                </w:p>
              </w:tc>
              <w:tc>
                <w:tcPr>
                  <w:tcW w:w="815" w:type="pct"/>
                  <w:noWrap w:val="0"/>
                  <w:vAlign w:val="center"/>
                </w:tcPr>
                <w:p w14:paraId="5832625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M250</w:t>
                  </w:r>
                </w:p>
              </w:tc>
              <w:tc>
                <w:tcPr>
                  <w:tcW w:w="1211" w:type="pct"/>
                  <w:noWrap w:val="0"/>
                  <w:vAlign w:val="center"/>
                </w:tcPr>
                <w:p w14:paraId="6808DAD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功率1.1kw</w:t>
                  </w:r>
                </w:p>
              </w:tc>
              <w:tc>
                <w:tcPr>
                  <w:tcW w:w="300" w:type="pct"/>
                  <w:noWrap w:val="0"/>
                  <w:vAlign w:val="center"/>
                </w:tcPr>
                <w:p w14:paraId="04A019D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2ABBAE8B">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1D58267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46467F3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697" w:type="pct"/>
                  <w:noWrap w:val="0"/>
                  <w:vAlign w:val="center"/>
                </w:tcPr>
                <w:p w14:paraId="13683D80">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332C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520D634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11</w:t>
                  </w:r>
                </w:p>
              </w:tc>
              <w:tc>
                <w:tcPr>
                  <w:tcW w:w="700" w:type="pct"/>
                  <w:noWrap w:val="0"/>
                  <w:vAlign w:val="center"/>
                </w:tcPr>
                <w:p w14:paraId="2EC06D9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线切割</w:t>
                  </w:r>
                </w:p>
              </w:tc>
              <w:tc>
                <w:tcPr>
                  <w:tcW w:w="815" w:type="pct"/>
                  <w:noWrap w:val="0"/>
                  <w:vAlign w:val="center"/>
                </w:tcPr>
                <w:p w14:paraId="71BA904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DK77</w:t>
                  </w:r>
                  <w:r>
                    <w:rPr>
                      <w:rFonts w:hint="default" w:ascii="Times New Roman" w:hAnsi="Times New Roman" w:eastAsia="宋体" w:cs="Times New Roman"/>
                      <w:color w:val="auto"/>
                      <w:kern w:val="0"/>
                      <w:szCs w:val="21"/>
                      <w:highlight w:val="none"/>
                      <w:lang w:val="en-US" w:eastAsia="zh-CN"/>
                    </w:rPr>
                    <w:t>35</w:t>
                  </w:r>
                </w:p>
              </w:tc>
              <w:tc>
                <w:tcPr>
                  <w:tcW w:w="1211" w:type="pct"/>
                  <w:noWrap w:val="0"/>
                  <w:vAlign w:val="center"/>
                </w:tcPr>
                <w:p w14:paraId="314E31CE">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功率0.37kw</w:t>
                  </w:r>
                </w:p>
              </w:tc>
              <w:tc>
                <w:tcPr>
                  <w:tcW w:w="300" w:type="pct"/>
                  <w:noWrap w:val="0"/>
                  <w:vAlign w:val="center"/>
                </w:tcPr>
                <w:p w14:paraId="676C39C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4D55987F">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0E50B5E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5B632C3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697" w:type="pct"/>
                  <w:noWrap w:val="0"/>
                  <w:vAlign w:val="center"/>
                </w:tcPr>
                <w:p w14:paraId="48F475EC">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1629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2E4565F0">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12</w:t>
                  </w:r>
                </w:p>
              </w:tc>
              <w:tc>
                <w:tcPr>
                  <w:tcW w:w="700" w:type="pct"/>
                  <w:noWrap w:val="0"/>
                  <w:vAlign w:val="center"/>
                </w:tcPr>
                <w:p w14:paraId="425A258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气泵</w:t>
                  </w:r>
                </w:p>
              </w:tc>
              <w:tc>
                <w:tcPr>
                  <w:tcW w:w="815" w:type="pct"/>
                  <w:noWrap w:val="0"/>
                  <w:vAlign w:val="center"/>
                </w:tcPr>
                <w:p w14:paraId="7A7E351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XR7.5A-8</w:t>
                  </w:r>
                </w:p>
              </w:tc>
              <w:tc>
                <w:tcPr>
                  <w:tcW w:w="1211" w:type="pct"/>
                  <w:noWrap w:val="0"/>
                  <w:vAlign w:val="center"/>
                </w:tcPr>
                <w:p w14:paraId="4086456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功率2.8kw</w:t>
                  </w:r>
                </w:p>
              </w:tc>
              <w:tc>
                <w:tcPr>
                  <w:tcW w:w="300" w:type="pct"/>
                  <w:noWrap w:val="0"/>
                  <w:vAlign w:val="center"/>
                </w:tcPr>
                <w:p w14:paraId="04A2F0D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54016B33">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71F772D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306" w:type="pct"/>
                  <w:shd w:val="clear" w:color="auto" w:fill="auto"/>
                  <w:noWrap w:val="0"/>
                  <w:vAlign w:val="center"/>
                </w:tcPr>
                <w:p w14:paraId="4B1C4527">
                  <w:pPr>
                    <w:keepNext w:val="0"/>
                    <w:keepLines w:val="0"/>
                    <w:suppressLineNumbers w:val="0"/>
                    <w:autoSpaceDE w:val="0"/>
                    <w:autoSpaceDN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697" w:type="pct"/>
                  <w:noWrap w:val="0"/>
                  <w:vAlign w:val="center"/>
                </w:tcPr>
                <w:p w14:paraId="6D5B577E">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1台利旧</w:t>
                  </w:r>
                </w:p>
              </w:tc>
            </w:tr>
            <w:tr w14:paraId="695C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314" w:type="pct"/>
                  <w:shd w:val="clear" w:color="auto" w:fill="auto"/>
                  <w:noWrap w:val="0"/>
                  <w:vAlign w:val="center"/>
                </w:tcPr>
                <w:p w14:paraId="276F249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13</w:t>
                  </w:r>
                </w:p>
              </w:tc>
              <w:tc>
                <w:tcPr>
                  <w:tcW w:w="700" w:type="pct"/>
                  <w:noWrap w:val="0"/>
                  <w:vAlign w:val="center"/>
                </w:tcPr>
                <w:p w14:paraId="5BEA7F94">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模具维修设备</w:t>
                  </w:r>
                </w:p>
              </w:tc>
              <w:tc>
                <w:tcPr>
                  <w:tcW w:w="815" w:type="pct"/>
                  <w:noWrap w:val="0"/>
                  <w:vAlign w:val="center"/>
                </w:tcPr>
                <w:p w14:paraId="0626E93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ZNC430</w:t>
                  </w:r>
                </w:p>
              </w:tc>
              <w:tc>
                <w:tcPr>
                  <w:tcW w:w="1211" w:type="pct"/>
                  <w:noWrap w:val="0"/>
                  <w:vAlign w:val="center"/>
                </w:tcPr>
                <w:p w14:paraId="30962B1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Cs w:val="21"/>
                      <w:highlight w:val="none"/>
                      <w:lang w:val="en-US" w:eastAsia="zh-CN"/>
                    </w:rPr>
                    <w:t>功率1.2kw</w:t>
                  </w:r>
                </w:p>
              </w:tc>
              <w:tc>
                <w:tcPr>
                  <w:tcW w:w="300" w:type="pct"/>
                  <w:noWrap w:val="0"/>
                  <w:vAlign w:val="center"/>
                </w:tcPr>
                <w:p w14:paraId="1E1E62AE">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380" w:type="pct"/>
                  <w:noWrap w:val="0"/>
                  <w:vAlign w:val="center"/>
                </w:tcPr>
                <w:p w14:paraId="34F4BB79">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w:t>
                  </w:r>
                </w:p>
              </w:tc>
              <w:tc>
                <w:tcPr>
                  <w:tcW w:w="274" w:type="pct"/>
                  <w:shd w:val="clear" w:color="auto" w:fill="auto"/>
                  <w:noWrap w:val="0"/>
                  <w:vAlign w:val="center"/>
                </w:tcPr>
                <w:p w14:paraId="0CD34E8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38F5C07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w:t>
                  </w:r>
                </w:p>
              </w:tc>
              <w:tc>
                <w:tcPr>
                  <w:tcW w:w="697" w:type="pct"/>
                  <w:noWrap w:val="0"/>
                  <w:vAlign w:val="center"/>
                </w:tcPr>
                <w:p w14:paraId="5A59369B">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5694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152FF32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14</w:t>
                  </w:r>
                </w:p>
              </w:tc>
              <w:tc>
                <w:tcPr>
                  <w:tcW w:w="700" w:type="pct"/>
                  <w:noWrap w:val="0"/>
                  <w:vAlign w:val="center"/>
                </w:tcPr>
                <w:p w14:paraId="4F6CC25A">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815" w:type="pct"/>
                  <w:noWrap w:val="0"/>
                  <w:vAlign w:val="center"/>
                </w:tcPr>
                <w:p w14:paraId="72EA57B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JC16T</w:t>
                  </w:r>
                </w:p>
              </w:tc>
              <w:tc>
                <w:tcPr>
                  <w:tcW w:w="1211" w:type="pct"/>
                  <w:noWrap w:val="0"/>
                  <w:vAlign w:val="center"/>
                </w:tcPr>
                <w:p w14:paraId="1F87A9A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功率2.2kw</w:t>
                  </w:r>
                </w:p>
              </w:tc>
              <w:tc>
                <w:tcPr>
                  <w:tcW w:w="300" w:type="pct"/>
                  <w:noWrap w:val="0"/>
                  <w:vAlign w:val="center"/>
                </w:tcPr>
                <w:p w14:paraId="4CAB8CE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198350A9">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4</w:t>
                  </w:r>
                </w:p>
              </w:tc>
              <w:tc>
                <w:tcPr>
                  <w:tcW w:w="274" w:type="pct"/>
                  <w:shd w:val="clear" w:color="auto" w:fill="auto"/>
                  <w:noWrap w:val="0"/>
                  <w:vAlign w:val="center"/>
                </w:tcPr>
                <w:p w14:paraId="264BC623">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5FB526C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4</w:t>
                  </w:r>
                </w:p>
              </w:tc>
              <w:tc>
                <w:tcPr>
                  <w:tcW w:w="697" w:type="pct"/>
                  <w:noWrap w:val="0"/>
                  <w:vAlign w:val="center"/>
                </w:tcPr>
                <w:p w14:paraId="783BC9E7">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利旧</w:t>
                  </w:r>
                </w:p>
              </w:tc>
            </w:tr>
            <w:tr w14:paraId="7AF6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 w:type="pct"/>
                  <w:shd w:val="clear" w:color="auto" w:fill="auto"/>
                  <w:noWrap w:val="0"/>
                  <w:vAlign w:val="center"/>
                </w:tcPr>
                <w:p w14:paraId="190916E2">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15</w:t>
                  </w:r>
                </w:p>
              </w:tc>
              <w:tc>
                <w:tcPr>
                  <w:tcW w:w="700" w:type="pct"/>
                  <w:noWrap w:val="0"/>
                  <w:vAlign w:val="center"/>
                </w:tcPr>
                <w:p w14:paraId="7E1FC774">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剪板机</w:t>
                  </w:r>
                </w:p>
              </w:tc>
              <w:tc>
                <w:tcPr>
                  <w:tcW w:w="815" w:type="pct"/>
                  <w:noWrap w:val="0"/>
                  <w:vAlign w:val="center"/>
                </w:tcPr>
                <w:p w14:paraId="7F63C34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Q</w:t>
                  </w:r>
                  <w:r>
                    <w:rPr>
                      <w:rFonts w:hint="default" w:ascii="Times New Roman" w:hAnsi="Times New Roman" w:eastAsia="宋体" w:cs="Times New Roman"/>
                      <w:color w:val="auto"/>
                      <w:kern w:val="0"/>
                      <w:szCs w:val="21"/>
                      <w:highlight w:val="none"/>
                      <w:lang w:val="en-US" w:eastAsia="zh-CN"/>
                    </w:rPr>
                    <w:t>11-2X15</w:t>
                  </w:r>
                  <w:r>
                    <w:rPr>
                      <w:rFonts w:hint="default" w:ascii="Times New Roman" w:hAnsi="Times New Roman" w:eastAsia="宋体" w:cs="Times New Roman"/>
                      <w:color w:val="auto"/>
                      <w:kern w:val="0"/>
                      <w:szCs w:val="21"/>
                      <w:highlight w:val="none"/>
                    </w:rPr>
                    <w:t>00</w:t>
                  </w:r>
                </w:p>
              </w:tc>
              <w:tc>
                <w:tcPr>
                  <w:tcW w:w="1211" w:type="pct"/>
                  <w:noWrap w:val="0"/>
                  <w:vAlign w:val="center"/>
                </w:tcPr>
                <w:p w14:paraId="3E87E0D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功率3kw</w:t>
                  </w:r>
                </w:p>
              </w:tc>
              <w:tc>
                <w:tcPr>
                  <w:tcW w:w="300" w:type="pct"/>
                  <w:noWrap w:val="0"/>
                  <w:vAlign w:val="center"/>
                </w:tcPr>
                <w:p w14:paraId="50C52D2E">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75750EC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274" w:type="pct"/>
                  <w:shd w:val="clear" w:color="auto" w:fill="auto"/>
                  <w:noWrap w:val="0"/>
                  <w:vAlign w:val="center"/>
                </w:tcPr>
                <w:p w14:paraId="794D652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306" w:type="pct"/>
                  <w:shd w:val="clear" w:color="auto" w:fill="auto"/>
                  <w:noWrap w:val="0"/>
                  <w:vAlign w:val="center"/>
                </w:tcPr>
                <w:p w14:paraId="686CAD9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697" w:type="pct"/>
                  <w:noWrap w:val="0"/>
                  <w:vAlign w:val="center"/>
                </w:tcPr>
                <w:p w14:paraId="6DF875FD">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利旧</w:t>
                  </w:r>
                </w:p>
              </w:tc>
            </w:tr>
            <w:tr w14:paraId="7623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314" w:type="pct"/>
                  <w:shd w:val="clear" w:color="auto" w:fill="auto"/>
                  <w:noWrap w:val="0"/>
                  <w:vAlign w:val="center"/>
                </w:tcPr>
                <w:p w14:paraId="6090726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16</w:t>
                  </w:r>
                </w:p>
              </w:tc>
              <w:tc>
                <w:tcPr>
                  <w:tcW w:w="700" w:type="pct"/>
                  <w:noWrap w:val="0"/>
                  <w:vAlign w:val="center"/>
                </w:tcPr>
                <w:p w14:paraId="4ABE1A2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精密逆变电阻焊</w:t>
                  </w:r>
                </w:p>
              </w:tc>
              <w:tc>
                <w:tcPr>
                  <w:tcW w:w="815" w:type="pct"/>
                  <w:noWrap w:val="0"/>
                  <w:vAlign w:val="center"/>
                </w:tcPr>
                <w:p w14:paraId="740E308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MFC-007</w:t>
                  </w:r>
                </w:p>
              </w:tc>
              <w:tc>
                <w:tcPr>
                  <w:tcW w:w="1211" w:type="pct"/>
                  <w:noWrap w:val="0"/>
                  <w:vAlign w:val="center"/>
                </w:tcPr>
                <w:p w14:paraId="00E876A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功率16kw</w:t>
                  </w:r>
                </w:p>
              </w:tc>
              <w:tc>
                <w:tcPr>
                  <w:tcW w:w="300" w:type="pct"/>
                  <w:noWrap w:val="0"/>
                  <w:vAlign w:val="center"/>
                </w:tcPr>
                <w:p w14:paraId="348FA4E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380" w:type="pct"/>
                  <w:noWrap w:val="0"/>
                  <w:vAlign w:val="center"/>
                </w:tcPr>
                <w:p w14:paraId="2027D514">
                  <w:pPr>
                    <w:keepNext w:val="0"/>
                    <w:keepLines w:val="0"/>
                    <w:suppressLineNumbers w:val="0"/>
                    <w:autoSpaceDE w:val="0"/>
                    <w:autoSpaceDN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w:t>
                  </w:r>
                </w:p>
              </w:tc>
              <w:tc>
                <w:tcPr>
                  <w:tcW w:w="274" w:type="pct"/>
                  <w:shd w:val="clear" w:color="auto" w:fill="auto"/>
                  <w:noWrap w:val="0"/>
                  <w:vAlign w:val="center"/>
                </w:tcPr>
                <w:p w14:paraId="1482CC0E">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306" w:type="pct"/>
                  <w:shd w:val="clear" w:color="auto" w:fill="auto"/>
                  <w:noWrap w:val="0"/>
                  <w:vAlign w:val="center"/>
                </w:tcPr>
                <w:p w14:paraId="76090B70">
                  <w:pPr>
                    <w:keepNext w:val="0"/>
                    <w:keepLines w:val="0"/>
                    <w:suppressLineNumbers w:val="0"/>
                    <w:autoSpaceDE w:val="0"/>
                    <w:autoSpaceDN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697" w:type="pct"/>
                  <w:noWrap w:val="0"/>
                  <w:vAlign w:val="center"/>
                </w:tcPr>
                <w:p w14:paraId="2B5FAD6F">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新增</w:t>
                  </w:r>
                  <w:r>
                    <w:rPr>
                      <w:rFonts w:hint="eastAsia"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lang w:val="en-US" w:eastAsia="zh-CN"/>
                    </w:rPr>
                    <w:t>台</w:t>
                  </w:r>
                </w:p>
              </w:tc>
            </w:tr>
          </w:tbl>
          <w:p w14:paraId="31E828E2">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5、原辅材料及能源消耗</w:t>
            </w:r>
          </w:p>
          <w:p w14:paraId="1A8EE28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项目主要原辅材料及能耗消耗变化清单见表2-4。</w:t>
            </w:r>
          </w:p>
          <w:p w14:paraId="5C00D174">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表2-</w:t>
            </w:r>
            <w:r>
              <w:rPr>
                <w:rFonts w:hint="eastAsia" w:cs="Times New Roman"/>
                <w:smallCaps w:val="0"/>
                <w:color w:val="auto"/>
                <w:spacing w:val="0"/>
                <w:highlight w:val="none"/>
                <w:lang w:val="en-US" w:eastAsia="zh-CN"/>
              </w:rPr>
              <w:t>4</w:t>
            </w:r>
            <w:r>
              <w:rPr>
                <w:rFonts w:hint="default" w:ascii="Times New Roman" w:hAnsi="Times New Roman" w:cs="Times New Roman"/>
                <w:smallCaps w:val="0"/>
                <w:color w:val="auto"/>
                <w:spacing w:val="0"/>
                <w:highlight w:val="none"/>
              </w:rPr>
              <w:t xml:space="preserve">    </w:t>
            </w:r>
            <w:r>
              <w:rPr>
                <w:rFonts w:hint="eastAsia" w:cs="Times New Roman"/>
                <w:smallCaps w:val="0"/>
                <w:color w:val="auto"/>
                <w:spacing w:val="0"/>
                <w:highlight w:val="none"/>
                <w:lang w:val="en-US" w:eastAsia="zh-CN"/>
              </w:rPr>
              <w:t>项目</w:t>
            </w:r>
            <w:r>
              <w:rPr>
                <w:rFonts w:hint="default" w:ascii="Times New Roman" w:hAnsi="Times New Roman" w:cs="Times New Roman"/>
                <w:smallCaps w:val="0"/>
                <w:color w:val="auto"/>
                <w:spacing w:val="0"/>
                <w:highlight w:val="none"/>
              </w:rPr>
              <w:t>主要原辅材料及能源消耗清单</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875"/>
              <w:gridCol w:w="875"/>
              <w:gridCol w:w="875"/>
              <w:gridCol w:w="1072"/>
              <w:gridCol w:w="714"/>
              <w:gridCol w:w="697"/>
              <w:gridCol w:w="1574"/>
            </w:tblGrid>
            <w:tr w14:paraId="4DCA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03" w:type="pct"/>
                  <w:vMerge w:val="restart"/>
                  <w:noWrap w:val="0"/>
                  <w:vAlign w:val="center"/>
                </w:tcPr>
                <w:p w14:paraId="332D04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原辅材料名称</w:t>
                  </w:r>
                </w:p>
              </w:tc>
              <w:tc>
                <w:tcPr>
                  <w:tcW w:w="2266" w:type="pct"/>
                  <w:gridSpan w:val="4"/>
                  <w:noWrap w:val="0"/>
                  <w:vAlign w:val="center"/>
                </w:tcPr>
                <w:p w14:paraId="46C555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年消耗量</w:t>
                  </w:r>
                </w:p>
              </w:tc>
              <w:tc>
                <w:tcPr>
                  <w:tcW w:w="437" w:type="pct"/>
                  <w:vMerge w:val="restart"/>
                  <w:noWrap w:val="0"/>
                  <w:vAlign w:val="center"/>
                </w:tcPr>
                <w:p w14:paraId="4110FF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单位</w:t>
                  </w:r>
                </w:p>
              </w:tc>
              <w:tc>
                <w:tcPr>
                  <w:tcW w:w="427" w:type="pct"/>
                  <w:vMerge w:val="restart"/>
                  <w:noWrap w:val="0"/>
                  <w:vAlign w:val="center"/>
                </w:tcPr>
                <w:p w14:paraId="2FDF3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最大暂存量</w:t>
                  </w:r>
                </w:p>
              </w:tc>
              <w:tc>
                <w:tcPr>
                  <w:tcW w:w="964" w:type="pct"/>
                  <w:vMerge w:val="restart"/>
                  <w:noWrap w:val="0"/>
                  <w:vAlign w:val="center"/>
                </w:tcPr>
                <w:p w14:paraId="79DAF2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备注</w:t>
                  </w:r>
                </w:p>
              </w:tc>
            </w:tr>
            <w:tr w14:paraId="734A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03" w:type="pct"/>
                  <w:vMerge w:val="continue"/>
                  <w:noWrap w:val="0"/>
                  <w:vAlign w:val="center"/>
                </w:tcPr>
                <w:p w14:paraId="2A00CD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p>
              </w:tc>
              <w:tc>
                <w:tcPr>
                  <w:tcW w:w="536" w:type="pct"/>
                  <w:noWrap w:val="0"/>
                  <w:vAlign w:val="center"/>
                </w:tcPr>
                <w:p w14:paraId="420324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现有工程</w:t>
                  </w:r>
                </w:p>
              </w:tc>
              <w:tc>
                <w:tcPr>
                  <w:tcW w:w="536" w:type="pct"/>
                  <w:noWrap w:val="0"/>
                  <w:vAlign w:val="center"/>
                </w:tcPr>
                <w:p w14:paraId="250340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新增</w:t>
                  </w:r>
                </w:p>
              </w:tc>
              <w:tc>
                <w:tcPr>
                  <w:tcW w:w="536" w:type="pct"/>
                  <w:noWrap w:val="0"/>
                  <w:vAlign w:val="center"/>
                </w:tcPr>
                <w:p w14:paraId="5E3998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改扩建完成后全厂</w:t>
                  </w:r>
                </w:p>
              </w:tc>
              <w:tc>
                <w:tcPr>
                  <w:tcW w:w="657" w:type="pct"/>
                  <w:noWrap w:val="0"/>
                  <w:vAlign w:val="center"/>
                </w:tcPr>
                <w:p w14:paraId="22D728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变化量</w:t>
                  </w:r>
                </w:p>
              </w:tc>
              <w:tc>
                <w:tcPr>
                  <w:tcW w:w="437" w:type="pct"/>
                  <w:vMerge w:val="continue"/>
                  <w:noWrap w:val="0"/>
                  <w:vAlign w:val="center"/>
                </w:tcPr>
                <w:p w14:paraId="585DCE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p>
              </w:tc>
              <w:tc>
                <w:tcPr>
                  <w:tcW w:w="427" w:type="pct"/>
                  <w:vMerge w:val="continue"/>
                  <w:noWrap w:val="0"/>
                  <w:vAlign w:val="center"/>
                </w:tcPr>
                <w:p w14:paraId="51A682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p>
              </w:tc>
              <w:tc>
                <w:tcPr>
                  <w:tcW w:w="964" w:type="pct"/>
                  <w:vMerge w:val="continue"/>
                  <w:noWrap w:val="0"/>
                  <w:vAlign w:val="center"/>
                </w:tcPr>
                <w:p w14:paraId="396603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p>
              </w:tc>
            </w:tr>
            <w:tr w14:paraId="0D95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1E87B1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highlight w:val="none"/>
                      <w:lang w:val="en-US" w:eastAsia="zh-CN" w:bidi="ar-SA"/>
                    </w:rPr>
                  </w:pPr>
                  <w:r>
                    <w:rPr>
                      <w:rFonts w:hint="default" w:hAnsi="宋体"/>
                      <w:color w:val="auto"/>
                      <w:szCs w:val="20"/>
                      <w:highlight w:val="none"/>
                    </w:rPr>
                    <w:t>热塑性聚氨酯弹性树脂</w:t>
                  </w:r>
                </w:p>
              </w:tc>
              <w:tc>
                <w:tcPr>
                  <w:tcW w:w="536" w:type="pct"/>
                  <w:shd w:val="clear" w:color="auto" w:fill="auto"/>
                  <w:noWrap w:val="0"/>
                  <w:vAlign w:val="center"/>
                </w:tcPr>
                <w:p w14:paraId="0FD83482">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80</w:t>
                  </w:r>
                </w:p>
              </w:tc>
              <w:tc>
                <w:tcPr>
                  <w:tcW w:w="536" w:type="pct"/>
                  <w:noWrap w:val="0"/>
                  <w:vAlign w:val="center"/>
                </w:tcPr>
                <w:p w14:paraId="21B30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56E36B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57" w:type="pct"/>
                  <w:shd w:val="clear" w:color="auto" w:fill="auto"/>
                  <w:noWrap w:val="0"/>
                  <w:vAlign w:val="center"/>
                </w:tcPr>
                <w:p w14:paraId="479A5DE4">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437" w:type="pct"/>
                  <w:noWrap w:val="0"/>
                  <w:vAlign w:val="center"/>
                </w:tcPr>
                <w:p w14:paraId="756F02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5E724C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64" w:type="pct"/>
                  <w:noWrap w:val="0"/>
                  <w:vAlign w:val="center"/>
                </w:tcPr>
                <w:p w14:paraId="05E360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r>
            <w:tr w14:paraId="229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727270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highlight w:val="none"/>
                      <w:lang w:val="en-US" w:eastAsia="zh-CN" w:bidi="ar-SA"/>
                    </w:rPr>
                  </w:pPr>
                  <w:r>
                    <w:rPr>
                      <w:rFonts w:hint="default" w:hAnsi="宋体"/>
                      <w:color w:val="auto"/>
                      <w:szCs w:val="20"/>
                      <w:highlight w:val="none"/>
                    </w:rPr>
                    <w:t>尼龙粒子</w:t>
                  </w:r>
                </w:p>
              </w:tc>
              <w:tc>
                <w:tcPr>
                  <w:tcW w:w="536" w:type="pct"/>
                  <w:shd w:val="clear" w:color="auto" w:fill="auto"/>
                  <w:noWrap w:val="0"/>
                  <w:vAlign w:val="center"/>
                </w:tcPr>
                <w:p w14:paraId="6873C482">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55</w:t>
                  </w:r>
                </w:p>
              </w:tc>
              <w:tc>
                <w:tcPr>
                  <w:tcW w:w="536" w:type="pct"/>
                  <w:noWrap w:val="0"/>
                  <w:vAlign w:val="center"/>
                </w:tcPr>
                <w:p w14:paraId="533E5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15.613</w:t>
                  </w:r>
                </w:p>
              </w:tc>
              <w:tc>
                <w:tcPr>
                  <w:tcW w:w="536" w:type="pct"/>
                  <w:shd w:val="clear" w:color="auto" w:fill="auto"/>
                  <w:noWrap w:val="0"/>
                  <w:vAlign w:val="center"/>
                </w:tcPr>
                <w:p w14:paraId="1C944C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70.613</w:t>
                  </w:r>
                </w:p>
              </w:tc>
              <w:tc>
                <w:tcPr>
                  <w:tcW w:w="657" w:type="pct"/>
                  <w:shd w:val="clear" w:color="auto" w:fill="auto"/>
                  <w:noWrap w:val="0"/>
                  <w:vAlign w:val="center"/>
                </w:tcPr>
                <w:p w14:paraId="176821FB">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+15.613</w:t>
                  </w:r>
                </w:p>
              </w:tc>
              <w:tc>
                <w:tcPr>
                  <w:tcW w:w="437" w:type="pct"/>
                  <w:noWrap w:val="0"/>
                  <w:vAlign w:val="center"/>
                </w:tcPr>
                <w:p w14:paraId="554DE4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07E515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6</w:t>
                  </w:r>
                </w:p>
              </w:tc>
              <w:tc>
                <w:tcPr>
                  <w:tcW w:w="964" w:type="pct"/>
                  <w:noWrap w:val="0"/>
                  <w:vAlign w:val="center"/>
                </w:tcPr>
                <w:p w14:paraId="36B1D3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25kg/袋</w:t>
                  </w:r>
                </w:p>
              </w:tc>
            </w:tr>
            <w:tr w14:paraId="69AD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5E514FFC">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色母颗粒</w:t>
                  </w:r>
                </w:p>
              </w:tc>
              <w:tc>
                <w:tcPr>
                  <w:tcW w:w="536" w:type="pct"/>
                  <w:shd w:val="clear" w:color="auto" w:fill="auto"/>
                  <w:noWrap w:val="0"/>
                  <w:vAlign w:val="center"/>
                </w:tcPr>
                <w:p w14:paraId="44498CB5">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2</w:t>
                  </w:r>
                </w:p>
              </w:tc>
              <w:tc>
                <w:tcPr>
                  <w:tcW w:w="536" w:type="pct"/>
                  <w:noWrap w:val="0"/>
                  <w:vAlign w:val="center"/>
                </w:tcPr>
                <w:p w14:paraId="36A93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2AA4C0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57" w:type="pct"/>
                  <w:shd w:val="clear" w:color="auto" w:fill="auto"/>
                  <w:noWrap w:val="0"/>
                  <w:vAlign w:val="center"/>
                </w:tcPr>
                <w:p w14:paraId="08B75844">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37" w:type="pct"/>
                  <w:noWrap w:val="0"/>
                  <w:vAlign w:val="center"/>
                </w:tcPr>
                <w:p w14:paraId="6EC768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629C2F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64" w:type="pct"/>
                  <w:noWrap w:val="0"/>
                  <w:vAlign w:val="center"/>
                </w:tcPr>
                <w:p w14:paraId="382BE7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r>
            <w:tr w14:paraId="763D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209DDBC9">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切削液</w:t>
                  </w:r>
                </w:p>
              </w:tc>
              <w:tc>
                <w:tcPr>
                  <w:tcW w:w="536" w:type="pct"/>
                  <w:shd w:val="clear" w:color="auto" w:fill="auto"/>
                  <w:noWrap w:val="0"/>
                  <w:vAlign w:val="center"/>
                </w:tcPr>
                <w:p w14:paraId="45B36CA2">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20</w:t>
                  </w:r>
                  <w:r>
                    <w:rPr>
                      <w:rFonts w:hint="eastAsia" w:hAnsi="宋体"/>
                      <w:color w:val="auto"/>
                      <w:szCs w:val="20"/>
                      <w:highlight w:val="none"/>
                      <w:lang w:val="en-US" w:eastAsia="zh-CN"/>
                    </w:rPr>
                    <w:t>000</w:t>
                  </w:r>
                </w:p>
              </w:tc>
              <w:tc>
                <w:tcPr>
                  <w:tcW w:w="536" w:type="pct"/>
                  <w:noWrap w:val="0"/>
                  <w:vAlign w:val="center"/>
                </w:tcPr>
                <w:p w14:paraId="1A17E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229FD7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57" w:type="pct"/>
                  <w:shd w:val="clear" w:color="auto" w:fill="auto"/>
                  <w:noWrap w:val="0"/>
                  <w:vAlign w:val="center"/>
                </w:tcPr>
                <w:p w14:paraId="15A0C4A2">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-19970</w:t>
                  </w:r>
                </w:p>
              </w:tc>
              <w:tc>
                <w:tcPr>
                  <w:tcW w:w="437" w:type="pct"/>
                  <w:noWrap w:val="0"/>
                  <w:vAlign w:val="center"/>
                </w:tcPr>
                <w:p w14:paraId="7BAEE4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kg</w:t>
                  </w:r>
                </w:p>
              </w:tc>
              <w:tc>
                <w:tcPr>
                  <w:tcW w:w="427" w:type="pct"/>
                  <w:noWrap w:val="0"/>
                  <w:vAlign w:val="center"/>
                </w:tcPr>
                <w:p w14:paraId="2145A7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15</w:t>
                  </w:r>
                </w:p>
              </w:tc>
              <w:tc>
                <w:tcPr>
                  <w:tcW w:w="964" w:type="pct"/>
                  <w:noWrap w:val="0"/>
                  <w:vAlign w:val="center"/>
                </w:tcPr>
                <w:p w14:paraId="4DE5AD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15kg/桶</w:t>
                  </w:r>
                </w:p>
              </w:tc>
            </w:tr>
            <w:tr w14:paraId="66A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31A85366">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钢板</w:t>
                  </w:r>
                </w:p>
              </w:tc>
              <w:tc>
                <w:tcPr>
                  <w:tcW w:w="536" w:type="pct"/>
                  <w:shd w:val="clear" w:color="auto" w:fill="auto"/>
                  <w:noWrap w:val="0"/>
                  <w:vAlign w:val="center"/>
                </w:tcPr>
                <w:p w14:paraId="2D399FB6">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5</w:t>
                  </w:r>
                </w:p>
              </w:tc>
              <w:tc>
                <w:tcPr>
                  <w:tcW w:w="536" w:type="pct"/>
                  <w:noWrap w:val="0"/>
                  <w:vAlign w:val="center"/>
                </w:tcPr>
                <w:p w14:paraId="63DB60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7B5843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57" w:type="pct"/>
                  <w:shd w:val="clear" w:color="auto" w:fill="auto"/>
                  <w:noWrap w:val="0"/>
                  <w:vAlign w:val="center"/>
                </w:tcPr>
                <w:p w14:paraId="1CB91B34">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437" w:type="pct"/>
                  <w:noWrap w:val="0"/>
                  <w:vAlign w:val="center"/>
                </w:tcPr>
                <w:p w14:paraId="20AA51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771924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64" w:type="pct"/>
                  <w:noWrap w:val="0"/>
                  <w:vAlign w:val="center"/>
                </w:tcPr>
                <w:p w14:paraId="0530ED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r>
            <w:tr w14:paraId="589C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45408480">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铝棒</w:t>
                  </w:r>
                </w:p>
              </w:tc>
              <w:tc>
                <w:tcPr>
                  <w:tcW w:w="536" w:type="pct"/>
                  <w:shd w:val="clear" w:color="auto" w:fill="auto"/>
                  <w:noWrap w:val="0"/>
                  <w:vAlign w:val="center"/>
                </w:tcPr>
                <w:p w14:paraId="23584277">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2</w:t>
                  </w:r>
                </w:p>
              </w:tc>
              <w:tc>
                <w:tcPr>
                  <w:tcW w:w="536" w:type="pct"/>
                  <w:noWrap w:val="0"/>
                  <w:vAlign w:val="center"/>
                </w:tcPr>
                <w:p w14:paraId="28D79C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164A07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57" w:type="pct"/>
                  <w:shd w:val="clear" w:color="auto" w:fill="auto"/>
                  <w:noWrap w:val="0"/>
                  <w:vAlign w:val="center"/>
                </w:tcPr>
                <w:p w14:paraId="19BFB057">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37" w:type="pct"/>
                  <w:noWrap w:val="0"/>
                  <w:vAlign w:val="center"/>
                </w:tcPr>
                <w:p w14:paraId="1C35A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4E3D31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64" w:type="pct"/>
                  <w:noWrap w:val="0"/>
                  <w:vAlign w:val="center"/>
                </w:tcPr>
                <w:p w14:paraId="732503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r>
            <w:tr w14:paraId="5C77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7F9EEB09">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铜棒</w:t>
                  </w:r>
                </w:p>
              </w:tc>
              <w:tc>
                <w:tcPr>
                  <w:tcW w:w="536" w:type="pct"/>
                  <w:shd w:val="clear" w:color="auto" w:fill="auto"/>
                  <w:noWrap w:val="0"/>
                  <w:vAlign w:val="center"/>
                </w:tcPr>
                <w:p w14:paraId="09867795">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2</w:t>
                  </w:r>
                </w:p>
              </w:tc>
              <w:tc>
                <w:tcPr>
                  <w:tcW w:w="536" w:type="pct"/>
                  <w:noWrap w:val="0"/>
                  <w:vAlign w:val="center"/>
                </w:tcPr>
                <w:p w14:paraId="4C54EF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181FB6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57" w:type="pct"/>
                  <w:shd w:val="clear" w:color="auto" w:fill="auto"/>
                  <w:noWrap w:val="0"/>
                  <w:vAlign w:val="center"/>
                </w:tcPr>
                <w:p w14:paraId="6719895C">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37" w:type="pct"/>
                  <w:noWrap w:val="0"/>
                  <w:vAlign w:val="center"/>
                </w:tcPr>
                <w:p w14:paraId="67EDFF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79637A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64" w:type="pct"/>
                  <w:noWrap w:val="0"/>
                  <w:vAlign w:val="center"/>
                </w:tcPr>
                <w:p w14:paraId="3E444C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r>
            <w:tr w14:paraId="71BA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3D416E07">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铝板</w:t>
                  </w:r>
                </w:p>
              </w:tc>
              <w:tc>
                <w:tcPr>
                  <w:tcW w:w="536" w:type="pct"/>
                  <w:shd w:val="clear" w:color="auto" w:fill="auto"/>
                  <w:noWrap w:val="0"/>
                  <w:vAlign w:val="center"/>
                </w:tcPr>
                <w:p w14:paraId="1CE2E137">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10</w:t>
                  </w:r>
                </w:p>
              </w:tc>
              <w:tc>
                <w:tcPr>
                  <w:tcW w:w="536" w:type="pct"/>
                  <w:noWrap w:val="0"/>
                  <w:vAlign w:val="center"/>
                </w:tcPr>
                <w:p w14:paraId="34D183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67AF82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3.03</w:t>
                  </w:r>
                </w:p>
              </w:tc>
              <w:tc>
                <w:tcPr>
                  <w:tcW w:w="657" w:type="pct"/>
                  <w:shd w:val="clear" w:color="auto" w:fill="auto"/>
                  <w:noWrap w:val="0"/>
                  <w:vAlign w:val="center"/>
                </w:tcPr>
                <w:p w14:paraId="45E25200">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-6.97</w:t>
                  </w:r>
                </w:p>
              </w:tc>
              <w:tc>
                <w:tcPr>
                  <w:tcW w:w="437" w:type="pct"/>
                  <w:noWrap w:val="0"/>
                  <w:vAlign w:val="center"/>
                </w:tcPr>
                <w:p w14:paraId="22ABBA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4C4A15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0.25</w:t>
                  </w:r>
                </w:p>
              </w:tc>
              <w:tc>
                <w:tcPr>
                  <w:tcW w:w="964" w:type="pct"/>
                  <w:noWrap w:val="0"/>
                  <w:vAlign w:val="center"/>
                </w:tcPr>
                <w:p w14:paraId="502FB7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电极片原料，货车输送</w:t>
                  </w:r>
                </w:p>
              </w:tc>
            </w:tr>
            <w:tr w14:paraId="0D04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7E175B15">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铜板</w:t>
                  </w:r>
                </w:p>
              </w:tc>
              <w:tc>
                <w:tcPr>
                  <w:tcW w:w="536" w:type="pct"/>
                  <w:shd w:val="clear" w:color="auto" w:fill="auto"/>
                  <w:noWrap w:val="0"/>
                  <w:vAlign w:val="center"/>
                </w:tcPr>
                <w:p w14:paraId="693598BE">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0"/>
                      <w:highlight w:val="none"/>
                      <w:lang w:val="en-US" w:eastAsia="zh-CN" w:bidi="ar-SA"/>
                    </w:rPr>
                  </w:pPr>
                  <w:r>
                    <w:rPr>
                      <w:rFonts w:hint="default" w:hAnsi="宋体"/>
                      <w:color w:val="auto"/>
                      <w:szCs w:val="20"/>
                      <w:highlight w:val="none"/>
                    </w:rPr>
                    <w:t>8</w:t>
                  </w:r>
                </w:p>
              </w:tc>
              <w:tc>
                <w:tcPr>
                  <w:tcW w:w="536" w:type="pct"/>
                  <w:noWrap w:val="0"/>
                  <w:vAlign w:val="center"/>
                </w:tcPr>
                <w:p w14:paraId="0D9AD9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0</w:t>
                  </w:r>
                </w:p>
              </w:tc>
              <w:tc>
                <w:tcPr>
                  <w:tcW w:w="536" w:type="pct"/>
                  <w:shd w:val="clear" w:color="auto" w:fill="auto"/>
                  <w:noWrap w:val="0"/>
                  <w:vAlign w:val="center"/>
                </w:tcPr>
                <w:p w14:paraId="28FE8A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3.03</w:t>
                  </w:r>
                </w:p>
              </w:tc>
              <w:tc>
                <w:tcPr>
                  <w:tcW w:w="657" w:type="pct"/>
                  <w:shd w:val="clear" w:color="auto" w:fill="auto"/>
                  <w:noWrap w:val="0"/>
                  <w:vAlign w:val="center"/>
                </w:tcPr>
                <w:p w14:paraId="29313F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-6.97</w:t>
                  </w:r>
                </w:p>
              </w:tc>
              <w:tc>
                <w:tcPr>
                  <w:tcW w:w="437" w:type="pct"/>
                  <w:noWrap w:val="0"/>
                  <w:vAlign w:val="center"/>
                </w:tcPr>
                <w:p w14:paraId="4A190E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w:t>
                  </w:r>
                </w:p>
              </w:tc>
              <w:tc>
                <w:tcPr>
                  <w:tcW w:w="427" w:type="pct"/>
                  <w:noWrap w:val="0"/>
                  <w:vAlign w:val="center"/>
                </w:tcPr>
                <w:p w14:paraId="01ED4D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0.25</w:t>
                  </w:r>
                </w:p>
              </w:tc>
              <w:tc>
                <w:tcPr>
                  <w:tcW w:w="964" w:type="pct"/>
                  <w:noWrap w:val="0"/>
                  <w:vAlign w:val="center"/>
                </w:tcPr>
                <w:p w14:paraId="3A3FA2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电极片原料，货车输送</w:t>
                  </w:r>
                </w:p>
              </w:tc>
            </w:tr>
            <w:tr w14:paraId="009F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6596207E">
                  <w:pPr>
                    <w:keepNext w:val="0"/>
                    <w:keepLines w:val="0"/>
                    <w:suppressLineNumbers w:val="0"/>
                    <w:spacing w:before="0" w:beforeAutospacing="0" w:after="0" w:afterAutospacing="0"/>
                    <w:ind w:left="0" w:right="0"/>
                    <w:jc w:val="center"/>
                    <w:rPr>
                      <w:rFonts w:hint="default" w:hAnsi="宋体" w:eastAsia="宋体"/>
                      <w:color w:val="auto"/>
                      <w:szCs w:val="20"/>
                      <w:highlight w:val="none"/>
                      <w:lang w:val="en-US" w:eastAsia="zh-CN"/>
                    </w:rPr>
                  </w:pPr>
                  <w:r>
                    <w:rPr>
                      <w:rFonts w:hint="eastAsia" w:hAnsi="宋体"/>
                      <w:color w:val="auto"/>
                      <w:szCs w:val="20"/>
                      <w:highlight w:val="none"/>
                      <w:lang w:val="en-US" w:eastAsia="zh-CN"/>
                    </w:rPr>
                    <w:t>电极片</w:t>
                  </w:r>
                </w:p>
              </w:tc>
              <w:tc>
                <w:tcPr>
                  <w:tcW w:w="536" w:type="pct"/>
                  <w:shd w:val="clear" w:color="auto" w:fill="auto"/>
                  <w:noWrap w:val="0"/>
                  <w:vAlign w:val="center"/>
                </w:tcPr>
                <w:p w14:paraId="4E246EFA">
                  <w:pPr>
                    <w:keepNext w:val="0"/>
                    <w:keepLines w:val="0"/>
                    <w:suppressLineNumbers w:val="0"/>
                    <w:spacing w:before="0" w:beforeAutospacing="0" w:after="0" w:afterAutospacing="0"/>
                    <w:ind w:left="0" w:right="0"/>
                    <w:jc w:val="center"/>
                    <w:rPr>
                      <w:rFonts w:hint="eastAsia" w:hAnsi="宋体" w:eastAsia="宋体"/>
                      <w:color w:val="auto"/>
                      <w:szCs w:val="20"/>
                      <w:highlight w:val="none"/>
                      <w:lang w:val="en-US" w:eastAsia="zh-CN"/>
                    </w:rPr>
                  </w:pPr>
                  <w:r>
                    <w:rPr>
                      <w:rFonts w:hint="eastAsia" w:hAnsi="宋体"/>
                      <w:color w:val="auto"/>
                      <w:szCs w:val="20"/>
                      <w:highlight w:val="none"/>
                      <w:lang w:val="en-US" w:eastAsia="zh-CN"/>
                    </w:rPr>
                    <w:t>0</w:t>
                  </w:r>
                </w:p>
              </w:tc>
              <w:tc>
                <w:tcPr>
                  <w:tcW w:w="536" w:type="pct"/>
                  <w:noWrap w:val="0"/>
                  <w:vAlign w:val="center"/>
                </w:tcPr>
                <w:p w14:paraId="50E671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128万</w:t>
                  </w:r>
                </w:p>
              </w:tc>
              <w:tc>
                <w:tcPr>
                  <w:tcW w:w="536" w:type="pct"/>
                  <w:shd w:val="clear" w:color="auto" w:fill="auto"/>
                  <w:noWrap w:val="0"/>
                  <w:vAlign w:val="center"/>
                </w:tcPr>
                <w:p w14:paraId="7CA2FD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128万</w:t>
                  </w:r>
                </w:p>
              </w:tc>
              <w:tc>
                <w:tcPr>
                  <w:tcW w:w="657" w:type="pct"/>
                  <w:shd w:val="clear" w:color="auto" w:fill="auto"/>
                  <w:noWrap w:val="0"/>
                  <w:vAlign w:val="center"/>
                </w:tcPr>
                <w:p w14:paraId="6D2219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+128万</w:t>
                  </w:r>
                </w:p>
              </w:tc>
              <w:tc>
                <w:tcPr>
                  <w:tcW w:w="437" w:type="pct"/>
                  <w:noWrap w:val="0"/>
                  <w:vAlign w:val="center"/>
                </w:tcPr>
                <w:p w14:paraId="4862A7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套</w:t>
                  </w:r>
                </w:p>
              </w:tc>
              <w:tc>
                <w:tcPr>
                  <w:tcW w:w="427" w:type="pct"/>
                  <w:noWrap w:val="0"/>
                  <w:vAlign w:val="center"/>
                </w:tcPr>
                <w:p w14:paraId="72BDFB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11万</w:t>
                  </w:r>
                </w:p>
              </w:tc>
              <w:tc>
                <w:tcPr>
                  <w:tcW w:w="964" w:type="pct"/>
                  <w:noWrap w:val="0"/>
                  <w:vAlign w:val="center"/>
                </w:tcPr>
                <w:p w14:paraId="3F6644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外购成品电极片，货车输送</w:t>
                  </w:r>
                </w:p>
              </w:tc>
            </w:tr>
            <w:tr w14:paraId="1E5A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shd w:val="clear" w:color="auto" w:fill="auto"/>
                  <w:noWrap w:val="0"/>
                  <w:vAlign w:val="center"/>
                </w:tcPr>
                <w:p w14:paraId="77B952D3">
                  <w:pPr>
                    <w:keepNext w:val="0"/>
                    <w:keepLines w:val="0"/>
                    <w:suppressLineNumbers w:val="0"/>
                    <w:spacing w:before="0" w:beforeAutospacing="0" w:after="0" w:afterAutospacing="0"/>
                    <w:ind w:left="0" w:right="0"/>
                    <w:jc w:val="center"/>
                    <w:rPr>
                      <w:rFonts w:hint="default" w:hAnsi="宋体"/>
                      <w:color w:val="auto"/>
                      <w:szCs w:val="20"/>
                      <w:highlight w:val="none"/>
                      <w:lang w:val="en-US" w:eastAsia="zh-CN"/>
                    </w:rPr>
                  </w:pPr>
                  <w:r>
                    <w:rPr>
                      <w:rFonts w:hint="eastAsia" w:hAnsi="宋体"/>
                      <w:color w:val="auto"/>
                      <w:szCs w:val="20"/>
                      <w:highlight w:val="none"/>
                      <w:lang w:val="en-US" w:eastAsia="zh-CN"/>
                    </w:rPr>
                    <w:t>注塑模具</w:t>
                  </w:r>
                </w:p>
              </w:tc>
              <w:tc>
                <w:tcPr>
                  <w:tcW w:w="536" w:type="pct"/>
                  <w:shd w:val="clear" w:color="auto" w:fill="auto"/>
                  <w:noWrap w:val="0"/>
                  <w:vAlign w:val="center"/>
                </w:tcPr>
                <w:p w14:paraId="0DC3D738">
                  <w:pPr>
                    <w:keepNext w:val="0"/>
                    <w:keepLines w:val="0"/>
                    <w:suppressLineNumbers w:val="0"/>
                    <w:spacing w:before="0" w:beforeAutospacing="0" w:after="0" w:afterAutospacing="0"/>
                    <w:ind w:left="0" w:right="0"/>
                    <w:jc w:val="center"/>
                    <w:rPr>
                      <w:rFonts w:hint="default" w:hAnsi="宋体"/>
                      <w:color w:val="auto"/>
                      <w:szCs w:val="20"/>
                      <w:highlight w:val="none"/>
                      <w:lang w:val="en-US" w:eastAsia="zh-CN"/>
                    </w:rPr>
                  </w:pPr>
                  <w:r>
                    <w:rPr>
                      <w:rFonts w:hint="eastAsia" w:hAnsi="宋体"/>
                      <w:color w:val="auto"/>
                      <w:szCs w:val="20"/>
                      <w:highlight w:val="none"/>
                      <w:lang w:val="en-US" w:eastAsia="zh-CN"/>
                    </w:rPr>
                    <w:t>0</w:t>
                  </w:r>
                </w:p>
              </w:tc>
              <w:tc>
                <w:tcPr>
                  <w:tcW w:w="536" w:type="pct"/>
                  <w:noWrap w:val="0"/>
                  <w:vAlign w:val="center"/>
                </w:tcPr>
                <w:p w14:paraId="6B6294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536" w:type="pct"/>
                  <w:shd w:val="clear" w:color="auto" w:fill="auto"/>
                  <w:noWrap w:val="0"/>
                  <w:vAlign w:val="center"/>
                </w:tcPr>
                <w:p w14:paraId="2C60CE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657" w:type="pct"/>
                  <w:shd w:val="clear" w:color="auto" w:fill="auto"/>
                  <w:noWrap w:val="0"/>
                  <w:vAlign w:val="center"/>
                </w:tcPr>
                <w:p w14:paraId="61E82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437" w:type="pct"/>
                  <w:noWrap w:val="0"/>
                  <w:vAlign w:val="center"/>
                </w:tcPr>
                <w:p w14:paraId="44BD8F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套</w:t>
                  </w:r>
                </w:p>
              </w:tc>
              <w:tc>
                <w:tcPr>
                  <w:tcW w:w="427" w:type="pct"/>
                  <w:noWrap w:val="0"/>
                  <w:vAlign w:val="center"/>
                </w:tcPr>
                <w:p w14:paraId="3239F1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20套</w:t>
                  </w:r>
                </w:p>
              </w:tc>
              <w:tc>
                <w:tcPr>
                  <w:tcW w:w="964" w:type="pct"/>
                  <w:noWrap w:val="0"/>
                  <w:vAlign w:val="center"/>
                </w:tcPr>
                <w:p w14:paraId="1F39AF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外购成品模具，货车输送</w:t>
                  </w:r>
                </w:p>
              </w:tc>
            </w:tr>
            <w:tr w14:paraId="2C7F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noWrap w:val="0"/>
                  <w:vAlign w:val="center"/>
                </w:tcPr>
                <w:p w14:paraId="6395013D">
                  <w:pPr>
                    <w:pStyle w:val="67"/>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default" w:ascii="Times New Roman" w:hAnsi="Times New Roman" w:cs="Times New Roman"/>
                      <w:smallCaps w:val="0"/>
                      <w:color w:val="auto"/>
                      <w:spacing w:val="0"/>
                      <w:sz w:val="21"/>
                      <w:szCs w:val="21"/>
                      <w:highlight w:val="none"/>
                    </w:rPr>
                    <w:t>新鲜水</w:t>
                  </w:r>
                </w:p>
              </w:tc>
              <w:tc>
                <w:tcPr>
                  <w:tcW w:w="536" w:type="pct"/>
                  <w:noWrap w:val="0"/>
                  <w:vAlign w:val="center"/>
                </w:tcPr>
                <w:p w14:paraId="2B9F72F9">
                  <w:pPr>
                    <w:pStyle w:val="67"/>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270.39</w:t>
                  </w:r>
                </w:p>
              </w:tc>
              <w:tc>
                <w:tcPr>
                  <w:tcW w:w="536" w:type="pct"/>
                  <w:shd w:val="clear" w:color="auto" w:fill="auto"/>
                  <w:noWrap w:val="0"/>
                  <w:vAlign w:val="center"/>
                </w:tcPr>
                <w:p w14:paraId="2BC514C4">
                  <w:pPr>
                    <w:pStyle w:val="67"/>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210.01</w:t>
                  </w:r>
                </w:p>
              </w:tc>
              <w:tc>
                <w:tcPr>
                  <w:tcW w:w="536" w:type="pct"/>
                  <w:shd w:val="clear" w:color="auto" w:fill="auto"/>
                  <w:noWrap w:val="0"/>
                  <w:vAlign w:val="center"/>
                </w:tcPr>
                <w:p w14:paraId="4AA3FA95">
                  <w:pPr>
                    <w:pStyle w:val="67"/>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rPr>
                      <w:rFonts w:hint="default"/>
                      <w:color w:val="auto"/>
                      <w:highlight w:val="none"/>
                      <w:lang w:val="en-US" w:eastAsia="zh-CN"/>
                    </w:rPr>
                  </w:pPr>
                  <w:r>
                    <w:rPr>
                      <w:rFonts w:hint="eastAsia" w:cs="Times New Roman"/>
                      <w:bCs/>
                      <w:smallCaps w:val="0"/>
                      <w:color w:val="auto"/>
                      <w:spacing w:val="0"/>
                      <w:kern w:val="0"/>
                      <w:sz w:val="21"/>
                      <w:szCs w:val="21"/>
                      <w:highlight w:val="none"/>
                      <w:lang w:val="en-US" w:eastAsia="zh-CN" w:bidi="ar-SA"/>
                    </w:rPr>
                    <w:t>480.4</w:t>
                  </w:r>
                </w:p>
              </w:tc>
              <w:tc>
                <w:tcPr>
                  <w:tcW w:w="657" w:type="pct"/>
                  <w:shd w:val="clear" w:color="auto" w:fill="auto"/>
                  <w:noWrap w:val="0"/>
                  <w:vAlign w:val="center"/>
                </w:tcPr>
                <w:p w14:paraId="704AEE83">
                  <w:pPr>
                    <w:pStyle w:val="67"/>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rPr>
                      <w:rFonts w:hint="default"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+210.01</w:t>
                  </w:r>
                </w:p>
              </w:tc>
              <w:tc>
                <w:tcPr>
                  <w:tcW w:w="437" w:type="pct"/>
                  <w:noWrap w:val="0"/>
                  <w:vAlign w:val="center"/>
                </w:tcPr>
                <w:p w14:paraId="328D14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mallCaps w:val="0"/>
                      <w:color w:val="auto"/>
                      <w:spacing w:val="0"/>
                      <w:sz w:val="21"/>
                      <w:szCs w:val="21"/>
                      <w:highlight w:val="none"/>
                    </w:rPr>
                    <w:t>m³</w:t>
                  </w:r>
                </w:p>
              </w:tc>
              <w:tc>
                <w:tcPr>
                  <w:tcW w:w="427" w:type="pct"/>
                  <w:noWrap w:val="0"/>
                  <w:vAlign w:val="center"/>
                </w:tcPr>
                <w:p w14:paraId="569955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964" w:type="pct"/>
                  <w:noWrap w:val="0"/>
                  <w:vAlign w:val="center"/>
                </w:tcPr>
                <w:p w14:paraId="165A57F5">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sz w:val="21"/>
                      <w:szCs w:val="21"/>
                      <w:highlight w:val="none"/>
                      <w:lang w:eastAsia="zh-CN"/>
                    </w:rPr>
                    <w:t>由园区供水管网提供</w:t>
                  </w:r>
                </w:p>
              </w:tc>
            </w:tr>
            <w:tr w14:paraId="2673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03" w:type="pct"/>
                  <w:noWrap w:val="0"/>
                  <w:vAlign w:val="center"/>
                </w:tcPr>
                <w:p w14:paraId="0A4578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电</w:t>
                  </w:r>
                </w:p>
              </w:tc>
              <w:tc>
                <w:tcPr>
                  <w:tcW w:w="536" w:type="pct"/>
                  <w:noWrap w:val="0"/>
                  <w:vAlign w:val="center"/>
                </w:tcPr>
                <w:p w14:paraId="38C350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30</w:t>
                  </w:r>
                </w:p>
              </w:tc>
              <w:tc>
                <w:tcPr>
                  <w:tcW w:w="536" w:type="pct"/>
                  <w:shd w:val="clear" w:color="auto" w:fill="auto"/>
                  <w:noWrap w:val="0"/>
                  <w:vAlign w:val="center"/>
                </w:tcPr>
                <w:p w14:paraId="13E964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15</w:t>
                  </w:r>
                </w:p>
              </w:tc>
              <w:tc>
                <w:tcPr>
                  <w:tcW w:w="536" w:type="pct"/>
                  <w:shd w:val="clear" w:color="auto" w:fill="auto"/>
                  <w:noWrap w:val="0"/>
                  <w:vAlign w:val="center"/>
                </w:tcPr>
                <w:p w14:paraId="369A04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45</w:t>
                  </w:r>
                </w:p>
              </w:tc>
              <w:tc>
                <w:tcPr>
                  <w:tcW w:w="657" w:type="pct"/>
                  <w:shd w:val="clear" w:color="auto" w:fill="auto"/>
                  <w:noWrap w:val="0"/>
                  <w:vAlign w:val="center"/>
                </w:tcPr>
                <w:p w14:paraId="1B7CD6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w:t>
                  </w:r>
                </w:p>
              </w:tc>
              <w:tc>
                <w:tcPr>
                  <w:tcW w:w="437" w:type="pct"/>
                  <w:noWrap w:val="0"/>
                  <w:vAlign w:val="center"/>
                </w:tcPr>
                <w:p w14:paraId="15182F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万kWh</w:t>
                  </w:r>
                </w:p>
              </w:tc>
              <w:tc>
                <w:tcPr>
                  <w:tcW w:w="427" w:type="pct"/>
                  <w:noWrap w:val="0"/>
                  <w:vAlign w:val="center"/>
                </w:tcPr>
                <w:p w14:paraId="71AC4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c>
                <w:tcPr>
                  <w:tcW w:w="964" w:type="pct"/>
                  <w:noWrap w:val="0"/>
                  <w:vAlign w:val="center"/>
                </w:tcPr>
                <w:p w14:paraId="5FBC08C5">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sz w:val="21"/>
                      <w:szCs w:val="21"/>
                      <w:highlight w:val="none"/>
                      <w:lang w:eastAsia="zh-CN"/>
                    </w:rPr>
                    <w:t>由园区供电管网提供</w:t>
                  </w:r>
                </w:p>
              </w:tc>
            </w:tr>
          </w:tbl>
          <w:p w14:paraId="788EDF47">
            <w:pPr>
              <w:pStyle w:val="172"/>
              <w:keepNext w:val="0"/>
              <w:keepLines w:val="0"/>
              <w:suppressLineNumbers w:val="0"/>
              <w:spacing w:before="0" w:beforeAutospacing="0" w:after="0" w:afterAutospacing="0"/>
              <w:ind w:left="0" w:right="0" w:firstLine="482"/>
              <w:rPr>
                <w:rFonts w:hint="eastAsia" w:cs="Times New Roman"/>
                <w:b w:val="0"/>
                <w:bCs/>
                <w:smallCaps w:val="0"/>
                <w:color w:val="auto"/>
                <w:spacing w:val="0"/>
                <w:highlight w:val="none"/>
                <w:lang w:val="en-US" w:eastAsia="zh-CN"/>
              </w:rPr>
            </w:pPr>
            <w:r>
              <w:rPr>
                <w:rFonts w:hint="eastAsia" w:cs="Times New Roman"/>
                <w:b/>
                <w:bCs w:val="0"/>
                <w:smallCaps w:val="0"/>
                <w:color w:val="auto"/>
                <w:spacing w:val="0"/>
                <w:highlight w:val="none"/>
                <w:lang w:val="en-US" w:eastAsia="zh-CN"/>
              </w:rPr>
              <w:t>尼龙粒子：</w:t>
            </w:r>
          </w:p>
          <w:p w14:paraId="1B5ADE50">
            <w:pPr>
              <w:pStyle w:val="172"/>
              <w:keepNext w:val="0"/>
              <w:keepLines w:val="0"/>
              <w:suppressLineNumbers w:val="0"/>
              <w:spacing w:before="0" w:beforeAutospacing="0" w:after="0" w:afterAutospacing="0"/>
              <w:ind w:left="0" w:right="0" w:firstLine="482"/>
              <w:rPr>
                <w:rFonts w:hint="default" w:ascii="Times New Roman" w:hAnsi="Times New Roman" w:cs="Times New Roman"/>
                <w:b w:val="0"/>
                <w:bCs/>
                <w:smallCaps w:val="0"/>
                <w:color w:val="auto"/>
                <w:spacing w:val="0"/>
                <w:highlight w:val="none"/>
                <w:lang w:val="en-US" w:eastAsia="zh-CN"/>
              </w:rPr>
            </w:pPr>
            <w:r>
              <w:rPr>
                <w:rFonts w:hint="eastAsia" w:cs="Times New Roman"/>
                <w:b w:val="0"/>
                <w:bCs/>
                <w:smallCaps w:val="0"/>
                <w:color w:val="auto"/>
                <w:spacing w:val="0"/>
                <w:highlight w:val="none"/>
                <w:lang w:val="en-US" w:eastAsia="zh-CN"/>
              </w:rPr>
              <w:t>简称PA，俗称尼龙又称聚酰胺。具有许多重复酰胺基团的树脂性物质的总称。包括脂肪族聚酰胺、脂肪族-芳香族聚酰胺及芳香族聚酰胺。主要由二元酸与二元胺，或由氨基酸经缩聚而成。通常为乳白色至淡黄色的‌颗粒状‌或粉末状，表面有光泽，直径为2-5mm圆柱形或球形颗粒。熔点180~280℃，密度1.05~1.15。不溶于乙醇、丙酮、乙酸乙酯和烃类普通溶剂，但溶于酚类、硫酸、甲酸、乙酸和某些无机盐溶液。耐油脂、矿物油和水，但在高温和压力下会导致分解。共同特点是耐燃、耐磨和拉伸强度高，熔融态树脂流动性高。主要用于制合成纤维、增强塑料等。</w:t>
            </w:r>
          </w:p>
          <w:p w14:paraId="6090D7DD">
            <w:pPr>
              <w:pStyle w:val="172"/>
              <w:keepNext w:val="0"/>
              <w:keepLines w:val="0"/>
              <w:suppressLineNumbers w:val="0"/>
              <w:spacing w:before="0" w:beforeAutospacing="0" w:after="0" w:afterAutospacing="0"/>
              <w:ind w:left="0" w:right="0" w:firstLine="482"/>
              <w:rPr>
                <w:rFonts w:hint="eastAsia" w:cs="Times New Roman"/>
                <w:b/>
                <w:bCs w:val="0"/>
                <w:smallCaps w:val="0"/>
                <w:color w:val="auto"/>
                <w:spacing w:val="0"/>
                <w:highlight w:val="none"/>
                <w:lang w:val="en-US" w:eastAsia="zh-CN"/>
              </w:rPr>
            </w:pPr>
            <w:r>
              <w:rPr>
                <w:rFonts w:hint="eastAsia" w:cs="Times New Roman"/>
                <w:b/>
                <w:bCs w:val="0"/>
                <w:smallCaps w:val="0"/>
                <w:color w:val="auto"/>
                <w:spacing w:val="0"/>
                <w:highlight w:val="none"/>
                <w:lang w:val="en-US" w:eastAsia="zh-CN"/>
              </w:rPr>
              <w:t>切削液：</w:t>
            </w:r>
          </w:p>
          <w:p w14:paraId="5B73E469">
            <w:pPr>
              <w:pStyle w:val="172"/>
              <w:keepNext w:val="0"/>
              <w:keepLines w:val="0"/>
              <w:suppressLineNumbers w:val="0"/>
              <w:spacing w:before="0" w:beforeAutospacing="0" w:after="0" w:afterAutospacing="0"/>
              <w:ind w:left="0" w:right="0" w:firstLine="482"/>
              <w:rPr>
                <w:rFonts w:hint="eastAsia" w:cs="Times New Roman"/>
                <w:b w:val="0"/>
                <w:bCs/>
                <w:smallCaps w:val="0"/>
                <w:color w:val="auto"/>
                <w:spacing w:val="0"/>
                <w:highlight w:val="none"/>
                <w:lang w:val="en-US" w:eastAsia="zh-CN"/>
              </w:rPr>
            </w:pPr>
            <w:r>
              <w:rPr>
                <w:rFonts w:hint="eastAsia" w:cs="Times New Roman"/>
                <w:b w:val="0"/>
                <w:bCs/>
                <w:smallCaps w:val="0"/>
                <w:color w:val="auto"/>
                <w:spacing w:val="0"/>
                <w:highlight w:val="none"/>
                <w:lang w:val="en-US" w:eastAsia="zh-CN"/>
              </w:rPr>
              <w:t>项目采用的切削液为乳化切削液，使用时需要与水配制使用。外观：乳白色或半透明液体，稀释后稳定性高。冷却性：优于油基切削液，适合粗加工散热需求。润滑性：含矿物油成分，具备基础润滑功能，极压型乳化液可提升重载加工性能。防锈性：需依赖添加剂（如亚硝酸钠）实现短期防锈。</w:t>
            </w:r>
          </w:p>
          <w:p w14:paraId="3945BFC6">
            <w:pPr>
              <w:pStyle w:val="172"/>
              <w:keepNext w:val="0"/>
              <w:keepLines w:val="0"/>
              <w:suppressLineNumbers w:val="0"/>
              <w:spacing w:before="0" w:beforeAutospacing="0" w:after="0" w:afterAutospacing="0"/>
              <w:ind w:left="0" w:right="0" w:firstLine="482"/>
              <w:rPr>
                <w:rFonts w:hint="eastAsia" w:ascii="Times New Roman" w:hAnsi="Times New Roman" w:eastAsia="宋体" w:cs="Times New Roman"/>
                <w:b/>
                <w:smallCaps w:val="0"/>
                <w:color w:val="auto"/>
                <w:spacing w:val="0"/>
                <w:highlight w:val="none"/>
                <w:lang w:val="en-US" w:eastAsia="zh-CN"/>
              </w:rPr>
            </w:pPr>
            <w:r>
              <w:rPr>
                <w:rFonts w:hint="default" w:ascii="Times New Roman" w:hAnsi="Times New Roman" w:cs="Times New Roman"/>
                <w:b/>
                <w:smallCaps w:val="0"/>
                <w:color w:val="auto"/>
                <w:spacing w:val="0"/>
                <w:highlight w:val="none"/>
                <w:lang w:val="en-US" w:eastAsia="zh-CN"/>
              </w:rPr>
              <w:t>6</w:t>
            </w:r>
            <w:r>
              <w:rPr>
                <w:rFonts w:hint="default" w:ascii="Times New Roman" w:hAnsi="Times New Roman" w:cs="Times New Roman"/>
                <w:b/>
                <w:smallCaps w:val="0"/>
                <w:color w:val="auto"/>
                <w:spacing w:val="0"/>
                <w:highlight w:val="none"/>
              </w:rPr>
              <w:t>、公用工程</w:t>
            </w:r>
          </w:p>
          <w:p w14:paraId="7DE86E5F">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给水：</w:t>
            </w:r>
          </w:p>
          <w:p w14:paraId="4B4BE811">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项目用水主要为职工生活用水、设备冷却水和切削液用水。项目新鲜水量为1.601m</w:t>
            </w:r>
            <w:r>
              <w:rPr>
                <w:rFonts w:hint="eastAsia" w:cs="Times New Roman"/>
                <w:smallCaps w:val="0"/>
                <w:color w:val="auto"/>
                <w:spacing w:val="0"/>
                <w:highlight w:val="none"/>
                <w:vertAlign w:val="superscript"/>
                <w:lang w:val="en-US" w:eastAsia="zh-CN"/>
              </w:rPr>
              <w:t>3</w:t>
            </w:r>
            <w:r>
              <w:rPr>
                <w:rFonts w:hint="eastAsia" w:cs="Times New Roman"/>
                <w:smallCaps w:val="0"/>
                <w:color w:val="auto"/>
                <w:spacing w:val="0"/>
                <w:highlight w:val="none"/>
                <w:lang w:val="en-US" w:eastAsia="zh-CN"/>
              </w:rPr>
              <w:t>/d（480.4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smallCaps w:val="0"/>
                <w:color w:val="auto"/>
                <w:spacing w:val="0"/>
                <w:highlight w:val="none"/>
                <w:lang w:val="en-US" w:eastAsia="zh-CN"/>
              </w:rPr>
              <w:t>）</w:t>
            </w:r>
            <w:r>
              <w:rPr>
                <w:rFonts w:hint="default" w:ascii="Times New Roman" w:hAnsi="Times New Roman" w:cs="Times New Roman"/>
                <w:smallCaps w:val="0"/>
                <w:color w:val="auto"/>
                <w:spacing w:val="0"/>
                <w:highlight w:val="none"/>
                <w:lang w:val="en-US" w:eastAsia="zh-CN"/>
              </w:rPr>
              <w:t>。</w:t>
            </w:r>
          </w:p>
          <w:p w14:paraId="2547F132">
            <w:pPr>
              <w:keepNext w:val="0"/>
              <w:keepLines w:val="0"/>
              <w:pageBreakBefore w:val="0"/>
              <w:widowControl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snapToGrid w:val="0"/>
                <w:color w:val="auto"/>
                <w:sz w:val="24"/>
                <w:szCs w:val="24"/>
                <w:highlight w:val="none"/>
                <w:lang w:eastAsia="zh-CN"/>
              </w:rPr>
            </w:pPr>
            <w:r>
              <w:rPr>
                <w:rFonts w:hint="eastAsia" w:ascii="Times New Roman" w:hAnsi="Times New Roman" w:cs="Times New Roman"/>
                <w:snapToGrid w:val="0"/>
                <w:color w:val="auto"/>
                <w:sz w:val="24"/>
                <w:szCs w:val="24"/>
                <w:highlight w:val="none"/>
                <w:lang w:val="en-US" w:eastAsia="zh-CN"/>
              </w:rPr>
              <w:t>职工生活用水：</w:t>
            </w:r>
            <w:r>
              <w:rPr>
                <w:rFonts w:hint="default" w:ascii="Times New Roman" w:hAnsi="Times New Roman" w:cs="Times New Roman"/>
                <w:snapToGrid w:val="0"/>
                <w:color w:val="auto"/>
                <w:sz w:val="24"/>
                <w:szCs w:val="24"/>
                <w:highlight w:val="none"/>
              </w:rPr>
              <w:t>本项目</w:t>
            </w:r>
            <w:r>
              <w:rPr>
                <w:rFonts w:hint="eastAsia" w:cs="Times New Roman"/>
                <w:snapToGrid w:val="0"/>
                <w:color w:val="auto"/>
                <w:sz w:val="24"/>
                <w:szCs w:val="24"/>
                <w:highlight w:val="none"/>
                <w:lang w:val="en-US" w:eastAsia="zh-CN"/>
              </w:rPr>
              <w:t>不新增</w:t>
            </w:r>
            <w:r>
              <w:rPr>
                <w:rFonts w:hint="default" w:ascii="Times New Roman" w:hAnsi="Times New Roman" w:cs="Times New Roman"/>
                <w:snapToGrid w:val="0"/>
                <w:color w:val="auto"/>
                <w:sz w:val="24"/>
                <w:szCs w:val="24"/>
                <w:highlight w:val="none"/>
              </w:rPr>
              <w:t>劳动定员</w:t>
            </w:r>
            <w:r>
              <w:rPr>
                <w:rFonts w:hint="eastAsia" w:cs="Times New Roman"/>
                <w:snapToGrid w:val="0"/>
                <w:color w:val="auto"/>
                <w:sz w:val="24"/>
                <w:szCs w:val="24"/>
                <w:highlight w:val="none"/>
                <w:lang w:eastAsia="zh-CN"/>
              </w:rPr>
              <w:t>，</w:t>
            </w:r>
            <w:r>
              <w:rPr>
                <w:rFonts w:hint="eastAsia" w:cs="Times New Roman"/>
                <w:snapToGrid w:val="0"/>
                <w:color w:val="auto"/>
                <w:sz w:val="24"/>
                <w:szCs w:val="24"/>
                <w:highlight w:val="none"/>
                <w:lang w:val="en-US" w:eastAsia="zh-CN"/>
              </w:rPr>
              <w:t>仍为20</w:t>
            </w:r>
            <w:r>
              <w:rPr>
                <w:rFonts w:hint="default" w:ascii="Times New Roman" w:hAnsi="Times New Roman" w:cs="Times New Roman"/>
                <w:snapToGrid w:val="0"/>
                <w:color w:val="auto"/>
                <w:sz w:val="24"/>
                <w:szCs w:val="24"/>
                <w:highlight w:val="none"/>
              </w:rPr>
              <w:t>人，生活用水量为</w:t>
            </w:r>
            <w:r>
              <w:rPr>
                <w:rFonts w:hint="eastAsia" w:cs="Times New Roman"/>
                <w:snapToGrid w:val="0"/>
                <w:color w:val="auto"/>
                <w:sz w:val="24"/>
                <w:szCs w:val="24"/>
                <w:highlight w:val="none"/>
                <w:lang w:val="en-US" w:eastAsia="zh-CN"/>
              </w:rPr>
              <w:t>0.8</w:t>
            </w:r>
            <w:r>
              <w:rPr>
                <w:rFonts w:hint="default" w:ascii="Times New Roman" w:hAnsi="Times New Roman" w:cs="Times New Roman"/>
                <w:snapToGrid w:val="0"/>
                <w:color w:val="auto"/>
                <w:sz w:val="24"/>
                <w:szCs w:val="24"/>
                <w:highlight w:val="none"/>
              </w:rPr>
              <w:t>m³/d（</w:t>
            </w:r>
            <w:r>
              <w:rPr>
                <w:rFonts w:hint="eastAsia" w:cs="Times New Roman"/>
                <w:snapToGrid w:val="0"/>
                <w:color w:val="auto"/>
                <w:sz w:val="24"/>
                <w:szCs w:val="24"/>
                <w:highlight w:val="none"/>
                <w:lang w:val="en-US" w:eastAsia="zh-CN"/>
              </w:rPr>
              <w:t>240</w:t>
            </w:r>
            <w:r>
              <w:rPr>
                <w:rFonts w:hint="default" w:ascii="Times New Roman" w:hAnsi="Times New Roman" w:cs="Times New Roman"/>
                <w:snapToGrid w:val="0"/>
                <w:color w:val="auto"/>
                <w:sz w:val="24"/>
                <w:szCs w:val="24"/>
                <w:highlight w:val="none"/>
              </w:rPr>
              <w:t>m³/a）</w:t>
            </w:r>
            <w:r>
              <w:rPr>
                <w:rFonts w:hint="eastAsia" w:cs="Times New Roman"/>
                <w:snapToGrid w:val="0"/>
                <w:color w:val="auto"/>
                <w:sz w:val="24"/>
                <w:szCs w:val="24"/>
                <w:highlight w:val="none"/>
                <w:lang w:eastAsia="zh-CN"/>
              </w:rPr>
              <w:t>；</w:t>
            </w:r>
          </w:p>
          <w:p w14:paraId="39A51EF5">
            <w:pPr>
              <w:keepNext w:val="0"/>
              <w:keepLines w:val="0"/>
              <w:pageBreakBefore w:val="0"/>
              <w:widowControl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snapToGrid w:val="0"/>
                <w:color w:val="auto"/>
                <w:sz w:val="24"/>
                <w:szCs w:val="24"/>
                <w:highlight w:val="none"/>
                <w:lang w:eastAsia="zh-CN"/>
              </w:rPr>
            </w:pPr>
            <w:r>
              <w:rPr>
                <w:rFonts w:hint="eastAsia" w:cs="Times New Roman"/>
                <w:snapToGrid w:val="0"/>
                <w:color w:val="auto"/>
                <w:sz w:val="24"/>
                <w:szCs w:val="24"/>
                <w:highlight w:val="none"/>
                <w:lang w:val="en-US" w:eastAsia="zh-CN"/>
              </w:rPr>
              <w:t>生产用水：</w:t>
            </w:r>
            <w:r>
              <w:rPr>
                <w:rFonts w:hint="default"/>
                <w:color w:val="auto"/>
                <w:sz w:val="24"/>
                <w:szCs w:val="24"/>
                <w:highlight w:val="none"/>
              </w:rPr>
              <w:t>本项目生产用水为设备冷却水和切削液配备用水，设备冷却水循环用水量为</w:t>
            </w:r>
            <w:r>
              <w:rPr>
                <w:rFonts w:hint="eastAsia"/>
                <w:color w:val="auto"/>
                <w:sz w:val="24"/>
                <w:szCs w:val="24"/>
                <w:highlight w:val="none"/>
                <w:lang w:val="en-US" w:eastAsia="zh-CN"/>
              </w:rPr>
              <w:t>40</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/d</w:t>
            </w:r>
            <w:r>
              <w:rPr>
                <w:rFonts w:hint="eastAsia"/>
                <w:color w:val="auto"/>
                <w:sz w:val="24"/>
                <w:szCs w:val="24"/>
                <w:highlight w:val="none"/>
                <w:lang w:eastAsia="zh-CN"/>
              </w:rPr>
              <w:t>，</w:t>
            </w:r>
            <w:r>
              <w:rPr>
                <w:rFonts w:hint="eastAsia"/>
                <w:color w:val="auto"/>
                <w:sz w:val="24"/>
                <w:szCs w:val="24"/>
                <w:highlight w:val="none"/>
                <w:lang w:val="en-US" w:eastAsia="zh-CN"/>
              </w:rPr>
              <w:t>损耗水量为循环水量为2%</w:t>
            </w:r>
            <w:r>
              <w:rPr>
                <w:rFonts w:hint="default"/>
                <w:color w:val="auto"/>
                <w:sz w:val="24"/>
                <w:szCs w:val="24"/>
                <w:highlight w:val="none"/>
              </w:rPr>
              <w:t>，</w:t>
            </w:r>
            <w:r>
              <w:rPr>
                <w:rFonts w:hint="eastAsia"/>
                <w:color w:val="auto"/>
                <w:sz w:val="24"/>
                <w:szCs w:val="24"/>
                <w:highlight w:val="none"/>
                <w:lang w:val="en-US" w:eastAsia="zh-CN"/>
              </w:rPr>
              <w:t>则</w:t>
            </w:r>
            <w:r>
              <w:rPr>
                <w:rFonts w:hint="default"/>
                <w:color w:val="auto"/>
                <w:sz w:val="24"/>
                <w:szCs w:val="24"/>
                <w:highlight w:val="none"/>
              </w:rPr>
              <w:t>需新鲜水量</w:t>
            </w:r>
            <w:r>
              <w:rPr>
                <w:rFonts w:hint="eastAsia"/>
                <w:color w:val="auto"/>
                <w:sz w:val="24"/>
                <w:szCs w:val="24"/>
                <w:highlight w:val="none"/>
                <w:lang w:val="en-US" w:eastAsia="zh-CN"/>
              </w:rPr>
              <w:t>0.8</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/d</w:t>
            </w:r>
            <w:r>
              <w:rPr>
                <w:rFonts w:hint="eastAsia"/>
                <w:color w:val="auto"/>
                <w:sz w:val="24"/>
                <w:szCs w:val="24"/>
                <w:highlight w:val="none"/>
                <w:lang w:eastAsia="zh-CN"/>
              </w:rPr>
              <w:t>（</w:t>
            </w:r>
            <w:r>
              <w:rPr>
                <w:rFonts w:hint="eastAsia" w:cs="Times New Roman"/>
                <w:snapToGrid w:val="0"/>
                <w:color w:val="auto"/>
                <w:sz w:val="24"/>
                <w:szCs w:val="24"/>
                <w:highlight w:val="none"/>
                <w:lang w:val="en-US" w:eastAsia="zh-CN"/>
              </w:rPr>
              <w:t>240</w:t>
            </w:r>
            <w:r>
              <w:rPr>
                <w:rFonts w:hint="default" w:ascii="Times New Roman" w:hAnsi="Times New Roman" w:cs="Times New Roman"/>
                <w:snapToGrid w:val="0"/>
                <w:color w:val="auto"/>
                <w:sz w:val="24"/>
                <w:szCs w:val="24"/>
                <w:highlight w:val="none"/>
              </w:rPr>
              <w:t>m³/a</w:t>
            </w:r>
            <w:r>
              <w:rPr>
                <w:rFonts w:hint="eastAsia"/>
                <w:color w:val="auto"/>
                <w:sz w:val="24"/>
                <w:szCs w:val="24"/>
                <w:highlight w:val="none"/>
                <w:lang w:eastAsia="zh-CN"/>
              </w:rPr>
              <w:t>）</w:t>
            </w:r>
            <w:r>
              <w:rPr>
                <w:rFonts w:hint="default"/>
                <w:color w:val="auto"/>
                <w:sz w:val="24"/>
                <w:szCs w:val="24"/>
                <w:highlight w:val="none"/>
              </w:rPr>
              <w:t>，冷却用水全部循环使用；项目</w:t>
            </w:r>
            <w:r>
              <w:rPr>
                <w:rFonts w:hint="eastAsia"/>
                <w:color w:val="auto"/>
                <w:sz w:val="24"/>
                <w:szCs w:val="24"/>
                <w:highlight w:val="none"/>
                <w:lang w:eastAsia="zh-CN"/>
              </w:rPr>
              <w:t>切削液</w:t>
            </w:r>
            <w:r>
              <w:rPr>
                <w:rFonts w:hint="eastAsia"/>
                <w:color w:val="auto"/>
                <w:sz w:val="24"/>
                <w:szCs w:val="24"/>
                <w:highlight w:val="none"/>
                <w:lang w:val="en-US" w:eastAsia="zh-CN"/>
              </w:rPr>
              <w:t>用量为30kg/a，配比需要按照1:10，则切削液配比</w:t>
            </w:r>
            <w:r>
              <w:rPr>
                <w:rFonts w:hint="eastAsia"/>
                <w:color w:val="auto"/>
                <w:sz w:val="24"/>
                <w:szCs w:val="24"/>
                <w:highlight w:val="none"/>
                <w:lang w:eastAsia="zh-CN"/>
              </w:rPr>
              <w:t>用水</w:t>
            </w:r>
            <w:r>
              <w:rPr>
                <w:rFonts w:hint="default"/>
                <w:color w:val="auto"/>
                <w:sz w:val="24"/>
                <w:szCs w:val="24"/>
                <w:highlight w:val="none"/>
              </w:rPr>
              <w:t>量为</w:t>
            </w:r>
            <w:r>
              <w:rPr>
                <w:rFonts w:hint="eastAsia"/>
                <w:color w:val="auto"/>
                <w:sz w:val="24"/>
                <w:szCs w:val="24"/>
                <w:highlight w:val="none"/>
                <w:lang w:val="en-US" w:eastAsia="zh-CN"/>
              </w:rPr>
              <w:t>0.3</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/a（0.001m</w:t>
            </w:r>
            <w:r>
              <w:rPr>
                <w:rFonts w:hint="default"/>
                <w:color w:val="auto"/>
                <w:sz w:val="24"/>
                <w:szCs w:val="24"/>
                <w:highlight w:val="none"/>
                <w:vertAlign w:val="superscript"/>
              </w:rPr>
              <w:t>3</w:t>
            </w:r>
            <w:r>
              <w:rPr>
                <w:rFonts w:hint="default"/>
                <w:color w:val="auto"/>
                <w:sz w:val="24"/>
                <w:szCs w:val="24"/>
                <w:highlight w:val="none"/>
              </w:rPr>
              <w:t>/d）</w:t>
            </w:r>
            <w:r>
              <w:rPr>
                <w:rFonts w:hint="eastAsia" w:cs="Times New Roman"/>
                <w:snapToGrid w:val="0"/>
                <w:color w:val="auto"/>
                <w:sz w:val="24"/>
                <w:szCs w:val="24"/>
                <w:highlight w:val="none"/>
                <w:lang w:eastAsia="zh-CN"/>
              </w:rPr>
              <w:t>。</w:t>
            </w:r>
          </w:p>
          <w:p w14:paraId="2F1EC2C3">
            <w:pPr>
              <w:pStyle w:val="172"/>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排水</w:t>
            </w:r>
          </w:p>
          <w:p w14:paraId="3C90CB9A">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设备冷却水循环使用不外排；切削液配制水全部消耗不外排；废水主要为职工生活污水，</w:t>
            </w:r>
            <w:r>
              <w:rPr>
                <w:rFonts w:hint="default" w:ascii="Times New Roman" w:hAnsi="Times New Roman" w:cs="Times New Roman"/>
                <w:smallCaps w:val="0"/>
                <w:color w:val="auto"/>
                <w:spacing w:val="0"/>
                <w:highlight w:val="none"/>
                <w:lang w:val="en-US" w:eastAsia="zh-CN"/>
              </w:rPr>
              <w:t>职工生活污水产生量</w:t>
            </w:r>
            <w:r>
              <w:rPr>
                <w:rFonts w:hint="eastAsia" w:cs="Times New Roman"/>
                <w:smallCaps w:val="0"/>
                <w:color w:val="auto"/>
                <w:spacing w:val="0"/>
                <w:highlight w:val="none"/>
                <w:lang w:val="en-US" w:eastAsia="zh-CN"/>
              </w:rPr>
              <w:t>0.64</w:t>
            </w:r>
            <w:r>
              <w:rPr>
                <w:rFonts w:hint="default" w:ascii="Times New Roman" w:hAnsi="Times New Roman" w:cs="Times New Roman"/>
                <w:smallCaps w:val="0"/>
                <w:color w:val="auto"/>
                <w:spacing w:val="0"/>
                <w:highlight w:val="none"/>
                <w:lang w:val="en-US" w:eastAsia="zh-CN"/>
              </w:rPr>
              <w:t>m</w:t>
            </w:r>
            <w:r>
              <w:rPr>
                <w:rFonts w:hint="default" w:ascii="Times New Roman" w:hAnsi="Times New Roman" w:cs="Times New Roman"/>
                <w:smallCaps w:val="0"/>
                <w:color w:val="auto"/>
                <w:spacing w:val="0"/>
                <w:highlight w:val="none"/>
                <w:vertAlign w:val="superscript"/>
                <w:lang w:val="en-US" w:eastAsia="zh-CN"/>
              </w:rPr>
              <w:t>3</w:t>
            </w:r>
            <w:r>
              <w:rPr>
                <w:rFonts w:hint="default" w:ascii="Times New Roman" w:hAnsi="Times New Roman" w:cs="Times New Roman"/>
                <w:smallCaps w:val="0"/>
                <w:color w:val="auto"/>
                <w:spacing w:val="0"/>
                <w:highlight w:val="none"/>
                <w:lang w:val="en-US" w:eastAsia="zh-CN"/>
              </w:rPr>
              <w:t>/d</w:t>
            </w:r>
            <w:r>
              <w:rPr>
                <w:rFonts w:hint="eastAsia" w:cs="Times New Roman"/>
                <w:smallCaps w:val="0"/>
                <w:color w:val="auto"/>
                <w:spacing w:val="0"/>
                <w:highlight w:val="none"/>
                <w:lang w:val="en-US" w:eastAsia="zh-CN"/>
              </w:rPr>
              <w:t>，经集成式生物化粪池处理后经园区污水管网排入绿源污水处理有限公司进一步处理。</w:t>
            </w:r>
          </w:p>
          <w:p w14:paraId="174562D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项目给排水平衡见下表：</w:t>
            </w:r>
          </w:p>
          <w:p w14:paraId="730D6248">
            <w:pPr>
              <w:pStyle w:val="187"/>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表2-</w:t>
            </w:r>
            <w:r>
              <w:rPr>
                <w:rFonts w:hint="eastAsia" w:cs="Times New Roman"/>
                <w:smallCaps w:val="0"/>
                <w:color w:val="auto"/>
                <w:spacing w:val="0"/>
                <w:highlight w:val="none"/>
                <w:lang w:val="en-US" w:eastAsia="zh-CN"/>
              </w:rPr>
              <w:t>5</w:t>
            </w:r>
            <w:r>
              <w:rPr>
                <w:rFonts w:hint="default" w:ascii="Times New Roman" w:hAnsi="Times New Roman" w:cs="Times New Roman"/>
                <w:smallCaps w:val="0"/>
                <w:color w:val="auto"/>
                <w:spacing w:val="0"/>
                <w:highlight w:val="none"/>
              </w:rPr>
              <w:t xml:space="preserve">    本项目给排水平衡表   单位：m³/</w:t>
            </w:r>
            <w:r>
              <w:rPr>
                <w:rFonts w:hint="eastAsia" w:cs="Times New Roman"/>
                <w:smallCaps w:val="0"/>
                <w:color w:val="auto"/>
                <w:spacing w:val="0"/>
                <w:highlight w:val="none"/>
                <w:lang w:val="en-US" w:eastAsia="zh-CN"/>
              </w:rPr>
              <w:t>d</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987"/>
              <w:gridCol w:w="987"/>
              <w:gridCol w:w="987"/>
              <w:gridCol w:w="987"/>
              <w:gridCol w:w="988"/>
              <w:gridCol w:w="1631"/>
            </w:tblGrid>
            <w:tr w14:paraId="7C34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4" w:type="pct"/>
                  <w:vAlign w:val="center"/>
                </w:tcPr>
                <w:p w14:paraId="3AA1DB75">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用水工序</w:t>
                  </w:r>
                </w:p>
              </w:tc>
              <w:tc>
                <w:tcPr>
                  <w:tcW w:w="605" w:type="pct"/>
                  <w:vAlign w:val="center"/>
                </w:tcPr>
                <w:p w14:paraId="7E62D1A3">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总用水量</w:t>
                  </w:r>
                </w:p>
              </w:tc>
              <w:tc>
                <w:tcPr>
                  <w:tcW w:w="605" w:type="pct"/>
                  <w:vAlign w:val="center"/>
                </w:tcPr>
                <w:p w14:paraId="7217E0FB">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新鲜水量</w:t>
                  </w:r>
                </w:p>
              </w:tc>
              <w:tc>
                <w:tcPr>
                  <w:tcW w:w="605" w:type="pct"/>
                  <w:vAlign w:val="center"/>
                </w:tcPr>
                <w:p w14:paraId="11AFE6D4">
                  <w:pPr>
                    <w:pStyle w:val="67"/>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回用水量</w:t>
                  </w:r>
                </w:p>
              </w:tc>
              <w:tc>
                <w:tcPr>
                  <w:tcW w:w="605" w:type="pct"/>
                  <w:vAlign w:val="center"/>
                </w:tcPr>
                <w:p w14:paraId="07BE2E11">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损耗水量</w:t>
                  </w:r>
                </w:p>
              </w:tc>
              <w:tc>
                <w:tcPr>
                  <w:tcW w:w="605" w:type="pct"/>
                  <w:vAlign w:val="center"/>
                </w:tcPr>
                <w:p w14:paraId="6808AAF5">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废水产生量</w:t>
                  </w:r>
                </w:p>
              </w:tc>
              <w:tc>
                <w:tcPr>
                  <w:tcW w:w="999" w:type="pct"/>
                  <w:vAlign w:val="center"/>
                </w:tcPr>
                <w:p w14:paraId="3DB81BD9">
                  <w:pPr>
                    <w:pStyle w:val="67"/>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废水去向</w:t>
                  </w:r>
                </w:p>
              </w:tc>
            </w:tr>
            <w:tr w14:paraId="6C32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4" w:type="pct"/>
                  <w:vAlign w:val="center"/>
                </w:tcPr>
                <w:p w14:paraId="64CE39F8">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设备冷却水</w:t>
                  </w:r>
                </w:p>
              </w:tc>
              <w:tc>
                <w:tcPr>
                  <w:tcW w:w="605" w:type="pct"/>
                  <w:vAlign w:val="center"/>
                </w:tcPr>
                <w:p w14:paraId="01366614">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40.8</w:t>
                  </w:r>
                </w:p>
              </w:tc>
              <w:tc>
                <w:tcPr>
                  <w:tcW w:w="605" w:type="pct"/>
                  <w:vAlign w:val="center"/>
                </w:tcPr>
                <w:p w14:paraId="39F9D72E">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0.8</w:t>
                  </w:r>
                </w:p>
              </w:tc>
              <w:tc>
                <w:tcPr>
                  <w:tcW w:w="605" w:type="pct"/>
                  <w:vAlign w:val="center"/>
                </w:tcPr>
                <w:p w14:paraId="35D001E7">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40</w:t>
                  </w:r>
                </w:p>
              </w:tc>
              <w:tc>
                <w:tcPr>
                  <w:tcW w:w="605" w:type="pct"/>
                  <w:vAlign w:val="center"/>
                </w:tcPr>
                <w:p w14:paraId="501A9711">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0.8</w:t>
                  </w:r>
                </w:p>
              </w:tc>
              <w:tc>
                <w:tcPr>
                  <w:tcW w:w="605" w:type="pct"/>
                  <w:vAlign w:val="center"/>
                </w:tcPr>
                <w:p w14:paraId="171674D4">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w:t>
                  </w:r>
                </w:p>
              </w:tc>
              <w:tc>
                <w:tcPr>
                  <w:tcW w:w="999" w:type="pct"/>
                  <w:vAlign w:val="center"/>
                </w:tcPr>
                <w:p w14:paraId="6BEB5180">
                  <w:pPr>
                    <w:keepNext w:val="0"/>
                    <w:keepLines w:val="0"/>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w:t>
                  </w:r>
                </w:p>
              </w:tc>
            </w:tr>
            <w:tr w14:paraId="025A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4" w:type="pct"/>
                  <w:vAlign w:val="center"/>
                </w:tcPr>
                <w:p w14:paraId="3DD8F6E0">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切削液用水</w:t>
                  </w:r>
                </w:p>
              </w:tc>
              <w:tc>
                <w:tcPr>
                  <w:tcW w:w="605" w:type="pct"/>
                  <w:vAlign w:val="center"/>
                </w:tcPr>
                <w:p w14:paraId="61C2F667">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0.001</w:t>
                  </w:r>
                </w:p>
              </w:tc>
              <w:tc>
                <w:tcPr>
                  <w:tcW w:w="605" w:type="pct"/>
                  <w:vAlign w:val="center"/>
                </w:tcPr>
                <w:p w14:paraId="54C51EB5">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0.001</w:t>
                  </w:r>
                </w:p>
              </w:tc>
              <w:tc>
                <w:tcPr>
                  <w:tcW w:w="605" w:type="pct"/>
                  <w:vAlign w:val="center"/>
                </w:tcPr>
                <w:p w14:paraId="3328C742">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w:t>
                  </w:r>
                </w:p>
              </w:tc>
              <w:tc>
                <w:tcPr>
                  <w:tcW w:w="605" w:type="pct"/>
                  <w:vAlign w:val="center"/>
                </w:tcPr>
                <w:p w14:paraId="0654FCF6">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0.001</w:t>
                  </w:r>
                </w:p>
              </w:tc>
              <w:tc>
                <w:tcPr>
                  <w:tcW w:w="605" w:type="pct"/>
                  <w:vAlign w:val="center"/>
                </w:tcPr>
                <w:p w14:paraId="5179C69F">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w:t>
                  </w:r>
                </w:p>
              </w:tc>
              <w:tc>
                <w:tcPr>
                  <w:tcW w:w="999" w:type="pct"/>
                  <w:vAlign w:val="center"/>
                </w:tcPr>
                <w:p w14:paraId="0E336E67">
                  <w:pPr>
                    <w:keepNext w:val="0"/>
                    <w:keepLines w:val="0"/>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w:t>
                  </w:r>
                </w:p>
              </w:tc>
            </w:tr>
            <w:tr w14:paraId="0789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4" w:type="pct"/>
                  <w:vAlign w:val="center"/>
                </w:tcPr>
                <w:p w14:paraId="3A15C304">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职工生活用水</w:t>
                  </w:r>
                </w:p>
              </w:tc>
              <w:tc>
                <w:tcPr>
                  <w:tcW w:w="605" w:type="pct"/>
                  <w:vAlign w:val="center"/>
                </w:tcPr>
                <w:p w14:paraId="5BD45B1A">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0.8</w:t>
                  </w:r>
                </w:p>
              </w:tc>
              <w:tc>
                <w:tcPr>
                  <w:tcW w:w="605" w:type="pct"/>
                  <w:vAlign w:val="center"/>
                </w:tcPr>
                <w:p w14:paraId="7DAF5CA7">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0.8</w:t>
                  </w:r>
                </w:p>
              </w:tc>
              <w:tc>
                <w:tcPr>
                  <w:tcW w:w="605" w:type="pct"/>
                  <w:vAlign w:val="center"/>
                </w:tcPr>
                <w:p w14:paraId="2B1198D8">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w:t>
                  </w:r>
                </w:p>
              </w:tc>
              <w:tc>
                <w:tcPr>
                  <w:tcW w:w="605" w:type="pct"/>
                  <w:vAlign w:val="center"/>
                </w:tcPr>
                <w:p w14:paraId="4FA611C1">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0.16</w:t>
                  </w:r>
                </w:p>
              </w:tc>
              <w:tc>
                <w:tcPr>
                  <w:tcW w:w="605" w:type="pct"/>
                  <w:vAlign w:val="center"/>
                </w:tcPr>
                <w:p w14:paraId="318B7AFF">
                  <w:pPr>
                    <w:pStyle w:val="67"/>
                    <w:keepNext w:val="0"/>
                    <w:keepLines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0.64</w:t>
                  </w:r>
                </w:p>
              </w:tc>
              <w:tc>
                <w:tcPr>
                  <w:tcW w:w="999" w:type="pct"/>
                  <w:vAlign w:val="center"/>
                </w:tcPr>
                <w:p w14:paraId="7C73EA2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szCs w:val="20"/>
                      <w:highlight w:val="none"/>
                      <w:lang w:val="en-US" w:eastAsia="zh-CN"/>
                    </w:rPr>
                  </w:pPr>
                  <w:r>
                    <w:rPr>
                      <w:rFonts w:hint="eastAsia"/>
                      <w:color w:val="auto"/>
                      <w:szCs w:val="20"/>
                      <w:highlight w:val="none"/>
                      <w:lang w:eastAsia="zh-CN"/>
                    </w:rPr>
                    <w:t>经集成式生物化粪池处理后经园区污水管网排入绿源污水处理有限公司进一步处理</w:t>
                  </w:r>
                </w:p>
              </w:tc>
            </w:tr>
            <w:tr w14:paraId="79A5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4" w:type="pct"/>
                  <w:vAlign w:val="center"/>
                </w:tcPr>
                <w:p w14:paraId="6BEBD375">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合计</w:t>
                  </w:r>
                </w:p>
              </w:tc>
              <w:tc>
                <w:tcPr>
                  <w:tcW w:w="987" w:type="dxa"/>
                  <w:vAlign w:val="center"/>
                </w:tcPr>
                <w:p w14:paraId="64E8666A">
                  <w:pPr>
                    <w:keepNext w:val="0"/>
                    <w:keepLines w:val="0"/>
                    <w:widowControl/>
                    <w:suppressLineNumbers w:val="0"/>
                    <w:spacing w:before="0" w:beforeAutospacing="0" w:after="0" w:afterAutospacing="0"/>
                    <w:ind w:left="0" w:right="0"/>
                    <w:jc w:val="center"/>
                    <w:textAlignment w:val="center"/>
                    <w:rPr>
                      <w:rFonts w:hint="eastAsia" w:cs="Times New Roman"/>
                      <w:bCs/>
                      <w:smallCaps w:val="0"/>
                      <w:color w:val="auto"/>
                      <w:spacing w:val="0"/>
                      <w:kern w:val="0"/>
                      <w:sz w:val="21"/>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41.601</w:t>
                  </w:r>
                </w:p>
              </w:tc>
              <w:tc>
                <w:tcPr>
                  <w:tcW w:w="987" w:type="dxa"/>
                  <w:vAlign w:val="center"/>
                </w:tcPr>
                <w:p w14:paraId="1F622E4C">
                  <w:pPr>
                    <w:keepNext w:val="0"/>
                    <w:keepLines w:val="0"/>
                    <w:widowControl/>
                    <w:suppressLineNumbers w:val="0"/>
                    <w:spacing w:before="0" w:beforeAutospacing="0" w:after="0" w:afterAutospacing="0"/>
                    <w:ind w:left="0" w:right="0"/>
                    <w:jc w:val="center"/>
                    <w:textAlignment w:val="center"/>
                    <w:rPr>
                      <w:rFonts w:hint="eastAsia" w:cs="Times New Roman"/>
                      <w:bCs/>
                      <w:smallCaps w:val="0"/>
                      <w:color w:val="auto"/>
                      <w:spacing w:val="0"/>
                      <w:kern w:val="0"/>
                      <w:sz w:val="21"/>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1.601</w:t>
                  </w:r>
                </w:p>
              </w:tc>
              <w:tc>
                <w:tcPr>
                  <w:tcW w:w="987" w:type="dxa"/>
                  <w:vAlign w:val="center"/>
                </w:tcPr>
                <w:p w14:paraId="3413DFC0">
                  <w:pPr>
                    <w:keepNext w:val="0"/>
                    <w:keepLines w:val="0"/>
                    <w:widowControl/>
                    <w:suppressLineNumbers w:val="0"/>
                    <w:spacing w:before="0" w:beforeAutospacing="0" w:after="0" w:afterAutospacing="0"/>
                    <w:ind w:left="0" w:right="0"/>
                    <w:jc w:val="center"/>
                    <w:textAlignment w:val="center"/>
                    <w:rPr>
                      <w:rFonts w:hint="eastAsia" w:cs="Times New Roman"/>
                      <w:bCs/>
                      <w:smallCaps w:val="0"/>
                      <w:color w:val="auto"/>
                      <w:spacing w:val="0"/>
                      <w:kern w:val="0"/>
                      <w:sz w:val="21"/>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987" w:type="dxa"/>
                  <w:vAlign w:val="center"/>
                </w:tcPr>
                <w:p w14:paraId="5A4081AB">
                  <w:pPr>
                    <w:keepNext w:val="0"/>
                    <w:keepLines w:val="0"/>
                    <w:widowControl/>
                    <w:suppressLineNumbers w:val="0"/>
                    <w:spacing w:before="0" w:beforeAutospacing="0" w:after="0" w:afterAutospacing="0"/>
                    <w:ind w:left="0" w:right="0"/>
                    <w:jc w:val="center"/>
                    <w:textAlignment w:val="center"/>
                    <w:rPr>
                      <w:rFonts w:hint="eastAsia" w:cs="Times New Roman"/>
                      <w:bCs/>
                      <w:smallCaps w:val="0"/>
                      <w:color w:val="auto"/>
                      <w:spacing w:val="0"/>
                      <w:kern w:val="0"/>
                      <w:sz w:val="21"/>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0.961</w:t>
                  </w:r>
                </w:p>
              </w:tc>
              <w:tc>
                <w:tcPr>
                  <w:tcW w:w="988" w:type="dxa"/>
                  <w:vAlign w:val="center"/>
                </w:tcPr>
                <w:p w14:paraId="2B722B17">
                  <w:pPr>
                    <w:keepNext w:val="0"/>
                    <w:keepLines w:val="0"/>
                    <w:widowControl/>
                    <w:suppressLineNumbers w:val="0"/>
                    <w:spacing w:before="0" w:beforeAutospacing="0" w:after="0" w:afterAutospacing="0"/>
                    <w:ind w:left="0" w:right="0"/>
                    <w:jc w:val="center"/>
                    <w:textAlignment w:val="center"/>
                    <w:rPr>
                      <w:rFonts w:hint="eastAsia"/>
                      <w:color w:val="auto"/>
                      <w:szCs w:val="2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999" w:type="pct"/>
                  <w:vAlign w:val="center"/>
                </w:tcPr>
                <w:p w14:paraId="1DFDF7CF">
                  <w:pPr>
                    <w:keepNext w:val="0"/>
                    <w:keepLines w:val="0"/>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w:t>
                  </w:r>
                </w:p>
              </w:tc>
            </w:tr>
          </w:tbl>
          <w:p w14:paraId="76406AE5">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r>
              <w:rPr>
                <w:rFonts w:hint="default"/>
                <w:color w:val="auto"/>
                <w:sz w:val="24"/>
                <w:szCs w:val="20"/>
                <w:highlight w:val="none"/>
              </w:rPr>
              <mc:AlternateContent>
                <mc:Choice Requires="wpg">
                  <w:drawing>
                    <wp:anchor distT="0" distB="0" distL="114300" distR="114300" simplePos="0" relativeHeight="251676672" behindDoc="0" locked="0" layoutInCell="1" allowOverlap="1">
                      <wp:simplePos x="0" y="0"/>
                      <wp:positionH relativeFrom="column">
                        <wp:posOffset>384175</wp:posOffset>
                      </wp:positionH>
                      <wp:positionV relativeFrom="paragraph">
                        <wp:posOffset>33655</wp:posOffset>
                      </wp:positionV>
                      <wp:extent cx="4566920" cy="2116455"/>
                      <wp:effectExtent l="0" t="0" r="0" b="0"/>
                      <wp:wrapNone/>
                      <wp:docPr id="11" name="组合 11"/>
                      <wp:cNvGraphicFramePr/>
                      <a:graphic xmlns:a="http://schemas.openxmlformats.org/drawingml/2006/main">
                        <a:graphicData uri="http://schemas.microsoft.com/office/word/2010/wordprocessingGroup">
                          <wpg:wgp>
                            <wpg:cNvGrpSpPr/>
                            <wpg:grpSpPr>
                              <a:xfrm>
                                <a:off x="0" y="0"/>
                                <a:ext cx="4566920" cy="2116455"/>
                                <a:chOff x="4461" y="790566"/>
                                <a:chExt cx="7192" cy="3333"/>
                              </a:xfrm>
                            </wpg:grpSpPr>
                            <wps:wsp>
                              <wps:cNvPr id="22" name="矩形 22"/>
                              <wps:cNvSpPr/>
                              <wps:spPr>
                                <a:xfrm>
                                  <a:off x="6262" y="793241"/>
                                  <a:ext cx="1201" cy="467"/>
                                </a:xfrm>
                                <a:prstGeom prst="rect">
                                  <a:avLst/>
                                </a:prstGeom>
                                <a:noFill/>
                                <a:ln w="9525" cap="flat" cmpd="sng">
                                  <a:solidFill>
                                    <a:srgbClr val="000000"/>
                                  </a:solidFill>
                                  <a:prstDash val="solid"/>
                                  <a:miter/>
                                  <a:headEnd type="none" w="med" len="med"/>
                                  <a:tailEnd type="none" w="med" len="med"/>
                                </a:ln>
                              </wps:spPr>
                              <wps:txbx>
                                <w:txbxContent>
                                  <w:p w14:paraId="02181D64">
                                    <w:pPr>
                                      <w:jc w:val="center"/>
                                      <w:rPr>
                                        <w:rFonts w:hint="eastAsia" w:eastAsia="宋体"/>
                                        <w:lang w:eastAsia="zh-CN"/>
                                      </w:rPr>
                                    </w:pPr>
                                    <w:r>
                                      <w:rPr>
                                        <w:rFonts w:hint="eastAsia"/>
                                        <w:lang w:eastAsia="zh-CN"/>
                                      </w:rPr>
                                      <w:t>生活用水</w:t>
                                    </w:r>
                                  </w:p>
                                </w:txbxContent>
                              </wps:txbx>
                              <wps:bodyPr upright="1"/>
                            </wps:wsp>
                            <wps:wsp>
                              <wps:cNvPr id="29" name="文本框 29"/>
                              <wps:cNvSpPr txBox="1"/>
                              <wps:spPr>
                                <a:xfrm>
                                  <a:off x="4461" y="791731"/>
                                  <a:ext cx="1096" cy="989"/>
                                </a:xfrm>
                                <a:prstGeom prst="rect">
                                  <a:avLst/>
                                </a:prstGeom>
                                <a:noFill/>
                                <a:ln>
                                  <a:noFill/>
                                </a:ln>
                              </wps:spPr>
                              <wps:txbx>
                                <w:txbxContent>
                                  <w:p w14:paraId="1E6C041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eastAsia="宋体"/>
                                        <w:sz w:val="21"/>
                                        <w:szCs w:val="21"/>
                                        <w:lang w:val="en-US" w:eastAsia="zh-CN"/>
                                      </w:rPr>
                                    </w:pPr>
                                    <w:r>
                                      <w:rPr>
                                        <w:rFonts w:hint="eastAsia"/>
                                        <w:sz w:val="21"/>
                                        <w:szCs w:val="21"/>
                                      </w:rPr>
                                      <w:t>新鲜水</w:t>
                                    </w:r>
                                    <w:r>
                                      <w:rPr>
                                        <w:rFonts w:hint="eastAsia"/>
                                        <w:sz w:val="21"/>
                                        <w:szCs w:val="21"/>
                                        <w:lang w:val="en-US" w:eastAsia="zh-CN"/>
                                      </w:rPr>
                                      <w:t>1.601</w:t>
                                    </w:r>
                                  </w:p>
                                </w:txbxContent>
                              </wps:txbx>
                              <wps:bodyPr upright="1"/>
                            </wps:wsp>
                            <wps:wsp>
                              <wps:cNvPr id="34" name="直接箭头连接符 34"/>
                              <wps:cNvCnPr/>
                              <wps:spPr>
                                <a:xfrm>
                                  <a:off x="5527" y="793472"/>
                                  <a:ext cx="726" cy="0"/>
                                </a:xfrm>
                                <a:prstGeom prst="straightConnector1">
                                  <a:avLst/>
                                </a:prstGeom>
                                <a:ln w="9525" cap="flat" cmpd="sng">
                                  <a:solidFill>
                                    <a:srgbClr val="000000"/>
                                  </a:solidFill>
                                  <a:prstDash val="solid"/>
                                  <a:round/>
                                  <a:headEnd type="none" w="med" len="med"/>
                                  <a:tailEnd type="triangle" w="med" len="med"/>
                                </a:ln>
                              </wps:spPr>
                              <wps:bodyPr/>
                            </wps:wsp>
                            <wps:wsp>
                              <wps:cNvPr id="43" name="文本框 43"/>
                              <wps:cNvSpPr txBox="1"/>
                              <wps:spPr>
                                <a:xfrm>
                                  <a:off x="5548" y="793073"/>
                                  <a:ext cx="563" cy="435"/>
                                </a:xfrm>
                                <a:prstGeom prst="rect">
                                  <a:avLst/>
                                </a:prstGeom>
                                <a:noFill/>
                                <a:ln>
                                  <a:noFill/>
                                </a:ln>
                              </wps:spPr>
                              <wps:txbx>
                                <w:txbxContent>
                                  <w:p w14:paraId="2471AD97">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xbxContent>
                              </wps:txbx>
                              <wps:bodyPr upright="1"/>
                            </wps:wsp>
                            <wps:wsp>
                              <wps:cNvPr id="44" name="文本框 44"/>
                              <wps:cNvSpPr txBox="1"/>
                              <wps:spPr>
                                <a:xfrm>
                                  <a:off x="7758" y="793123"/>
                                  <a:ext cx="812" cy="411"/>
                                </a:xfrm>
                                <a:prstGeom prst="rect">
                                  <a:avLst/>
                                </a:prstGeom>
                                <a:noFill/>
                                <a:ln>
                                  <a:noFill/>
                                </a:ln>
                              </wps:spPr>
                              <wps:txbx>
                                <w:txbxContent>
                                  <w:p w14:paraId="138FF4C2">
                                    <w:pPr>
                                      <w:rPr>
                                        <w:rFonts w:hint="default" w:eastAsia="宋体"/>
                                        <w:sz w:val="21"/>
                                        <w:szCs w:val="21"/>
                                        <w:lang w:val="en-US" w:eastAsia="zh-CN"/>
                                      </w:rPr>
                                    </w:pPr>
                                    <w:r>
                                      <w:rPr>
                                        <w:rFonts w:hint="eastAsia"/>
                                        <w:sz w:val="21"/>
                                        <w:szCs w:val="21"/>
                                        <w:lang w:val="en-US" w:eastAsia="zh-CN"/>
                                      </w:rPr>
                                      <w:t>0.64</w:t>
                                    </w:r>
                                  </w:p>
                                </w:txbxContent>
                              </wps:txbx>
                              <wps:bodyPr upright="1"/>
                            </wps:wsp>
                            <wps:wsp>
                              <wps:cNvPr id="69" name="直接连接符 69"/>
                              <wps:cNvCnPr/>
                              <wps:spPr>
                                <a:xfrm>
                                  <a:off x="7475" y="793470"/>
                                  <a:ext cx="1067" cy="1"/>
                                </a:xfrm>
                                <a:prstGeom prst="line">
                                  <a:avLst/>
                                </a:prstGeom>
                                <a:ln w="6350" cap="flat" cmpd="sng">
                                  <a:solidFill>
                                    <a:srgbClr val="000000"/>
                                  </a:solidFill>
                                  <a:prstDash val="solid"/>
                                  <a:miter/>
                                  <a:headEnd type="none" w="med" len="med"/>
                                  <a:tailEnd type="triangle" w="med" len="med"/>
                                </a:ln>
                              </wps:spPr>
                              <wps:bodyPr upright="1"/>
                            </wps:wsp>
                            <wps:wsp>
                              <wps:cNvPr id="70" name="矩形 70"/>
                              <wps:cNvSpPr/>
                              <wps:spPr>
                                <a:xfrm>
                                  <a:off x="8399" y="792901"/>
                                  <a:ext cx="3255" cy="999"/>
                                </a:xfrm>
                                <a:prstGeom prst="rect">
                                  <a:avLst/>
                                </a:prstGeom>
                                <a:noFill/>
                                <a:ln>
                                  <a:noFill/>
                                </a:ln>
                              </wps:spPr>
                              <wps:txbx>
                                <w:txbxContent>
                                  <w:p w14:paraId="1E15E45D">
                                    <w:pPr>
                                      <w:jc w:val="center"/>
                                      <w:rPr>
                                        <w:rFonts w:hint="eastAsia"/>
                                        <w:lang w:eastAsia="zh-CN"/>
                                      </w:rPr>
                                    </w:pPr>
                                    <w:r>
                                      <w:rPr>
                                        <w:rFonts w:hint="eastAsia"/>
                                        <w:lang w:eastAsia="zh-CN"/>
                                      </w:rPr>
                                      <w:t>经集成式生物化粪池处理后经园区污水管网排入绿源污水处理有限公司进一步处理</w:t>
                                    </w:r>
                                  </w:p>
                                </w:txbxContent>
                              </wps:txbx>
                              <wps:bodyPr upright="1"/>
                            </wps:wsp>
                            <wps:wsp>
                              <wps:cNvPr id="48" name="矩形 48"/>
                              <wps:cNvSpPr/>
                              <wps:spPr>
                                <a:xfrm>
                                  <a:off x="6241" y="790885"/>
                                  <a:ext cx="2066" cy="467"/>
                                </a:xfrm>
                                <a:prstGeom prst="rect">
                                  <a:avLst/>
                                </a:prstGeom>
                                <a:noFill/>
                                <a:ln w="9525" cap="flat" cmpd="sng">
                                  <a:solidFill>
                                    <a:srgbClr val="000000"/>
                                  </a:solidFill>
                                  <a:prstDash val="solid"/>
                                  <a:miter/>
                                  <a:headEnd type="none" w="med" len="med"/>
                                  <a:tailEnd type="none" w="med" len="med"/>
                                </a:ln>
                              </wps:spPr>
                              <wps:txbx>
                                <w:txbxContent>
                                  <w:p w14:paraId="76CFF5F5">
                                    <w:pPr>
                                      <w:jc w:val="center"/>
                                      <w:rPr>
                                        <w:rFonts w:hint="default" w:eastAsia="宋体"/>
                                        <w:lang w:val="en-US" w:eastAsia="zh-CN"/>
                                      </w:rPr>
                                    </w:pPr>
                                    <w:r>
                                      <w:rPr>
                                        <w:rFonts w:hint="eastAsia"/>
                                        <w:lang w:val="en-US" w:eastAsia="zh-CN"/>
                                      </w:rPr>
                                      <w:t>设备冷却水</w:t>
                                    </w:r>
                                  </w:p>
                                </w:txbxContent>
                              </wps:txbx>
                              <wps:bodyPr upright="1"/>
                            </wps:wsp>
                            <wps:wsp>
                              <wps:cNvPr id="50" name="直接箭头连接符 50"/>
                              <wps:cNvCnPr/>
                              <wps:spPr>
                                <a:xfrm>
                                  <a:off x="5506" y="791116"/>
                                  <a:ext cx="726" cy="0"/>
                                </a:xfrm>
                                <a:prstGeom prst="straightConnector1">
                                  <a:avLst/>
                                </a:prstGeom>
                                <a:ln w="9525" cap="flat" cmpd="sng">
                                  <a:solidFill>
                                    <a:srgbClr val="000000"/>
                                  </a:solidFill>
                                  <a:prstDash val="solid"/>
                                  <a:round/>
                                  <a:headEnd type="none" w="med" len="med"/>
                                  <a:tailEnd type="triangle" w="med" len="med"/>
                                </a:ln>
                              </wps:spPr>
                              <wps:bodyPr/>
                            </wps:wsp>
                            <wps:wsp>
                              <wps:cNvPr id="45" name="文本框 45"/>
                              <wps:cNvSpPr txBox="1"/>
                              <wps:spPr>
                                <a:xfrm>
                                  <a:off x="5527" y="790717"/>
                                  <a:ext cx="563" cy="435"/>
                                </a:xfrm>
                                <a:prstGeom prst="rect">
                                  <a:avLst/>
                                </a:prstGeom>
                                <a:noFill/>
                                <a:ln>
                                  <a:noFill/>
                                </a:ln>
                              </wps:spPr>
                              <wps:txbx>
                                <w:txbxContent>
                                  <w:p w14:paraId="4B2AD634">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xbxContent>
                              </wps:txbx>
                              <wps:bodyPr upright="1"/>
                            </wps:wsp>
                            <wps:wsp>
                              <wps:cNvPr id="65" name="矩形 65"/>
                              <wps:cNvSpPr/>
                              <wps:spPr>
                                <a:xfrm>
                                  <a:off x="6252" y="792005"/>
                                  <a:ext cx="2066" cy="467"/>
                                </a:xfrm>
                                <a:prstGeom prst="rect">
                                  <a:avLst/>
                                </a:prstGeom>
                                <a:noFill/>
                                <a:ln w="9525" cap="flat" cmpd="sng">
                                  <a:solidFill>
                                    <a:srgbClr val="000000"/>
                                  </a:solidFill>
                                  <a:prstDash val="solid"/>
                                  <a:miter/>
                                  <a:headEnd type="none" w="med" len="med"/>
                                  <a:tailEnd type="none" w="med" len="med"/>
                                </a:ln>
                              </wps:spPr>
                              <wps:txbx>
                                <w:txbxContent>
                                  <w:p w14:paraId="371A8856">
                                    <w:pPr>
                                      <w:jc w:val="center"/>
                                      <w:rPr>
                                        <w:rFonts w:hint="default" w:eastAsia="宋体"/>
                                        <w:lang w:val="en-US" w:eastAsia="zh-CN"/>
                                      </w:rPr>
                                    </w:pPr>
                                    <w:r>
                                      <w:rPr>
                                        <w:rFonts w:hint="eastAsia"/>
                                        <w:lang w:val="en-US" w:eastAsia="zh-CN"/>
                                      </w:rPr>
                                      <w:t>切削液配制用水</w:t>
                                    </w:r>
                                  </w:p>
                                </w:txbxContent>
                              </wps:txbx>
                              <wps:bodyPr upright="1"/>
                            </wps:wsp>
                            <wps:wsp>
                              <wps:cNvPr id="67" name="直接箭头连接符 67"/>
                              <wps:cNvCnPr/>
                              <wps:spPr>
                                <a:xfrm>
                                  <a:off x="5517" y="792236"/>
                                  <a:ext cx="726" cy="0"/>
                                </a:xfrm>
                                <a:prstGeom prst="straightConnector1">
                                  <a:avLst/>
                                </a:prstGeom>
                                <a:ln w="9525" cap="flat" cmpd="sng">
                                  <a:solidFill>
                                    <a:srgbClr val="000000"/>
                                  </a:solidFill>
                                  <a:prstDash val="solid"/>
                                  <a:round/>
                                  <a:headEnd type="none" w="med" len="med"/>
                                  <a:tailEnd type="triangle" w="med" len="med"/>
                                </a:ln>
                              </wps:spPr>
                              <wps:bodyPr/>
                            </wps:wsp>
                            <wps:wsp>
                              <wps:cNvPr id="55" name="文本框 55"/>
                              <wps:cNvSpPr txBox="1"/>
                              <wps:spPr>
                                <a:xfrm>
                                  <a:off x="5538" y="791837"/>
                                  <a:ext cx="779" cy="435"/>
                                </a:xfrm>
                                <a:prstGeom prst="rect">
                                  <a:avLst/>
                                </a:prstGeom>
                                <a:noFill/>
                                <a:ln>
                                  <a:noFill/>
                                </a:ln>
                              </wps:spPr>
                              <wps:txbx>
                                <w:txbxContent>
                                  <w:p w14:paraId="6DAA5ABA">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xbxContent>
                              </wps:txbx>
                              <wps:bodyPr upright="1"/>
                            </wps:wsp>
                            <wps:wsp>
                              <wps:cNvPr id="71" name="直接连接符 71"/>
                              <wps:cNvCnPr>
                                <a:endCxn id="72" idx="1"/>
                              </wps:cNvCnPr>
                              <wps:spPr>
                                <a:xfrm flipV="1">
                                  <a:off x="6762" y="790767"/>
                                  <a:ext cx="556" cy="117"/>
                                </a:xfrm>
                                <a:prstGeom prst="line">
                                  <a:avLst/>
                                </a:prstGeom>
                                <a:ln w="9525" cap="flat" cmpd="sng">
                                  <a:solidFill>
                                    <a:srgbClr val="000000"/>
                                  </a:solidFill>
                                  <a:prstDash val="dash"/>
                                  <a:headEnd type="none" w="med" len="med"/>
                                  <a:tailEnd type="triangle" w="med" len="med"/>
                                </a:ln>
                              </wps:spPr>
                              <wps:bodyPr upright="1"/>
                            </wps:wsp>
                            <wps:wsp>
                              <wps:cNvPr id="72" name="文本框 72"/>
                              <wps:cNvSpPr txBox="1"/>
                              <wps:spPr>
                                <a:xfrm>
                                  <a:off x="7318" y="790566"/>
                                  <a:ext cx="748" cy="402"/>
                                </a:xfrm>
                                <a:prstGeom prst="rect">
                                  <a:avLst/>
                                </a:prstGeom>
                                <a:noFill/>
                                <a:ln>
                                  <a:noFill/>
                                </a:ln>
                              </wps:spPr>
                              <wps:txbx>
                                <w:txbxContent>
                                  <w:p w14:paraId="0FFC9A3C">
                                    <w:pPr>
                                      <w:rPr>
                                        <w:rFonts w:hint="default" w:eastAsia="宋体"/>
                                        <w:sz w:val="21"/>
                                        <w:szCs w:val="21"/>
                                        <w:lang w:val="en-US" w:eastAsia="zh-CN"/>
                                      </w:rPr>
                                    </w:pPr>
                                    <w:r>
                                      <w:rPr>
                                        <w:rFonts w:hint="eastAsia"/>
                                        <w:sz w:val="21"/>
                                        <w:szCs w:val="21"/>
                                        <w:lang w:val="en-US" w:eastAsia="zh-CN"/>
                                      </w:rPr>
                                      <w:t>0.8</w:t>
                                    </w:r>
                                  </w:p>
                                </w:txbxContent>
                              </wps:txbx>
                              <wps:bodyPr upright="1"/>
                            </wps:wsp>
                            <wps:wsp>
                              <wps:cNvPr id="74" name="直接连接符 74"/>
                              <wps:cNvCnPr>
                                <a:endCxn id="76" idx="1"/>
                              </wps:cNvCnPr>
                              <wps:spPr>
                                <a:xfrm flipV="1">
                                  <a:off x="6431" y="793133"/>
                                  <a:ext cx="556" cy="117"/>
                                </a:xfrm>
                                <a:prstGeom prst="line">
                                  <a:avLst/>
                                </a:prstGeom>
                                <a:ln w="9525" cap="flat" cmpd="sng">
                                  <a:solidFill>
                                    <a:srgbClr val="000000"/>
                                  </a:solidFill>
                                  <a:prstDash val="dash"/>
                                  <a:headEnd type="none" w="med" len="med"/>
                                  <a:tailEnd type="triangle" w="med" len="med"/>
                                </a:ln>
                              </wps:spPr>
                              <wps:bodyPr upright="1"/>
                            </wps:wsp>
                            <wps:wsp>
                              <wps:cNvPr id="76" name="文本框 76"/>
                              <wps:cNvSpPr txBox="1"/>
                              <wps:spPr>
                                <a:xfrm>
                                  <a:off x="6987" y="792932"/>
                                  <a:ext cx="748" cy="402"/>
                                </a:xfrm>
                                <a:prstGeom prst="rect">
                                  <a:avLst/>
                                </a:prstGeom>
                                <a:noFill/>
                                <a:ln>
                                  <a:noFill/>
                                </a:ln>
                              </wps:spPr>
                              <wps:txbx>
                                <w:txbxContent>
                                  <w:p w14:paraId="5D50D262">
                                    <w:pPr>
                                      <w:rPr>
                                        <w:rFonts w:hint="default" w:eastAsia="宋体"/>
                                        <w:sz w:val="21"/>
                                        <w:szCs w:val="21"/>
                                        <w:lang w:val="en-US" w:eastAsia="zh-CN"/>
                                      </w:rPr>
                                    </w:pPr>
                                    <w:r>
                                      <w:rPr>
                                        <w:rFonts w:hint="eastAsia"/>
                                        <w:sz w:val="21"/>
                                        <w:szCs w:val="21"/>
                                        <w:lang w:val="en-US" w:eastAsia="zh-CN"/>
                                      </w:rPr>
                                      <w:t>0.16</w:t>
                                    </w:r>
                                  </w:p>
                                </w:txbxContent>
                              </wps:txbx>
                              <wps:bodyPr upright="1"/>
                            </wps:wsp>
                            <wps:wsp>
                              <wps:cNvPr id="77" name="直接连接符 77"/>
                              <wps:cNvCnPr/>
                              <wps:spPr>
                                <a:xfrm>
                                  <a:off x="5504" y="791095"/>
                                  <a:ext cx="0" cy="2379"/>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8" name="直接箭头连接符 78"/>
                              <wps:cNvCnPr/>
                              <wps:spPr>
                                <a:xfrm>
                                  <a:off x="4779" y="792222"/>
                                  <a:ext cx="726" cy="0"/>
                                </a:xfrm>
                                <a:prstGeom prst="straightConnector1">
                                  <a:avLst/>
                                </a:prstGeom>
                                <a:ln w="9525" cap="flat" cmpd="sng">
                                  <a:solidFill>
                                    <a:srgbClr val="000000"/>
                                  </a:solidFill>
                                  <a:prstDash val="solid"/>
                                  <a:round/>
                                  <a:headEnd type="none" w="med" len="med"/>
                                  <a:tailEnd type="triangle" w="med" len="med"/>
                                </a:ln>
                              </wps:spPr>
                              <wps:bodyPr/>
                            </wps:wsp>
                            <wps:wsp>
                              <wps:cNvPr id="79" name="任意多边形 79"/>
                              <wps:cNvSpPr/>
                              <wps:spPr>
                                <a:xfrm>
                                  <a:off x="7322" y="791104"/>
                                  <a:ext cx="1645" cy="562"/>
                                </a:xfrm>
                                <a:custGeom>
                                  <a:avLst/>
                                  <a:gdLst>
                                    <a:gd name="connisteX0" fmla="*/ 622935 w 1044575"/>
                                    <a:gd name="connsiteY0" fmla="*/ 0 h 356870"/>
                                    <a:gd name="connisteX1" fmla="*/ 1044575 w 1044575"/>
                                    <a:gd name="connsiteY1" fmla="*/ 0 h 356870"/>
                                    <a:gd name="connisteX2" fmla="*/ 1044575 w 1044575"/>
                                    <a:gd name="connsiteY2" fmla="*/ 356870 h 356870"/>
                                    <a:gd name="connisteX3" fmla="*/ 9525 w 1044575"/>
                                    <a:gd name="connsiteY3" fmla="*/ 356870 h 356870"/>
                                    <a:gd name="connisteX4" fmla="*/ 9525 w 1044575"/>
                                    <a:gd name="connsiteY4" fmla="*/ 165100 h 356870"/>
                                    <a:gd name="connisteX5" fmla="*/ 0 w 1044575"/>
                                    <a:gd name="connsiteY5" fmla="*/ 165100 h 3568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44575" h="356870">
                                      <a:moveTo>
                                        <a:pt x="622935" y="0"/>
                                      </a:moveTo>
                                      <a:lnTo>
                                        <a:pt x="1044575" y="0"/>
                                      </a:lnTo>
                                      <a:lnTo>
                                        <a:pt x="1044575" y="356870"/>
                                      </a:lnTo>
                                      <a:lnTo>
                                        <a:pt x="9525" y="356870"/>
                                      </a:lnTo>
                                      <a:lnTo>
                                        <a:pt x="9525" y="165100"/>
                                      </a:lnTo>
                                      <a:lnTo>
                                        <a:pt x="0" y="165100"/>
                                      </a:lnTo>
                                    </a:path>
                                  </a:pathLst>
                                </a:custGeom>
                                <a:noFill/>
                                <a:ln>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bodyPr/>
                            </wps:wsp>
                            <wps:wsp>
                              <wps:cNvPr id="80" name="文本框 80"/>
                              <wps:cNvSpPr txBox="1"/>
                              <wps:spPr>
                                <a:xfrm>
                                  <a:off x="8178" y="791311"/>
                                  <a:ext cx="748" cy="402"/>
                                </a:xfrm>
                                <a:prstGeom prst="rect">
                                  <a:avLst/>
                                </a:prstGeom>
                                <a:noFill/>
                                <a:ln>
                                  <a:noFill/>
                                </a:ln>
                              </wps:spPr>
                              <wps:txbx>
                                <w:txbxContent>
                                  <w:p w14:paraId="13C8AC60">
                                    <w:pPr>
                                      <w:rPr>
                                        <w:rFonts w:hint="default" w:eastAsia="宋体"/>
                                        <w:sz w:val="21"/>
                                        <w:szCs w:val="21"/>
                                        <w:lang w:val="en-US" w:eastAsia="zh-CN"/>
                                      </w:rPr>
                                    </w:pPr>
                                    <w:r>
                                      <w:rPr>
                                        <w:rFonts w:hint="eastAsia"/>
                                        <w:sz w:val="21"/>
                                        <w:szCs w:val="21"/>
                                        <w:lang w:val="en-US" w:eastAsia="zh-CN"/>
                                      </w:rPr>
                                      <w:t>40</w:t>
                                    </w:r>
                                  </w:p>
                                </w:txbxContent>
                              </wps:txbx>
                              <wps:bodyPr upright="1"/>
                            </wps:wsp>
                            <wps:wsp>
                              <wps:cNvPr id="6" name="矩形 6"/>
                              <wps:cNvSpPr/>
                              <wps:spPr>
                                <a:xfrm>
                                  <a:off x="9045" y="792006"/>
                                  <a:ext cx="2066" cy="467"/>
                                </a:xfrm>
                                <a:prstGeom prst="rect">
                                  <a:avLst/>
                                </a:prstGeom>
                                <a:noFill/>
                                <a:ln w="9525" cap="flat" cmpd="sng">
                                  <a:solidFill>
                                    <a:srgbClr val="000000"/>
                                  </a:solidFill>
                                  <a:prstDash val="solid"/>
                                  <a:miter/>
                                  <a:headEnd type="none" w="med" len="med"/>
                                  <a:tailEnd type="none" w="med" len="med"/>
                                </a:ln>
                              </wps:spPr>
                              <wps:txbx>
                                <w:txbxContent>
                                  <w:p w14:paraId="6CB4E110">
                                    <w:pPr>
                                      <w:jc w:val="center"/>
                                      <w:rPr>
                                        <w:rFonts w:hint="default" w:eastAsia="宋体"/>
                                        <w:lang w:val="en-US" w:eastAsia="zh-CN"/>
                                      </w:rPr>
                                    </w:pPr>
                                    <w:r>
                                      <w:rPr>
                                        <w:rFonts w:hint="eastAsia"/>
                                        <w:lang w:val="en-US" w:eastAsia="zh-CN"/>
                                      </w:rPr>
                                      <w:t>切削液使用过程中</w:t>
                                    </w:r>
                                  </w:p>
                                </w:txbxContent>
                              </wps:txbx>
                              <wps:bodyPr upright="1"/>
                            </wps:wsp>
                            <wps:wsp>
                              <wps:cNvPr id="5" name="直接连接符 5"/>
                              <wps:cNvCnPr>
                                <a:endCxn id="4" idx="1"/>
                              </wps:cNvCnPr>
                              <wps:spPr>
                                <a:xfrm flipV="1">
                                  <a:off x="9547" y="791884"/>
                                  <a:ext cx="556" cy="117"/>
                                </a:xfrm>
                                <a:prstGeom prst="line">
                                  <a:avLst/>
                                </a:prstGeom>
                                <a:ln w="9525" cap="flat" cmpd="sng">
                                  <a:solidFill>
                                    <a:srgbClr val="000000"/>
                                  </a:solidFill>
                                  <a:prstDash val="dash"/>
                                  <a:headEnd type="none" w="med" len="med"/>
                                  <a:tailEnd type="triangle" w="med" len="med"/>
                                </a:ln>
                              </wps:spPr>
                              <wps:bodyPr upright="1"/>
                            </wps:wsp>
                            <wps:wsp>
                              <wps:cNvPr id="7" name="直接箭头连接符 7"/>
                              <wps:cNvCnPr/>
                              <wps:spPr>
                                <a:xfrm>
                                  <a:off x="8310" y="792237"/>
                                  <a:ext cx="726" cy="0"/>
                                </a:xfrm>
                                <a:prstGeom prst="straightConnector1">
                                  <a:avLst/>
                                </a:prstGeom>
                                <a:ln w="9525" cap="flat" cmpd="sng">
                                  <a:solidFill>
                                    <a:srgbClr val="000000"/>
                                  </a:solidFill>
                                  <a:prstDash val="solid"/>
                                  <a:round/>
                                  <a:headEnd type="none" w="med" len="med"/>
                                  <a:tailEnd type="triangle" w="med" len="med"/>
                                </a:ln>
                              </wps:spPr>
                              <wps:bodyPr/>
                            </wps:wsp>
                            <wps:wsp>
                              <wps:cNvPr id="4" name="文本框 4"/>
                              <wps:cNvSpPr txBox="1"/>
                              <wps:spPr>
                                <a:xfrm>
                                  <a:off x="10103" y="791683"/>
                                  <a:ext cx="1065" cy="402"/>
                                </a:xfrm>
                                <a:prstGeom prst="rect">
                                  <a:avLst/>
                                </a:prstGeom>
                                <a:noFill/>
                                <a:ln>
                                  <a:noFill/>
                                </a:ln>
                              </wps:spPr>
                              <wps:txbx>
                                <w:txbxContent>
                                  <w:p w14:paraId="65C5CB99">
                                    <w:pPr>
                                      <w:rPr>
                                        <w:rFonts w:hint="default" w:eastAsia="宋体"/>
                                        <w:sz w:val="21"/>
                                        <w:szCs w:val="21"/>
                                        <w:lang w:val="en-US" w:eastAsia="zh-CN"/>
                                      </w:rPr>
                                    </w:pPr>
                                    <w:r>
                                      <w:rPr>
                                        <w:rFonts w:hint="eastAsia"/>
                                        <w:sz w:val="21"/>
                                        <w:szCs w:val="21"/>
                                        <w:lang w:val="en-US" w:eastAsia="zh-CN"/>
                                      </w:rPr>
                                      <w:t>0.001</w:t>
                                    </w:r>
                                  </w:p>
                                </w:txbxContent>
                              </wps:txbx>
                              <wps:bodyPr upright="1"/>
                            </wps:wsp>
                            <wps:wsp>
                              <wps:cNvPr id="3" name="文本框 3"/>
                              <wps:cNvSpPr txBox="1"/>
                              <wps:spPr>
                                <a:xfrm>
                                  <a:off x="8331" y="791838"/>
                                  <a:ext cx="779" cy="435"/>
                                </a:xfrm>
                                <a:prstGeom prst="rect">
                                  <a:avLst/>
                                </a:prstGeom>
                                <a:noFill/>
                                <a:ln>
                                  <a:noFill/>
                                </a:ln>
                              </wps:spPr>
                              <wps:txbx>
                                <w:txbxContent>
                                  <w:p w14:paraId="4A620A51">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xbxContent>
                              </wps:txbx>
                              <wps:bodyPr upright="1"/>
                            </wps:wsp>
                          </wpg:wgp>
                        </a:graphicData>
                      </a:graphic>
                    </wp:anchor>
                  </w:drawing>
                </mc:Choice>
                <mc:Fallback>
                  <w:pict>
                    <v:group id="_x0000_s1026" o:spid="_x0000_s1026" o:spt="203" style="position:absolute;left:0pt;margin-left:30.25pt;margin-top:2.65pt;height:166.65pt;width:359.6pt;z-index:251676672;mso-width-relative:page;mso-height-relative:page;" coordorigin="4461,790566" coordsize="7192,3333" o:gfxdata="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">
                      <o:lock v:ext="edit" aspectratio="f"/>
                      <v:rect id="_x0000_s1026" o:spid="_x0000_s1026" o:spt="1" style="position:absolute;left:6262;top:793241;height:467;width:1201;" filled="f" stroked="t" coordsize="21600,21600" o:gfxdata="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NsO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2181D64">
                              <w:pPr>
                                <w:jc w:val="center"/>
                                <w:rPr>
                                  <w:rFonts w:hint="eastAsia" w:eastAsia="宋体"/>
                                  <w:lang w:eastAsia="zh-CN"/>
                                </w:rPr>
                              </w:pPr>
                              <w:r>
                                <w:rPr>
                                  <w:rFonts w:hint="eastAsia"/>
                                  <w:lang w:eastAsia="zh-CN"/>
                                </w:rPr>
                                <w:t>生活用水</w:t>
                              </w:r>
                            </w:p>
                          </w:txbxContent>
                        </v:textbox>
                      </v:rect>
                      <v:shape id="_x0000_s1026" o:spid="_x0000_s1026" o:spt="202" type="#_x0000_t202" style="position:absolute;left:4461;top:791731;height:989;width:1096;"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E6C041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eastAsia="宋体"/>
                                  <w:sz w:val="21"/>
                                  <w:szCs w:val="21"/>
                                  <w:lang w:val="en-US" w:eastAsia="zh-CN"/>
                                </w:rPr>
                              </w:pPr>
                              <w:r>
                                <w:rPr>
                                  <w:rFonts w:hint="eastAsia"/>
                                  <w:sz w:val="21"/>
                                  <w:szCs w:val="21"/>
                                </w:rPr>
                                <w:t>新鲜水</w:t>
                              </w:r>
                              <w:r>
                                <w:rPr>
                                  <w:rFonts w:hint="eastAsia"/>
                                  <w:sz w:val="21"/>
                                  <w:szCs w:val="21"/>
                                  <w:lang w:val="en-US" w:eastAsia="zh-CN"/>
                                </w:rPr>
                                <w:t>1.601</w:t>
                              </w:r>
                            </w:p>
                          </w:txbxContent>
                        </v:textbox>
                      </v:shape>
                      <v:shape id="_x0000_s1026" o:spid="_x0000_s1026" o:spt="32" type="#_x0000_t32" style="position:absolute;left:5527;top:793472;height:0;width:726;"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548;top:793073;height:435;width:563;"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471AD97">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xbxContent>
                        </v:textbox>
                      </v:shape>
                      <v:shape id="_x0000_s1026" o:spid="_x0000_s1026" o:spt="202" type="#_x0000_t202" style="position:absolute;left:7758;top:793123;height:411;width:812;"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38FF4C2">
                              <w:pPr>
                                <w:rPr>
                                  <w:rFonts w:hint="default" w:eastAsia="宋体"/>
                                  <w:sz w:val="21"/>
                                  <w:szCs w:val="21"/>
                                  <w:lang w:val="en-US" w:eastAsia="zh-CN"/>
                                </w:rPr>
                              </w:pPr>
                              <w:r>
                                <w:rPr>
                                  <w:rFonts w:hint="eastAsia"/>
                                  <w:sz w:val="21"/>
                                  <w:szCs w:val="21"/>
                                  <w:lang w:val="en-US" w:eastAsia="zh-CN"/>
                                </w:rPr>
                                <w:t>0.64</w:t>
                              </w:r>
                            </w:p>
                          </w:txbxContent>
                        </v:textbox>
                      </v:shape>
                      <v:line id="_x0000_s1026" o:spid="_x0000_s1026" o:spt="20" style="position:absolute;left:7475;top:793470;height:1;width:1067;" filled="f" stroked="t" coordsize="21600,21600" o:gfxdata="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H6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line>
                      <v:rect id="_x0000_s1026" o:spid="_x0000_s1026" o:spt="1" style="position:absolute;left:8399;top:792901;height:999;width:3255;"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E15E45D">
                              <w:pPr>
                                <w:jc w:val="center"/>
                                <w:rPr>
                                  <w:rFonts w:hint="eastAsia"/>
                                  <w:lang w:eastAsia="zh-CN"/>
                                </w:rPr>
                              </w:pPr>
                              <w:r>
                                <w:rPr>
                                  <w:rFonts w:hint="eastAsia"/>
                                  <w:lang w:eastAsia="zh-CN"/>
                                </w:rPr>
                                <w:t>经集成式生物化粪池处理后经园区污水管网排入绿源污水处理有限公司进一步处理</w:t>
                              </w:r>
                            </w:p>
                          </w:txbxContent>
                        </v:textbox>
                      </v:rect>
                      <v:rect id="_x0000_s1026" o:spid="_x0000_s1026" o:spt="1" style="position:absolute;left:6241;top:790885;height:467;width:2066;" filled="f" stroked="t" coordsize="21600,21600" o:gfxdata="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rCUS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76CFF5F5">
                              <w:pPr>
                                <w:jc w:val="center"/>
                                <w:rPr>
                                  <w:rFonts w:hint="default" w:eastAsia="宋体"/>
                                  <w:lang w:val="en-US" w:eastAsia="zh-CN"/>
                                </w:rPr>
                              </w:pPr>
                              <w:r>
                                <w:rPr>
                                  <w:rFonts w:hint="eastAsia"/>
                                  <w:lang w:val="en-US" w:eastAsia="zh-CN"/>
                                </w:rPr>
                                <w:t>设备冷却水</w:t>
                              </w:r>
                            </w:p>
                          </w:txbxContent>
                        </v:textbox>
                      </v:rect>
                      <v:shape id="_x0000_s1026" o:spid="_x0000_s1026" o:spt="32" type="#_x0000_t32" style="position:absolute;left:5506;top:791116;height:0;width:726;"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5527;top:790717;height:435;width:563;"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B2AD634">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xbxContent>
                        </v:textbox>
                      </v:shape>
                      <v:rect id="_x0000_s1026" o:spid="_x0000_s1026" o:spt="1" style="position:absolute;left:6252;top:792005;height:467;width:2066;" filled="f" stroked="t" coordsize="21600,21600" o:gfxdata="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q6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71A8856">
                              <w:pPr>
                                <w:jc w:val="center"/>
                                <w:rPr>
                                  <w:rFonts w:hint="default" w:eastAsia="宋体"/>
                                  <w:lang w:val="en-US" w:eastAsia="zh-CN"/>
                                </w:rPr>
                              </w:pPr>
                              <w:r>
                                <w:rPr>
                                  <w:rFonts w:hint="eastAsia"/>
                                  <w:lang w:val="en-US" w:eastAsia="zh-CN"/>
                                </w:rPr>
                                <w:t>切削液配制用水</w:t>
                              </w:r>
                            </w:p>
                          </w:txbxContent>
                        </v:textbox>
                      </v:rect>
                      <v:shape id="_x0000_s1026" o:spid="_x0000_s1026" o:spt="32" type="#_x0000_t32" style="position:absolute;left:5517;top:792236;height:0;width:726;"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5538;top:791837;height:435;width:779;"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DAA5ABA">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xbxContent>
                        </v:textbox>
                      </v:shape>
                      <v:line id="_x0000_s1026" o:spid="_x0000_s1026" o:spt="20" style="position:absolute;left:6762;top:790767;flip:y;height:117;width:556;" filled="f" stroked="t" coordsize="21600,21600" o:gfxdata="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XhRG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7318;top:790566;height:402;width:74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FFC9A3C">
                              <w:pPr>
                                <w:rPr>
                                  <w:rFonts w:hint="default" w:eastAsia="宋体"/>
                                  <w:sz w:val="21"/>
                                  <w:szCs w:val="21"/>
                                  <w:lang w:val="en-US" w:eastAsia="zh-CN"/>
                                </w:rPr>
                              </w:pPr>
                              <w:r>
                                <w:rPr>
                                  <w:rFonts w:hint="eastAsia"/>
                                  <w:sz w:val="21"/>
                                  <w:szCs w:val="21"/>
                                  <w:lang w:val="en-US" w:eastAsia="zh-CN"/>
                                </w:rPr>
                                <w:t>0.8</w:t>
                              </w:r>
                            </w:p>
                          </w:txbxContent>
                        </v:textbox>
                      </v:shape>
                      <v:line id="_x0000_s1026" o:spid="_x0000_s1026" o:spt="20" style="position:absolute;left:6431;top:793133;flip:y;height:117;width:556;" filled="f" stroked="t" coordsize="21600,21600" o:gfxdata="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CaJ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6987;top:792932;height:402;width:748;"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D50D262">
                              <w:pPr>
                                <w:rPr>
                                  <w:rFonts w:hint="default" w:eastAsia="宋体"/>
                                  <w:sz w:val="21"/>
                                  <w:szCs w:val="21"/>
                                  <w:lang w:val="en-US" w:eastAsia="zh-CN"/>
                                </w:rPr>
                              </w:pPr>
                              <w:r>
                                <w:rPr>
                                  <w:rFonts w:hint="eastAsia"/>
                                  <w:sz w:val="21"/>
                                  <w:szCs w:val="21"/>
                                  <w:lang w:val="en-US" w:eastAsia="zh-CN"/>
                                </w:rPr>
                                <w:t>0.16</w:t>
                              </w:r>
                            </w:p>
                          </w:txbxContent>
                        </v:textbox>
                      </v:shape>
                      <v:line id="_x0000_s1026" o:spid="_x0000_s1026" o:spt="20" style="position:absolute;left:5504;top:791095;height:2379;width:0;" filled="f" stroked="t" coordsize="21600,21600" o:gfxdata="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kxJ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4779;top:792222;height:0;width:726;"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100" style="position:absolute;left:7322;top:791104;height:562;width:1645;" filled="f" stroked="t" coordsize="1044575,356870" o:gfxdata="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TPvQAA&#10;ANsAAAAPAAAAAAAAAAEAIAAAACIAAABkcnMvZG93bnJldi54bWxQSwECFAAUAAAACACHTuJAMy8F&#10;njsAAAA5AAAAEAAAAAAAAAABACAAAAAMAQAAZHJzL3NoYXBleG1sLnhtbFBLBQYAAAAABgAGAFsB&#10;AAC2AwAAAAA=&#10;" path="m622935,0l1044575,0,1044575,356870,9525,356870,9525,165100,0,165100e">
                        <v:path o:connectlocs="981,0;1645,0;1645,562;15,562;15,260;0,260" o:connectangles="0,0,0,0,0,0"/>
                        <v:fill on="f" focussize="0,0"/>
                        <v:stroke weight="1pt" color="#000000 [3213]" miterlimit="8" joinstyle="miter" endarrow="block"/>
                        <v:imagedata o:title=""/>
                        <o:lock v:ext="edit" aspectratio="f"/>
                      </v:shape>
                      <v:shape id="_x0000_s1026" o:spid="_x0000_s1026" o:spt="202" type="#_x0000_t202" style="position:absolute;left:8178;top:791311;height:402;width:748;"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3C8AC60">
                              <w:pPr>
                                <w:rPr>
                                  <w:rFonts w:hint="default" w:eastAsia="宋体"/>
                                  <w:sz w:val="21"/>
                                  <w:szCs w:val="21"/>
                                  <w:lang w:val="en-US" w:eastAsia="zh-CN"/>
                                </w:rPr>
                              </w:pPr>
                              <w:r>
                                <w:rPr>
                                  <w:rFonts w:hint="eastAsia"/>
                                  <w:sz w:val="21"/>
                                  <w:szCs w:val="21"/>
                                  <w:lang w:val="en-US" w:eastAsia="zh-CN"/>
                                </w:rPr>
                                <w:t>40</w:t>
                              </w:r>
                            </w:p>
                          </w:txbxContent>
                        </v:textbox>
                      </v:shape>
                      <v:rect id="_x0000_s1026" o:spid="_x0000_s1026" o:spt="1" style="position:absolute;left:9045;top:792006;height:467;width:2066;" filled="f" stroked="t" coordsize="21600,21600" o:gfxdata="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nJJ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6CB4E110">
                              <w:pPr>
                                <w:jc w:val="center"/>
                                <w:rPr>
                                  <w:rFonts w:hint="default" w:eastAsia="宋体"/>
                                  <w:lang w:val="en-US" w:eastAsia="zh-CN"/>
                                </w:rPr>
                              </w:pPr>
                              <w:r>
                                <w:rPr>
                                  <w:rFonts w:hint="eastAsia"/>
                                  <w:lang w:val="en-US" w:eastAsia="zh-CN"/>
                                </w:rPr>
                                <w:t>切削液使用过程中</w:t>
                              </w:r>
                            </w:p>
                          </w:txbxContent>
                        </v:textbox>
                      </v:rect>
                      <v:line id="_x0000_s1026" o:spid="_x0000_s1026" o:spt="20" style="position:absolute;left:9547;top:791884;flip:y;height:117;width:556;" filled="f" stroked="t" coordsize="21600,21600" o:gfxdata="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3BZq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32" type="#_x0000_t32" style="position:absolute;left:8310;top:792237;height:0;width:726;"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0103;top:791683;height:402;width:1065;"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5C5CB99">
                              <w:pPr>
                                <w:rPr>
                                  <w:rFonts w:hint="default" w:eastAsia="宋体"/>
                                  <w:sz w:val="21"/>
                                  <w:szCs w:val="21"/>
                                  <w:lang w:val="en-US" w:eastAsia="zh-CN"/>
                                </w:rPr>
                              </w:pPr>
                              <w:r>
                                <w:rPr>
                                  <w:rFonts w:hint="eastAsia"/>
                                  <w:sz w:val="21"/>
                                  <w:szCs w:val="21"/>
                                  <w:lang w:val="en-US" w:eastAsia="zh-CN"/>
                                </w:rPr>
                                <w:t>0.001</w:t>
                              </w:r>
                            </w:p>
                          </w:txbxContent>
                        </v:textbox>
                      </v:shape>
                      <v:shape id="_x0000_s1026" o:spid="_x0000_s1026" o:spt="202" type="#_x0000_t202" style="position:absolute;left:8331;top:791838;height:435;width:779;"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A620A51">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xbxContent>
                        </v:textbox>
                      </v:shape>
                    </v:group>
                  </w:pict>
                </mc:Fallback>
              </mc:AlternateContent>
            </w:r>
          </w:p>
          <w:p w14:paraId="5DF92880">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2332BFF2">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57B24E30">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548FC2B1">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1232F77F">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1F2BB346">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0A7D1C36">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0374F375">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3CD7ED65">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62A35BBC">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39014F2E">
            <w:pPr>
              <w:pStyle w:val="34"/>
              <w:keepNext w:val="0"/>
              <w:keepLines w:val="0"/>
              <w:suppressLineNumbers w:val="0"/>
              <w:tabs>
                <w:tab w:val="left" w:pos="1399"/>
              </w:tabs>
              <w:spacing w:before="0" w:beforeAutospacing="0" w:after="0" w:afterAutospacing="0"/>
              <w:ind w:left="0" w:right="0"/>
              <w:jc w:val="center"/>
              <w:rPr>
                <w:rStyle w:val="193"/>
                <w:rFonts w:hint="default" w:ascii="Times New Roman" w:hAnsi="Times New Roman" w:cs="Times New Roman"/>
                <w:b/>
                <w:smallCaps w:val="0"/>
                <w:snapToGrid/>
                <w:color w:val="auto"/>
                <w:spacing w:val="0"/>
                <w:kern w:val="0"/>
                <w:highlight w:val="none"/>
              </w:rPr>
            </w:pPr>
          </w:p>
          <w:p w14:paraId="6D2569EC">
            <w:pPr>
              <w:pStyle w:val="34"/>
              <w:keepNext w:val="0"/>
              <w:keepLines w:val="0"/>
              <w:suppressLineNumbers w:val="0"/>
              <w:tabs>
                <w:tab w:val="left" w:pos="1399"/>
              </w:tabs>
              <w:spacing w:before="0" w:beforeAutospacing="0" w:after="0" w:afterAutospacing="0"/>
              <w:ind w:left="0" w:right="0"/>
              <w:jc w:val="center"/>
              <w:rPr>
                <w:rStyle w:val="193"/>
                <w:rFonts w:hint="eastAsia" w:cs="Times New Roman"/>
                <w:b/>
                <w:smallCaps w:val="0"/>
                <w:snapToGrid/>
                <w:color w:val="auto"/>
                <w:spacing w:val="0"/>
                <w:kern w:val="0"/>
                <w:highlight w:val="none"/>
                <w:lang w:val="en-US" w:eastAsia="zh-CN"/>
              </w:rPr>
            </w:pPr>
            <w:r>
              <w:rPr>
                <w:rStyle w:val="193"/>
                <w:rFonts w:hint="default" w:ascii="Times New Roman" w:hAnsi="Times New Roman" w:cs="Times New Roman"/>
                <w:b/>
                <w:smallCaps w:val="0"/>
                <w:snapToGrid/>
                <w:color w:val="auto"/>
                <w:spacing w:val="0"/>
                <w:kern w:val="0"/>
                <w:highlight w:val="none"/>
              </w:rPr>
              <w:t>图2-</w:t>
            </w:r>
            <w:r>
              <w:rPr>
                <w:rStyle w:val="193"/>
                <w:rFonts w:hint="eastAsia" w:cs="Times New Roman"/>
                <w:b/>
                <w:smallCaps w:val="0"/>
                <w:snapToGrid/>
                <w:color w:val="auto"/>
                <w:spacing w:val="0"/>
                <w:kern w:val="0"/>
                <w:highlight w:val="none"/>
                <w:lang w:val="en-US" w:eastAsia="zh-CN"/>
              </w:rPr>
              <w:t>1</w:t>
            </w:r>
            <w:r>
              <w:rPr>
                <w:rStyle w:val="193"/>
                <w:rFonts w:hint="default" w:ascii="Times New Roman" w:hAnsi="Times New Roman" w:cs="Times New Roman"/>
                <w:b/>
                <w:smallCaps w:val="0"/>
                <w:snapToGrid/>
                <w:color w:val="auto"/>
                <w:spacing w:val="0"/>
                <w:kern w:val="0"/>
                <w:highlight w:val="none"/>
              </w:rPr>
              <w:t xml:space="preserve">    本项目水平衡图 单位：m³/</w:t>
            </w:r>
            <w:r>
              <w:rPr>
                <w:rStyle w:val="193"/>
                <w:rFonts w:hint="eastAsia" w:cs="Times New Roman"/>
                <w:b/>
                <w:smallCaps w:val="0"/>
                <w:snapToGrid/>
                <w:color w:val="auto"/>
                <w:spacing w:val="0"/>
                <w:kern w:val="0"/>
                <w:highlight w:val="none"/>
                <w:lang w:val="en-US" w:eastAsia="zh-CN"/>
              </w:rPr>
              <w:t>d</w:t>
            </w:r>
          </w:p>
          <w:p w14:paraId="6ADE269E">
            <w:pPr>
              <w:pStyle w:val="33"/>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szCs w:val="20"/>
                <w:highlight w:val="none"/>
              </w:rPr>
            </w:pPr>
            <w:r>
              <w:rPr>
                <w:rFonts w:hint="default" w:ascii="Times New Roman" w:hAnsi="Times New Roman" w:cs="Times New Roman"/>
                <w:b/>
                <w:bCs/>
                <w:smallCaps w:val="0"/>
                <w:color w:val="auto"/>
                <w:spacing w:val="0"/>
                <w:szCs w:val="20"/>
                <w:highlight w:val="none"/>
              </w:rPr>
              <w:t>（</w:t>
            </w:r>
            <w:r>
              <w:rPr>
                <w:rFonts w:hint="eastAsia" w:cs="Times New Roman"/>
                <w:b/>
                <w:bCs/>
                <w:smallCaps w:val="0"/>
                <w:color w:val="auto"/>
                <w:spacing w:val="0"/>
                <w:szCs w:val="20"/>
                <w:highlight w:val="none"/>
                <w:lang w:val="en-US" w:eastAsia="zh-CN"/>
              </w:rPr>
              <w:t>3</w:t>
            </w:r>
            <w:r>
              <w:rPr>
                <w:rFonts w:hint="default" w:ascii="Times New Roman" w:hAnsi="Times New Roman" w:cs="Times New Roman"/>
                <w:b/>
                <w:bCs/>
                <w:smallCaps w:val="0"/>
                <w:color w:val="auto"/>
                <w:spacing w:val="0"/>
                <w:szCs w:val="20"/>
                <w:highlight w:val="none"/>
              </w:rPr>
              <w:t>）供电</w:t>
            </w:r>
          </w:p>
          <w:p w14:paraId="4EA9865F">
            <w:pPr>
              <w:pStyle w:val="33"/>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20"/>
                <w:highlight w:val="none"/>
              </w:rPr>
            </w:pPr>
            <w:r>
              <w:rPr>
                <w:rFonts w:hint="eastAsia" w:cs="Times New Roman"/>
                <w:smallCaps w:val="0"/>
                <w:color w:val="auto"/>
                <w:spacing w:val="0"/>
                <w:szCs w:val="20"/>
                <w:highlight w:val="none"/>
                <w:lang w:eastAsia="zh-CN"/>
              </w:rPr>
              <w:t>项目用电由园区供电管网提供</w:t>
            </w:r>
            <w:r>
              <w:rPr>
                <w:rFonts w:hint="default" w:ascii="Times New Roman" w:hAnsi="Times New Roman" w:cs="Times New Roman"/>
                <w:smallCaps w:val="0"/>
                <w:color w:val="auto"/>
                <w:spacing w:val="0"/>
                <w:szCs w:val="20"/>
                <w:highlight w:val="none"/>
                <w:lang w:eastAsia="zh-CN"/>
              </w:rPr>
              <w:t>，</w:t>
            </w:r>
            <w:r>
              <w:rPr>
                <w:rFonts w:hint="default" w:ascii="Times New Roman" w:hAnsi="Times New Roman" w:cs="Times New Roman"/>
                <w:smallCaps w:val="0"/>
                <w:color w:val="auto"/>
                <w:spacing w:val="0"/>
                <w:szCs w:val="20"/>
                <w:highlight w:val="none"/>
                <w:lang w:val="en-US" w:eastAsia="zh-CN"/>
              </w:rPr>
              <w:t>本项目用电量为</w:t>
            </w:r>
            <w:r>
              <w:rPr>
                <w:rFonts w:hint="eastAsia" w:cs="Times New Roman"/>
                <w:smallCaps w:val="0"/>
                <w:color w:val="auto"/>
                <w:spacing w:val="0"/>
                <w:szCs w:val="20"/>
                <w:highlight w:val="none"/>
                <w:lang w:val="en-US" w:eastAsia="zh-CN"/>
              </w:rPr>
              <w:t>45万kW·h/a</w:t>
            </w:r>
            <w:r>
              <w:rPr>
                <w:rFonts w:hint="default" w:ascii="Times New Roman" w:hAnsi="Times New Roman" w:cs="Times New Roman"/>
                <w:smallCaps w:val="0"/>
                <w:color w:val="auto"/>
                <w:spacing w:val="0"/>
                <w:szCs w:val="20"/>
                <w:highlight w:val="none"/>
                <w:lang w:eastAsia="zh-CN"/>
              </w:rPr>
              <w:t>，</w:t>
            </w:r>
            <w:r>
              <w:rPr>
                <w:rFonts w:hint="eastAsia" w:cs="Times New Roman"/>
                <w:smallCaps w:val="0"/>
                <w:color w:val="auto"/>
                <w:spacing w:val="0"/>
                <w:szCs w:val="20"/>
                <w:highlight w:val="none"/>
                <w:lang w:val="en-US" w:eastAsia="zh-CN"/>
              </w:rPr>
              <w:t>能够满足项目用电需求</w:t>
            </w:r>
            <w:r>
              <w:rPr>
                <w:rFonts w:hint="default" w:ascii="Times New Roman" w:hAnsi="Times New Roman" w:cs="Times New Roman"/>
                <w:smallCaps w:val="0"/>
                <w:color w:val="auto"/>
                <w:spacing w:val="0"/>
                <w:szCs w:val="20"/>
                <w:highlight w:val="none"/>
              </w:rPr>
              <w:t>。</w:t>
            </w:r>
          </w:p>
          <w:p w14:paraId="7F1527A5">
            <w:pPr>
              <w:pStyle w:val="33"/>
              <w:keepNext w:val="0"/>
              <w:keepLines w:val="0"/>
              <w:suppressLineNumbers w:val="0"/>
              <w:spacing w:before="0" w:beforeAutospacing="0" w:after="0" w:afterAutospacing="0"/>
              <w:ind w:left="0" w:right="0" w:firstLine="482"/>
              <w:rPr>
                <w:rFonts w:hint="eastAsia" w:ascii="Times New Roman" w:hAnsi="Times New Roman" w:eastAsia="宋体" w:cs="Times New Roman"/>
                <w:b/>
                <w:bCs/>
                <w:smallCaps w:val="0"/>
                <w:color w:val="auto"/>
                <w:spacing w:val="0"/>
                <w:szCs w:val="20"/>
                <w:highlight w:val="none"/>
                <w:lang w:eastAsia="zh-CN"/>
              </w:rPr>
            </w:pPr>
            <w:r>
              <w:rPr>
                <w:rFonts w:hint="default" w:ascii="Times New Roman" w:hAnsi="Times New Roman" w:cs="Times New Roman"/>
                <w:b/>
                <w:bCs/>
                <w:smallCaps w:val="0"/>
                <w:color w:val="auto"/>
                <w:spacing w:val="0"/>
                <w:szCs w:val="20"/>
                <w:highlight w:val="none"/>
              </w:rPr>
              <w:t>（</w:t>
            </w:r>
            <w:r>
              <w:rPr>
                <w:rFonts w:hint="eastAsia" w:cs="Times New Roman"/>
                <w:b/>
                <w:bCs/>
                <w:smallCaps w:val="0"/>
                <w:color w:val="auto"/>
                <w:spacing w:val="0"/>
                <w:szCs w:val="20"/>
                <w:highlight w:val="none"/>
                <w:lang w:val="en-US" w:eastAsia="zh-CN"/>
              </w:rPr>
              <w:t>4</w:t>
            </w:r>
            <w:r>
              <w:rPr>
                <w:rFonts w:hint="default" w:ascii="Times New Roman" w:hAnsi="Times New Roman" w:cs="Times New Roman"/>
                <w:b/>
                <w:bCs/>
                <w:smallCaps w:val="0"/>
                <w:color w:val="auto"/>
                <w:spacing w:val="0"/>
                <w:szCs w:val="20"/>
                <w:highlight w:val="none"/>
              </w:rPr>
              <w:t>）</w:t>
            </w:r>
            <w:r>
              <w:rPr>
                <w:rFonts w:hint="eastAsia" w:cs="Times New Roman"/>
                <w:b/>
                <w:bCs/>
                <w:smallCaps w:val="0"/>
                <w:color w:val="auto"/>
                <w:spacing w:val="0"/>
                <w:szCs w:val="20"/>
                <w:highlight w:val="none"/>
                <w:lang w:val="en-US" w:eastAsia="zh-CN"/>
              </w:rPr>
              <w:t>供气</w:t>
            </w:r>
          </w:p>
          <w:p w14:paraId="739E03D5">
            <w:pPr>
              <w:pStyle w:val="33"/>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20"/>
                <w:highlight w:val="none"/>
              </w:rPr>
            </w:pPr>
            <w:r>
              <w:rPr>
                <w:rFonts w:hint="eastAsia" w:cs="Times New Roman"/>
                <w:smallCaps w:val="0"/>
                <w:color w:val="auto"/>
                <w:spacing w:val="0"/>
                <w:szCs w:val="20"/>
                <w:highlight w:val="none"/>
                <w:lang w:val="en-US" w:eastAsia="zh-CN"/>
              </w:rPr>
              <w:t>项目供暖采用单体空调，不涉及使用天然气</w:t>
            </w:r>
            <w:r>
              <w:rPr>
                <w:rFonts w:hint="default" w:ascii="Times New Roman" w:hAnsi="Times New Roman" w:cs="Times New Roman"/>
                <w:smallCaps w:val="0"/>
                <w:color w:val="auto"/>
                <w:spacing w:val="0"/>
                <w:szCs w:val="20"/>
                <w:highlight w:val="none"/>
              </w:rPr>
              <w:t>。</w:t>
            </w:r>
          </w:p>
          <w:p w14:paraId="04B210A7">
            <w:pPr>
              <w:pStyle w:val="33"/>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szCs w:val="20"/>
                <w:highlight w:val="none"/>
              </w:rPr>
            </w:pPr>
            <w:r>
              <w:rPr>
                <w:rFonts w:hint="default" w:ascii="Times New Roman" w:hAnsi="Times New Roman" w:cs="Times New Roman"/>
                <w:b/>
                <w:bCs/>
                <w:smallCaps w:val="0"/>
                <w:color w:val="auto"/>
                <w:spacing w:val="0"/>
                <w:szCs w:val="20"/>
                <w:highlight w:val="none"/>
              </w:rPr>
              <w:t>（</w:t>
            </w:r>
            <w:r>
              <w:rPr>
                <w:rFonts w:hint="eastAsia" w:cs="Times New Roman"/>
                <w:b/>
                <w:bCs/>
                <w:smallCaps w:val="0"/>
                <w:color w:val="auto"/>
                <w:spacing w:val="0"/>
                <w:szCs w:val="20"/>
                <w:highlight w:val="none"/>
                <w:lang w:val="en-US" w:eastAsia="zh-CN"/>
              </w:rPr>
              <w:t>5</w:t>
            </w:r>
            <w:r>
              <w:rPr>
                <w:rFonts w:hint="default" w:ascii="Times New Roman" w:hAnsi="Times New Roman" w:cs="Times New Roman"/>
                <w:b/>
                <w:bCs/>
                <w:smallCaps w:val="0"/>
                <w:color w:val="auto"/>
                <w:spacing w:val="0"/>
                <w:szCs w:val="20"/>
                <w:highlight w:val="none"/>
              </w:rPr>
              <w:t>）供暖及制冷</w:t>
            </w:r>
          </w:p>
          <w:p w14:paraId="2A1B32D0">
            <w:pPr>
              <w:pStyle w:val="33"/>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20"/>
                <w:highlight w:val="none"/>
                <w:lang w:eastAsia="zh-CN"/>
              </w:rPr>
            </w:pPr>
            <w:r>
              <w:rPr>
                <w:rFonts w:hint="eastAsia" w:cs="Times New Roman"/>
                <w:smallCaps w:val="0"/>
                <w:color w:val="auto"/>
                <w:spacing w:val="0"/>
                <w:szCs w:val="20"/>
                <w:highlight w:val="none"/>
                <w:lang w:eastAsia="zh-CN"/>
              </w:rPr>
              <w:t>项目生产采用电加热及制冷，职工日常办公生活供暖、制冷均由空调提供</w:t>
            </w:r>
            <w:r>
              <w:rPr>
                <w:rFonts w:hint="default" w:ascii="Times New Roman" w:hAnsi="Times New Roman" w:cs="Times New Roman"/>
                <w:smallCaps w:val="0"/>
                <w:color w:val="auto"/>
                <w:spacing w:val="0"/>
                <w:szCs w:val="20"/>
                <w:highlight w:val="none"/>
                <w:lang w:eastAsia="zh-CN"/>
              </w:rPr>
              <w:t>。</w:t>
            </w:r>
          </w:p>
          <w:p w14:paraId="4B7DB20C">
            <w:pPr>
              <w:pStyle w:val="33"/>
              <w:keepNext w:val="0"/>
              <w:keepLines w:val="0"/>
              <w:numPr>
                <w:ilvl w:val="0"/>
                <w:numId w:val="0"/>
              </w:numPr>
              <w:suppressLineNumbers w:val="0"/>
              <w:spacing w:before="0" w:beforeAutospacing="0" w:after="0" w:afterAutospacing="0"/>
              <w:ind w:left="0" w:right="0" w:firstLine="482" w:firstLineChars="200"/>
              <w:rPr>
                <w:rFonts w:hint="default" w:ascii="Times New Roman" w:hAnsi="Times New Roman" w:cs="Times New Roman"/>
                <w:b/>
                <w:bCs/>
                <w:smallCaps w:val="0"/>
                <w:color w:val="auto"/>
                <w:spacing w:val="0"/>
                <w:szCs w:val="20"/>
                <w:highlight w:val="none"/>
                <w:lang w:val="en-US" w:eastAsia="zh-CN"/>
              </w:rPr>
            </w:pPr>
            <w:r>
              <w:rPr>
                <w:rFonts w:hint="default" w:ascii="Times New Roman" w:hAnsi="Times New Roman" w:cs="Times New Roman"/>
                <w:b/>
                <w:bCs/>
                <w:smallCaps w:val="0"/>
                <w:color w:val="auto"/>
                <w:spacing w:val="0"/>
                <w:szCs w:val="20"/>
                <w:highlight w:val="none"/>
                <w:lang w:val="en-US" w:eastAsia="zh-CN"/>
              </w:rPr>
              <w:t>7、劳动定员及工作制度</w:t>
            </w:r>
          </w:p>
          <w:p w14:paraId="4574952C">
            <w:pPr>
              <w:pStyle w:val="33"/>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cs="Times New Roman"/>
                <w:smallCaps w:val="0"/>
                <w:color w:val="auto"/>
                <w:spacing w:val="0"/>
                <w:szCs w:val="20"/>
                <w:highlight w:val="none"/>
                <w:lang w:eastAsia="zh-CN"/>
              </w:rPr>
            </w:pPr>
            <w:r>
              <w:rPr>
                <w:rFonts w:hint="default" w:ascii="Times New Roman" w:hAnsi="Times New Roman" w:cs="Times New Roman"/>
                <w:smallCaps w:val="0"/>
                <w:color w:val="auto"/>
                <w:spacing w:val="0"/>
                <w:szCs w:val="20"/>
                <w:highlight w:val="none"/>
                <w:lang w:eastAsia="zh-CN"/>
              </w:rPr>
              <w:t>本项目</w:t>
            </w:r>
            <w:r>
              <w:rPr>
                <w:rFonts w:hint="eastAsia" w:cs="Times New Roman"/>
                <w:smallCaps w:val="0"/>
                <w:color w:val="auto"/>
                <w:spacing w:val="0"/>
                <w:szCs w:val="20"/>
                <w:highlight w:val="none"/>
                <w:lang w:val="en-US" w:eastAsia="zh-CN"/>
              </w:rPr>
              <w:t>不新增劳动定员，仍为20人</w:t>
            </w:r>
            <w:r>
              <w:rPr>
                <w:rFonts w:hint="eastAsia" w:cs="Times New Roman"/>
                <w:smallCaps w:val="0"/>
                <w:color w:val="auto"/>
                <w:spacing w:val="0"/>
                <w:szCs w:val="20"/>
                <w:highlight w:val="none"/>
                <w:lang w:eastAsia="zh-CN"/>
              </w:rPr>
              <w:t>，</w:t>
            </w:r>
            <w:r>
              <w:rPr>
                <w:rFonts w:hint="default" w:ascii="Times New Roman" w:hAnsi="Times New Roman" w:cs="Times New Roman"/>
                <w:smallCaps w:val="0"/>
                <w:color w:val="auto"/>
                <w:spacing w:val="0"/>
                <w:szCs w:val="20"/>
                <w:highlight w:val="none"/>
                <w:lang w:eastAsia="zh-CN"/>
              </w:rPr>
              <w:t>项目</w:t>
            </w:r>
            <w:r>
              <w:rPr>
                <w:rFonts w:hint="eastAsia" w:cs="Times New Roman"/>
                <w:smallCaps w:val="0"/>
                <w:color w:val="auto"/>
                <w:spacing w:val="0"/>
                <w:szCs w:val="20"/>
                <w:highlight w:val="none"/>
                <w:lang w:val="en-US" w:eastAsia="zh-CN"/>
              </w:rPr>
              <w:t>由三</w:t>
            </w:r>
            <w:r>
              <w:rPr>
                <w:rFonts w:hint="default" w:ascii="Times New Roman" w:hAnsi="Times New Roman" w:cs="Times New Roman"/>
                <w:smallCaps w:val="0"/>
                <w:color w:val="auto"/>
                <w:spacing w:val="0"/>
                <w:szCs w:val="20"/>
                <w:highlight w:val="none"/>
                <w:lang w:eastAsia="zh-CN"/>
              </w:rPr>
              <w:t>班</w:t>
            </w:r>
            <w:r>
              <w:rPr>
                <w:rFonts w:hint="eastAsia" w:cs="Times New Roman"/>
                <w:smallCaps w:val="0"/>
                <w:color w:val="auto"/>
                <w:spacing w:val="0"/>
                <w:szCs w:val="20"/>
                <w:highlight w:val="none"/>
                <w:lang w:val="en-US" w:eastAsia="zh-CN"/>
              </w:rPr>
              <w:t>8小时</w:t>
            </w:r>
            <w:r>
              <w:rPr>
                <w:rFonts w:hint="default" w:ascii="Times New Roman" w:hAnsi="Times New Roman" w:cs="Times New Roman"/>
                <w:smallCaps w:val="0"/>
                <w:color w:val="auto"/>
                <w:spacing w:val="0"/>
                <w:szCs w:val="20"/>
                <w:highlight w:val="none"/>
                <w:lang w:eastAsia="zh-CN"/>
              </w:rPr>
              <w:t>工作制</w:t>
            </w:r>
            <w:r>
              <w:rPr>
                <w:rFonts w:hint="eastAsia" w:cs="Times New Roman"/>
                <w:smallCaps w:val="0"/>
                <w:color w:val="auto"/>
                <w:spacing w:val="0"/>
                <w:szCs w:val="20"/>
                <w:highlight w:val="none"/>
                <w:lang w:val="en-US" w:eastAsia="zh-CN"/>
              </w:rPr>
              <w:t>调整为两班8小时</w:t>
            </w:r>
            <w:r>
              <w:rPr>
                <w:rFonts w:hint="default" w:ascii="Times New Roman" w:hAnsi="Times New Roman" w:cs="Times New Roman"/>
                <w:smallCaps w:val="0"/>
                <w:color w:val="auto"/>
                <w:spacing w:val="0"/>
                <w:szCs w:val="20"/>
                <w:highlight w:val="none"/>
                <w:lang w:eastAsia="zh-CN"/>
              </w:rPr>
              <w:t>工作制，</w:t>
            </w:r>
            <w:r>
              <w:rPr>
                <w:rFonts w:hint="eastAsia" w:cs="Times New Roman"/>
                <w:smallCaps w:val="0"/>
                <w:color w:val="auto"/>
                <w:spacing w:val="0"/>
                <w:szCs w:val="20"/>
                <w:highlight w:val="none"/>
                <w:lang w:eastAsia="zh-CN"/>
              </w:rPr>
              <w:t>年工作300天</w:t>
            </w:r>
            <w:r>
              <w:rPr>
                <w:rFonts w:hint="default" w:ascii="Times New Roman" w:hAnsi="Times New Roman" w:cs="Times New Roman"/>
                <w:smallCaps w:val="0"/>
                <w:color w:val="auto"/>
                <w:spacing w:val="0"/>
                <w:szCs w:val="20"/>
                <w:highlight w:val="none"/>
                <w:lang w:eastAsia="zh-CN"/>
              </w:rPr>
              <w:t>。</w:t>
            </w:r>
          </w:p>
          <w:p w14:paraId="79F8F650">
            <w:pPr>
              <w:pStyle w:val="33"/>
              <w:keepNext w:val="0"/>
              <w:keepLines w:val="0"/>
              <w:numPr>
                <w:ilvl w:val="0"/>
                <w:numId w:val="0"/>
              </w:numPr>
              <w:suppressLineNumbers w:val="0"/>
              <w:spacing w:before="0" w:beforeAutospacing="0" w:after="0" w:afterAutospacing="0"/>
              <w:ind w:left="0" w:right="0" w:firstLine="482" w:firstLineChars="200"/>
              <w:rPr>
                <w:rFonts w:hint="default" w:ascii="Times New Roman" w:hAnsi="Times New Roman" w:cs="Times New Roman"/>
                <w:b/>
                <w:bCs/>
                <w:smallCaps w:val="0"/>
                <w:color w:val="auto"/>
                <w:spacing w:val="0"/>
                <w:szCs w:val="20"/>
                <w:highlight w:val="none"/>
                <w:lang w:val="en-US" w:eastAsia="zh-CN"/>
              </w:rPr>
            </w:pPr>
            <w:r>
              <w:rPr>
                <w:rFonts w:hint="default" w:ascii="Times New Roman" w:hAnsi="Times New Roman" w:cs="Times New Roman"/>
                <w:b/>
                <w:bCs/>
                <w:smallCaps w:val="0"/>
                <w:snapToGrid w:val="0"/>
                <w:color w:val="auto"/>
                <w:spacing w:val="0"/>
                <w:kern w:val="0"/>
                <w:sz w:val="24"/>
                <w:szCs w:val="20"/>
                <w:highlight w:val="none"/>
                <w:lang w:val="en-US" w:eastAsia="zh-CN" w:bidi="ar-SA"/>
              </w:rPr>
              <w:t>8</w:t>
            </w:r>
            <w:r>
              <w:rPr>
                <w:rFonts w:hint="default" w:ascii="Times New Roman" w:hAnsi="Times New Roman" w:eastAsia="宋体" w:cs="Times New Roman"/>
                <w:b/>
                <w:bCs/>
                <w:smallCaps w:val="0"/>
                <w:snapToGrid w:val="0"/>
                <w:color w:val="auto"/>
                <w:spacing w:val="0"/>
                <w:kern w:val="0"/>
                <w:sz w:val="24"/>
                <w:szCs w:val="20"/>
                <w:highlight w:val="none"/>
                <w:lang w:val="en-US" w:eastAsia="zh-CN" w:bidi="ar-SA"/>
              </w:rPr>
              <w:t>、</w:t>
            </w:r>
            <w:r>
              <w:rPr>
                <w:rFonts w:hint="default" w:ascii="Times New Roman" w:hAnsi="Times New Roman" w:cs="Times New Roman"/>
                <w:b/>
                <w:bCs/>
                <w:smallCaps w:val="0"/>
                <w:color w:val="auto"/>
                <w:spacing w:val="0"/>
                <w:szCs w:val="20"/>
                <w:highlight w:val="none"/>
                <w:lang w:val="en-US" w:eastAsia="zh-CN"/>
              </w:rPr>
              <w:t>平面布置</w:t>
            </w:r>
          </w:p>
          <w:p w14:paraId="26DB75A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项目大门位于厂区南侧，厂区西侧为机加工区，杂物间、危废间位于机加工区西南侧，机加工区东侧为1#办公室、2#办公室，生产区位于厂区东侧，模具暂存区、原料区位于生产区西侧，成品区、人工组装区、更衣室位于生产区南侧，厕所位于厂区东北角</w:t>
            </w:r>
            <w:r>
              <w:rPr>
                <w:rFonts w:hint="default" w:ascii="Times New Roman" w:hAnsi="Times New Roman" w:cs="Times New Roman"/>
                <w:smallCaps w:val="0"/>
                <w:color w:val="auto"/>
                <w:spacing w:val="0"/>
                <w:highlight w:val="none"/>
              </w:rPr>
              <w:t>。项目主要构筑物布局紧凑</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便于物料的转运。</w:t>
            </w:r>
          </w:p>
          <w:p w14:paraId="286D8302">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项目平面布置图见附图3</w:t>
            </w:r>
            <w:r>
              <w:rPr>
                <w:rFonts w:hint="eastAsia" w:cs="Times New Roman"/>
                <w:smallCaps w:val="0"/>
                <w:color w:val="auto"/>
                <w:spacing w:val="0"/>
                <w:highlight w:val="none"/>
                <w:lang w:eastAsia="zh-CN"/>
              </w:rPr>
              <w:t>。</w:t>
            </w:r>
          </w:p>
          <w:p w14:paraId="1C85093B">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eastAsia="zh-CN"/>
              </w:rPr>
            </w:pPr>
          </w:p>
          <w:p w14:paraId="4BAEDC73">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eastAsia="zh-CN"/>
              </w:rPr>
            </w:pPr>
          </w:p>
          <w:p w14:paraId="44AFBCC2">
            <w:pPr>
              <w:pStyle w:val="172"/>
              <w:keepNext w:val="0"/>
              <w:keepLines w:val="0"/>
              <w:suppressLineNumbers w:val="0"/>
              <w:spacing w:before="0" w:beforeAutospacing="0" w:after="0" w:afterAutospacing="0"/>
              <w:ind w:left="0" w:leftChars="0" w:right="0" w:firstLine="0" w:firstLineChars="0"/>
              <w:rPr>
                <w:rFonts w:hint="eastAsia" w:cs="Times New Roman"/>
                <w:smallCaps w:val="0"/>
                <w:color w:val="auto"/>
                <w:spacing w:val="0"/>
                <w:highlight w:val="none"/>
                <w:lang w:val="en-US" w:eastAsia="zh-CN"/>
              </w:rPr>
            </w:pPr>
          </w:p>
          <w:p w14:paraId="3318BB20">
            <w:pPr>
              <w:pStyle w:val="172"/>
              <w:keepNext w:val="0"/>
              <w:keepLines w:val="0"/>
              <w:suppressLineNumbers w:val="0"/>
              <w:spacing w:before="0" w:beforeAutospacing="0" w:after="0" w:afterAutospacing="0"/>
              <w:ind w:left="0" w:leftChars="0" w:right="0" w:firstLine="0" w:firstLineChars="0"/>
              <w:rPr>
                <w:rFonts w:hint="default" w:ascii="Times New Roman" w:hAnsi="Times New Roman" w:cs="Times New Roman"/>
                <w:smallCaps w:val="0"/>
                <w:color w:val="auto"/>
                <w:spacing w:val="0"/>
                <w:highlight w:val="none"/>
                <w:lang w:val="en-US" w:eastAsia="zh-CN"/>
              </w:rPr>
            </w:pPr>
          </w:p>
        </w:tc>
      </w:tr>
    </w:tbl>
    <w:p w14:paraId="40B7083D">
      <w:pPr>
        <w:pStyle w:val="41"/>
        <w:adjustRightInd w:val="0"/>
        <w:snapToGrid w:val="0"/>
        <w:spacing w:before="0" w:beforeAutospacing="0" w:after="0" w:afterAutospacing="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br w:type="page"/>
      </w:r>
    </w:p>
    <w:tbl>
      <w:tblPr>
        <w:tblStyle w:val="4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5"/>
      </w:tblGrid>
      <w:tr w14:paraId="4C014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Align w:val="center"/>
          </w:tcPr>
          <w:p w14:paraId="46389013">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工艺流程和产排污环节</w:t>
            </w:r>
          </w:p>
        </w:tc>
        <w:tc>
          <w:tcPr>
            <w:tcW w:w="8385" w:type="dxa"/>
          </w:tcPr>
          <w:p w14:paraId="7CCD1D60">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1、施工期实施工艺</w:t>
            </w:r>
          </w:p>
          <w:p w14:paraId="0C112E0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本次改建项目位于现有厂房东侧。现有建筑仅保留东南角的机加工区、杂物间、危废间及1#、2#办公室，其余车间在改扩建完成后将不再使用，冷却塔、环保设施拆除后外售，不再使用，其余利旧设备均无需拆除，直接迁移至新厂房即可，</w:t>
            </w:r>
            <w:r>
              <w:rPr>
                <w:rFonts w:hint="default" w:ascii="Times New Roman" w:hAnsi="Times New Roman" w:cs="Times New Roman"/>
                <w:smallCaps w:val="0"/>
                <w:color w:val="auto"/>
                <w:spacing w:val="0"/>
                <w:highlight w:val="none"/>
              </w:rPr>
              <w:t>施工期主要包括</w:t>
            </w:r>
            <w:r>
              <w:rPr>
                <w:rFonts w:hint="eastAsia" w:cs="Times New Roman"/>
                <w:smallCaps w:val="0"/>
                <w:color w:val="auto"/>
                <w:spacing w:val="0"/>
                <w:highlight w:val="none"/>
                <w:lang w:val="en-US" w:eastAsia="zh-CN"/>
              </w:rPr>
              <w:t>厂房内部装修、</w:t>
            </w:r>
            <w:r>
              <w:rPr>
                <w:rFonts w:hint="default" w:ascii="Times New Roman" w:hAnsi="Times New Roman" w:cs="Times New Roman"/>
                <w:smallCaps w:val="0"/>
                <w:color w:val="auto"/>
                <w:spacing w:val="0"/>
                <w:highlight w:val="none"/>
              </w:rPr>
              <w:t>设备安装、调试运行</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现有厂房的</w:t>
            </w:r>
            <w:r>
              <w:rPr>
                <w:rFonts w:hint="default" w:ascii="Times New Roman" w:hAnsi="Times New Roman" w:cs="Times New Roman"/>
                <w:smallCaps w:val="0"/>
                <w:color w:val="auto"/>
                <w:spacing w:val="0"/>
                <w:highlight w:val="none"/>
              </w:rPr>
              <w:t>等。施工过程中产生施工废水、噪声及施工固体废弃物。施工期工艺流程图及产污环节见图2-</w:t>
            </w:r>
            <w:r>
              <w:rPr>
                <w:rFonts w:hint="default" w:ascii="Times New Roman" w:hAnsi="Times New Roman"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w:t>
            </w:r>
          </w:p>
          <w:p w14:paraId="1B2CDEF0">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2797810</wp:posOffset>
                      </wp:positionH>
                      <wp:positionV relativeFrom="paragraph">
                        <wp:posOffset>165100</wp:posOffset>
                      </wp:positionV>
                      <wp:extent cx="597535" cy="302895"/>
                      <wp:effectExtent l="0" t="0" r="0" b="0"/>
                      <wp:wrapNone/>
                      <wp:docPr id="150" name="文本框 28"/>
                      <wp:cNvGraphicFramePr/>
                      <a:graphic xmlns:a="http://schemas.openxmlformats.org/drawingml/2006/main">
                        <a:graphicData uri="http://schemas.microsoft.com/office/word/2010/wordprocessingShape">
                          <wps:wsp>
                            <wps:cNvSpPr txBox="1"/>
                            <wps:spPr>
                              <a:xfrm>
                                <a:off x="3822700" y="2654935"/>
                                <a:ext cx="59753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344A0">
                                  <w:pPr>
                                    <w:jc w:val="center"/>
                                    <w:rPr>
                                      <w:rFonts w:hint="default" w:eastAsia="宋体"/>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220.3pt;margin-top:13pt;height:23.85pt;width:47.05pt;z-index:251667456;mso-width-relative:page;mso-height-relative:page;" filled="f" stroked="f" coordsize="21600,21600" o:gfxdata="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U5Wca2wAAAAkBAAAPAAAAAAAA&#10;AAEAIAAAACIAAABkcnMvZG93bnJldi54bWxQSwECFAAUAAAACACHTuJAauD+AkgCAAB0BAAADgAA&#10;AAAAAAABACAAAAAqAQAAZHJzL2Uyb0RvYy54bWxQSwUGAAAAAAYABgBZAQAA5AUAAAAA&#10;">
                      <v:fill on="f" focussize="0,0"/>
                      <v:stroke on="f" weight="0.5pt"/>
                      <v:imagedata o:title=""/>
                      <o:lock v:ext="edit" aspectratio="f"/>
                      <v:textbox>
                        <w:txbxContent>
                          <w:p w14:paraId="002344A0">
                            <w:pPr>
                              <w:jc w:val="center"/>
                              <w:rPr>
                                <w:rFonts w:hint="default" w:eastAsia="宋体"/>
                                <w:lang w:val="en-US" w:eastAsia="zh-CN"/>
                              </w:rPr>
                            </w:pPr>
                            <w:r>
                              <w:rPr>
                                <w:rFonts w:hint="eastAsia"/>
                                <w:lang w:val="en-US" w:eastAsia="zh-CN"/>
                              </w:rPr>
                              <w:t>噪声</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2044065</wp:posOffset>
                      </wp:positionH>
                      <wp:positionV relativeFrom="paragraph">
                        <wp:posOffset>31750</wp:posOffset>
                      </wp:positionV>
                      <wp:extent cx="836295" cy="464820"/>
                      <wp:effectExtent l="0" t="0" r="0" b="0"/>
                      <wp:wrapNone/>
                      <wp:docPr id="149" name="文本框 27"/>
                      <wp:cNvGraphicFramePr/>
                      <a:graphic xmlns:a="http://schemas.openxmlformats.org/drawingml/2006/main">
                        <a:graphicData uri="http://schemas.microsoft.com/office/word/2010/wordprocessingShape">
                          <wps:wsp>
                            <wps:cNvSpPr txBox="1"/>
                            <wps:spPr>
                              <a:xfrm>
                                <a:off x="3068955" y="2521585"/>
                                <a:ext cx="836295" cy="464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51E1A">
                                  <w:pPr>
                                    <w:jc w:val="center"/>
                                    <w:rPr>
                                      <w:rFonts w:hint="default" w:eastAsia="宋体"/>
                                      <w:lang w:val="en-US" w:eastAsia="zh-CN"/>
                                    </w:rPr>
                                  </w:pPr>
                                  <w:r>
                                    <w:rPr>
                                      <w:rFonts w:hint="eastAsia"/>
                                      <w:lang w:val="en-US" w:eastAsia="zh-CN"/>
                                    </w:rPr>
                                    <w:t>施工废水、生活污水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60.95pt;margin-top:2.5pt;height:36.6pt;width:65.85pt;z-index:251666432;mso-width-relative:page;mso-height-relative:page;" filled="f" stroked="f" coordsize="21600,21600" o:gfxdata="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mS8d2gAAAAgBAAAPAAAA&#10;AAAAAAEAIAAAACIAAABkcnMvZG93bnJldi54bWxQSwECFAAUAAAACACHTuJAD7g0wkwCAAB0BAAA&#10;DgAAAAAAAAABACAAAAApAQAAZHJzL2Uyb0RvYy54bWxQSwUGAAAAAAYABgBZAQAA5wUAAAAA&#10;">
                      <v:fill on="f" focussize="0,0"/>
                      <v:stroke on="f" weight="0.5pt"/>
                      <v:imagedata o:title=""/>
                      <o:lock v:ext="edit" aspectratio="f"/>
                      <v:textbox>
                        <w:txbxContent>
                          <w:p w14:paraId="1D751E1A">
                            <w:pPr>
                              <w:jc w:val="center"/>
                              <w:rPr>
                                <w:rFonts w:hint="default" w:eastAsia="宋体"/>
                                <w:lang w:val="en-US" w:eastAsia="zh-CN"/>
                              </w:rPr>
                            </w:pPr>
                            <w:r>
                              <w:rPr>
                                <w:rFonts w:hint="eastAsia"/>
                                <w:lang w:val="en-US" w:eastAsia="zh-CN"/>
                              </w:rPr>
                              <w:t>施工废水、生活污水</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3529965</wp:posOffset>
                      </wp:positionH>
                      <wp:positionV relativeFrom="paragraph">
                        <wp:posOffset>69850</wp:posOffset>
                      </wp:positionV>
                      <wp:extent cx="854075" cy="445135"/>
                      <wp:effectExtent l="0" t="0" r="0" b="0"/>
                      <wp:wrapNone/>
                      <wp:docPr id="152" name="文本框 27"/>
                      <wp:cNvGraphicFramePr/>
                      <a:graphic xmlns:a="http://schemas.openxmlformats.org/drawingml/2006/main">
                        <a:graphicData uri="http://schemas.microsoft.com/office/word/2010/wordprocessingShape">
                          <wps:wsp>
                            <wps:cNvSpPr txBox="1"/>
                            <wps:spPr>
                              <a:xfrm>
                                <a:off x="4554855" y="2559685"/>
                                <a:ext cx="854075" cy="445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0A2CC">
                                  <w:pPr>
                                    <w:jc w:val="center"/>
                                    <w:rPr>
                                      <w:rFonts w:hint="default" w:eastAsia="宋体"/>
                                      <w:lang w:val="en-US" w:eastAsia="zh-CN"/>
                                    </w:rPr>
                                  </w:pPr>
                                  <w:r>
                                    <w:rPr>
                                      <w:rFonts w:hint="eastAsia"/>
                                      <w:lang w:val="en-US" w:eastAsia="zh-CN"/>
                                    </w:rPr>
                                    <w:t>生活垃圾、建筑垃圾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277.95pt;margin-top:5.5pt;height:35.05pt;width:67.25pt;z-index:251668480;mso-width-relative:page;mso-height-relative:page;" filled="f" stroked="f" coordsize="21600,21600" o:gfxdata="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io7r2QAAAAkBAAAPAAAAAAAA&#10;AAEAIAAAACIAAABkcnMvZG93bnJldi54bWxQSwECFAAUAAAACACHTuJAR2x+p0oCAAB0BAAADgAA&#10;AAAAAAABACAAAAAoAQAAZHJzL2Uyb0RvYy54bWxQSwUGAAAAAAYABgBZAQAA5AUAAAAA&#10;">
                      <v:fill on="f" focussize="0,0"/>
                      <v:stroke on="f" weight="0.5pt"/>
                      <v:imagedata o:title=""/>
                      <o:lock v:ext="edit" aspectratio="f"/>
                      <v:textbox>
                        <w:txbxContent>
                          <w:p w14:paraId="4F30A2CC">
                            <w:pPr>
                              <w:jc w:val="center"/>
                              <w:rPr>
                                <w:rFonts w:hint="default" w:eastAsia="宋体"/>
                                <w:lang w:val="en-US" w:eastAsia="zh-CN"/>
                              </w:rPr>
                            </w:pPr>
                            <w:r>
                              <w:rPr>
                                <w:rFonts w:hint="eastAsia"/>
                                <w:lang w:val="en-US" w:eastAsia="zh-CN"/>
                              </w:rPr>
                              <w:t>生活垃圾、建筑垃圾</w:t>
                            </w:r>
                          </w:p>
                        </w:txbxContent>
                      </v:textbox>
                    </v:shape>
                  </w:pict>
                </mc:Fallback>
              </mc:AlternateContent>
            </w:r>
          </w:p>
          <w:p w14:paraId="37E3697D">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0D315799">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3095625</wp:posOffset>
                      </wp:positionH>
                      <wp:positionV relativeFrom="paragraph">
                        <wp:posOffset>111760</wp:posOffset>
                      </wp:positionV>
                      <wp:extent cx="0" cy="427990"/>
                      <wp:effectExtent l="38100" t="0" r="38100" b="10160"/>
                      <wp:wrapNone/>
                      <wp:docPr id="158" name="直接箭头连接符 158"/>
                      <wp:cNvGraphicFramePr/>
                      <a:graphic xmlns:a="http://schemas.openxmlformats.org/drawingml/2006/main">
                        <a:graphicData uri="http://schemas.microsoft.com/office/word/2010/wordprocessingShape">
                          <wps:wsp>
                            <wps:cNvCnPr/>
                            <wps:spPr>
                              <a:xfrm flipV="1">
                                <a:off x="4120515" y="2951480"/>
                                <a:ext cx="0" cy="42799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43.75pt;margin-top:8.8pt;height:33.7pt;width:0pt;z-index:251671552;mso-width-relative:page;mso-height-relative:page;" filled="f" stroked="t" coordsize="21600,21600" o:gfxdata="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p1JNcAAAAJAQAADwAAAAAAAAABACAAAAAiAAAAZHJzL2Rvd25yZXYueG1sUEsB&#10;AhQAFAAAAAgAh07iQDrNKTkvAgAAJAQAAA4AAAAAAAAAAQAgAAAAJgEAAGRycy9lMm9Eb2MueG1s&#10;UEsFBgAAAAAGAAYAWQEAAMcFAAAAAA==&#10;">
                      <v:fill on="f" focussize="0,0"/>
                      <v:stroke weight="1pt" color="#000000 [3213]" miterlimit="8" joinstyle="miter" dashstyle="dash" endarrow="block"/>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2457450</wp:posOffset>
                      </wp:positionH>
                      <wp:positionV relativeFrom="paragraph">
                        <wp:posOffset>111760</wp:posOffset>
                      </wp:positionV>
                      <wp:extent cx="0" cy="427990"/>
                      <wp:effectExtent l="38100" t="0" r="38100" b="10160"/>
                      <wp:wrapNone/>
                      <wp:docPr id="157" name="直接箭头连接符 157"/>
                      <wp:cNvGraphicFramePr/>
                      <a:graphic xmlns:a="http://schemas.openxmlformats.org/drawingml/2006/main">
                        <a:graphicData uri="http://schemas.microsoft.com/office/word/2010/wordprocessingShape">
                          <wps:wsp>
                            <wps:cNvCnPr/>
                            <wps:spPr>
                              <a:xfrm flipV="1">
                                <a:off x="3482340" y="2951480"/>
                                <a:ext cx="0" cy="42799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3.5pt;margin-top:8.8pt;height:33.7pt;width:0pt;z-index:251670528;mso-width-relative:page;mso-height-relative:page;" filled="f" stroked="t" coordsize="21600,21600" o:gfxdata="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IsDNnXAAAACQEAAA8AAAAAAAAAAQAgAAAAIgAAAGRycy9kb3ducmV2LnhtbFBL&#10;AQIUABQAAAAIAIdO4kBll8EXMAIAACQEAAAOAAAAAAAAAAEAIAAAACYBAABkcnMvZTJvRG9jLnht&#10;bFBLBQYAAAAABgAGAFkBAADIBQAAAAA=&#10;">
                      <v:fill on="f" focussize="0,0"/>
                      <v:stroke weight="1pt" color="#000000 [3213]" miterlimit="8" joinstyle="miter" dashstyle="dash" endarrow="block"/>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3781425</wp:posOffset>
                      </wp:positionH>
                      <wp:positionV relativeFrom="paragraph">
                        <wp:posOffset>121285</wp:posOffset>
                      </wp:positionV>
                      <wp:extent cx="0" cy="427990"/>
                      <wp:effectExtent l="38100" t="0" r="38100" b="10160"/>
                      <wp:wrapNone/>
                      <wp:docPr id="159" name="直接箭头连接符 159"/>
                      <wp:cNvGraphicFramePr/>
                      <a:graphic xmlns:a="http://schemas.openxmlformats.org/drawingml/2006/main">
                        <a:graphicData uri="http://schemas.microsoft.com/office/word/2010/wordprocessingShape">
                          <wps:wsp>
                            <wps:cNvCnPr/>
                            <wps:spPr>
                              <a:xfrm flipV="1">
                                <a:off x="4806315" y="2961005"/>
                                <a:ext cx="0" cy="42799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7.75pt;margin-top:9.55pt;height:33.7pt;width:0pt;z-index:251672576;mso-width-relative:page;mso-height-relative:page;" filled="f" stroked="t" coordsize="21600,21600" o:gfxdata="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LGNX2AAAAAkBAAAPAAAAAAAAAAEAIAAAACIAAABkcnMvZG93bnJldi54bWxQ&#10;SwECFAAUAAAACACHTuJAH24qrjACAAAkBAAADgAAAAAAAAABACAAAAAnAQAAZHJzL2Uyb0RvYy54&#10;bWxQSwUGAAAAAAYABgBZAQAAyQUAAAAA&#10;">
                      <v:fill on="f" focussize="0,0"/>
                      <v:stroke weight="1pt" color="#000000 [3213]" miterlimit="8" joinstyle="miter" dashstyle="dash" endarrow="block"/>
                      <v:imagedata o:title=""/>
                      <o:lock v:ext="edit" aspectratio="f"/>
                    </v:shape>
                  </w:pict>
                </mc:Fallback>
              </mc:AlternateContent>
            </w:r>
          </w:p>
          <w:p w14:paraId="280BD434">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6BFF6559">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12032963">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1800225</wp:posOffset>
                      </wp:positionH>
                      <wp:positionV relativeFrom="paragraph">
                        <wp:posOffset>13970</wp:posOffset>
                      </wp:positionV>
                      <wp:extent cx="2238375" cy="285750"/>
                      <wp:effectExtent l="6350" t="6350" r="22225" b="12700"/>
                      <wp:wrapNone/>
                      <wp:docPr id="153" name="任意多边形 153"/>
                      <wp:cNvGraphicFramePr/>
                      <a:graphic xmlns:a="http://schemas.openxmlformats.org/drawingml/2006/main">
                        <a:graphicData uri="http://schemas.microsoft.com/office/word/2010/wordprocessingShape">
                          <wps:wsp>
                            <wps:cNvSpPr/>
                            <wps:spPr>
                              <a:xfrm>
                                <a:off x="2825115" y="3379470"/>
                                <a:ext cx="2238375" cy="285750"/>
                              </a:xfrm>
                              <a:custGeom>
                                <a:avLst/>
                                <a:gdLst>
                                  <a:gd name="connisteX0" fmla="*/ 0 w 2238375"/>
                                  <a:gd name="connsiteY0" fmla="*/ 285750 h 285750"/>
                                  <a:gd name="connisteX1" fmla="*/ 0 w 2238375"/>
                                  <a:gd name="connsiteY1" fmla="*/ 0 h 285750"/>
                                  <a:gd name="connisteX2" fmla="*/ 2238375 w 2238375"/>
                                  <a:gd name="connsiteY2" fmla="*/ 0 h 285750"/>
                                  <a:gd name="connisteX3" fmla="*/ 2238375 w 2238375"/>
                                  <a:gd name="connsiteY3" fmla="*/ 276225 h 285750"/>
                                </a:gdLst>
                                <a:ahLst/>
                                <a:cxnLst>
                                  <a:cxn ang="0">
                                    <a:pos x="connisteX0" y="connsiteY0"/>
                                  </a:cxn>
                                  <a:cxn ang="0">
                                    <a:pos x="connisteX1" y="connsiteY1"/>
                                  </a:cxn>
                                  <a:cxn ang="0">
                                    <a:pos x="connisteX2" y="connsiteY2"/>
                                  </a:cxn>
                                  <a:cxn ang="0">
                                    <a:pos x="connisteX3" y="connsiteY3"/>
                                  </a:cxn>
                                </a:cxnLst>
                                <a:rect l="l" t="t" r="r" b="b"/>
                                <a:pathLst>
                                  <a:path w="2238375" h="285750">
                                    <a:moveTo>
                                      <a:pt x="0" y="285750"/>
                                    </a:moveTo>
                                    <a:lnTo>
                                      <a:pt x="0" y="0"/>
                                    </a:lnTo>
                                    <a:lnTo>
                                      <a:pt x="2238375" y="0"/>
                                    </a:lnTo>
                                    <a:lnTo>
                                      <a:pt x="2238375" y="276225"/>
                                    </a:lnTo>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41.75pt;margin-top:1.1pt;height:22.5pt;width:176.25pt;z-index:251669504;mso-width-relative:page;mso-height-relative:page;" filled="f" stroked="t" coordsize="2238375,285750" o:gfxdata="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M1cfPXAAAACAEAAA8AAAAAAAAAAQAgAAAAIgAAAGRycy9kb3du&#10;cmV2LnhtbFBLAQIUABQAAAAIAIdO4kDYpsnw5AIAAHUHAAAOAAAAAAAAAAEAIAAAACYBAABkcnMv&#10;ZTJvRG9jLnhtbFBLBQYAAAAABgAGAFkBAAB8BgAAAAA=&#10;" path="m0,285750l0,0,2238375,0,2238375,276225e">
                      <v:path o:connectlocs="0,285750;0,0;2238375,0;2238375,276225" o:connectangles="0,0,0,0"/>
                      <v:fill on="f" focussize="0,0"/>
                      <v:stroke weight="1pt" color="#000000 [3213]" miterlimit="8" joinstyle="miter"/>
                      <v:imagedata o:title=""/>
                      <o:lock v:ext="edit" aspectratio="f"/>
                    </v:shape>
                  </w:pict>
                </mc:Fallback>
              </mc:AlternateContent>
            </w:r>
          </w:p>
          <w:p w14:paraId="463A3B17">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3684270</wp:posOffset>
                      </wp:positionH>
                      <wp:positionV relativeFrom="paragraph">
                        <wp:posOffset>118110</wp:posOffset>
                      </wp:positionV>
                      <wp:extent cx="956945" cy="316865"/>
                      <wp:effectExtent l="4445" t="5080" r="10160" b="20955"/>
                      <wp:wrapNone/>
                      <wp:docPr id="128" name="文本框 14"/>
                      <wp:cNvGraphicFramePr/>
                      <a:graphic xmlns:a="http://schemas.openxmlformats.org/drawingml/2006/main">
                        <a:graphicData uri="http://schemas.microsoft.com/office/word/2010/wordprocessingShape">
                          <wps:wsp>
                            <wps:cNvSpPr txBox="1"/>
                            <wps:spPr>
                              <a:xfrm>
                                <a:off x="4709160" y="3658870"/>
                                <a:ext cx="956945" cy="3168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C0A979">
                                  <w:pPr>
                                    <w:jc w:val="center"/>
                                    <w:rPr>
                                      <w:rFonts w:hint="default" w:eastAsia="宋体"/>
                                      <w:lang w:val="en-US" w:eastAsia="zh-CN"/>
                                    </w:rPr>
                                  </w:pPr>
                                  <w:r>
                                    <w:rPr>
                                      <w:rFonts w:hint="eastAsia"/>
                                      <w:lang w:val="en-US" w:eastAsia="zh-CN"/>
                                    </w:rPr>
                                    <w:t>调试运行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290.1pt;margin-top:9.3pt;height:24.95pt;width:75.35pt;z-index:251664384;mso-width-relative:page;mso-height-relative:page;" filled="f" stroked="t" coordsize="21600,21600" o:gfxdata="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1ejILZAAAACQEAAA8AAAAAAAAAAQAgAAAAIgAAAGRycy9kb3ducmV2LnhtbFBLAQIUABQAAAAI&#10;AIdO4kBlUwUEXgIAAJwEAAAOAAAAAAAAAAEAIAAAACgBAABkcnMvZTJvRG9jLnhtbFBLBQYAAAAA&#10;BgAGAFkBAAD4BQAAAAA=&#10;">
                      <v:fill on="f" focussize="0,0"/>
                      <v:stroke weight="0.5pt" color="#000000 [3204]" joinstyle="round"/>
                      <v:imagedata o:title=""/>
                      <o:lock v:ext="edit" aspectratio="f"/>
                      <v:textbox>
                        <w:txbxContent>
                          <w:p w14:paraId="37C0A979">
                            <w:pPr>
                              <w:jc w:val="center"/>
                              <w:rPr>
                                <w:rFonts w:hint="default" w:eastAsia="宋体"/>
                                <w:lang w:val="en-US" w:eastAsia="zh-CN"/>
                              </w:rPr>
                            </w:pPr>
                            <w:r>
                              <w:rPr>
                                <w:rFonts w:hint="eastAsia"/>
                                <w:lang w:val="en-US" w:eastAsia="zh-CN"/>
                              </w:rPr>
                              <w:t>调试运行</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499110</wp:posOffset>
                      </wp:positionH>
                      <wp:positionV relativeFrom="paragraph">
                        <wp:posOffset>125095</wp:posOffset>
                      </wp:positionV>
                      <wp:extent cx="1962785" cy="290830"/>
                      <wp:effectExtent l="4445" t="4445" r="13970" b="9525"/>
                      <wp:wrapNone/>
                      <wp:docPr id="126" name="文本框 13"/>
                      <wp:cNvGraphicFramePr/>
                      <a:graphic xmlns:a="http://schemas.openxmlformats.org/drawingml/2006/main">
                        <a:graphicData uri="http://schemas.microsoft.com/office/word/2010/wordprocessingShape">
                          <wps:wsp>
                            <wps:cNvSpPr txBox="1"/>
                            <wps:spPr>
                              <a:xfrm>
                                <a:off x="2100580" y="3665855"/>
                                <a:ext cx="1962785" cy="2908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2889C6">
                                  <w:pPr>
                                    <w:jc w:val="center"/>
                                    <w:rPr>
                                      <w:rFonts w:hint="default"/>
                                      <w:lang w:val="en-US" w:eastAsia="zh-CN"/>
                                    </w:rPr>
                                  </w:pPr>
                                  <w:r>
                                    <w:rPr>
                                      <w:rFonts w:hint="eastAsia"/>
                                      <w:lang w:val="en-US" w:eastAsia="zh-CN"/>
                                    </w:rPr>
                                    <w:t>厂房装修、设备安装、拆除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39.3pt;margin-top:9.85pt;height:22.9pt;width:154.55pt;z-index:251663360;mso-width-relative:page;mso-height-relative:page;" filled="f" stroked="t" coordsize="21600,21600" o:gfxdata="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D1JvDZAAAACAEAAA8AAAAAAAAAAQAgAAAAIgAAAGRycy9kb3ducmV2LnhtbFBLAQIUABQA&#10;AAAIAIdO4kALlu9ZYQIAAJ0EAAAOAAAAAAAAAAEAIAAAACgBAABkcnMvZTJvRG9jLnhtbFBLBQYA&#10;AAAABgAGAFkBAAD7BQAAAAA=&#10;">
                      <v:fill on="f" focussize="0,0"/>
                      <v:stroke weight="0.5pt" color="#000000 [3204]" joinstyle="round"/>
                      <v:imagedata o:title=""/>
                      <o:lock v:ext="edit" aspectratio="f"/>
                      <v:textbox>
                        <w:txbxContent>
                          <w:p w14:paraId="672889C6">
                            <w:pPr>
                              <w:jc w:val="center"/>
                              <w:rPr>
                                <w:rFonts w:hint="default"/>
                                <w:lang w:val="en-US" w:eastAsia="zh-CN"/>
                              </w:rPr>
                            </w:pPr>
                            <w:r>
                              <w:rPr>
                                <w:rFonts w:hint="eastAsia"/>
                                <w:lang w:val="en-US" w:eastAsia="zh-CN"/>
                              </w:rPr>
                              <w:t>厂房装修、设备安装、拆除</w:t>
                            </w:r>
                          </w:p>
                        </w:txbxContent>
                      </v:textbox>
                    </v:shape>
                  </w:pict>
                </mc:Fallback>
              </mc:AlternateContent>
            </w:r>
          </w:p>
          <w:p w14:paraId="34AA0DB9">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2463800</wp:posOffset>
                      </wp:positionH>
                      <wp:positionV relativeFrom="paragraph">
                        <wp:posOffset>91440</wp:posOffset>
                      </wp:positionV>
                      <wp:extent cx="1209040" cy="0"/>
                      <wp:effectExtent l="0" t="38100" r="10160" b="38100"/>
                      <wp:wrapNone/>
                      <wp:docPr id="139" name="直接箭头连接符 18"/>
                      <wp:cNvGraphicFramePr/>
                      <a:graphic xmlns:a="http://schemas.openxmlformats.org/drawingml/2006/main">
                        <a:graphicData uri="http://schemas.microsoft.com/office/word/2010/wordprocessingShape">
                          <wps:wsp>
                            <wps:cNvCnPr/>
                            <wps:spPr>
                              <a:xfrm>
                                <a:off x="3488690" y="3807460"/>
                                <a:ext cx="12090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8" o:spid="_x0000_s1026" o:spt="32" type="#_x0000_t32" style="position:absolute;left:0pt;margin-left:194pt;margin-top:7.2pt;height:0pt;width:95.2pt;z-index:251665408;mso-width-relative:page;mso-height-relative:page;" filled="f" stroked="t" coordsize="21600,21600" o:gfxdata="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9UPRNUAAAAJAQAADwAAAAAAAAABACAAAAAiAAAAZHJzL2Rvd25yZXYueG1sUEsBAhQAFAAAAAgA&#10;h07iQJzET7woAgAAGgQAAA4AAAAAAAAAAQAgAAAAJAEAAGRycy9lMm9Eb2MueG1sUEsFBgAAAAAG&#10;AAYAWQEAAL4FAAAAAA==&#10;">
                      <v:fill on="f" focussize="0,0"/>
                      <v:stroke weight="0.5pt" color="#000000 [3213]" miterlimit="8" joinstyle="miter" endarrow="block"/>
                      <v:imagedata o:title=""/>
                      <o:lock v:ext="edit" aspectratio="f"/>
                    </v:shape>
                  </w:pict>
                </mc:Fallback>
              </mc:AlternateContent>
            </w:r>
          </w:p>
          <w:p w14:paraId="46C69FC4">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3A784CE">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rPr>
            </w:pPr>
            <w:r>
              <w:rPr>
                <w:rFonts w:hint="default" w:ascii="Times New Roman" w:hAnsi="Times New Roman" w:cs="Times New Roman"/>
                <w:smallCaps w:val="0"/>
                <w:color w:val="auto"/>
                <w:spacing w:val="0"/>
                <w:highlight w:val="none"/>
              </w:rPr>
              <w:t>图2-</w:t>
            </w:r>
            <w:r>
              <w:rPr>
                <w:rFonts w:hint="eastAsia" w:cs="Times New Roman"/>
                <w:smallCaps w:val="0"/>
                <w:color w:val="auto"/>
                <w:spacing w:val="0"/>
                <w:highlight w:val="none"/>
                <w:lang w:val="en-US" w:eastAsia="zh-CN"/>
              </w:rPr>
              <w:t>2</w:t>
            </w:r>
            <w:r>
              <w:rPr>
                <w:rFonts w:hint="default" w:ascii="Times New Roman" w:hAnsi="Times New Roman" w:cs="Times New Roman"/>
                <w:smallCaps w:val="0"/>
                <w:color w:val="auto"/>
                <w:spacing w:val="0"/>
                <w:highlight w:val="none"/>
              </w:rPr>
              <w:t xml:space="preserve">   施工期工艺流程</w:t>
            </w:r>
            <w:r>
              <w:rPr>
                <w:rFonts w:hint="default" w:ascii="Times New Roman" w:hAnsi="Times New Roman" w:cs="Times New Roman"/>
                <w:smallCaps w:val="0"/>
                <w:color w:val="auto"/>
                <w:spacing w:val="0"/>
                <w:szCs w:val="22"/>
                <w:highlight w:val="none"/>
              </w:rPr>
              <w:t>图及产污环节</w:t>
            </w:r>
          </w:p>
          <w:p w14:paraId="2CB34A96">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1CD9DF81">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7A7D2096">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754214CB">
            <w:pPr>
              <w:pStyle w:val="172"/>
              <w:keepNext w:val="0"/>
              <w:keepLines w:val="0"/>
              <w:suppressLineNumbers w:val="0"/>
              <w:tabs>
                <w:tab w:val="left" w:pos="6077"/>
              </w:tabs>
              <w:spacing w:before="0" w:beforeAutospacing="0" w:after="0" w:afterAutospacing="0"/>
              <w:ind w:left="0" w:right="0" w:firstLine="482"/>
              <w:rPr>
                <w:rFonts w:hint="eastAsia" w:ascii="Times New Roman" w:hAnsi="Times New Roman" w:eastAsia="宋体" w:cs="Times New Roman"/>
                <w:b/>
                <w:smallCaps w:val="0"/>
                <w:color w:val="auto"/>
                <w:spacing w:val="0"/>
                <w:highlight w:val="none"/>
                <w:lang w:eastAsia="zh-CN"/>
              </w:rPr>
            </w:pPr>
            <w:r>
              <w:rPr>
                <w:rFonts w:hint="eastAsia" w:cs="Times New Roman"/>
                <w:b/>
                <w:smallCaps w:val="0"/>
                <w:color w:val="auto"/>
                <w:spacing w:val="0"/>
                <w:highlight w:val="none"/>
                <w:lang w:eastAsia="zh-CN"/>
              </w:rPr>
              <w:tab/>
            </w:r>
          </w:p>
          <w:p w14:paraId="26945D93">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2D314C5">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42470DAA">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B98A1A8">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46CF8B67">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838FC0F">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610CB07C">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9E0BC74">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9CF17A7">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089A1BC4">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89A7F0C">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6118CF45">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77E62D49">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p>
          <w:p w14:paraId="528FE19D">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2、运营期工艺流程及排污节点</w:t>
            </w:r>
          </w:p>
          <w:p w14:paraId="706F702B">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cs="Times New Roman"/>
                <w:smallCaps w:val="0"/>
                <w:color w:val="auto"/>
                <w:spacing w:val="0"/>
                <w:highlight w:val="none"/>
                <w:lang w:val="en-US"/>
              </w:rPr>
            </w:pPr>
            <w:r>
              <w:rPr>
                <w:rFonts w:hint="default"/>
                <w:color w:val="auto"/>
                <w:sz w:val="24"/>
                <w:highlight w:val="none"/>
              </w:rPr>
              <mc:AlternateContent>
                <mc:Choice Requires="wpg">
                  <w:drawing>
                    <wp:anchor distT="0" distB="0" distL="114300" distR="114300" simplePos="0" relativeHeight="251673600" behindDoc="0" locked="0" layoutInCell="1" allowOverlap="1">
                      <wp:simplePos x="0" y="0"/>
                      <wp:positionH relativeFrom="column">
                        <wp:posOffset>48260</wp:posOffset>
                      </wp:positionH>
                      <wp:positionV relativeFrom="paragraph">
                        <wp:posOffset>156845</wp:posOffset>
                      </wp:positionV>
                      <wp:extent cx="5156200" cy="2134235"/>
                      <wp:effectExtent l="0" t="0" r="5715" b="0"/>
                      <wp:wrapNone/>
                      <wp:docPr id="84" name="组合 84"/>
                      <wp:cNvGraphicFramePr/>
                      <a:graphic xmlns:a="http://schemas.openxmlformats.org/drawingml/2006/main">
                        <a:graphicData uri="http://schemas.microsoft.com/office/word/2010/wordprocessingGroup">
                          <wpg:wgp>
                            <wpg:cNvGrpSpPr/>
                            <wpg:grpSpPr>
                              <a:xfrm>
                                <a:off x="0" y="0"/>
                                <a:ext cx="5156200" cy="2134235"/>
                                <a:chOff x="3612" y="841620"/>
                                <a:chExt cx="8120" cy="3361"/>
                              </a:xfrm>
                            </wpg:grpSpPr>
                            <wps:wsp>
                              <wps:cNvPr id="8" name="文本框 8"/>
                              <wps:cNvSpPr txBox="1"/>
                              <wps:spPr>
                                <a:xfrm>
                                  <a:off x="3612" y="842170"/>
                                  <a:ext cx="1252" cy="416"/>
                                </a:xfrm>
                                <a:prstGeom prst="rect">
                                  <a:avLst/>
                                </a:prstGeom>
                                <a:noFill/>
                                <a:ln>
                                  <a:noFill/>
                                </a:ln>
                              </wps:spPr>
                              <wps:txbx>
                                <w:txbxContent>
                                  <w:p w14:paraId="2239C574">
                                    <w:pPr>
                                      <w:jc w:val="center"/>
                                      <w:rPr>
                                        <w:rFonts w:hint="default" w:eastAsia="宋体"/>
                                        <w:lang w:val="en-US" w:eastAsia="zh-CN"/>
                                      </w:rPr>
                                    </w:pPr>
                                    <w:r>
                                      <w:rPr>
                                        <w:rFonts w:hint="eastAsia"/>
                                        <w:lang w:val="en-US" w:eastAsia="zh-CN"/>
                                      </w:rPr>
                                      <w:t>尼龙粒子</w:t>
                                    </w:r>
                                  </w:p>
                                </w:txbxContent>
                              </wps:txbx>
                              <wps:bodyPr wrap="square" upright="1">
                                <a:spAutoFit/>
                              </wps:bodyPr>
                            </wps:wsp>
                            <wps:wsp>
                              <wps:cNvPr id="9" name="文本框 9"/>
                              <wps:cNvSpPr txBox="1"/>
                              <wps:spPr>
                                <a:xfrm>
                                  <a:off x="5230" y="842148"/>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05A77F">
                                    <w:pPr>
                                      <w:jc w:val="center"/>
                                      <w:rPr>
                                        <w:rFonts w:hint="default" w:eastAsia="宋体"/>
                                        <w:lang w:val="en-US" w:eastAsia="zh-CN"/>
                                      </w:rPr>
                                    </w:pPr>
                                    <w:r>
                                      <w:rPr>
                                        <w:rFonts w:hint="eastAsia"/>
                                        <w:lang w:val="en-US" w:eastAsia="zh-CN"/>
                                      </w:rPr>
                                      <w:t>投料</w:t>
                                    </w:r>
                                  </w:p>
                                </w:txbxContent>
                              </wps:txbx>
                              <wps:bodyPr upright="1">
                                <a:spAutoFit/>
                              </wps:bodyPr>
                            </wps:wsp>
                            <wps:wsp>
                              <wps:cNvPr id="10" name="直接连接符 10"/>
                              <wps:cNvCnPr/>
                              <wps:spPr>
                                <a:xfrm>
                                  <a:off x="4678" y="842383"/>
                                  <a:ext cx="545" cy="1"/>
                                </a:xfrm>
                                <a:prstGeom prst="line">
                                  <a:avLst/>
                                </a:prstGeom>
                                <a:ln w="9525" cap="flat" cmpd="sng">
                                  <a:solidFill>
                                    <a:srgbClr val="000000"/>
                                  </a:solidFill>
                                  <a:prstDash val="solid"/>
                                  <a:headEnd type="none" w="med" len="med"/>
                                  <a:tailEnd type="triangle" w="med" len="med"/>
                                </a:ln>
                              </wps:spPr>
                              <wps:bodyPr upright="1"/>
                            </wps:wsp>
                            <wps:wsp>
                              <wps:cNvPr id="12" name="文本框 12"/>
                              <wps:cNvSpPr txBox="1"/>
                              <wps:spPr>
                                <a:xfrm>
                                  <a:off x="6847" y="842148"/>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11CAF">
                                    <w:pPr>
                                      <w:jc w:val="center"/>
                                      <w:rPr>
                                        <w:rFonts w:hint="default" w:eastAsia="宋体"/>
                                        <w:lang w:val="en-US" w:eastAsia="zh-CN"/>
                                      </w:rPr>
                                    </w:pPr>
                                    <w:r>
                                      <w:rPr>
                                        <w:rFonts w:hint="eastAsia"/>
                                        <w:lang w:val="en-US" w:eastAsia="zh-CN"/>
                                      </w:rPr>
                                      <w:t>烘干</w:t>
                                    </w:r>
                                  </w:p>
                                </w:txbxContent>
                              </wps:txbx>
                              <wps:bodyPr upright="1">
                                <a:spAutoFit/>
                              </wps:bodyPr>
                            </wps:wsp>
                            <wps:wsp>
                              <wps:cNvPr id="13" name="直接连接符 13"/>
                              <wps:cNvCnPr/>
                              <wps:spPr>
                                <a:xfrm>
                                  <a:off x="6310" y="842383"/>
                                  <a:ext cx="545" cy="1"/>
                                </a:xfrm>
                                <a:prstGeom prst="line">
                                  <a:avLst/>
                                </a:prstGeom>
                                <a:ln w="9525" cap="flat" cmpd="sng">
                                  <a:solidFill>
                                    <a:srgbClr val="000000"/>
                                  </a:solidFill>
                                  <a:prstDash val="solid"/>
                                  <a:headEnd type="none" w="med" len="med"/>
                                  <a:tailEnd type="triangle" w="med" len="med"/>
                                </a:ln>
                              </wps:spPr>
                              <wps:bodyPr upright="1"/>
                            </wps:wsp>
                            <wps:wsp>
                              <wps:cNvPr id="14" name="文本框 14"/>
                              <wps:cNvSpPr txBox="1"/>
                              <wps:spPr>
                                <a:xfrm>
                                  <a:off x="8497" y="842148"/>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F2299C">
                                    <w:pPr>
                                      <w:jc w:val="center"/>
                                      <w:rPr>
                                        <w:rFonts w:hint="default" w:eastAsia="宋体"/>
                                        <w:lang w:val="en-US" w:eastAsia="zh-CN"/>
                                      </w:rPr>
                                    </w:pPr>
                                    <w:r>
                                      <w:rPr>
                                        <w:rFonts w:hint="eastAsia"/>
                                        <w:lang w:val="en-US" w:eastAsia="zh-CN"/>
                                      </w:rPr>
                                      <w:t>注塑</w:t>
                                    </w:r>
                                  </w:p>
                                </w:txbxContent>
                              </wps:txbx>
                              <wps:bodyPr upright="1">
                                <a:spAutoFit/>
                              </wps:bodyPr>
                            </wps:wsp>
                            <wps:wsp>
                              <wps:cNvPr id="15" name="直接连接符 15"/>
                              <wps:cNvCnPr/>
                              <wps:spPr>
                                <a:xfrm>
                                  <a:off x="7945" y="842383"/>
                                  <a:ext cx="545" cy="1"/>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10147" y="842148"/>
                                  <a:ext cx="1466"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A15D5">
                                    <w:pPr>
                                      <w:jc w:val="center"/>
                                      <w:rPr>
                                        <w:rFonts w:hint="default" w:eastAsia="宋体"/>
                                        <w:lang w:val="en-US" w:eastAsia="zh-CN"/>
                                      </w:rPr>
                                    </w:pPr>
                                    <w:r>
                                      <w:rPr>
                                        <w:rFonts w:hint="eastAsia"/>
                                        <w:lang w:val="en-US" w:eastAsia="zh-CN"/>
                                      </w:rPr>
                                      <w:t>检验</w:t>
                                    </w:r>
                                  </w:p>
                                </w:txbxContent>
                              </wps:txbx>
                              <wps:bodyPr upright="1">
                                <a:spAutoFit/>
                              </wps:bodyPr>
                            </wps:wsp>
                            <wps:wsp>
                              <wps:cNvPr id="17" name="直接连接符 17"/>
                              <wps:cNvCnPr/>
                              <wps:spPr>
                                <a:xfrm>
                                  <a:off x="9595" y="842383"/>
                                  <a:ext cx="545" cy="1"/>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a:off x="10857" y="842603"/>
                                  <a:ext cx="1" cy="1091"/>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239" y="843644"/>
                                  <a:ext cx="1460"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98877B">
                                    <w:pPr>
                                      <w:jc w:val="center"/>
                                      <w:rPr>
                                        <w:rFonts w:hint="default" w:eastAsia="宋体"/>
                                        <w:lang w:val="en-US" w:eastAsia="zh-CN"/>
                                      </w:rPr>
                                    </w:pPr>
                                    <w:r>
                                      <w:rPr>
                                        <w:rFonts w:hint="eastAsia"/>
                                        <w:lang w:val="en-US" w:eastAsia="zh-CN"/>
                                      </w:rPr>
                                      <w:t>入库待售</w:t>
                                    </w:r>
                                  </w:p>
                                </w:txbxContent>
                              </wps:txbx>
                              <wps:bodyPr wrap="square" upright="1">
                                <a:spAutoFit/>
                              </wps:bodyPr>
                            </wps:wsp>
                            <wps:wsp>
                              <wps:cNvPr id="24" name="文本框 24"/>
                              <wps:cNvSpPr txBox="1"/>
                              <wps:spPr>
                                <a:xfrm>
                                  <a:off x="10264" y="843644"/>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157B3F">
                                    <w:pPr>
                                      <w:jc w:val="center"/>
                                      <w:rPr>
                                        <w:rFonts w:hint="default" w:eastAsia="宋体"/>
                                        <w:lang w:val="en-US" w:eastAsia="zh-CN"/>
                                      </w:rPr>
                                    </w:pPr>
                                    <w:r>
                                      <w:rPr>
                                        <w:rFonts w:hint="eastAsia"/>
                                        <w:lang w:val="en-US" w:eastAsia="zh-CN"/>
                                      </w:rPr>
                                      <w:t>包装</w:t>
                                    </w:r>
                                  </w:p>
                                </w:txbxContent>
                              </wps:txbx>
                              <wps:bodyPr upright="1">
                                <a:spAutoFit/>
                              </wps:bodyPr>
                            </wps:wsp>
                            <wps:wsp>
                              <wps:cNvPr id="25" name="直接连接符 25"/>
                              <wps:cNvCnPr/>
                              <wps:spPr>
                                <a:xfrm>
                                  <a:off x="9712" y="843879"/>
                                  <a:ext cx="545" cy="1"/>
                                </a:xfrm>
                                <a:prstGeom prst="line">
                                  <a:avLst/>
                                </a:prstGeom>
                                <a:ln w="9525" cap="flat" cmpd="sng">
                                  <a:solidFill>
                                    <a:srgbClr val="000000"/>
                                  </a:solidFill>
                                  <a:prstDash val="solid"/>
                                  <a:headEnd type="triangle" w="med" len="med"/>
                                  <a:tailEnd type="none" w="med" len="med"/>
                                </a:ln>
                              </wps:spPr>
                              <wps:bodyPr upright="1"/>
                            </wps:wsp>
                            <wps:wsp>
                              <wps:cNvPr id="31" name="直接连接符 31"/>
                              <wps:cNvCnPr/>
                              <wps:spPr>
                                <a:xfrm>
                                  <a:off x="10833" y="844082"/>
                                  <a:ext cx="1" cy="504"/>
                                </a:xfrm>
                                <a:prstGeom prst="line">
                                  <a:avLst/>
                                </a:prstGeom>
                                <a:ln w="9525" cap="flat" cmpd="sng">
                                  <a:solidFill>
                                    <a:srgbClr val="000000"/>
                                  </a:solidFill>
                                  <a:prstDash val="solid"/>
                                  <a:headEnd type="triangle" w="med" len="med"/>
                                  <a:tailEnd type="none" w="med" len="med"/>
                                </a:ln>
                              </wps:spPr>
                              <wps:bodyPr upright="1"/>
                            </wps:wsp>
                            <wps:wsp>
                              <wps:cNvPr id="33" name="文本框 33"/>
                              <wps:cNvSpPr txBox="1"/>
                              <wps:spPr>
                                <a:xfrm>
                                  <a:off x="10117" y="844565"/>
                                  <a:ext cx="1339" cy="416"/>
                                </a:xfrm>
                                <a:prstGeom prst="rect">
                                  <a:avLst/>
                                </a:prstGeom>
                                <a:noFill/>
                                <a:ln>
                                  <a:noFill/>
                                </a:ln>
                              </wps:spPr>
                              <wps:txbx>
                                <w:txbxContent>
                                  <w:p w14:paraId="2ED6FE82">
                                    <w:pPr>
                                      <w:jc w:val="center"/>
                                      <w:rPr>
                                        <w:rFonts w:hint="default" w:eastAsia="宋体"/>
                                        <w:lang w:val="en-US" w:eastAsia="zh-CN"/>
                                      </w:rPr>
                                    </w:pPr>
                                    <w:r>
                                      <w:rPr>
                                        <w:rFonts w:hint="eastAsia"/>
                                        <w:lang w:val="en-US" w:eastAsia="zh-CN"/>
                                      </w:rPr>
                                      <w:t>电极片</w:t>
                                    </w:r>
                                  </w:p>
                                </w:txbxContent>
                              </wps:txbx>
                              <wps:bodyPr upright="1">
                                <a:spAutoFit/>
                              </wps:bodyPr>
                            </wps:wsp>
                            <wps:wsp>
                              <wps:cNvPr id="36" name="文本框 36"/>
                              <wps:cNvSpPr txBox="1"/>
                              <wps:spPr>
                                <a:xfrm>
                                  <a:off x="5131" y="841808"/>
                                  <a:ext cx="1225" cy="385"/>
                                </a:xfrm>
                                <a:prstGeom prst="rect">
                                  <a:avLst/>
                                </a:prstGeom>
                                <a:noFill/>
                                <a:ln>
                                  <a:noFill/>
                                </a:ln>
                              </wps:spPr>
                              <wps:txbx>
                                <w:txbxContent>
                                  <w:p w14:paraId="2EA596D1">
                                    <w:pPr>
                                      <w:jc w:val="center"/>
                                      <w:rPr>
                                        <w:rFonts w:hint="default" w:eastAsia="宋体"/>
                                        <w:lang w:val="en-US" w:eastAsia="zh-CN"/>
                                      </w:rPr>
                                    </w:pPr>
                                    <w:r>
                                      <w:rPr>
                                        <w:rFonts w:hint="eastAsia"/>
                                        <w:lang w:val="en-US" w:eastAsia="zh-CN"/>
                                      </w:rPr>
                                      <w:t>G1 S1-S3</w:t>
                                    </w:r>
                                  </w:p>
                                </w:txbxContent>
                              </wps:txbx>
                              <wps:bodyPr wrap="square" upright="1">
                                <a:spAutoFit/>
                              </wps:bodyPr>
                            </wps:wsp>
                            <wps:wsp>
                              <wps:cNvPr id="37" name="文本框 37"/>
                              <wps:cNvSpPr txBox="1"/>
                              <wps:spPr>
                                <a:xfrm>
                                  <a:off x="6628" y="841785"/>
                                  <a:ext cx="1500" cy="486"/>
                                </a:xfrm>
                                <a:prstGeom prst="rect">
                                  <a:avLst/>
                                </a:prstGeom>
                                <a:noFill/>
                                <a:ln>
                                  <a:noFill/>
                                </a:ln>
                              </wps:spPr>
                              <wps:txbx>
                                <w:txbxContent>
                                  <w:p w14:paraId="56083355">
                                    <w:pPr>
                                      <w:jc w:val="center"/>
                                      <w:rPr>
                                        <w:rFonts w:hint="default" w:eastAsia="宋体"/>
                                        <w:lang w:val="en-US" w:eastAsia="zh-CN"/>
                                      </w:rPr>
                                    </w:pPr>
                                    <w:r>
                                      <w:rPr>
                                        <w:rFonts w:hint="eastAsia"/>
                                        <w:lang w:val="en-US" w:eastAsia="zh-CN"/>
                                      </w:rPr>
                                      <w:t>G2 N1 S2-S4</w:t>
                                    </w:r>
                                  </w:p>
                                </w:txbxContent>
                              </wps:txbx>
                              <wps:bodyPr wrap="square" upright="1">
                                <a:noAutofit/>
                              </wps:bodyPr>
                            </wps:wsp>
                            <wps:wsp>
                              <wps:cNvPr id="40" name="文本框 40"/>
                              <wps:cNvSpPr txBox="1"/>
                              <wps:spPr>
                                <a:xfrm>
                                  <a:off x="10198" y="841836"/>
                                  <a:ext cx="1384" cy="385"/>
                                </a:xfrm>
                                <a:prstGeom prst="rect">
                                  <a:avLst/>
                                </a:prstGeom>
                                <a:noFill/>
                                <a:ln>
                                  <a:noFill/>
                                </a:ln>
                              </wps:spPr>
                              <wps:txbx>
                                <w:txbxContent>
                                  <w:p w14:paraId="6E6A4DFF">
                                    <w:pPr>
                                      <w:jc w:val="center"/>
                                      <w:rPr>
                                        <w:rFonts w:hint="default" w:eastAsia="宋体"/>
                                        <w:lang w:val="en-US" w:eastAsia="zh-CN"/>
                                      </w:rPr>
                                    </w:pPr>
                                    <w:r>
                                      <w:rPr>
                                        <w:rFonts w:hint="eastAsia"/>
                                        <w:lang w:val="en-US" w:eastAsia="zh-CN"/>
                                      </w:rPr>
                                      <w:t>S8</w:t>
                                    </w:r>
                                  </w:p>
                                </w:txbxContent>
                              </wps:txbx>
                              <wps:bodyPr wrap="square" upright="1">
                                <a:spAutoFit/>
                              </wps:bodyPr>
                            </wps:wsp>
                            <wps:wsp>
                              <wps:cNvPr id="41" name="文本框 41"/>
                              <wps:cNvSpPr txBox="1"/>
                              <wps:spPr>
                                <a:xfrm>
                                  <a:off x="10512" y="843326"/>
                                  <a:ext cx="1221" cy="424"/>
                                </a:xfrm>
                                <a:prstGeom prst="rect">
                                  <a:avLst/>
                                </a:prstGeom>
                                <a:noFill/>
                                <a:ln>
                                  <a:noFill/>
                                </a:ln>
                              </wps:spPr>
                              <wps:txbx>
                                <w:txbxContent>
                                  <w:p w14:paraId="46788873">
                                    <w:pPr>
                                      <w:jc w:val="center"/>
                                      <w:rPr>
                                        <w:rFonts w:hint="default" w:eastAsia="宋体"/>
                                        <w:lang w:val="en-US" w:eastAsia="zh-CN"/>
                                      </w:rPr>
                                    </w:pPr>
                                    <w:r>
                                      <w:rPr>
                                        <w:rFonts w:hint="eastAsia"/>
                                        <w:lang w:val="en-US" w:eastAsia="zh-CN"/>
                                      </w:rPr>
                                      <w:t>S1</w:t>
                                    </w:r>
                                  </w:p>
                                  <w:p w14:paraId="2A196858">
                                    <w:pPr>
                                      <w:rPr>
                                        <w:rFonts w:hint="default"/>
                                        <w:lang w:val="en-US" w:eastAsia="zh-CN"/>
                                      </w:rPr>
                                    </w:pPr>
                                  </w:p>
                                </w:txbxContent>
                              </wps:txbx>
                              <wps:bodyPr wrap="square" upright="1">
                                <a:noAutofit/>
                              </wps:bodyPr>
                            </wps:wsp>
                            <wps:wsp>
                              <wps:cNvPr id="82" name="文本框 82"/>
                              <wps:cNvSpPr txBox="1"/>
                              <wps:spPr>
                                <a:xfrm>
                                  <a:off x="8250" y="841620"/>
                                  <a:ext cx="1500" cy="687"/>
                                </a:xfrm>
                                <a:prstGeom prst="rect">
                                  <a:avLst/>
                                </a:prstGeom>
                                <a:noFill/>
                                <a:ln>
                                  <a:noFill/>
                                </a:ln>
                              </wps:spPr>
                              <wps:txbx>
                                <w:txbxContent>
                                  <w:p w14:paraId="4B932281">
                                    <w:pPr>
                                      <w:jc w:val="center"/>
                                      <w:rPr>
                                        <w:rFonts w:hint="eastAsia"/>
                                        <w:lang w:val="en-US" w:eastAsia="zh-CN"/>
                                      </w:rPr>
                                    </w:pPr>
                                    <w:r>
                                      <w:rPr>
                                        <w:rFonts w:hint="eastAsia"/>
                                        <w:lang w:val="en-US" w:eastAsia="zh-CN"/>
                                      </w:rPr>
                                      <w:t>G3 N2 S2-S7</w:t>
                                    </w:r>
                                  </w:p>
                                  <w:p w14:paraId="45D2B014">
                                    <w:pPr>
                                      <w:jc w:val="center"/>
                                      <w:rPr>
                                        <w:rFonts w:hint="default" w:eastAsia="宋体"/>
                                        <w:lang w:val="en-US" w:eastAsia="zh-CN"/>
                                      </w:rPr>
                                    </w:pPr>
                                    <w:r>
                                      <w:rPr>
                                        <w:rFonts w:hint="eastAsia"/>
                                        <w:lang w:val="en-US" w:eastAsia="zh-CN"/>
                                      </w:rPr>
                                      <w:t>W1</w:t>
                                    </w:r>
                                  </w:p>
                                </w:txbxContent>
                              </wps:txbx>
                              <wps:bodyPr wrap="square" upright="1">
                                <a:noAutofit/>
                              </wps:bodyPr>
                            </wps:wsp>
                          </wpg:wgp>
                        </a:graphicData>
                      </a:graphic>
                    </wp:anchor>
                  </w:drawing>
                </mc:Choice>
                <mc:Fallback>
                  <w:pict>
                    <v:group id="_x0000_s1026" o:spid="_x0000_s1026" o:spt="203" style="position:absolute;left:0pt;margin-left:3.8pt;margin-top:12.35pt;height:168.05pt;width:406pt;z-index:251673600;mso-width-relative:page;mso-height-relative:page;" coordorigin="3612,841620" coordsize="8120,3361" o:gfxdata="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VOaIx9kAAAAIAQAA&#10;DwAAAAAAAAABACAAAAAiAAAAZHJzL2Rvd25yZXYueG1sUEsBAhQAFAAAAAgAh07iQFgQeBxvBQAA&#10;jysAAA4AAAAAAAAAAQAgAAAAKAEAAGRycy9lMm9Eb2MueG1sUEsFBgAAAAAGAAYAWQEAAAkJAAAA&#10;AA==&#10;">
                      <o:lock v:ext="edit" aspectratio="f"/>
                      <v:shape id="_x0000_s1026" o:spid="_x0000_s1026" o:spt="202" type="#_x0000_t202" style="position:absolute;left:3612;top:842170;height:416;width:1252;" filled="f" stroked="f" coordsize="21600,21600" o:gfxdata="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bU5CtwAAANoAAAAP&#10;AAAAAAAAAAEAIAAAACIAAABkcnMvZG93bnJldi54bWxQSwECFAAUAAAACACHTuJAMy8FnjsAAAA5&#10;AAAAEAAAAAAAAAABACAAAAAGAQAAZHJzL3NoYXBleG1sLnhtbFBLBQYAAAAABgAGAFsBAACwAwAA&#10;AAA=&#10;">
                        <v:fill on="f" focussize="0,0"/>
                        <v:stroke on="f"/>
                        <v:imagedata o:title=""/>
                        <o:lock v:ext="edit" aspectratio="f"/>
                        <v:textbox style="mso-fit-shape-to-text:t;">
                          <w:txbxContent>
                            <w:p w14:paraId="2239C574">
                              <w:pPr>
                                <w:jc w:val="center"/>
                                <w:rPr>
                                  <w:rFonts w:hint="default" w:eastAsia="宋体"/>
                                  <w:lang w:val="en-US" w:eastAsia="zh-CN"/>
                                </w:rPr>
                              </w:pPr>
                              <w:r>
                                <w:rPr>
                                  <w:rFonts w:hint="eastAsia"/>
                                  <w:lang w:val="en-US" w:eastAsia="zh-CN"/>
                                </w:rPr>
                                <w:t>尼龙粒子</w:t>
                              </w:r>
                            </w:p>
                          </w:txbxContent>
                        </v:textbox>
                      </v:shape>
                      <v:shape id="_x0000_s1026" o:spid="_x0000_s1026" o:spt="202" type="#_x0000_t202" style="position:absolute;left:5230;top:842148;height:431;width:1085;" fillcolor="#FFFFFF" filled="t" stroked="t" coordsize="21600,21600" o:gfxdata="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hv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14:paraId="2705A77F">
                              <w:pPr>
                                <w:jc w:val="center"/>
                                <w:rPr>
                                  <w:rFonts w:hint="default" w:eastAsia="宋体"/>
                                  <w:lang w:val="en-US" w:eastAsia="zh-CN"/>
                                </w:rPr>
                              </w:pPr>
                              <w:r>
                                <w:rPr>
                                  <w:rFonts w:hint="eastAsia"/>
                                  <w:lang w:val="en-US" w:eastAsia="zh-CN"/>
                                </w:rPr>
                                <w:t>投料</w:t>
                              </w:r>
                            </w:p>
                          </w:txbxContent>
                        </v:textbox>
                      </v:shape>
                      <v:line id="_x0000_s1026" o:spid="_x0000_s1026" o:spt="20" style="position:absolute;left:4678;top:842383;height:1;width:545;"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847;top:842148;height:431;width:1085;" fillcolor="#FFFFFF" filled="t" stroked="t" coordsize="21600,21600" o:gfxdata="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UIC7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14:paraId="13811CAF">
                              <w:pPr>
                                <w:jc w:val="center"/>
                                <w:rPr>
                                  <w:rFonts w:hint="default" w:eastAsia="宋体"/>
                                  <w:lang w:val="en-US" w:eastAsia="zh-CN"/>
                                </w:rPr>
                              </w:pPr>
                              <w:r>
                                <w:rPr>
                                  <w:rFonts w:hint="eastAsia"/>
                                  <w:lang w:val="en-US" w:eastAsia="zh-CN"/>
                                </w:rPr>
                                <w:t>烘干</w:t>
                              </w:r>
                            </w:p>
                          </w:txbxContent>
                        </v:textbox>
                      </v:shape>
                      <v:line id="_x0000_s1026" o:spid="_x0000_s1026" o:spt="20" style="position:absolute;left:6310;top:842383;height:1;width:545;"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497;top:842148;height:431;width:1085;" fillcolor="#FFFFFF" filled="t" stroked="t" coordsize="21600,21600" o:gfxdata="UEsDBAoAAAAAAIdO4kAAAAAAAAAAAAAAAAAEAAAAZHJzL1BLAwQUAAAACACHTuJAQPW9VLwAAADb&#10;AAAADwAAAGRycy9kb3ducmV2LnhtbEVPTWsCMRC9F/ofwhR662Yttp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vV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14:paraId="0AF2299C">
                              <w:pPr>
                                <w:jc w:val="center"/>
                                <w:rPr>
                                  <w:rFonts w:hint="default" w:eastAsia="宋体"/>
                                  <w:lang w:val="en-US" w:eastAsia="zh-CN"/>
                                </w:rPr>
                              </w:pPr>
                              <w:r>
                                <w:rPr>
                                  <w:rFonts w:hint="eastAsia"/>
                                  <w:lang w:val="en-US" w:eastAsia="zh-CN"/>
                                </w:rPr>
                                <w:t>注塑</w:t>
                              </w:r>
                            </w:p>
                          </w:txbxContent>
                        </v:textbox>
                      </v:shape>
                      <v:line id="_x0000_s1026" o:spid="_x0000_s1026" o:spt="20" style="position:absolute;left:7945;top:842383;height:1;width:545;"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0147;top:842148;height:431;width:1466;" fillcolor="#FFFFFF" filled="t" stroked="t" coordsize="21600,21600" o:gfxdata="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a4a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14:paraId="648A15D5">
                              <w:pPr>
                                <w:jc w:val="center"/>
                                <w:rPr>
                                  <w:rFonts w:hint="default" w:eastAsia="宋体"/>
                                  <w:lang w:val="en-US" w:eastAsia="zh-CN"/>
                                </w:rPr>
                              </w:pPr>
                              <w:r>
                                <w:rPr>
                                  <w:rFonts w:hint="eastAsia"/>
                                  <w:lang w:val="en-US" w:eastAsia="zh-CN"/>
                                </w:rPr>
                                <w:t>检验</w:t>
                              </w:r>
                            </w:p>
                          </w:txbxContent>
                        </v:textbox>
                      </v:shape>
                      <v:line id="_x0000_s1026" o:spid="_x0000_s1026" o:spt="20" style="position:absolute;left:9595;top:842383;height:1;width:545;"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857;top:842603;height:1091;width:1;"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239;top:843644;height:431;width:1460;" fillcolor="#FFFFFF" filled="t" stroked="t" coordsize="21600,21600" o:gfxdata="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Jx6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14:paraId="7A98877B">
                              <w:pPr>
                                <w:jc w:val="center"/>
                                <w:rPr>
                                  <w:rFonts w:hint="default" w:eastAsia="宋体"/>
                                  <w:lang w:val="en-US" w:eastAsia="zh-CN"/>
                                </w:rPr>
                              </w:pPr>
                              <w:r>
                                <w:rPr>
                                  <w:rFonts w:hint="eastAsia"/>
                                  <w:lang w:val="en-US" w:eastAsia="zh-CN"/>
                                </w:rPr>
                                <w:t>入库待售</w:t>
                              </w:r>
                            </w:p>
                          </w:txbxContent>
                        </v:textbox>
                      </v:shape>
                      <v:shape id="_x0000_s1026" o:spid="_x0000_s1026" o:spt="202" type="#_x0000_t202" style="position:absolute;left:10264;top:843644;height:431;width:1085;" fillcolor="#FFFFFF" filled="t" stroked="t" coordsize="21600,21600" o:gfxdata="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l36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14:paraId="59157B3F">
                              <w:pPr>
                                <w:jc w:val="center"/>
                                <w:rPr>
                                  <w:rFonts w:hint="default" w:eastAsia="宋体"/>
                                  <w:lang w:val="en-US" w:eastAsia="zh-CN"/>
                                </w:rPr>
                              </w:pPr>
                              <w:r>
                                <w:rPr>
                                  <w:rFonts w:hint="eastAsia"/>
                                  <w:lang w:val="en-US" w:eastAsia="zh-CN"/>
                                </w:rPr>
                                <w:t>包装</w:t>
                              </w:r>
                            </w:p>
                          </w:txbxContent>
                        </v:textbox>
                      </v:shape>
                      <v:line id="_x0000_s1026" o:spid="_x0000_s1026" o:spt="20" style="position:absolute;left:9712;top:843879;height:1;width:545;" filled="f" stroked="t" coordsize="21600,21600" o:gfxdata="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rJ0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10833;top:844082;height:504;width:1;" filled="f" stroked="t" coordsize="21600,21600" o:gfxdata="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hZDb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_x0000_s1026" o:spid="_x0000_s1026" o:spt="202" type="#_x0000_t202" style="position:absolute;left:10117;top:844565;height:416;width:1339;" filled="f" stroked="f" coordsize="21600,21600" o:gfxdata="UEsDBAoAAAAAAIdO4kAAAAAAAAAAAAAAAAAEAAAAZHJzL1BLAwQUAAAACACHTuJAbtf2ILsAAADb&#10;AAAADwAAAGRycy9kb3ducmV2LnhtbEWPzWrDMBCE74G+g9hCb7Hkh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2I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ED6FE82">
                              <w:pPr>
                                <w:jc w:val="center"/>
                                <w:rPr>
                                  <w:rFonts w:hint="default" w:eastAsia="宋体"/>
                                  <w:lang w:val="en-US" w:eastAsia="zh-CN"/>
                                </w:rPr>
                              </w:pPr>
                              <w:r>
                                <w:rPr>
                                  <w:rFonts w:hint="eastAsia"/>
                                  <w:lang w:val="en-US" w:eastAsia="zh-CN"/>
                                </w:rPr>
                                <w:t>电极片</w:t>
                              </w:r>
                            </w:p>
                          </w:txbxContent>
                        </v:textbox>
                      </v:shape>
                      <v:shape id="_x0000_s1026" o:spid="_x0000_s1026" o:spt="202" type="#_x0000_t202" style="position:absolute;left:5131;top:841808;height:385;width:1225;" filled="f" stroked="f" coordsize="21600,21600" o:gfxdata="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BVu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EA596D1">
                              <w:pPr>
                                <w:jc w:val="center"/>
                                <w:rPr>
                                  <w:rFonts w:hint="default" w:eastAsia="宋体"/>
                                  <w:lang w:val="en-US" w:eastAsia="zh-CN"/>
                                </w:rPr>
                              </w:pPr>
                              <w:r>
                                <w:rPr>
                                  <w:rFonts w:hint="eastAsia"/>
                                  <w:lang w:val="en-US" w:eastAsia="zh-CN"/>
                                </w:rPr>
                                <w:t>G1 S1-S3</w:t>
                              </w:r>
                            </w:p>
                          </w:txbxContent>
                        </v:textbox>
                      </v:shape>
                      <v:shape id="_x0000_s1026" o:spid="_x0000_s1026" o:spt="202" type="#_x0000_t202" style="position:absolute;left:6628;top:841785;height:486;width:150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6083355">
                              <w:pPr>
                                <w:jc w:val="center"/>
                                <w:rPr>
                                  <w:rFonts w:hint="default" w:eastAsia="宋体"/>
                                  <w:lang w:val="en-US" w:eastAsia="zh-CN"/>
                                </w:rPr>
                              </w:pPr>
                              <w:r>
                                <w:rPr>
                                  <w:rFonts w:hint="eastAsia"/>
                                  <w:lang w:val="en-US" w:eastAsia="zh-CN"/>
                                </w:rPr>
                                <w:t>G2 N1 S2-S4</w:t>
                              </w:r>
                            </w:p>
                          </w:txbxContent>
                        </v:textbox>
                      </v:shape>
                      <v:shape id="_x0000_s1026" o:spid="_x0000_s1026" o:spt="202" type="#_x0000_t202" style="position:absolute;left:10198;top:841836;height:385;width:1384;" filled="f" stroked="f" coordsize="21600,21600" o:gfxdata="UEsDBAoAAAAAAIdO4kAAAAAAAAAAAAAAAAAEAAAAZHJzL1BLAwQUAAAACACHTuJAxgMbKrgAAADb&#10;AAAADwAAAGRycy9kb3ducmV2LnhtbEVPS2vCQBC+C/0PyxS86W5KLZ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MbK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6E6A4DFF">
                              <w:pPr>
                                <w:jc w:val="center"/>
                                <w:rPr>
                                  <w:rFonts w:hint="default" w:eastAsia="宋体"/>
                                  <w:lang w:val="en-US" w:eastAsia="zh-CN"/>
                                </w:rPr>
                              </w:pPr>
                              <w:r>
                                <w:rPr>
                                  <w:rFonts w:hint="eastAsia"/>
                                  <w:lang w:val="en-US" w:eastAsia="zh-CN"/>
                                </w:rPr>
                                <w:t>S8</w:t>
                              </w:r>
                            </w:p>
                          </w:txbxContent>
                        </v:textbox>
                      </v:shape>
                      <v:shape id="_x0000_s1026" o:spid="_x0000_s1026" o:spt="202" type="#_x0000_t202" style="position:absolute;left:10512;top:843326;height:424;width:1221;"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6788873">
                              <w:pPr>
                                <w:jc w:val="center"/>
                                <w:rPr>
                                  <w:rFonts w:hint="default" w:eastAsia="宋体"/>
                                  <w:lang w:val="en-US" w:eastAsia="zh-CN"/>
                                </w:rPr>
                              </w:pPr>
                              <w:r>
                                <w:rPr>
                                  <w:rFonts w:hint="eastAsia"/>
                                  <w:lang w:val="en-US" w:eastAsia="zh-CN"/>
                                </w:rPr>
                                <w:t>S1</w:t>
                              </w:r>
                            </w:p>
                            <w:p w14:paraId="2A196858">
                              <w:pPr>
                                <w:rPr>
                                  <w:rFonts w:hint="default"/>
                                  <w:lang w:val="en-US" w:eastAsia="zh-CN"/>
                                </w:rPr>
                              </w:pPr>
                            </w:p>
                          </w:txbxContent>
                        </v:textbox>
                      </v:shape>
                      <v:shape id="_x0000_s1026" o:spid="_x0000_s1026" o:spt="202" type="#_x0000_t202" style="position:absolute;left:8250;top:841620;height:687;width:1500;"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B932281">
                              <w:pPr>
                                <w:jc w:val="center"/>
                                <w:rPr>
                                  <w:rFonts w:hint="eastAsia"/>
                                  <w:lang w:val="en-US" w:eastAsia="zh-CN"/>
                                </w:rPr>
                              </w:pPr>
                              <w:r>
                                <w:rPr>
                                  <w:rFonts w:hint="eastAsia"/>
                                  <w:lang w:val="en-US" w:eastAsia="zh-CN"/>
                                </w:rPr>
                                <w:t>G3 N2 S2-S7</w:t>
                              </w:r>
                            </w:p>
                            <w:p w14:paraId="45D2B014">
                              <w:pPr>
                                <w:jc w:val="center"/>
                                <w:rPr>
                                  <w:rFonts w:hint="default" w:eastAsia="宋体"/>
                                  <w:lang w:val="en-US" w:eastAsia="zh-CN"/>
                                </w:rPr>
                              </w:pPr>
                              <w:r>
                                <w:rPr>
                                  <w:rFonts w:hint="eastAsia"/>
                                  <w:lang w:val="en-US" w:eastAsia="zh-CN"/>
                                </w:rPr>
                                <w:t>W1</w:t>
                              </w:r>
                            </w:p>
                          </w:txbxContent>
                        </v:textbox>
                      </v:shape>
                    </v:group>
                  </w:pict>
                </mc:Fallback>
              </mc:AlternateContent>
            </w:r>
            <w:r>
              <w:rPr>
                <w:rFonts w:hint="default" w:ascii="Times New Roman" w:hAnsi="Times New Roman" w:eastAsia="宋体" w:cs="Times New Roman"/>
                <w:smallCaps w:val="0"/>
                <w:snapToGrid w:val="0"/>
                <w:color w:val="auto"/>
                <w:spacing w:val="0"/>
                <w:kern w:val="2"/>
                <w:sz w:val="24"/>
                <w:szCs w:val="24"/>
                <w:highlight w:val="none"/>
                <w:lang w:val="en-US" w:eastAsia="zh-CN" w:bidi="ar-SA"/>
              </w:rPr>
              <w:t>（1）</w:t>
            </w:r>
            <w:r>
              <w:rPr>
                <w:rFonts w:hint="eastAsia" w:cs="Times New Roman"/>
                <w:smallCaps w:val="0"/>
                <w:snapToGrid w:val="0"/>
                <w:color w:val="auto"/>
                <w:spacing w:val="0"/>
                <w:kern w:val="2"/>
                <w:sz w:val="24"/>
                <w:szCs w:val="24"/>
                <w:highlight w:val="none"/>
                <w:lang w:val="en-US" w:eastAsia="zh-CN" w:bidi="ar-SA"/>
              </w:rPr>
              <w:t>汽车塑料配件工艺流程及排污节点：</w:t>
            </w:r>
          </w:p>
          <w:p w14:paraId="029FE535">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596BA556">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3D8133E5">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0A74A975">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2844D82">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301E6426">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19F325F8">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0ED8604D">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73C8FECE">
            <w:pPr>
              <w:pStyle w:val="187"/>
              <w:keepNext w:val="0"/>
              <w:keepLines w:val="0"/>
              <w:suppressLineNumbers w:val="0"/>
              <w:spacing w:before="0" w:beforeAutospacing="0" w:after="0" w:afterAutospacing="0"/>
              <w:ind w:left="0" w:right="0"/>
              <w:jc w:val="right"/>
              <w:rPr>
                <w:rFonts w:hint="default" w:ascii="Times New Roman" w:hAnsi="Times New Roman" w:eastAsia="宋体" w:cs="Times New Roman"/>
                <w:b w:val="0"/>
                <w:bCs/>
                <w:smallCaps w:val="0"/>
                <w:color w:val="auto"/>
                <w:spacing w:val="0"/>
                <w:highlight w:val="none"/>
                <w:lang w:val="en-US" w:eastAsia="zh-CN"/>
              </w:rPr>
            </w:pPr>
          </w:p>
          <w:p w14:paraId="4C298961">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2E75846A">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6FE19FE">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55EA39A1">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5F7DD561">
            <w:pPr>
              <w:pStyle w:val="187"/>
              <w:keepNext w:val="0"/>
              <w:keepLines w:val="0"/>
              <w:suppressLineNumbers w:val="0"/>
              <w:spacing w:before="0" w:beforeAutospacing="0" w:after="0" w:afterAutospacing="0"/>
              <w:ind w:left="0" w:right="0"/>
              <w:jc w:val="right"/>
              <w:rPr>
                <w:rFonts w:hint="default" w:ascii="Times New Roman" w:hAnsi="Times New Roman" w:cs="Times New Roman"/>
                <w:smallCaps w:val="0"/>
                <w:color w:val="auto"/>
                <w:spacing w:val="0"/>
                <w:highlight w:val="none"/>
              </w:rPr>
            </w:pPr>
            <w:r>
              <w:rPr>
                <w:rFonts w:hint="default" w:ascii="Times New Roman" w:hAnsi="Times New Roman" w:cs="Times New Roman"/>
                <w:b w:val="0"/>
                <w:bCs/>
                <w:smallCaps w:val="0"/>
                <w:color w:val="auto"/>
                <w:spacing w:val="0"/>
                <w:sz w:val="21"/>
                <w:szCs w:val="21"/>
                <w:highlight w:val="none"/>
                <w:lang w:val="en-US" w:eastAsia="zh-CN"/>
              </w:rPr>
              <w:t>注：</w:t>
            </w:r>
            <w:r>
              <w:rPr>
                <w:rFonts w:hint="eastAsia" w:cs="Times New Roman"/>
                <w:b w:val="0"/>
                <w:bCs/>
                <w:smallCaps w:val="0"/>
                <w:color w:val="auto"/>
                <w:spacing w:val="0"/>
                <w:sz w:val="21"/>
                <w:szCs w:val="21"/>
                <w:highlight w:val="none"/>
                <w:lang w:val="en-US" w:eastAsia="zh-CN"/>
              </w:rPr>
              <w:t xml:space="preserve">G废气 </w:t>
            </w:r>
            <w:r>
              <w:rPr>
                <w:rFonts w:hint="default" w:ascii="Times New Roman" w:hAnsi="Times New Roman" w:cs="Times New Roman"/>
                <w:b w:val="0"/>
                <w:bCs/>
                <w:smallCaps w:val="0"/>
                <w:color w:val="auto"/>
                <w:spacing w:val="0"/>
                <w:sz w:val="21"/>
                <w:szCs w:val="21"/>
                <w:highlight w:val="none"/>
                <w:lang w:val="en-US" w:eastAsia="zh-CN"/>
              </w:rPr>
              <w:t>N噪声 S固废</w:t>
            </w:r>
          </w:p>
          <w:p w14:paraId="25AFAEBD">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图2-</w:t>
            </w:r>
            <w:r>
              <w:rPr>
                <w:rFonts w:hint="eastAsia"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 xml:space="preserve">    汽车塑料配件工艺流程及产污环节图</w:t>
            </w:r>
          </w:p>
          <w:p w14:paraId="204C1AD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生产工艺介绍如下：</w:t>
            </w:r>
          </w:p>
          <w:p w14:paraId="11B0741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①</w:t>
            </w:r>
            <w:r>
              <w:rPr>
                <w:rFonts w:hint="eastAsia" w:cs="Times New Roman"/>
                <w:smallCaps w:val="0"/>
                <w:snapToGrid w:val="0"/>
                <w:color w:val="auto"/>
                <w:spacing w:val="0"/>
                <w:kern w:val="2"/>
                <w:sz w:val="24"/>
                <w:szCs w:val="24"/>
                <w:highlight w:val="none"/>
                <w:lang w:val="en-US" w:eastAsia="zh-CN" w:bidi="ar-SA"/>
              </w:rPr>
              <w:t>投料</w:t>
            </w:r>
          </w:p>
          <w:p w14:paraId="592B2441">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尼龙粒子人工拆包后人工倒入干燥机/干燥箱进行干燥。</w:t>
            </w:r>
          </w:p>
          <w:p w14:paraId="5E923168">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本工序污染物主要为：尼龙粒子拆包、投料时产生的颗粒物G1；废包装材料S1、废布袋S2、除尘灰S3。</w:t>
            </w:r>
          </w:p>
          <w:p w14:paraId="1DF48761">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②</w:t>
            </w:r>
            <w:r>
              <w:rPr>
                <w:rFonts w:hint="eastAsia" w:cs="Times New Roman"/>
                <w:smallCaps w:val="0"/>
                <w:snapToGrid w:val="0"/>
                <w:color w:val="auto"/>
                <w:spacing w:val="0"/>
                <w:kern w:val="2"/>
                <w:sz w:val="24"/>
                <w:szCs w:val="24"/>
                <w:highlight w:val="none"/>
                <w:lang w:val="en-US" w:eastAsia="zh-CN" w:bidi="ar-SA"/>
              </w:rPr>
              <w:t>烘干</w:t>
            </w:r>
          </w:p>
          <w:p w14:paraId="798B625F">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因尼龙粒子的吸湿性强，需将干燥机/干燥箱温度调至80~120℃进行干燥，去除水分以防止注塑时产生气泡、银纹等缺陷。</w:t>
            </w:r>
          </w:p>
          <w:p w14:paraId="7E3DC629">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本工序污染物主要为：烘干过程中产生的非甲烷总烃、氨、臭气浓度G2；干燥机/干燥箱运转时产生的噪声N1；废活性炭S4。</w:t>
            </w:r>
          </w:p>
          <w:p w14:paraId="005DC27C">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③</w:t>
            </w:r>
            <w:r>
              <w:rPr>
                <w:rFonts w:hint="eastAsia" w:cs="Times New Roman"/>
                <w:smallCaps w:val="0"/>
                <w:snapToGrid w:val="0"/>
                <w:color w:val="auto"/>
                <w:spacing w:val="0"/>
                <w:kern w:val="2"/>
                <w:sz w:val="24"/>
                <w:szCs w:val="24"/>
                <w:highlight w:val="none"/>
                <w:lang w:val="en-US" w:eastAsia="zh-CN" w:bidi="ar-SA"/>
              </w:rPr>
              <w:t>注塑</w:t>
            </w:r>
          </w:p>
          <w:p w14:paraId="2E7B7694">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经过干燥后的尼龙粒子通过管道经气力输送至注塑机入料斗中，在高压注塑机加热筒内电热片的加热作用下加热至熔融状态，尼龙粒子加热温度为240-270℃。熔融状态的物料经注射螺杆注入模具中，同时进行自然冷却，得到半成品汽车塑料件，待半成品自然冷却后，人工取出，并裁剪除去多余的塑料。</w:t>
            </w:r>
          </w:p>
          <w:p w14:paraId="7E0CFF21">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本工序污染物主要为：注塑过程中产生的颗粒物、非甲烷总烃、氨、臭气浓度G3；注塑机运转时产生的噪声N2；废布袋S2、除尘灰S3、废活性炭S4、废塑料边角料S5、废切削液S6、废切削液桶S7；设备冷却水W1。</w:t>
            </w:r>
          </w:p>
          <w:p w14:paraId="3C962F9E">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④</w:t>
            </w:r>
            <w:r>
              <w:rPr>
                <w:rFonts w:hint="eastAsia" w:cs="Times New Roman"/>
                <w:smallCaps w:val="0"/>
                <w:snapToGrid w:val="0"/>
                <w:color w:val="auto"/>
                <w:spacing w:val="0"/>
                <w:kern w:val="2"/>
                <w:sz w:val="24"/>
                <w:szCs w:val="24"/>
                <w:highlight w:val="none"/>
                <w:lang w:val="en-US" w:eastAsia="zh-CN" w:bidi="ar-SA"/>
              </w:rPr>
              <w:t>检验</w:t>
            </w:r>
          </w:p>
          <w:p w14:paraId="090AEB3F">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经人工检验外观，合格的进入下一工序，不合格品收集后待售。</w:t>
            </w:r>
          </w:p>
          <w:p w14:paraId="2DA3A517">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本工序污染物主要为：检验过程中产生的不合格品S8。</w:t>
            </w:r>
          </w:p>
          <w:p w14:paraId="04DFB497">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⑤</w:t>
            </w:r>
            <w:r>
              <w:rPr>
                <w:rFonts w:hint="eastAsia" w:cs="Times New Roman"/>
                <w:smallCaps w:val="0"/>
                <w:snapToGrid w:val="0"/>
                <w:color w:val="auto"/>
                <w:spacing w:val="0"/>
                <w:kern w:val="2"/>
                <w:sz w:val="24"/>
                <w:szCs w:val="24"/>
                <w:highlight w:val="none"/>
                <w:lang w:val="en-US" w:eastAsia="zh-CN" w:bidi="ar-SA"/>
              </w:rPr>
              <w:t>包装</w:t>
            </w:r>
          </w:p>
          <w:p w14:paraId="2008C66D">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经人工检验合格的半成品与电极片组装后，经人工包装后入库待售。项目电极片20%由本厂生产，80%直接外购成品。</w:t>
            </w:r>
          </w:p>
          <w:p w14:paraId="44416E8F">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本工序污染物主要为：废包装材料S1。</w:t>
            </w:r>
          </w:p>
          <w:p w14:paraId="55EDAE1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⑥</w:t>
            </w:r>
            <w:r>
              <w:rPr>
                <w:rFonts w:hint="eastAsia" w:cs="Times New Roman"/>
                <w:smallCaps w:val="0"/>
                <w:snapToGrid w:val="0"/>
                <w:color w:val="auto"/>
                <w:spacing w:val="0"/>
                <w:kern w:val="2"/>
                <w:sz w:val="24"/>
                <w:szCs w:val="24"/>
                <w:highlight w:val="none"/>
                <w:lang w:val="en-US" w:eastAsia="zh-CN" w:bidi="ar-SA"/>
              </w:rPr>
              <w:t>入库待售</w:t>
            </w:r>
          </w:p>
          <w:p w14:paraId="2AE13A07">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成品人工搬运至成品区暂存待售。</w:t>
            </w:r>
          </w:p>
          <w:p w14:paraId="374E9D99">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本工序无污染物产生。</w:t>
            </w:r>
          </w:p>
          <w:p w14:paraId="451EA85B">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cs="Times New Roman"/>
                <w:smallCaps w:val="0"/>
                <w:color w:val="auto"/>
                <w:spacing w:val="0"/>
                <w:highlight w:val="none"/>
                <w:lang w:val="en-US"/>
              </w:rPr>
            </w:pPr>
            <w:r>
              <w:rPr>
                <w:rFonts w:hint="eastAsia" w:cs="Times New Roman"/>
                <w:smallCaps w:val="0"/>
                <w:color w:val="auto"/>
                <w:spacing w:val="0"/>
                <w:highlight w:val="none"/>
                <w:lang w:val="en-US" w:eastAsia="zh-CN"/>
              </w:rPr>
              <w:t>（2）</w:t>
            </w:r>
            <w:r>
              <w:rPr>
                <w:rFonts w:hint="eastAsia" w:cs="Times New Roman"/>
                <w:smallCaps w:val="0"/>
                <w:snapToGrid w:val="0"/>
                <w:color w:val="auto"/>
                <w:spacing w:val="0"/>
                <w:kern w:val="2"/>
                <w:sz w:val="24"/>
                <w:szCs w:val="24"/>
                <w:highlight w:val="none"/>
                <w:lang w:val="en-US" w:eastAsia="zh-CN" w:bidi="ar-SA"/>
              </w:rPr>
              <w:t>电极片工艺流程及排污节点：</w:t>
            </w:r>
          </w:p>
          <w:p w14:paraId="07CAECE7">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g">
                  <w:drawing>
                    <wp:anchor distT="0" distB="0" distL="114300" distR="114300" simplePos="0" relativeHeight="251674624" behindDoc="0" locked="0" layoutInCell="1" allowOverlap="1">
                      <wp:simplePos x="0" y="0"/>
                      <wp:positionH relativeFrom="column">
                        <wp:posOffset>559435</wp:posOffset>
                      </wp:positionH>
                      <wp:positionV relativeFrom="paragraph">
                        <wp:posOffset>48260</wp:posOffset>
                      </wp:positionV>
                      <wp:extent cx="4048125" cy="497205"/>
                      <wp:effectExtent l="0" t="0" r="7620" b="19685"/>
                      <wp:wrapNone/>
                      <wp:docPr id="85" name="组合 85"/>
                      <wp:cNvGraphicFramePr/>
                      <a:graphic xmlns:a="http://schemas.openxmlformats.org/drawingml/2006/main">
                        <a:graphicData uri="http://schemas.microsoft.com/office/word/2010/wordprocessingGroup">
                          <wpg:wgp>
                            <wpg:cNvGrpSpPr/>
                            <wpg:grpSpPr>
                              <a:xfrm>
                                <a:off x="0" y="0"/>
                                <a:ext cx="4048125" cy="497205"/>
                                <a:chOff x="4373" y="862847"/>
                                <a:chExt cx="6375" cy="783"/>
                              </a:xfrm>
                            </wpg:grpSpPr>
                            <wps:wsp>
                              <wps:cNvPr id="88" name="文本框 88"/>
                              <wps:cNvSpPr txBox="1"/>
                              <wps:spPr>
                                <a:xfrm>
                                  <a:off x="4373" y="863206"/>
                                  <a:ext cx="1453" cy="416"/>
                                </a:xfrm>
                                <a:prstGeom prst="rect">
                                  <a:avLst/>
                                </a:prstGeom>
                                <a:noFill/>
                                <a:ln>
                                  <a:noFill/>
                                </a:ln>
                              </wps:spPr>
                              <wps:txbx>
                                <w:txbxContent>
                                  <w:p w14:paraId="56765974">
                                    <w:pPr>
                                      <w:jc w:val="center"/>
                                      <w:rPr>
                                        <w:rFonts w:hint="default" w:eastAsia="宋体"/>
                                        <w:lang w:val="en-US" w:eastAsia="zh-CN"/>
                                      </w:rPr>
                                    </w:pPr>
                                    <w:r>
                                      <w:rPr>
                                        <w:rFonts w:hint="eastAsia"/>
                                        <w:lang w:val="en-US" w:eastAsia="zh-CN"/>
                                      </w:rPr>
                                      <w:t>铝板、铜板</w:t>
                                    </w:r>
                                  </w:p>
                                </w:txbxContent>
                              </wps:txbx>
                              <wps:bodyPr wrap="square" upright="1">
                                <a:spAutoFit/>
                              </wps:bodyPr>
                            </wps:wsp>
                            <wps:wsp>
                              <wps:cNvPr id="89" name="文本框 89"/>
                              <wps:cNvSpPr txBox="1"/>
                              <wps:spPr>
                                <a:xfrm>
                                  <a:off x="6322" y="863189"/>
                                  <a:ext cx="1057"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6122C3">
                                    <w:pPr>
                                      <w:jc w:val="center"/>
                                      <w:rPr>
                                        <w:rFonts w:hint="default" w:eastAsia="宋体"/>
                                        <w:lang w:val="en-US" w:eastAsia="zh-CN"/>
                                      </w:rPr>
                                    </w:pPr>
                                    <w:r>
                                      <w:rPr>
                                        <w:rFonts w:hint="eastAsia"/>
                                        <w:lang w:val="en-US" w:eastAsia="zh-CN"/>
                                      </w:rPr>
                                      <w:t>剪板</w:t>
                                    </w:r>
                                  </w:p>
                                </w:txbxContent>
                              </wps:txbx>
                              <wps:bodyPr wrap="square" upright="1">
                                <a:spAutoFit/>
                              </wps:bodyPr>
                            </wps:wsp>
                            <wps:wsp>
                              <wps:cNvPr id="90" name="直接连接符 90"/>
                              <wps:cNvCnPr/>
                              <wps:spPr>
                                <a:xfrm>
                                  <a:off x="5756" y="863414"/>
                                  <a:ext cx="545" cy="1"/>
                                </a:xfrm>
                                <a:prstGeom prst="line">
                                  <a:avLst/>
                                </a:prstGeom>
                                <a:ln w="9525" cap="flat" cmpd="sng">
                                  <a:solidFill>
                                    <a:srgbClr val="000000"/>
                                  </a:solidFill>
                                  <a:prstDash val="solid"/>
                                  <a:headEnd type="none" w="med" len="med"/>
                                  <a:tailEnd type="triangle" w="med" len="med"/>
                                </a:ln>
                              </wps:spPr>
                              <wps:bodyPr upright="1"/>
                            </wps:wsp>
                            <wps:wsp>
                              <wps:cNvPr id="91" name="文本框 91"/>
                              <wps:cNvSpPr txBox="1"/>
                              <wps:spPr>
                                <a:xfrm>
                                  <a:off x="7925" y="863199"/>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0048E">
                                    <w:pPr>
                                      <w:jc w:val="center"/>
                                      <w:rPr>
                                        <w:rFonts w:hint="default" w:eastAsia="宋体"/>
                                        <w:lang w:val="en-US" w:eastAsia="zh-CN"/>
                                      </w:rPr>
                                    </w:pPr>
                                    <w:r>
                                      <w:rPr>
                                        <w:rFonts w:hint="eastAsia"/>
                                        <w:lang w:val="en-US" w:eastAsia="zh-CN"/>
                                      </w:rPr>
                                      <w:t>冲压</w:t>
                                    </w:r>
                                  </w:p>
                                </w:txbxContent>
                              </wps:txbx>
                              <wps:bodyPr upright="1">
                                <a:spAutoFit/>
                              </wps:bodyPr>
                            </wps:wsp>
                            <wps:wsp>
                              <wps:cNvPr id="92" name="直接连接符 92"/>
                              <wps:cNvCnPr/>
                              <wps:spPr>
                                <a:xfrm>
                                  <a:off x="7373" y="863414"/>
                                  <a:ext cx="545" cy="1"/>
                                </a:xfrm>
                                <a:prstGeom prst="line">
                                  <a:avLst/>
                                </a:prstGeom>
                                <a:ln w="9525" cap="flat" cmpd="sng">
                                  <a:solidFill>
                                    <a:srgbClr val="000000"/>
                                  </a:solidFill>
                                  <a:prstDash val="solid"/>
                                  <a:headEnd type="none" w="med" len="med"/>
                                  <a:tailEnd type="triangle" w="med" len="med"/>
                                </a:ln>
                              </wps:spPr>
                              <wps:bodyPr upright="1"/>
                            </wps:wsp>
                            <wps:wsp>
                              <wps:cNvPr id="93" name="直接连接符 93"/>
                              <wps:cNvCnPr/>
                              <wps:spPr>
                                <a:xfrm>
                                  <a:off x="9023" y="863414"/>
                                  <a:ext cx="545" cy="1"/>
                                </a:xfrm>
                                <a:prstGeom prst="line">
                                  <a:avLst/>
                                </a:prstGeom>
                                <a:ln w="9525" cap="flat" cmpd="sng">
                                  <a:solidFill>
                                    <a:srgbClr val="000000"/>
                                  </a:solidFill>
                                  <a:prstDash val="solid"/>
                                  <a:headEnd type="none" w="med" len="med"/>
                                  <a:tailEnd type="triangle" w="med" len="med"/>
                                </a:ln>
                              </wps:spPr>
                              <wps:bodyPr upright="1"/>
                            </wps:wsp>
                            <wps:wsp>
                              <wps:cNvPr id="94" name="文本框 94"/>
                              <wps:cNvSpPr txBox="1"/>
                              <wps:spPr>
                                <a:xfrm>
                                  <a:off x="9575" y="863199"/>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BFE2C5">
                                    <w:pPr>
                                      <w:jc w:val="center"/>
                                      <w:rPr>
                                        <w:rFonts w:hint="default" w:eastAsia="宋体"/>
                                        <w:lang w:val="en-US" w:eastAsia="zh-CN"/>
                                      </w:rPr>
                                    </w:pPr>
                                    <w:r>
                                      <w:rPr>
                                        <w:rFonts w:hint="eastAsia"/>
                                        <w:lang w:val="en-US" w:eastAsia="zh-CN"/>
                                      </w:rPr>
                                      <w:t>检验</w:t>
                                    </w:r>
                                  </w:p>
                                </w:txbxContent>
                              </wps:txbx>
                              <wps:bodyPr upright="1">
                                <a:spAutoFit/>
                              </wps:bodyPr>
                            </wps:wsp>
                            <wps:wsp>
                              <wps:cNvPr id="116" name="文本框 116"/>
                              <wps:cNvSpPr txBox="1"/>
                              <wps:spPr>
                                <a:xfrm>
                                  <a:off x="6211" y="862847"/>
                                  <a:ext cx="1279" cy="416"/>
                                </a:xfrm>
                                <a:prstGeom prst="rect">
                                  <a:avLst/>
                                </a:prstGeom>
                                <a:noFill/>
                                <a:ln>
                                  <a:noFill/>
                                </a:ln>
                              </wps:spPr>
                              <wps:txbx>
                                <w:txbxContent>
                                  <w:p w14:paraId="7DE420F1">
                                    <w:pPr>
                                      <w:jc w:val="center"/>
                                      <w:rPr>
                                        <w:rFonts w:hint="default" w:eastAsia="宋体"/>
                                        <w:lang w:val="en-US" w:eastAsia="zh-CN"/>
                                      </w:rPr>
                                    </w:pPr>
                                    <w:r>
                                      <w:rPr>
                                        <w:rFonts w:hint="eastAsia"/>
                                        <w:lang w:val="en-US" w:eastAsia="zh-CN"/>
                                      </w:rPr>
                                      <w:t>N3、S9</w:t>
                                    </w:r>
                                  </w:p>
                                </w:txbxContent>
                              </wps:txbx>
                              <wps:bodyPr wrap="square" upright="1">
                                <a:spAutoFit/>
                              </wps:bodyPr>
                            </wps:wsp>
                            <wps:wsp>
                              <wps:cNvPr id="118" name="文本框 118"/>
                              <wps:cNvSpPr txBox="1"/>
                              <wps:spPr>
                                <a:xfrm>
                                  <a:off x="7854" y="862847"/>
                                  <a:ext cx="1279" cy="385"/>
                                </a:xfrm>
                                <a:prstGeom prst="rect">
                                  <a:avLst/>
                                </a:prstGeom>
                                <a:noFill/>
                                <a:ln>
                                  <a:noFill/>
                                </a:ln>
                              </wps:spPr>
                              <wps:txbx>
                                <w:txbxContent>
                                  <w:p w14:paraId="4AC2E96F">
                                    <w:pPr>
                                      <w:jc w:val="center"/>
                                      <w:rPr>
                                        <w:rFonts w:hint="default"/>
                                        <w:lang w:val="en-US" w:eastAsia="zh-CN"/>
                                      </w:rPr>
                                    </w:pPr>
                                    <w:r>
                                      <w:rPr>
                                        <w:rFonts w:hint="eastAsia"/>
                                        <w:lang w:val="en-US" w:eastAsia="zh-CN"/>
                                      </w:rPr>
                                      <w:t>N4</w:t>
                                    </w:r>
                                  </w:p>
                                </w:txbxContent>
                              </wps:txbx>
                              <wps:bodyPr wrap="square" upright="1">
                                <a:spAutoFit/>
                              </wps:bodyPr>
                            </wps:wsp>
                            <wps:wsp>
                              <wps:cNvPr id="119" name="文本框 119"/>
                              <wps:cNvSpPr txBox="1"/>
                              <wps:spPr>
                                <a:xfrm>
                                  <a:off x="9469" y="862847"/>
                                  <a:ext cx="1279" cy="385"/>
                                </a:xfrm>
                                <a:prstGeom prst="rect">
                                  <a:avLst/>
                                </a:prstGeom>
                                <a:noFill/>
                                <a:ln>
                                  <a:noFill/>
                                </a:ln>
                              </wps:spPr>
                              <wps:txbx>
                                <w:txbxContent>
                                  <w:p w14:paraId="4B7E4D14">
                                    <w:pPr>
                                      <w:jc w:val="center"/>
                                      <w:rPr>
                                        <w:rFonts w:hint="default" w:eastAsia="宋体"/>
                                        <w:lang w:val="en-US" w:eastAsia="zh-CN"/>
                                      </w:rPr>
                                    </w:pPr>
                                    <w:r>
                                      <w:rPr>
                                        <w:rFonts w:hint="eastAsia"/>
                                        <w:lang w:val="en-US" w:eastAsia="zh-CN"/>
                                      </w:rPr>
                                      <w:t>S10</w:t>
                                    </w:r>
                                  </w:p>
                                </w:txbxContent>
                              </wps:txbx>
                              <wps:bodyPr wrap="square" upright="1">
                                <a:spAutoFit/>
                              </wps:bodyPr>
                            </wps:wsp>
                          </wpg:wgp>
                        </a:graphicData>
                      </a:graphic>
                    </wp:anchor>
                  </w:drawing>
                </mc:Choice>
                <mc:Fallback>
                  <w:pict>
                    <v:group id="_x0000_s1026" o:spid="_x0000_s1026" o:spt="203" style="position:absolute;left:0pt;margin-left:44.05pt;margin-top:3.8pt;height:39.15pt;width:318.75pt;z-index:251674624;mso-width-relative:page;mso-height-relative:page;" coordorigin="4373,862847" coordsize="6375,783" o:gfxdata="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d8owztcAAAAHAQAADwAAAAAAAAABACAAAAAi&#10;AAAAZHJzL2Rvd25yZXYueG1sUEsBAhQAFAAAAAgAh07iQAecsNEMBAAAJxcAAA4AAAAAAAAAAQAg&#10;AAAAJgEAAGRycy9lMm9Eb2MueG1sUEsFBgAAAAAGAAYAWQEAAKQHAAAAAA==&#10;">
                      <o:lock v:ext="edit" aspectratio="f"/>
                      <v:shape id="_x0000_s1026" o:spid="_x0000_s1026" o:spt="202" type="#_x0000_t202" style="position:absolute;left:4373;top:863206;height:416;width:1453;" filled="f" stroked="f" coordsize="21600,21600" o:gfxdata="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tt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56765974">
                              <w:pPr>
                                <w:jc w:val="center"/>
                                <w:rPr>
                                  <w:rFonts w:hint="default" w:eastAsia="宋体"/>
                                  <w:lang w:val="en-US" w:eastAsia="zh-CN"/>
                                </w:rPr>
                              </w:pPr>
                              <w:r>
                                <w:rPr>
                                  <w:rFonts w:hint="eastAsia"/>
                                  <w:lang w:val="en-US" w:eastAsia="zh-CN"/>
                                </w:rPr>
                                <w:t>铝板、铜板</w:t>
                              </w:r>
                            </w:p>
                          </w:txbxContent>
                        </v:textbox>
                      </v:shape>
                      <v:shape id="_x0000_s1026" o:spid="_x0000_s1026" o:spt="202" type="#_x0000_t202" style="position:absolute;left:6322;top:863189;height:431;width:1057;" fillcolor="#FFFFFF" filled="t" stroked="t" coordsize="21600,21600" o:gfxdata="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h0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style="mso-fit-shape-to-text:t;">
                          <w:txbxContent>
                            <w:p w14:paraId="586122C3">
                              <w:pPr>
                                <w:jc w:val="center"/>
                                <w:rPr>
                                  <w:rFonts w:hint="default" w:eastAsia="宋体"/>
                                  <w:lang w:val="en-US" w:eastAsia="zh-CN"/>
                                </w:rPr>
                              </w:pPr>
                              <w:r>
                                <w:rPr>
                                  <w:rFonts w:hint="eastAsia"/>
                                  <w:lang w:val="en-US" w:eastAsia="zh-CN"/>
                                </w:rPr>
                                <w:t>剪板</w:t>
                              </w:r>
                            </w:p>
                          </w:txbxContent>
                        </v:textbox>
                      </v:shape>
                      <v:line id="_x0000_s1026" o:spid="_x0000_s1026" o:spt="20" style="position:absolute;left:5756;top:863414;height:1;width:545;"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7925;top:863199;height:431;width:1085;" fillcolor="#FFFFFF" filled="t" stroked="t" coordsize="21600,21600" o:gfxdata="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Ed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14:paraId="2BE0048E">
                              <w:pPr>
                                <w:jc w:val="center"/>
                                <w:rPr>
                                  <w:rFonts w:hint="default" w:eastAsia="宋体"/>
                                  <w:lang w:val="en-US" w:eastAsia="zh-CN"/>
                                </w:rPr>
                              </w:pPr>
                              <w:r>
                                <w:rPr>
                                  <w:rFonts w:hint="eastAsia"/>
                                  <w:lang w:val="en-US" w:eastAsia="zh-CN"/>
                                </w:rPr>
                                <w:t>冲压</w:t>
                              </w:r>
                            </w:p>
                          </w:txbxContent>
                        </v:textbox>
                      </v:shape>
                      <v:line id="_x0000_s1026" o:spid="_x0000_s1026" o:spt="20" style="position:absolute;left:7373;top:863414;height:1;width:545;"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023;top:863414;height:1;width:545;"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5;top:863199;height:431;width:1085;" fillcolor="#FFFFFF" filled="t" stroked="t" coordsize="21600,21600" o:gfxdata="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a+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14:paraId="01BFE2C5">
                              <w:pPr>
                                <w:jc w:val="center"/>
                                <w:rPr>
                                  <w:rFonts w:hint="default" w:eastAsia="宋体"/>
                                  <w:lang w:val="en-US" w:eastAsia="zh-CN"/>
                                </w:rPr>
                              </w:pPr>
                              <w:r>
                                <w:rPr>
                                  <w:rFonts w:hint="eastAsia"/>
                                  <w:lang w:val="en-US" w:eastAsia="zh-CN"/>
                                </w:rPr>
                                <w:t>检验</w:t>
                              </w:r>
                            </w:p>
                          </w:txbxContent>
                        </v:textbox>
                      </v:shape>
                      <v:shape id="_x0000_s1026" o:spid="_x0000_s1026" o:spt="202" type="#_x0000_t202" style="position:absolute;left:6211;top:862847;height:416;width:1279;" filled="f" stroked="f" coordsize="21600,21600" o:gfxdata="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2Hka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7DE420F1">
                              <w:pPr>
                                <w:jc w:val="center"/>
                                <w:rPr>
                                  <w:rFonts w:hint="default" w:eastAsia="宋体"/>
                                  <w:lang w:val="en-US" w:eastAsia="zh-CN"/>
                                </w:rPr>
                              </w:pPr>
                              <w:r>
                                <w:rPr>
                                  <w:rFonts w:hint="eastAsia"/>
                                  <w:lang w:val="en-US" w:eastAsia="zh-CN"/>
                                </w:rPr>
                                <w:t>N3、S9</w:t>
                              </w:r>
                            </w:p>
                          </w:txbxContent>
                        </v:textbox>
                      </v:shape>
                      <v:shape id="_x0000_s1026" o:spid="_x0000_s1026" o:spt="202" type="#_x0000_t202" style="position:absolute;left:7854;top:862847;height:385;width:1279;" filled="f" stroked="f" coordsize="21600,21600" o:gfxdata="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lL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AC2E96F">
                              <w:pPr>
                                <w:jc w:val="center"/>
                                <w:rPr>
                                  <w:rFonts w:hint="default"/>
                                  <w:lang w:val="en-US" w:eastAsia="zh-CN"/>
                                </w:rPr>
                              </w:pPr>
                              <w:r>
                                <w:rPr>
                                  <w:rFonts w:hint="eastAsia"/>
                                  <w:lang w:val="en-US" w:eastAsia="zh-CN"/>
                                </w:rPr>
                                <w:t>N4</w:t>
                              </w:r>
                            </w:p>
                          </w:txbxContent>
                        </v:textbox>
                      </v:shape>
                      <v:shape id="_x0000_s1026" o:spid="_x0000_s1026" o:spt="202" type="#_x0000_t202" style="position:absolute;left:9469;top:862847;height:385;width:1279;" filled="f" stroked="f" coordsize="21600,21600" o:gfxdata="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Yo0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4B7E4D14">
                              <w:pPr>
                                <w:jc w:val="center"/>
                                <w:rPr>
                                  <w:rFonts w:hint="default" w:eastAsia="宋体"/>
                                  <w:lang w:val="en-US" w:eastAsia="zh-CN"/>
                                </w:rPr>
                              </w:pPr>
                              <w:r>
                                <w:rPr>
                                  <w:rFonts w:hint="eastAsia"/>
                                  <w:lang w:val="en-US" w:eastAsia="zh-CN"/>
                                </w:rPr>
                                <w:t>S10</w:t>
                              </w:r>
                            </w:p>
                          </w:txbxContent>
                        </v:textbox>
                      </v:shape>
                    </v:group>
                  </w:pict>
                </mc:Fallback>
              </mc:AlternateContent>
            </w:r>
          </w:p>
          <w:p w14:paraId="5D7E21B5">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7741FE86">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737DEF40">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0EC31C8B">
            <w:pPr>
              <w:pStyle w:val="187"/>
              <w:keepNext w:val="0"/>
              <w:keepLines w:val="0"/>
              <w:suppressLineNumbers w:val="0"/>
              <w:spacing w:before="0" w:beforeAutospacing="0" w:after="0" w:afterAutospacing="0"/>
              <w:ind w:left="0" w:right="0"/>
              <w:jc w:val="right"/>
              <w:rPr>
                <w:rFonts w:hint="default" w:ascii="Times New Roman" w:hAnsi="Times New Roman" w:cs="Times New Roman"/>
                <w:b w:val="0"/>
                <w:bCs/>
                <w:smallCaps w:val="0"/>
                <w:color w:val="auto"/>
                <w:spacing w:val="0"/>
                <w:sz w:val="21"/>
                <w:szCs w:val="21"/>
                <w:highlight w:val="none"/>
                <w:lang w:val="en-US" w:eastAsia="zh-CN"/>
              </w:rPr>
            </w:pPr>
          </w:p>
          <w:p w14:paraId="7AA56C66">
            <w:pPr>
              <w:pStyle w:val="187"/>
              <w:keepNext w:val="0"/>
              <w:keepLines w:val="0"/>
              <w:suppressLineNumbers w:val="0"/>
              <w:spacing w:before="0" w:beforeAutospacing="0" w:after="0" w:afterAutospacing="0"/>
              <w:ind w:left="0" w:right="0"/>
              <w:jc w:val="right"/>
              <w:rPr>
                <w:rFonts w:hint="default" w:ascii="Times New Roman" w:hAnsi="Times New Roman" w:cs="Times New Roman"/>
                <w:smallCaps w:val="0"/>
                <w:color w:val="auto"/>
                <w:spacing w:val="0"/>
                <w:highlight w:val="none"/>
              </w:rPr>
            </w:pPr>
            <w:r>
              <w:rPr>
                <w:rFonts w:hint="default" w:ascii="Times New Roman" w:hAnsi="Times New Roman" w:cs="Times New Roman"/>
                <w:b w:val="0"/>
                <w:bCs/>
                <w:smallCaps w:val="0"/>
                <w:color w:val="auto"/>
                <w:spacing w:val="0"/>
                <w:sz w:val="21"/>
                <w:szCs w:val="21"/>
                <w:highlight w:val="none"/>
                <w:lang w:val="en-US" w:eastAsia="zh-CN"/>
              </w:rPr>
              <w:t>注：N噪声 S固废</w:t>
            </w:r>
          </w:p>
          <w:p w14:paraId="34FC058D">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图2-</w:t>
            </w:r>
            <w:r>
              <w:rPr>
                <w:rFonts w:hint="eastAsia" w:cs="Times New Roman"/>
                <w:smallCaps w:val="0"/>
                <w:color w:val="auto"/>
                <w:spacing w:val="0"/>
                <w:highlight w:val="none"/>
                <w:lang w:val="en-US" w:eastAsia="zh-CN"/>
              </w:rPr>
              <w:t>4</w:t>
            </w:r>
            <w:r>
              <w:rPr>
                <w:rFonts w:hint="default" w:ascii="Times New Roman" w:hAnsi="Times New Roman" w:cs="Times New Roman"/>
                <w:smallCaps w:val="0"/>
                <w:color w:val="auto"/>
                <w:spacing w:val="0"/>
                <w:highlight w:val="none"/>
              </w:rPr>
              <w:t xml:space="preserve">    电极片工艺流程及产污环节图</w:t>
            </w:r>
          </w:p>
          <w:p w14:paraId="2D3BBD5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生产工艺介绍如下：</w:t>
            </w:r>
          </w:p>
          <w:p w14:paraId="324C0690">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①</w:t>
            </w:r>
            <w:r>
              <w:rPr>
                <w:rFonts w:hint="eastAsia" w:cs="Times New Roman"/>
                <w:smallCaps w:val="0"/>
                <w:snapToGrid w:val="0"/>
                <w:color w:val="auto"/>
                <w:spacing w:val="0"/>
                <w:kern w:val="2"/>
                <w:sz w:val="24"/>
                <w:szCs w:val="24"/>
                <w:highlight w:val="none"/>
                <w:lang w:val="en-US" w:eastAsia="zh-CN" w:bidi="ar-SA"/>
              </w:rPr>
              <w:t>剪板</w:t>
            </w:r>
          </w:p>
          <w:p w14:paraId="3F6D19B5">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铝板、铜板采取货车输送进厂，在原料区暂存，将铝板、铜板根据产品尺寸要求经剪板机剪板成为半成品。</w:t>
            </w:r>
          </w:p>
          <w:p w14:paraId="519E3C9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本工序污染物主要为：剪板机运转时产生的噪声N3；金属下脚料S9。</w:t>
            </w:r>
          </w:p>
          <w:p w14:paraId="4948E315">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②</w:t>
            </w:r>
            <w:r>
              <w:rPr>
                <w:rFonts w:hint="eastAsia" w:cs="Times New Roman"/>
                <w:smallCaps w:val="0"/>
                <w:snapToGrid w:val="0"/>
                <w:color w:val="auto"/>
                <w:spacing w:val="0"/>
                <w:kern w:val="2"/>
                <w:sz w:val="24"/>
                <w:szCs w:val="24"/>
                <w:highlight w:val="none"/>
                <w:lang w:val="en-US" w:eastAsia="zh-CN" w:bidi="ar-SA"/>
              </w:rPr>
              <w:t>冲压</w:t>
            </w:r>
          </w:p>
          <w:p w14:paraId="5B5FD771">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剪板为半成品后经冲压机冲压</w:t>
            </w:r>
            <w:r>
              <w:rPr>
                <w:rFonts w:hint="eastAsia" w:ascii="Times New Roman" w:hAnsi="Times New Roman" w:cs="Times New Roman"/>
                <w:smallCaps w:val="0"/>
                <w:snapToGrid w:val="0"/>
                <w:color w:val="auto"/>
                <w:spacing w:val="0"/>
                <w:kern w:val="2"/>
                <w:sz w:val="24"/>
                <w:szCs w:val="24"/>
                <w:highlight w:val="none"/>
                <w:lang w:val="en-US" w:eastAsia="zh-CN" w:bidi="ar-SA"/>
              </w:rPr>
              <w:t>。</w:t>
            </w:r>
          </w:p>
          <w:p w14:paraId="175EE6F4">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ascii="Times New Roman" w:hAnsi="Times New Roman" w:cs="Times New Roman"/>
                <w:smallCaps w:val="0"/>
                <w:snapToGrid w:val="0"/>
                <w:color w:val="auto"/>
                <w:spacing w:val="0"/>
                <w:kern w:val="2"/>
                <w:sz w:val="24"/>
                <w:szCs w:val="24"/>
                <w:highlight w:val="none"/>
                <w:lang w:val="en-US" w:eastAsia="zh-CN" w:bidi="ar-SA"/>
              </w:rPr>
              <w:t>本工序污染物主要为：</w:t>
            </w:r>
            <w:r>
              <w:rPr>
                <w:rFonts w:hint="eastAsia" w:cs="Times New Roman"/>
                <w:smallCaps w:val="0"/>
                <w:snapToGrid w:val="0"/>
                <w:color w:val="auto"/>
                <w:spacing w:val="0"/>
                <w:kern w:val="2"/>
                <w:sz w:val="24"/>
                <w:szCs w:val="24"/>
                <w:highlight w:val="none"/>
                <w:lang w:val="en-US" w:eastAsia="zh-CN" w:bidi="ar-SA"/>
              </w:rPr>
              <w:t>冲压机</w:t>
            </w:r>
            <w:r>
              <w:rPr>
                <w:rFonts w:hint="eastAsia" w:ascii="Times New Roman" w:hAnsi="Times New Roman" w:cs="Times New Roman"/>
                <w:smallCaps w:val="0"/>
                <w:snapToGrid w:val="0"/>
                <w:color w:val="auto"/>
                <w:spacing w:val="0"/>
                <w:kern w:val="2"/>
                <w:sz w:val="24"/>
                <w:szCs w:val="24"/>
                <w:highlight w:val="none"/>
                <w:lang w:val="en-US" w:eastAsia="zh-CN" w:bidi="ar-SA"/>
              </w:rPr>
              <w:t>运转时产生的噪声N</w:t>
            </w:r>
            <w:r>
              <w:rPr>
                <w:rFonts w:hint="eastAsia" w:cs="Times New Roman"/>
                <w:smallCaps w:val="0"/>
                <w:snapToGrid w:val="0"/>
                <w:color w:val="auto"/>
                <w:spacing w:val="0"/>
                <w:kern w:val="2"/>
                <w:sz w:val="24"/>
                <w:szCs w:val="24"/>
                <w:highlight w:val="none"/>
                <w:lang w:val="en-US" w:eastAsia="zh-CN" w:bidi="ar-SA"/>
              </w:rPr>
              <w:t>4</w:t>
            </w:r>
            <w:r>
              <w:rPr>
                <w:rFonts w:hint="eastAsia" w:ascii="Times New Roman" w:hAnsi="Times New Roman" w:cs="Times New Roman"/>
                <w:smallCaps w:val="0"/>
                <w:snapToGrid w:val="0"/>
                <w:color w:val="auto"/>
                <w:spacing w:val="0"/>
                <w:kern w:val="2"/>
                <w:sz w:val="24"/>
                <w:szCs w:val="24"/>
                <w:highlight w:val="none"/>
                <w:lang w:val="en-US" w:eastAsia="zh-CN" w:bidi="ar-SA"/>
              </w:rPr>
              <w:t>。</w:t>
            </w:r>
          </w:p>
          <w:p w14:paraId="3C32FBC7">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③</w:t>
            </w:r>
            <w:r>
              <w:rPr>
                <w:rFonts w:hint="eastAsia" w:cs="Times New Roman"/>
                <w:smallCaps w:val="0"/>
                <w:snapToGrid w:val="0"/>
                <w:color w:val="auto"/>
                <w:spacing w:val="0"/>
                <w:kern w:val="2"/>
                <w:sz w:val="24"/>
                <w:szCs w:val="24"/>
                <w:highlight w:val="none"/>
                <w:lang w:val="en-US" w:eastAsia="zh-CN" w:bidi="ar-SA"/>
              </w:rPr>
              <w:t>检验</w:t>
            </w:r>
          </w:p>
          <w:p w14:paraId="30D14C1F">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经人工检验合格后与汽车塑料件进行组装，即为汽车塑料配件产品。</w:t>
            </w:r>
          </w:p>
          <w:p w14:paraId="44DC6344">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本工序污染物主要为：不合格电极片S10。</w:t>
            </w:r>
          </w:p>
          <w:p w14:paraId="62F8997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cs="Times New Roman"/>
                <w:smallCaps w:val="0"/>
                <w:color w:val="auto"/>
                <w:spacing w:val="0"/>
                <w:highlight w:val="none"/>
                <w:lang w:val="en-US"/>
              </w:rPr>
            </w:pPr>
            <w:r>
              <w:rPr>
                <w:rFonts w:hint="eastAsia" w:cs="Times New Roman"/>
                <w:smallCaps w:val="0"/>
                <w:color w:val="auto"/>
                <w:spacing w:val="0"/>
                <w:highlight w:val="none"/>
                <w:lang w:val="en-US" w:eastAsia="zh-CN"/>
              </w:rPr>
              <w:t>（3）</w:t>
            </w:r>
            <w:r>
              <w:rPr>
                <w:rFonts w:hint="eastAsia" w:cs="Times New Roman"/>
                <w:smallCaps w:val="0"/>
                <w:snapToGrid w:val="0"/>
                <w:color w:val="auto"/>
                <w:spacing w:val="0"/>
                <w:kern w:val="2"/>
                <w:sz w:val="24"/>
                <w:szCs w:val="24"/>
                <w:highlight w:val="none"/>
                <w:lang w:val="en-US" w:eastAsia="zh-CN" w:bidi="ar-SA"/>
              </w:rPr>
              <w:t>注塑模具维修工艺流程及排污节点：</w:t>
            </w:r>
          </w:p>
          <w:p w14:paraId="745AFD87">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color w:val="auto"/>
                <w:sz w:val="24"/>
                <w:highlight w:val="none"/>
              </w:rPr>
              <mc:AlternateContent>
                <mc:Choice Requires="wpg">
                  <w:drawing>
                    <wp:anchor distT="0" distB="0" distL="114300" distR="114300" simplePos="0" relativeHeight="251675648" behindDoc="0" locked="0" layoutInCell="1" allowOverlap="1">
                      <wp:simplePos x="0" y="0"/>
                      <wp:positionH relativeFrom="column">
                        <wp:posOffset>1226820</wp:posOffset>
                      </wp:positionH>
                      <wp:positionV relativeFrom="paragraph">
                        <wp:posOffset>89535</wp:posOffset>
                      </wp:positionV>
                      <wp:extent cx="2760345" cy="492760"/>
                      <wp:effectExtent l="0" t="0" r="21590" b="22860"/>
                      <wp:wrapNone/>
                      <wp:docPr id="86" name="组合 86"/>
                      <wp:cNvGraphicFramePr/>
                      <a:graphic xmlns:a="http://schemas.openxmlformats.org/drawingml/2006/main">
                        <a:graphicData uri="http://schemas.microsoft.com/office/word/2010/wordprocessingGroup">
                          <wpg:wgp>
                            <wpg:cNvGrpSpPr/>
                            <wpg:grpSpPr>
                              <a:xfrm>
                                <a:off x="0" y="0"/>
                                <a:ext cx="2760345" cy="492760"/>
                                <a:chOff x="5439" y="876074"/>
                                <a:chExt cx="4347" cy="776"/>
                              </a:xfrm>
                            </wpg:grpSpPr>
                            <wps:wsp>
                              <wps:cNvPr id="127" name="文本框 88"/>
                              <wps:cNvSpPr txBox="1"/>
                              <wps:spPr>
                                <a:xfrm>
                                  <a:off x="5439" y="876428"/>
                                  <a:ext cx="1122" cy="416"/>
                                </a:xfrm>
                                <a:prstGeom prst="rect">
                                  <a:avLst/>
                                </a:prstGeom>
                                <a:noFill/>
                                <a:ln>
                                  <a:noFill/>
                                </a:ln>
                              </wps:spPr>
                              <wps:txbx>
                                <w:txbxContent>
                                  <w:p w14:paraId="437C00BE">
                                    <w:pPr>
                                      <w:jc w:val="center"/>
                                      <w:rPr>
                                        <w:rFonts w:hint="default" w:eastAsia="宋体"/>
                                        <w:lang w:val="en-US" w:eastAsia="zh-CN"/>
                                      </w:rPr>
                                    </w:pPr>
                                    <w:r>
                                      <w:rPr>
                                        <w:rFonts w:hint="eastAsia"/>
                                        <w:lang w:val="en-US" w:eastAsia="zh-CN"/>
                                      </w:rPr>
                                      <w:t>模具</w:t>
                                    </w:r>
                                  </w:p>
                                </w:txbxContent>
                              </wps:txbx>
                              <wps:bodyPr upright="1">
                                <a:spAutoFit/>
                              </wps:bodyPr>
                            </wps:wsp>
                            <wps:wsp>
                              <wps:cNvPr id="129" name="文本框 89"/>
                              <wps:cNvSpPr txBox="1"/>
                              <wps:spPr>
                                <a:xfrm>
                                  <a:off x="7043" y="876420"/>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3DA443">
                                    <w:pPr>
                                      <w:jc w:val="center"/>
                                      <w:rPr>
                                        <w:rFonts w:hint="default" w:eastAsia="宋体"/>
                                        <w:lang w:val="en-US" w:eastAsia="zh-CN"/>
                                      </w:rPr>
                                    </w:pPr>
                                    <w:r>
                                      <w:rPr>
                                        <w:rFonts w:hint="eastAsia"/>
                                        <w:lang w:val="en-US" w:eastAsia="zh-CN"/>
                                      </w:rPr>
                                      <w:t>机加工</w:t>
                                    </w:r>
                                  </w:p>
                                </w:txbxContent>
                              </wps:txbx>
                              <wps:bodyPr upright="1">
                                <a:spAutoFit/>
                              </wps:bodyPr>
                            </wps:wsp>
                            <wps:wsp>
                              <wps:cNvPr id="130" name="直接连接符 90"/>
                              <wps:cNvCnPr/>
                              <wps:spPr>
                                <a:xfrm>
                                  <a:off x="6491" y="876635"/>
                                  <a:ext cx="545" cy="1"/>
                                </a:xfrm>
                                <a:prstGeom prst="line">
                                  <a:avLst/>
                                </a:prstGeom>
                                <a:ln w="9525" cap="flat" cmpd="sng">
                                  <a:solidFill>
                                    <a:srgbClr val="000000"/>
                                  </a:solidFill>
                                  <a:prstDash val="solid"/>
                                  <a:headEnd type="none" w="med" len="med"/>
                                  <a:tailEnd type="triangle" w="med" len="med"/>
                                </a:ln>
                              </wps:spPr>
                              <wps:bodyPr upright="1"/>
                            </wps:wsp>
                            <wps:wsp>
                              <wps:cNvPr id="131" name="文本框 91"/>
                              <wps:cNvSpPr txBox="1"/>
                              <wps:spPr>
                                <a:xfrm>
                                  <a:off x="8702" y="876420"/>
                                  <a:ext cx="1085"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62FFB5">
                                    <w:pPr>
                                      <w:jc w:val="center"/>
                                      <w:rPr>
                                        <w:rFonts w:hint="default" w:eastAsia="宋体"/>
                                        <w:lang w:val="en-US" w:eastAsia="zh-CN"/>
                                      </w:rPr>
                                    </w:pPr>
                                    <w:r>
                                      <w:rPr>
                                        <w:rFonts w:hint="eastAsia"/>
                                        <w:lang w:val="en-US" w:eastAsia="zh-CN"/>
                                      </w:rPr>
                                      <w:t>检验</w:t>
                                    </w:r>
                                  </w:p>
                                </w:txbxContent>
                              </wps:txbx>
                              <wps:bodyPr upright="1">
                                <a:spAutoFit/>
                              </wps:bodyPr>
                            </wps:wsp>
                            <wps:wsp>
                              <wps:cNvPr id="132" name="直接连接符 92"/>
                              <wps:cNvCnPr/>
                              <wps:spPr>
                                <a:xfrm>
                                  <a:off x="8136" y="876635"/>
                                  <a:ext cx="545" cy="1"/>
                                </a:xfrm>
                                <a:prstGeom prst="line">
                                  <a:avLst/>
                                </a:prstGeom>
                                <a:ln w="9525" cap="flat" cmpd="sng">
                                  <a:solidFill>
                                    <a:srgbClr val="000000"/>
                                  </a:solidFill>
                                  <a:prstDash val="solid"/>
                                  <a:headEnd type="none" w="med" len="med"/>
                                  <a:tailEnd type="triangle" w="med" len="med"/>
                                </a:ln>
                              </wps:spPr>
                              <wps:bodyPr upright="1"/>
                            </wps:wsp>
                            <wps:wsp>
                              <wps:cNvPr id="161" name="文本框 116"/>
                              <wps:cNvSpPr txBox="1"/>
                              <wps:spPr>
                                <a:xfrm>
                                  <a:off x="6928" y="876074"/>
                                  <a:ext cx="1279" cy="385"/>
                                </a:xfrm>
                                <a:prstGeom prst="rect">
                                  <a:avLst/>
                                </a:prstGeom>
                                <a:noFill/>
                                <a:ln>
                                  <a:noFill/>
                                </a:ln>
                              </wps:spPr>
                              <wps:txbx>
                                <w:txbxContent>
                                  <w:p w14:paraId="705769B0">
                                    <w:pPr>
                                      <w:jc w:val="center"/>
                                      <w:rPr>
                                        <w:rFonts w:hint="default" w:eastAsia="宋体"/>
                                        <w:lang w:val="en-US" w:eastAsia="zh-CN"/>
                                      </w:rPr>
                                    </w:pPr>
                                    <w:r>
                                      <w:rPr>
                                        <w:rFonts w:hint="eastAsia"/>
                                        <w:lang w:val="en-US" w:eastAsia="zh-CN"/>
                                      </w:rPr>
                                      <w:t>N5 S11-14</w:t>
                                    </w:r>
                                  </w:p>
                                </w:txbxContent>
                              </wps:txbx>
                              <wps:bodyPr wrap="square" upright="1">
                                <a:spAutoFit/>
                              </wps:bodyPr>
                            </wps:wsp>
                          </wpg:wgp>
                        </a:graphicData>
                      </a:graphic>
                    </wp:anchor>
                  </w:drawing>
                </mc:Choice>
                <mc:Fallback>
                  <w:pict>
                    <v:group id="_x0000_s1026" o:spid="_x0000_s1026" o:spt="203" style="position:absolute;left:0pt;margin-left:96.6pt;margin-top:7.05pt;height:38.8pt;width:217.35pt;z-index:251675648;mso-width-relative:page;mso-height-relative:page;" coordorigin="5439,876074" coordsize="4347,776" o:gfxdata="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2v6wHtkAAAAJAQAADwAA&#10;AAAAAAABACAAAAAiAAAAZHJzL2Rvd25yZXYueG1sUEsBAhQAFAAAAAgAh07iQAH4wUukAwAATg8A&#10;AA4AAAAAAAAAAQAgAAAAKAEAAGRycy9lMm9Eb2MueG1sUEsFBgAAAAAGAAYAWQEAAD4HAAAAAA==&#10;">
                      <o:lock v:ext="edit" aspectratio="f"/>
                      <v:shape id="文本框 88" o:spid="_x0000_s1026" o:spt="202" type="#_x0000_t202" style="position:absolute;left:5439;top:876428;height:416;width:1122;" filled="f" stroked="f" coordsize="21600,21600" o:gfxdata="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nF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437C00BE">
                              <w:pPr>
                                <w:jc w:val="center"/>
                                <w:rPr>
                                  <w:rFonts w:hint="default" w:eastAsia="宋体"/>
                                  <w:lang w:val="en-US" w:eastAsia="zh-CN"/>
                                </w:rPr>
                              </w:pPr>
                              <w:r>
                                <w:rPr>
                                  <w:rFonts w:hint="eastAsia"/>
                                  <w:lang w:val="en-US" w:eastAsia="zh-CN"/>
                                </w:rPr>
                                <w:t>模具</w:t>
                              </w:r>
                            </w:p>
                          </w:txbxContent>
                        </v:textbox>
                      </v:shape>
                      <v:shape id="文本框 89" o:spid="_x0000_s1026" o:spt="202" type="#_x0000_t202" style="position:absolute;left:7043;top:876420;height:431;width:1085;" fillcolor="#FFFFFF" filled="t" stroked="t" coordsize="21600,21600" o:gfxdata="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B/8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14:paraId="203DA443">
                              <w:pPr>
                                <w:jc w:val="center"/>
                                <w:rPr>
                                  <w:rFonts w:hint="default" w:eastAsia="宋体"/>
                                  <w:lang w:val="en-US" w:eastAsia="zh-CN"/>
                                </w:rPr>
                              </w:pPr>
                              <w:r>
                                <w:rPr>
                                  <w:rFonts w:hint="eastAsia"/>
                                  <w:lang w:val="en-US" w:eastAsia="zh-CN"/>
                                </w:rPr>
                                <w:t>机加工</w:t>
                              </w:r>
                            </w:p>
                          </w:txbxContent>
                        </v:textbox>
                      </v:shape>
                      <v:line id="直接连接符 90" o:spid="_x0000_s1026" o:spt="20" style="position:absolute;left:6491;top:876635;height:1;width:545;"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91" o:spid="_x0000_s1026" o:spt="202" type="#_x0000_t202" style="position:absolute;left:8702;top:876420;height:431;width:1085;" fillcolor="#FFFFFF" filled="t" stroked="t" coordsize="21600,21600" o:gfxdata="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ZR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14:paraId="1262FFB5">
                              <w:pPr>
                                <w:jc w:val="center"/>
                                <w:rPr>
                                  <w:rFonts w:hint="default" w:eastAsia="宋体"/>
                                  <w:lang w:val="en-US" w:eastAsia="zh-CN"/>
                                </w:rPr>
                              </w:pPr>
                              <w:r>
                                <w:rPr>
                                  <w:rFonts w:hint="eastAsia"/>
                                  <w:lang w:val="en-US" w:eastAsia="zh-CN"/>
                                </w:rPr>
                                <w:t>检验</w:t>
                              </w:r>
                            </w:p>
                          </w:txbxContent>
                        </v:textbox>
                      </v:shape>
                      <v:line id="直接连接符 92" o:spid="_x0000_s1026" o:spt="20" style="position:absolute;left:8136;top:876635;height:1;width:545;"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16" o:spid="_x0000_s1026" o:spt="202" type="#_x0000_t202" style="position:absolute;left:6928;top:876074;height:385;width:1279;" filled="f" stroked="f" coordsize="21600,21600" o:gfxdata="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Z9U+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705769B0">
                              <w:pPr>
                                <w:jc w:val="center"/>
                                <w:rPr>
                                  <w:rFonts w:hint="default" w:eastAsia="宋体"/>
                                  <w:lang w:val="en-US" w:eastAsia="zh-CN"/>
                                </w:rPr>
                              </w:pPr>
                              <w:r>
                                <w:rPr>
                                  <w:rFonts w:hint="eastAsia"/>
                                  <w:lang w:val="en-US" w:eastAsia="zh-CN"/>
                                </w:rPr>
                                <w:t>N5 S11-14</w:t>
                              </w:r>
                            </w:p>
                          </w:txbxContent>
                        </v:textbox>
                      </v:shape>
                    </v:group>
                  </w:pict>
                </mc:Fallback>
              </mc:AlternateContent>
            </w:r>
          </w:p>
          <w:p w14:paraId="0A6FCAB2">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50875B4">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16C533F8">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BA1BEDE">
            <w:pPr>
              <w:pStyle w:val="187"/>
              <w:keepNext w:val="0"/>
              <w:keepLines w:val="0"/>
              <w:suppressLineNumbers w:val="0"/>
              <w:spacing w:before="0" w:beforeAutospacing="0" w:after="0" w:afterAutospacing="0"/>
              <w:ind w:left="0" w:right="0"/>
              <w:jc w:val="right"/>
              <w:rPr>
                <w:rFonts w:hint="default" w:ascii="Times New Roman" w:hAnsi="Times New Roman" w:cs="Times New Roman"/>
                <w:smallCaps w:val="0"/>
                <w:color w:val="auto"/>
                <w:spacing w:val="0"/>
                <w:highlight w:val="none"/>
              </w:rPr>
            </w:pPr>
            <w:r>
              <w:rPr>
                <w:rFonts w:hint="default" w:ascii="Times New Roman" w:hAnsi="Times New Roman" w:cs="Times New Roman"/>
                <w:b w:val="0"/>
                <w:bCs/>
                <w:smallCaps w:val="0"/>
                <w:color w:val="auto"/>
                <w:spacing w:val="0"/>
                <w:sz w:val="21"/>
                <w:szCs w:val="21"/>
                <w:highlight w:val="none"/>
                <w:lang w:val="en-US" w:eastAsia="zh-CN"/>
              </w:rPr>
              <w:t>注：N噪声 S固废</w:t>
            </w:r>
          </w:p>
          <w:p w14:paraId="7DCAA61D">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图2-</w:t>
            </w:r>
            <w:r>
              <w:rPr>
                <w:rFonts w:hint="eastAsia" w:cs="Times New Roman"/>
                <w:smallCaps w:val="0"/>
                <w:color w:val="auto"/>
                <w:spacing w:val="0"/>
                <w:highlight w:val="none"/>
                <w:lang w:val="en-US" w:eastAsia="zh-CN"/>
              </w:rPr>
              <w:t>5</w:t>
            </w:r>
            <w:r>
              <w:rPr>
                <w:rFonts w:hint="default" w:ascii="Times New Roman" w:hAnsi="Times New Roman" w:cs="Times New Roman"/>
                <w:smallCaps w:val="0"/>
                <w:color w:val="auto"/>
                <w:spacing w:val="0"/>
                <w:highlight w:val="none"/>
              </w:rPr>
              <w:t xml:space="preserve">    注塑模具维修工艺流程及产污环节图</w:t>
            </w:r>
          </w:p>
          <w:p w14:paraId="0FB435C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生产工艺介绍如下：</w:t>
            </w:r>
          </w:p>
          <w:p w14:paraId="3C91F54C">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①</w:t>
            </w:r>
            <w:r>
              <w:rPr>
                <w:rFonts w:hint="eastAsia" w:cs="Times New Roman"/>
                <w:smallCaps w:val="0"/>
                <w:snapToGrid w:val="0"/>
                <w:color w:val="auto"/>
                <w:spacing w:val="0"/>
                <w:kern w:val="2"/>
                <w:sz w:val="24"/>
                <w:szCs w:val="24"/>
                <w:highlight w:val="none"/>
                <w:lang w:val="en-US" w:eastAsia="zh-CN" w:bidi="ar-SA"/>
              </w:rPr>
              <w:t>机加工</w:t>
            </w:r>
          </w:p>
          <w:p w14:paraId="4742CA2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项目注塑模具使用一段时间后需要维修，人工通过使用车床、铣床、钻床、磨床、线切割、气泵、模具维修设备进行模具维修。</w:t>
            </w:r>
          </w:p>
          <w:p w14:paraId="2F3AC375">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本工序污染物主要为：机加工设备运转时产生的噪声N5；含油金属屑S11、</w:t>
            </w:r>
            <w:r>
              <w:rPr>
                <w:rFonts w:hint="default" w:ascii="Times New Roman" w:hAnsi="Times New Roman" w:cs="Times New Roman"/>
                <w:smallCaps w:val="0"/>
                <w:color w:val="auto"/>
                <w:spacing w:val="0"/>
                <w:highlight w:val="none"/>
                <w:lang w:val="en-US" w:eastAsia="zh-CN"/>
              </w:rPr>
              <w:t>设备维护产生的废润滑油</w:t>
            </w:r>
            <w:r>
              <w:rPr>
                <w:rFonts w:hint="eastAsia" w:cs="Times New Roman"/>
                <w:smallCaps w:val="0"/>
                <w:color w:val="auto"/>
                <w:spacing w:val="0"/>
                <w:highlight w:val="none"/>
                <w:lang w:val="en-US" w:eastAsia="zh-CN"/>
              </w:rPr>
              <w:t>S12</w:t>
            </w:r>
            <w:r>
              <w:rPr>
                <w:rFonts w:hint="default" w:ascii="Times New Roman" w:hAnsi="Times New Roman" w:cs="Times New Roman"/>
                <w:smallCaps w:val="0"/>
                <w:color w:val="auto"/>
                <w:spacing w:val="0"/>
                <w:highlight w:val="none"/>
                <w:lang w:val="en-US" w:eastAsia="zh-CN"/>
              </w:rPr>
              <w:t>、废润滑油桶</w:t>
            </w:r>
            <w:r>
              <w:rPr>
                <w:rFonts w:hint="eastAsia" w:cs="Times New Roman"/>
                <w:smallCaps w:val="0"/>
                <w:color w:val="auto"/>
                <w:spacing w:val="0"/>
                <w:highlight w:val="none"/>
                <w:lang w:val="en-US" w:eastAsia="zh-CN"/>
              </w:rPr>
              <w:t>S13、含油抹布及废劳保用品S14</w:t>
            </w:r>
            <w:r>
              <w:rPr>
                <w:rFonts w:hint="eastAsia" w:cs="Times New Roman"/>
                <w:smallCaps w:val="0"/>
                <w:snapToGrid w:val="0"/>
                <w:color w:val="auto"/>
                <w:spacing w:val="0"/>
                <w:kern w:val="2"/>
                <w:sz w:val="24"/>
                <w:szCs w:val="24"/>
                <w:highlight w:val="none"/>
                <w:lang w:val="en-US" w:eastAsia="zh-CN" w:bidi="ar-SA"/>
              </w:rPr>
              <w:t>。</w:t>
            </w:r>
          </w:p>
          <w:p w14:paraId="1A2DA69C">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snapToGrid w:val="0"/>
                <w:color w:val="auto"/>
                <w:spacing w:val="0"/>
                <w:kern w:val="2"/>
                <w:sz w:val="24"/>
                <w:szCs w:val="24"/>
                <w:highlight w:val="none"/>
                <w:lang w:val="en-US" w:eastAsia="zh-CN" w:bidi="ar-SA"/>
              </w:rPr>
              <w:t>②</w:t>
            </w:r>
            <w:r>
              <w:rPr>
                <w:rFonts w:hint="eastAsia" w:cs="Times New Roman"/>
                <w:smallCaps w:val="0"/>
                <w:snapToGrid w:val="0"/>
                <w:color w:val="auto"/>
                <w:spacing w:val="0"/>
                <w:kern w:val="2"/>
                <w:sz w:val="24"/>
                <w:szCs w:val="24"/>
                <w:highlight w:val="none"/>
                <w:lang w:val="en-US" w:eastAsia="zh-CN" w:bidi="ar-SA"/>
              </w:rPr>
              <w:t>检验</w:t>
            </w:r>
          </w:p>
          <w:p w14:paraId="0E668C13">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cs="Times New Roman"/>
                <w:smallCaps w:val="0"/>
                <w:snapToGrid w:val="0"/>
                <w:color w:val="auto"/>
                <w:spacing w:val="0"/>
                <w:kern w:val="2"/>
                <w:sz w:val="24"/>
                <w:szCs w:val="24"/>
                <w:highlight w:val="none"/>
                <w:lang w:val="en-US" w:eastAsia="zh-CN" w:bidi="ar-SA"/>
              </w:rPr>
              <w:t>经机加工调整后的模具，经过检验合格后方可使用</w:t>
            </w:r>
            <w:r>
              <w:rPr>
                <w:rFonts w:hint="eastAsia" w:ascii="Times New Roman" w:hAnsi="Times New Roman" w:cs="Times New Roman"/>
                <w:smallCaps w:val="0"/>
                <w:snapToGrid w:val="0"/>
                <w:color w:val="auto"/>
                <w:spacing w:val="0"/>
                <w:kern w:val="2"/>
                <w:sz w:val="24"/>
                <w:szCs w:val="24"/>
                <w:highlight w:val="none"/>
                <w:lang w:val="en-US" w:eastAsia="zh-CN" w:bidi="ar-SA"/>
              </w:rPr>
              <w:t>。</w:t>
            </w:r>
          </w:p>
          <w:p w14:paraId="3332FCD9">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eastAsia" w:ascii="Times New Roman" w:hAnsi="Times New Roman" w:cs="Times New Roman"/>
                <w:smallCaps w:val="0"/>
                <w:snapToGrid w:val="0"/>
                <w:color w:val="auto"/>
                <w:spacing w:val="0"/>
                <w:kern w:val="2"/>
                <w:sz w:val="24"/>
                <w:szCs w:val="24"/>
                <w:highlight w:val="none"/>
                <w:lang w:val="en-US" w:eastAsia="zh-CN" w:bidi="ar-SA"/>
              </w:rPr>
              <w:t>本工序</w:t>
            </w:r>
            <w:r>
              <w:rPr>
                <w:rFonts w:hint="eastAsia" w:cs="Times New Roman"/>
                <w:smallCaps w:val="0"/>
                <w:snapToGrid w:val="0"/>
                <w:color w:val="auto"/>
                <w:spacing w:val="0"/>
                <w:kern w:val="2"/>
                <w:sz w:val="24"/>
                <w:szCs w:val="24"/>
                <w:highlight w:val="none"/>
                <w:lang w:val="en-US" w:eastAsia="zh-CN" w:bidi="ar-SA"/>
              </w:rPr>
              <w:t>无</w:t>
            </w:r>
            <w:r>
              <w:rPr>
                <w:rFonts w:hint="eastAsia" w:ascii="Times New Roman" w:hAnsi="Times New Roman" w:cs="Times New Roman"/>
                <w:smallCaps w:val="0"/>
                <w:snapToGrid w:val="0"/>
                <w:color w:val="auto"/>
                <w:spacing w:val="0"/>
                <w:kern w:val="2"/>
                <w:sz w:val="24"/>
                <w:szCs w:val="24"/>
                <w:highlight w:val="none"/>
                <w:lang w:val="en-US" w:eastAsia="zh-CN" w:bidi="ar-SA"/>
              </w:rPr>
              <w:t>污染物</w:t>
            </w:r>
            <w:r>
              <w:rPr>
                <w:rFonts w:hint="eastAsia" w:cs="Times New Roman"/>
                <w:smallCaps w:val="0"/>
                <w:snapToGrid w:val="0"/>
                <w:color w:val="auto"/>
                <w:spacing w:val="0"/>
                <w:kern w:val="2"/>
                <w:sz w:val="24"/>
                <w:szCs w:val="24"/>
                <w:highlight w:val="none"/>
                <w:lang w:val="en-US" w:eastAsia="zh-CN" w:bidi="ar-SA"/>
              </w:rPr>
              <w:t>产生</w:t>
            </w:r>
            <w:r>
              <w:rPr>
                <w:rFonts w:hint="eastAsia" w:ascii="Times New Roman" w:hAnsi="Times New Roman" w:cs="Times New Roman"/>
                <w:smallCaps w:val="0"/>
                <w:snapToGrid w:val="0"/>
                <w:color w:val="auto"/>
                <w:spacing w:val="0"/>
                <w:kern w:val="2"/>
                <w:sz w:val="24"/>
                <w:szCs w:val="24"/>
                <w:highlight w:val="none"/>
                <w:lang w:val="en-US" w:eastAsia="zh-CN" w:bidi="ar-SA"/>
              </w:rPr>
              <w:t>。</w:t>
            </w:r>
          </w:p>
          <w:p w14:paraId="512BBA6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除上述生产运转时产生的固废，还有职工生活垃圾S；职工生活污水W；治理措施风机运转时产生的噪声N。</w:t>
            </w:r>
          </w:p>
          <w:p w14:paraId="0F73FAC0">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表2-</w:t>
            </w:r>
            <w:r>
              <w:rPr>
                <w:rFonts w:hint="eastAsia" w:cs="Times New Roman"/>
                <w:smallCaps w:val="0"/>
                <w:color w:val="auto"/>
                <w:spacing w:val="0"/>
                <w:highlight w:val="none"/>
                <w:lang w:val="en-US" w:eastAsia="zh-CN"/>
              </w:rPr>
              <w:t>6</w:t>
            </w:r>
            <w:r>
              <w:rPr>
                <w:rFonts w:hint="default" w:ascii="Times New Roman" w:hAnsi="Times New Roman" w:cs="Times New Roman"/>
                <w:smallCaps w:val="0"/>
                <w:color w:val="auto"/>
                <w:spacing w:val="0"/>
                <w:highlight w:val="none"/>
              </w:rPr>
              <w:t xml:space="preserve">    本项目产污节点及防治措施一览表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65"/>
              <w:gridCol w:w="1310"/>
              <w:gridCol w:w="1857"/>
              <w:gridCol w:w="1948"/>
              <w:gridCol w:w="1510"/>
            </w:tblGrid>
            <w:tr w14:paraId="22DE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Align w:val="center"/>
                </w:tcPr>
                <w:p w14:paraId="1B7F24A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类别</w:t>
                  </w:r>
                </w:p>
              </w:tc>
              <w:tc>
                <w:tcPr>
                  <w:tcW w:w="530" w:type="pct"/>
                  <w:vAlign w:val="center"/>
                </w:tcPr>
                <w:p w14:paraId="05D5774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编号</w:t>
                  </w:r>
                </w:p>
              </w:tc>
              <w:tc>
                <w:tcPr>
                  <w:tcW w:w="803" w:type="pct"/>
                  <w:vAlign w:val="center"/>
                </w:tcPr>
                <w:p w14:paraId="1E4080C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排污节点</w:t>
                  </w:r>
                </w:p>
              </w:tc>
              <w:tc>
                <w:tcPr>
                  <w:tcW w:w="1138" w:type="pct"/>
                  <w:vAlign w:val="center"/>
                </w:tcPr>
                <w:p w14:paraId="6142677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主要污染物</w:t>
                  </w:r>
                </w:p>
              </w:tc>
              <w:tc>
                <w:tcPr>
                  <w:tcW w:w="2119" w:type="pct"/>
                  <w:gridSpan w:val="2"/>
                  <w:vAlign w:val="center"/>
                </w:tcPr>
                <w:p w14:paraId="0213080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治理措施</w:t>
                  </w:r>
                </w:p>
              </w:tc>
            </w:tr>
            <w:tr w14:paraId="5F14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08" w:type="pct"/>
                  <w:vMerge w:val="restart"/>
                  <w:vAlign w:val="center"/>
                </w:tcPr>
                <w:p w14:paraId="16D0660F">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废气</w:t>
                  </w:r>
                </w:p>
              </w:tc>
              <w:tc>
                <w:tcPr>
                  <w:tcW w:w="530" w:type="pct"/>
                  <w:vAlign w:val="center"/>
                </w:tcPr>
                <w:p w14:paraId="4859FC0F">
                  <w:pPr>
                    <w:pStyle w:val="67"/>
                    <w:keepNext w:val="0"/>
                    <w:keepLines w:val="0"/>
                    <w:suppressLineNumbers w:val="0"/>
                    <w:spacing w:before="0" w:beforeAutospacing="0" w:after="0" w:afterAutospacing="0"/>
                    <w:ind w:left="0" w:leftChars="0" w:right="0" w:rightChars="0"/>
                    <w:jc w:val="center"/>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G1</w:t>
                  </w:r>
                </w:p>
              </w:tc>
              <w:tc>
                <w:tcPr>
                  <w:tcW w:w="803" w:type="pct"/>
                  <w:vAlign w:val="center"/>
                </w:tcPr>
                <w:p w14:paraId="34CB91B1">
                  <w:pPr>
                    <w:pStyle w:val="67"/>
                    <w:keepNext w:val="0"/>
                    <w:keepLines w:val="0"/>
                    <w:suppressLineNumbers w:val="0"/>
                    <w:spacing w:before="0" w:beforeAutospacing="0" w:after="0" w:afterAutospacing="0"/>
                    <w:ind w:left="0" w:leftChars="0" w:right="0" w:rightChars="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拆包、投料</w:t>
                  </w:r>
                </w:p>
              </w:tc>
              <w:tc>
                <w:tcPr>
                  <w:tcW w:w="1138" w:type="pct"/>
                  <w:vAlign w:val="center"/>
                </w:tcPr>
                <w:p w14:paraId="2E812511">
                  <w:pPr>
                    <w:pStyle w:val="67"/>
                    <w:keepNext w:val="0"/>
                    <w:keepLines w:val="0"/>
                    <w:suppressLineNumbers w:val="0"/>
                    <w:spacing w:before="0" w:beforeAutospacing="0" w:after="0" w:afterAutospacing="0"/>
                    <w:ind w:left="0" w:leftChars="0" w:right="0" w:rightChars="0"/>
                    <w:jc w:val="center"/>
                    <w:rPr>
                      <w:rFonts w:hint="default" w:ascii="Times New Roman" w:hAnsi="Times New Roman"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颗粒物</w:t>
                  </w:r>
                </w:p>
              </w:tc>
              <w:tc>
                <w:tcPr>
                  <w:tcW w:w="1194" w:type="pct"/>
                  <w:vMerge w:val="restart"/>
                  <w:vAlign w:val="center"/>
                </w:tcPr>
                <w:p w14:paraId="1C6347E3">
                  <w:pPr>
                    <w:keepNext w:val="0"/>
                    <w:keepLines w:val="0"/>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采用集气罩收集</w:t>
                  </w:r>
                </w:p>
              </w:tc>
              <w:tc>
                <w:tcPr>
                  <w:tcW w:w="925" w:type="pct"/>
                  <w:vMerge w:val="restart"/>
                  <w:vAlign w:val="center"/>
                </w:tcPr>
                <w:p w14:paraId="1CE458FB">
                  <w:pPr>
                    <w:keepNext w:val="0"/>
                    <w:keepLines w:val="0"/>
                    <w:suppressLineNumbers w:val="0"/>
                    <w:spacing w:before="0" w:beforeAutospacing="0" w:after="0" w:afterAutospacing="0"/>
                    <w:ind w:left="0" w:right="0"/>
                    <w:jc w:val="center"/>
                    <w:rPr>
                      <w:rFonts w:hint="default"/>
                      <w:color w:val="auto"/>
                      <w:szCs w:val="20"/>
                      <w:highlight w:val="none"/>
                      <w:lang w:val="en-US" w:eastAsia="zh-CN"/>
                    </w:rPr>
                  </w:pPr>
                  <w:r>
                    <w:rPr>
                      <w:rFonts w:hint="eastAsia" w:cs="Times New Roman"/>
                      <w:smallCaps w:val="0"/>
                      <w:color w:val="auto"/>
                      <w:spacing w:val="0"/>
                      <w:sz w:val="21"/>
                      <w:szCs w:val="21"/>
                      <w:highlight w:val="none"/>
                      <w:lang w:val="en-US" w:eastAsia="zh-CN"/>
                    </w:rPr>
                    <w:t>布袋除尘器+两级活性炭吸附装置TA002+15m高排气筒DA002</w:t>
                  </w:r>
                </w:p>
              </w:tc>
            </w:tr>
            <w:tr w14:paraId="3F04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08" w:type="pct"/>
                  <w:vMerge w:val="continue"/>
                  <w:vAlign w:val="center"/>
                </w:tcPr>
                <w:p w14:paraId="4856B455">
                  <w:pPr>
                    <w:pStyle w:val="67"/>
                    <w:keepNext w:val="0"/>
                    <w:keepLines w:val="0"/>
                    <w:suppressLineNumbers w:val="0"/>
                    <w:spacing w:before="0" w:beforeAutospacing="0" w:after="0" w:afterAutospacing="0"/>
                    <w:ind w:left="0" w:right="0"/>
                    <w:rPr>
                      <w:rFonts w:hint="eastAsia" w:cs="Times New Roman"/>
                      <w:smallCaps w:val="0"/>
                      <w:color w:val="auto"/>
                      <w:spacing w:val="0"/>
                      <w:highlight w:val="none"/>
                      <w:lang w:val="en-US" w:eastAsia="zh-CN"/>
                    </w:rPr>
                  </w:pPr>
                </w:p>
              </w:tc>
              <w:tc>
                <w:tcPr>
                  <w:tcW w:w="530" w:type="pct"/>
                  <w:vAlign w:val="center"/>
                </w:tcPr>
                <w:p w14:paraId="05FD6B9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G2</w:t>
                  </w:r>
                </w:p>
              </w:tc>
              <w:tc>
                <w:tcPr>
                  <w:tcW w:w="803" w:type="pct"/>
                  <w:vAlign w:val="center"/>
                </w:tcPr>
                <w:p w14:paraId="0513F5CB">
                  <w:pPr>
                    <w:pStyle w:val="67"/>
                    <w:keepNext w:val="0"/>
                    <w:keepLines w:val="0"/>
                    <w:suppressLineNumbers w:val="0"/>
                    <w:spacing w:before="0" w:beforeAutospacing="0" w:after="0" w:afterAutospacing="0"/>
                    <w:ind w:left="0" w:leftChars="0" w:right="0" w:rightChars="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烘干</w:t>
                  </w:r>
                </w:p>
              </w:tc>
              <w:tc>
                <w:tcPr>
                  <w:tcW w:w="1138" w:type="pct"/>
                  <w:vAlign w:val="center"/>
                </w:tcPr>
                <w:p w14:paraId="467F28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非甲烷总烃、氨、臭气浓度</w:t>
                  </w:r>
                </w:p>
              </w:tc>
              <w:tc>
                <w:tcPr>
                  <w:tcW w:w="1194" w:type="pct"/>
                  <w:vMerge w:val="continue"/>
                  <w:vAlign w:val="center"/>
                </w:tcPr>
                <w:p w14:paraId="7548EB52">
                  <w:pPr>
                    <w:keepNext w:val="0"/>
                    <w:keepLines w:val="0"/>
                    <w:suppressLineNumbers w:val="0"/>
                    <w:spacing w:before="0" w:beforeAutospacing="0" w:after="0" w:afterAutospacing="0"/>
                    <w:ind w:left="0" w:right="0"/>
                    <w:jc w:val="center"/>
                    <w:rPr>
                      <w:rFonts w:hint="default" w:cs="Times New Roman"/>
                      <w:smallCaps w:val="0"/>
                      <w:color w:val="auto"/>
                      <w:spacing w:val="0"/>
                      <w:sz w:val="21"/>
                      <w:szCs w:val="21"/>
                      <w:highlight w:val="none"/>
                      <w:lang w:val="en-US" w:eastAsia="zh-CN"/>
                    </w:rPr>
                  </w:pPr>
                </w:p>
              </w:tc>
              <w:tc>
                <w:tcPr>
                  <w:tcW w:w="925" w:type="pct"/>
                  <w:vMerge w:val="continue"/>
                  <w:vAlign w:val="center"/>
                </w:tcPr>
                <w:p w14:paraId="4B1C18A3">
                  <w:pPr>
                    <w:keepNext w:val="0"/>
                    <w:keepLines w:val="0"/>
                    <w:suppressLineNumbers w:val="0"/>
                    <w:spacing w:before="0" w:beforeAutospacing="0" w:after="0" w:afterAutospacing="0"/>
                    <w:ind w:left="0" w:right="0"/>
                    <w:jc w:val="center"/>
                    <w:rPr>
                      <w:rFonts w:hint="default" w:cs="Times New Roman"/>
                      <w:smallCaps w:val="0"/>
                      <w:color w:val="auto"/>
                      <w:spacing w:val="0"/>
                      <w:sz w:val="21"/>
                      <w:szCs w:val="21"/>
                      <w:highlight w:val="none"/>
                      <w:lang w:val="en-US" w:eastAsia="zh-CN"/>
                    </w:rPr>
                  </w:pPr>
                </w:p>
              </w:tc>
            </w:tr>
            <w:tr w14:paraId="6E66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08" w:type="pct"/>
                  <w:vMerge w:val="continue"/>
                  <w:vAlign w:val="center"/>
                </w:tcPr>
                <w:p w14:paraId="2E8BB1FD">
                  <w:pPr>
                    <w:pStyle w:val="67"/>
                    <w:keepNext w:val="0"/>
                    <w:keepLines w:val="0"/>
                    <w:suppressLineNumbers w:val="0"/>
                    <w:spacing w:before="0" w:beforeAutospacing="0" w:after="0" w:afterAutospacing="0"/>
                    <w:ind w:left="0" w:right="0"/>
                    <w:rPr>
                      <w:rFonts w:hint="eastAsia" w:cs="Times New Roman"/>
                      <w:smallCaps w:val="0"/>
                      <w:color w:val="auto"/>
                      <w:spacing w:val="0"/>
                      <w:highlight w:val="none"/>
                      <w:lang w:val="en-US" w:eastAsia="zh-CN"/>
                    </w:rPr>
                  </w:pPr>
                </w:p>
              </w:tc>
              <w:tc>
                <w:tcPr>
                  <w:tcW w:w="530" w:type="pct"/>
                  <w:vAlign w:val="center"/>
                </w:tcPr>
                <w:p w14:paraId="2315A5BB">
                  <w:pPr>
                    <w:keepNext w:val="0"/>
                    <w:keepLines w:val="0"/>
                    <w:suppressLineNumbers w:val="0"/>
                    <w:spacing w:before="0" w:beforeAutospacing="0" w:after="0" w:afterAutospacing="0"/>
                    <w:ind w:left="0" w:leftChars="0" w:right="0" w:rightChars="0"/>
                    <w:jc w:val="center"/>
                    <w:rPr>
                      <w:rFonts w:hint="default"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G3</w:t>
                  </w:r>
                </w:p>
              </w:tc>
              <w:tc>
                <w:tcPr>
                  <w:tcW w:w="803" w:type="pct"/>
                  <w:vAlign w:val="center"/>
                </w:tcPr>
                <w:p w14:paraId="236C5D97">
                  <w:pPr>
                    <w:pStyle w:val="67"/>
                    <w:keepNext w:val="0"/>
                    <w:keepLines w:val="0"/>
                    <w:suppressLineNumbers w:val="0"/>
                    <w:spacing w:before="0" w:beforeAutospacing="0" w:after="0" w:afterAutospacing="0"/>
                    <w:ind w:left="0" w:leftChars="0" w:right="0" w:rightChars="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注塑</w:t>
                  </w:r>
                </w:p>
              </w:tc>
              <w:tc>
                <w:tcPr>
                  <w:tcW w:w="1138" w:type="pct"/>
                  <w:vAlign w:val="center"/>
                </w:tcPr>
                <w:p w14:paraId="55B10E9E">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颗粒物、非甲烷总烃、氨、臭气浓度</w:t>
                  </w:r>
                </w:p>
              </w:tc>
              <w:tc>
                <w:tcPr>
                  <w:tcW w:w="1194" w:type="pct"/>
                  <w:vAlign w:val="center"/>
                </w:tcPr>
                <w:p w14:paraId="7CE1B826">
                  <w:pPr>
                    <w:keepNext w:val="0"/>
                    <w:keepLines w:val="0"/>
                    <w:suppressLineNumbers w:val="0"/>
                    <w:spacing w:before="0" w:beforeAutospacing="0" w:after="0" w:afterAutospacing="0"/>
                    <w:ind w:left="0" w:right="0"/>
                    <w:jc w:val="center"/>
                    <w:rPr>
                      <w:rFonts w:hint="eastAsia"/>
                      <w:color w:val="auto"/>
                      <w:szCs w:val="20"/>
                      <w:highlight w:val="none"/>
                      <w:lang w:val="en-US" w:eastAsia="zh-CN"/>
                    </w:rPr>
                  </w:pPr>
                  <w:r>
                    <w:rPr>
                      <w:rFonts w:hint="eastAsia"/>
                      <w:color w:val="auto"/>
                      <w:szCs w:val="20"/>
                      <w:highlight w:val="none"/>
                      <w:lang w:val="en-US" w:eastAsia="zh-CN"/>
                    </w:rPr>
                    <w:t>采用集气罩收集</w:t>
                  </w:r>
                </w:p>
              </w:tc>
              <w:tc>
                <w:tcPr>
                  <w:tcW w:w="925" w:type="pct"/>
                  <w:vMerge w:val="continue"/>
                  <w:vAlign w:val="center"/>
                </w:tcPr>
                <w:p w14:paraId="19626A7C">
                  <w:pPr>
                    <w:keepNext w:val="0"/>
                    <w:keepLines w:val="0"/>
                    <w:suppressLineNumbers w:val="0"/>
                    <w:spacing w:before="0" w:beforeAutospacing="0" w:after="0" w:afterAutospacing="0"/>
                    <w:ind w:left="0" w:right="0"/>
                    <w:jc w:val="center"/>
                    <w:rPr>
                      <w:rFonts w:hint="default" w:cs="Times New Roman"/>
                      <w:smallCaps w:val="0"/>
                      <w:color w:val="auto"/>
                      <w:spacing w:val="0"/>
                      <w:sz w:val="21"/>
                      <w:szCs w:val="21"/>
                      <w:highlight w:val="none"/>
                      <w:lang w:val="en-US" w:eastAsia="zh-CN"/>
                    </w:rPr>
                  </w:pPr>
                </w:p>
              </w:tc>
            </w:tr>
            <w:tr w14:paraId="1902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restart"/>
                  <w:vAlign w:val="center"/>
                </w:tcPr>
                <w:p w14:paraId="4F55432D">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废水</w:t>
                  </w:r>
                </w:p>
              </w:tc>
              <w:tc>
                <w:tcPr>
                  <w:tcW w:w="530" w:type="pct"/>
                  <w:shd w:val="clear" w:color="auto" w:fill="auto"/>
                  <w:vAlign w:val="center"/>
                </w:tcPr>
                <w:p w14:paraId="4E1AC4F6">
                  <w:pPr>
                    <w:pStyle w:val="67"/>
                    <w:keepNext w:val="0"/>
                    <w:keepLines w:val="0"/>
                    <w:suppressLineNumbers w:val="0"/>
                    <w:spacing w:before="0" w:beforeAutospacing="0" w:after="0" w:afterAutospacing="0"/>
                    <w:ind w:left="0" w:leftChars="0" w:right="0" w:rightChars="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W1</w:t>
                  </w:r>
                </w:p>
              </w:tc>
              <w:tc>
                <w:tcPr>
                  <w:tcW w:w="803" w:type="pct"/>
                  <w:shd w:val="clear" w:color="auto" w:fill="auto"/>
                  <w:vAlign w:val="center"/>
                </w:tcPr>
                <w:p w14:paraId="400E2BA0">
                  <w:pPr>
                    <w:pStyle w:val="67"/>
                    <w:keepNext w:val="0"/>
                    <w:keepLines w:val="0"/>
                    <w:suppressLineNumbers w:val="0"/>
                    <w:spacing w:before="0" w:beforeAutospacing="0" w:after="0" w:afterAutospacing="0"/>
                    <w:ind w:left="0" w:leftChars="0" w:right="0" w:rightChars="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设备冷却水</w:t>
                  </w:r>
                </w:p>
              </w:tc>
              <w:tc>
                <w:tcPr>
                  <w:tcW w:w="1138" w:type="pct"/>
                  <w:shd w:val="clear" w:color="auto" w:fill="auto"/>
                  <w:vAlign w:val="center"/>
                </w:tcPr>
                <w:p w14:paraId="29D0D33C">
                  <w:pPr>
                    <w:pStyle w:val="67"/>
                    <w:keepNext w:val="0"/>
                    <w:keepLines w:val="0"/>
                    <w:suppressLineNumbers w:val="0"/>
                    <w:spacing w:before="0" w:beforeAutospacing="0" w:after="0" w:afterAutospacing="0"/>
                    <w:ind w:left="0" w:leftChars="0" w:right="0" w:rightChars="0"/>
                    <w:rPr>
                      <w:rFonts w:hint="default" w:eastAsia="宋体"/>
                      <w:color w:val="auto"/>
                      <w:szCs w:val="21"/>
                      <w:highlight w:val="none"/>
                      <w:lang w:val="en-US" w:eastAsia="zh-CN"/>
                    </w:rPr>
                  </w:pPr>
                  <w:r>
                    <w:rPr>
                      <w:rFonts w:hint="eastAsia"/>
                      <w:color w:val="auto"/>
                      <w:szCs w:val="21"/>
                      <w:highlight w:val="none"/>
                      <w:lang w:val="en-US" w:eastAsia="zh-CN"/>
                    </w:rPr>
                    <w:t>SS</w:t>
                  </w:r>
                </w:p>
              </w:tc>
              <w:tc>
                <w:tcPr>
                  <w:tcW w:w="2119" w:type="pct"/>
                  <w:gridSpan w:val="2"/>
                  <w:shd w:val="clear" w:color="auto" w:fill="auto"/>
                  <w:vAlign w:val="center"/>
                </w:tcPr>
                <w:p w14:paraId="6DC7C901">
                  <w:pPr>
                    <w:keepNext w:val="0"/>
                    <w:keepLines w:val="0"/>
                    <w:suppressLineNumbers w:val="0"/>
                    <w:tabs>
                      <w:tab w:val="left" w:pos="1085"/>
                    </w:tabs>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循环使用，不外排</w:t>
                  </w:r>
                </w:p>
              </w:tc>
            </w:tr>
            <w:tr w14:paraId="1278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7D0697CC">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p>
              </w:tc>
              <w:tc>
                <w:tcPr>
                  <w:tcW w:w="530" w:type="pct"/>
                  <w:shd w:val="clear" w:color="auto" w:fill="auto"/>
                  <w:vAlign w:val="center"/>
                </w:tcPr>
                <w:p w14:paraId="49FE01DF">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W</w:t>
                  </w:r>
                </w:p>
              </w:tc>
              <w:tc>
                <w:tcPr>
                  <w:tcW w:w="803" w:type="pct"/>
                  <w:shd w:val="clear" w:color="auto" w:fill="auto"/>
                  <w:vAlign w:val="center"/>
                </w:tcPr>
                <w:p w14:paraId="10B5ED6A">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职工生活污水</w:t>
                  </w:r>
                </w:p>
              </w:tc>
              <w:tc>
                <w:tcPr>
                  <w:tcW w:w="1138" w:type="pct"/>
                  <w:shd w:val="clear" w:color="auto" w:fill="auto"/>
                  <w:vAlign w:val="center"/>
                </w:tcPr>
                <w:p w14:paraId="2BA36FB2">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olor w:val="auto"/>
                      <w:szCs w:val="21"/>
                      <w:highlight w:val="none"/>
                    </w:rPr>
                    <w:t>pH、</w:t>
                  </w:r>
                  <w:r>
                    <w:rPr>
                      <w:rFonts w:hint="default"/>
                      <w:color w:val="auto"/>
                      <w:szCs w:val="21"/>
                      <w:highlight w:val="none"/>
                    </w:rPr>
                    <w:t>COD</w:t>
                  </w: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、SS、</w:t>
                  </w:r>
                  <w:r>
                    <w:rPr>
                      <w:rFonts w:hint="default"/>
                      <w:color w:val="auto"/>
                      <w:szCs w:val="21"/>
                      <w:highlight w:val="none"/>
                    </w:rPr>
                    <w:t>氨氮</w:t>
                  </w:r>
                  <w:r>
                    <w:rPr>
                      <w:rFonts w:hint="eastAsia"/>
                      <w:color w:val="auto"/>
                      <w:szCs w:val="21"/>
                      <w:highlight w:val="none"/>
                      <w:lang w:eastAsia="zh-CN"/>
                    </w:rPr>
                    <w:t>、</w:t>
                  </w:r>
                  <w:r>
                    <w:rPr>
                      <w:rFonts w:hint="eastAsia"/>
                      <w:color w:val="auto"/>
                      <w:szCs w:val="21"/>
                      <w:highlight w:val="none"/>
                      <w:lang w:val="en-US" w:eastAsia="zh-CN"/>
                    </w:rPr>
                    <w:t>总磷、总氮</w:t>
                  </w:r>
                </w:p>
              </w:tc>
              <w:tc>
                <w:tcPr>
                  <w:tcW w:w="2119" w:type="pct"/>
                  <w:gridSpan w:val="2"/>
                  <w:shd w:val="clear" w:color="auto" w:fill="auto"/>
                  <w:vAlign w:val="center"/>
                </w:tcPr>
                <w:p w14:paraId="6D1FF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olor w:val="auto"/>
                      <w:szCs w:val="21"/>
                      <w:highlight w:val="none"/>
                      <w:lang w:val="en-US" w:eastAsia="zh-CN"/>
                    </w:rPr>
                    <w:t>经集成式生物化粪池处理后经园区污水管网排入绿源污水处理有限公司进一步处理</w:t>
                  </w:r>
                  <w:r>
                    <w:rPr>
                      <w:rFonts w:hint="default"/>
                      <w:color w:val="auto"/>
                      <w:szCs w:val="21"/>
                      <w:highlight w:val="none"/>
                    </w:rPr>
                    <w:t>。</w:t>
                  </w:r>
                </w:p>
              </w:tc>
            </w:tr>
            <w:tr w14:paraId="1B78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restart"/>
                  <w:vAlign w:val="center"/>
                </w:tcPr>
                <w:p w14:paraId="3CC63B0F">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噪声</w:t>
                  </w:r>
                </w:p>
              </w:tc>
              <w:tc>
                <w:tcPr>
                  <w:tcW w:w="530" w:type="pct"/>
                  <w:vAlign w:val="center"/>
                </w:tcPr>
                <w:p w14:paraId="4412CEB9">
                  <w:pPr>
                    <w:pStyle w:val="67"/>
                    <w:keepNext w:val="0"/>
                    <w:keepLines w:val="0"/>
                    <w:suppressLineNumbers w:val="0"/>
                    <w:spacing w:before="0" w:beforeAutospacing="0" w:after="0" w:afterAutospacing="0"/>
                    <w:ind w:left="0" w:right="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N</w:t>
                  </w:r>
                  <w:r>
                    <w:rPr>
                      <w:rFonts w:hint="eastAsia" w:cs="Times New Roman"/>
                      <w:smallCaps w:val="0"/>
                      <w:color w:val="auto"/>
                      <w:spacing w:val="0"/>
                      <w:highlight w:val="none"/>
                      <w:lang w:val="en-US" w:eastAsia="zh-CN"/>
                    </w:rPr>
                    <w:t>1</w:t>
                  </w:r>
                </w:p>
              </w:tc>
              <w:tc>
                <w:tcPr>
                  <w:tcW w:w="803" w:type="pct"/>
                  <w:vAlign w:val="center"/>
                </w:tcPr>
                <w:p w14:paraId="7B38EF3F">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干燥机/干燥箱</w:t>
                  </w:r>
                </w:p>
              </w:tc>
              <w:tc>
                <w:tcPr>
                  <w:tcW w:w="1138" w:type="pct"/>
                  <w:vMerge w:val="restart"/>
                  <w:vAlign w:val="center"/>
                </w:tcPr>
                <w:p w14:paraId="469B3C33">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声功率级</w:t>
                  </w:r>
                </w:p>
              </w:tc>
              <w:tc>
                <w:tcPr>
                  <w:tcW w:w="2119" w:type="pct"/>
                  <w:gridSpan w:val="2"/>
                  <w:vMerge w:val="restart"/>
                  <w:vAlign w:val="center"/>
                </w:tcPr>
                <w:p w14:paraId="5C6A6FA1">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szCs w:val="22"/>
                      <w:highlight w:val="none"/>
                      <w:lang w:eastAsia="zh-CN"/>
                    </w:rPr>
                    <w:t>选用低噪声设备、基础减振、厂房隔声等措施</w:t>
                  </w:r>
                </w:p>
              </w:tc>
            </w:tr>
            <w:tr w14:paraId="3299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3CD2AD8C">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vAlign w:val="center"/>
                </w:tcPr>
                <w:p w14:paraId="265EE005">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N2</w:t>
                  </w:r>
                </w:p>
              </w:tc>
              <w:tc>
                <w:tcPr>
                  <w:tcW w:w="803" w:type="pct"/>
                  <w:vAlign w:val="center"/>
                </w:tcPr>
                <w:p w14:paraId="1790BAC6">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注塑机</w:t>
                  </w:r>
                </w:p>
              </w:tc>
              <w:tc>
                <w:tcPr>
                  <w:tcW w:w="1138" w:type="pct"/>
                  <w:vMerge w:val="continue"/>
                  <w:vAlign w:val="center"/>
                </w:tcPr>
                <w:p w14:paraId="301D0EA4">
                  <w:pPr>
                    <w:pStyle w:val="67"/>
                    <w:keepNext w:val="0"/>
                    <w:keepLines w:val="0"/>
                    <w:suppressLineNumbers w:val="0"/>
                    <w:spacing w:before="0" w:beforeAutospacing="0" w:after="0" w:afterAutospacing="0"/>
                    <w:ind w:left="0" w:right="0"/>
                    <w:rPr>
                      <w:rFonts w:hint="eastAsia" w:cs="Times New Roman"/>
                      <w:bCs/>
                      <w:smallCaps w:val="0"/>
                      <w:color w:val="auto"/>
                      <w:spacing w:val="0"/>
                      <w:kern w:val="0"/>
                      <w:sz w:val="21"/>
                      <w:szCs w:val="22"/>
                      <w:highlight w:val="none"/>
                      <w:lang w:val="en-US" w:eastAsia="zh-CN" w:bidi="ar-SA"/>
                    </w:rPr>
                  </w:pPr>
                </w:p>
              </w:tc>
              <w:tc>
                <w:tcPr>
                  <w:tcW w:w="2119" w:type="pct"/>
                  <w:gridSpan w:val="2"/>
                  <w:vMerge w:val="continue"/>
                  <w:vAlign w:val="center"/>
                </w:tcPr>
                <w:p w14:paraId="279DAA61">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eastAsia="zh-CN"/>
                    </w:rPr>
                  </w:pPr>
                </w:p>
              </w:tc>
            </w:tr>
            <w:tr w14:paraId="2B99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48BE191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vAlign w:val="center"/>
                </w:tcPr>
                <w:p w14:paraId="2A832481">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N3</w:t>
                  </w:r>
                </w:p>
              </w:tc>
              <w:tc>
                <w:tcPr>
                  <w:tcW w:w="803" w:type="pct"/>
                  <w:vAlign w:val="center"/>
                </w:tcPr>
                <w:p w14:paraId="5B58162D">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剪板机</w:t>
                  </w:r>
                </w:p>
              </w:tc>
              <w:tc>
                <w:tcPr>
                  <w:tcW w:w="1138" w:type="pct"/>
                  <w:vMerge w:val="continue"/>
                  <w:vAlign w:val="center"/>
                </w:tcPr>
                <w:p w14:paraId="273B4580">
                  <w:pPr>
                    <w:pStyle w:val="67"/>
                    <w:keepNext w:val="0"/>
                    <w:keepLines w:val="0"/>
                    <w:suppressLineNumbers w:val="0"/>
                    <w:spacing w:before="0" w:beforeAutospacing="0" w:after="0" w:afterAutospacing="0"/>
                    <w:ind w:left="0" w:right="0"/>
                    <w:rPr>
                      <w:rFonts w:hint="eastAsia" w:cs="Times New Roman"/>
                      <w:bCs/>
                      <w:smallCaps w:val="0"/>
                      <w:color w:val="auto"/>
                      <w:spacing w:val="0"/>
                      <w:kern w:val="0"/>
                      <w:sz w:val="21"/>
                      <w:szCs w:val="22"/>
                      <w:highlight w:val="none"/>
                      <w:lang w:val="en-US" w:eastAsia="zh-CN" w:bidi="ar-SA"/>
                    </w:rPr>
                  </w:pPr>
                </w:p>
              </w:tc>
              <w:tc>
                <w:tcPr>
                  <w:tcW w:w="2119" w:type="pct"/>
                  <w:gridSpan w:val="2"/>
                  <w:vMerge w:val="continue"/>
                  <w:vAlign w:val="center"/>
                </w:tcPr>
                <w:p w14:paraId="58B70D28">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eastAsia="zh-CN"/>
                    </w:rPr>
                  </w:pPr>
                </w:p>
              </w:tc>
            </w:tr>
            <w:tr w14:paraId="3D81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31E077E9">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vAlign w:val="center"/>
                </w:tcPr>
                <w:p w14:paraId="7D855AC2">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N4</w:t>
                  </w:r>
                </w:p>
              </w:tc>
              <w:tc>
                <w:tcPr>
                  <w:tcW w:w="803" w:type="pct"/>
                  <w:vAlign w:val="center"/>
                </w:tcPr>
                <w:p w14:paraId="3CCEAE93">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冲压机</w:t>
                  </w:r>
                </w:p>
              </w:tc>
              <w:tc>
                <w:tcPr>
                  <w:tcW w:w="1138" w:type="pct"/>
                  <w:vMerge w:val="continue"/>
                  <w:vAlign w:val="center"/>
                </w:tcPr>
                <w:p w14:paraId="229EDD26">
                  <w:pPr>
                    <w:pStyle w:val="67"/>
                    <w:keepNext w:val="0"/>
                    <w:keepLines w:val="0"/>
                    <w:suppressLineNumbers w:val="0"/>
                    <w:spacing w:before="0" w:beforeAutospacing="0" w:after="0" w:afterAutospacing="0"/>
                    <w:ind w:left="0" w:right="0"/>
                    <w:rPr>
                      <w:rFonts w:hint="eastAsia" w:cs="Times New Roman"/>
                      <w:bCs/>
                      <w:smallCaps w:val="0"/>
                      <w:color w:val="auto"/>
                      <w:spacing w:val="0"/>
                      <w:kern w:val="0"/>
                      <w:sz w:val="21"/>
                      <w:szCs w:val="22"/>
                      <w:highlight w:val="none"/>
                      <w:lang w:val="en-US" w:eastAsia="zh-CN" w:bidi="ar-SA"/>
                    </w:rPr>
                  </w:pPr>
                </w:p>
              </w:tc>
              <w:tc>
                <w:tcPr>
                  <w:tcW w:w="2119" w:type="pct"/>
                  <w:gridSpan w:val="2"/>
                  <w:vMerge w:val="continue"/>
                  <w:vAlign w:val="center"/>
                </w:tcPr>
                <w:p w14:paraId="6AFFC732">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eastAsia="zh-CN"/>
                    </w:rPr>
                  </w:pPr>
                </w:p>
              </w:tc>
            </w:tr>
            <w:tr w14:paraId="30B5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27FBD9B1">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vAlign w:val="center"/>
                </w:tcPr>
                <w:p w14:paraId="54C16284">
                  <w:pPr>
                    <w:pStyle w:val="67"/>
                    <w:keepNext w:val="0"/>
                    <w:keepLines w:val="0"/>
                    <w:suppressLineNumbers w:val="0"/>
                    <w:spacing w:before="0" w:beforeAutospacing="0" w:after="0" w:afterAutospacing="0"/>
                    <w:ind w:left="0" w:right="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N5</w:t>
                  </w:r>
                </w:p>
              </w:tc>
              <w:tc>
                <w:tcPr>
                  <w:tcW w:w="803" w:type="pct"/>
                  <w:vAlign w:val="center"/>
                </w:tcPr>
                <w:p w14:paraId="05C2C456">
                  <w:pPr>
                    <w:pStyle w:val="67"/>
                    <w:keepNext w:val="0"/>
                    <w:keepLines w:val="0"/>
                    <w:suppressLineNumbers w:val="0"/>
                    <w:spacing w:before="0" w:beforeAutospacing="0" w:after="0" w:afterAutospacing="0"/>
                    <w:ind w:left="0" w:right="0"/>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机加工设备</w:t>
                  </w:r>
                </w:p>
              </w:tc>
              <w:tc>
                <w:tcPr>
                  <w:tcW w:w="1138" w:type="pct"/>
                  <w:vMerge w:val="continue"/>
                  <w:vAlign w:val="center"/>
                </w:tcPr>
                <w:p w14:paraId="0915E9C5">
                  <w:pPr>
                    <w:pStyle w:val="67"/>
                    <w:keepNext w:val="0"/>
                    <w:keepLines w:val="0"/>
                    <w:suppressLineNumbers w:val="0"/>
                    <w:spacing w:before="0" w:beforeAutospacing="0" w:after="0" w:afterAutospacing="0"/>
                    <w:ind w:left="0" w:right="0"/>
                    <w:rPr>
                      <w:rFonts w:hint="eastAsia" w:cs="Times New Roman"/>
                      <w:bCs/>
                      <w:smallCaps w:val="0"/>
                      <w:color w:val="auto"/>
                      <w:spacing w:val="0"/>
                      <w:kern w:val="0"/>
                      <w:sz w:val="21"/>
                      <w:szCs w:val="22"/>
                      <w:highlight w:val="none"/>
                      <w:lang w:val="en-US" w:eastAsia="zh-CN" w:bidi="ar-SA"/>
                    </w:rPr>
                  </w:pPr>
                </w:p>
              </w:tc>
              <w:tc>
                <w:tcPr>
                  <w:tcW w:w="2119" w:type="pct"/>
                  <w:gridSpan w:val="2"/>
                  <w:vMerge w:val="continue"/>
                  <w:vAlign w:val="center"/>
                </w:tcPr>
                <w:p w14:paraId="551C4BF9">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eastAsia="zh-CN"/>
                    </w:rPr>
                  </w:pPr>
                </w:p>
              </w:tc>
            </w:tr>
            <w:tr w14:paraId="1344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0387E354">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vAlign w:val="center"/>
                </w:tcPr>
                <w:p w14:paraId="75140E59">
                  <w:pPr>
                    <w:pStyle w:val="67"/>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N</w:t>
                  </w:r>
                </w:p>
              </w:tc>
              <w:tc>
                <w:tcPr>
                  <w:tcW w:w="803" w:type="pct"/>
                  <w:vAlign w:val="center"/>
                </w:tcPr>
                <w:p w14:paraId="75DF63BE">
                  <w:pPr>
                    <w:pStyle w:val="67"/>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风机等</w:t>
                  </w:r>
                </w:p>
              </w:tc>
              <w:tc>
                <w:tcPr>
                  <w:tcW w:w="1138" w:type="pct"/>
                  <w:vMerge w:val="continue"/>
                  <w:vAlign w:val="center"/>
                </w:tcPr>
                <w:p w14:paraId="0763A5A1">
                  <w:pPr>
                    <w:pStyle w:val="67"/>
                    <w:keepNext w:val="0"/>
                    <w:keepLines w:val="0"/>
                    <w:suppressLineNumbers w:val="0"/>
                    <w:spacing w:before="0" w:beforeAutospacing="0" w:after="0" w:afterAutospacing="0"/>
                    <w:ind w:left="0" w:right="0"/>
                    <w:rPr>
                      <w:rFonts w:hint="eastAsia" w:cs="Times New Roman"/>
                      <w:bCs/>
                      <w:smallCaps w:val="0"/>
                      <w:color w:val="auto"/>
                      <w:spacing w:val="0"/>
                      <w:kern w:val="0"/>
                      <w:sz w:val="21"/>
                      <w:szCs w:val="22"/>
                      <w:highlight w:val="none"/>
                      <w:lang w:val="en-US" w:eastAsia="zh-CN" w:bidi="ar-SA"/>
                    </w:rPr>
                  </w:pPr>
                </w:p>
              </w:tc>
              <w:tc>
                <w:tcPr>
                  <w:tcW w:w="2119" w:type="pct"/>
                  <w:gridSpan w:val="2"/>
                  <w:vMerge w:val="continue"/>
                  <w:vAlign w:val="center"/>
                </w:tcPr>
                <w:p w14:paraId="1DA61C4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eastAsia="zh-CN"/>
                    </w:rPr>
                  </w:pPr>
                </w:p>
              </w:tc>
            </w:tr>
            <w:tr w14:paraId="189F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restart"/>
                  <w:vAlign w:val="center"/>
                </w:tcPr>
                <w:p w14:paraId="7C6BCBB7">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固废</w:t>
                  </w:r>
                </w:p>
              </w:tc>
              <w:tc>
                <w:tcPr>
                  <w:tcW w:w="530" w:type="pct"/>
                  <w:shd w:val="clear" w:color="auto" w:fill="auto"/>
                  <w:vAlign w:val="center"/>
                </w:tcPr>
                <w:p w14:paraId="081A0523">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S</w:t>
                  </w:r>
                  <w:r>
                    <w:rPr>
                      <w:rFonts w:hint="eastAsia" w:cs="Times New Roman"/>
                      <w:smallCaps w:val="0"/>
                      <w:color w:val="auto"/>
                      <w:spacing w:val="0"/>
                      <w:highlight w:val="none"/>
                      <w:lang w:val="en-US" w:eastAsia="zh-CN"/>
                    </w:rPr>
                    <w:t>1</w:t>
                  </w:r>
                </w:p>
              </w:tc>
              <w:tc>
                <w:tcPr>
                  <w:tcW w:w="803" w:type="pct"/>
                  <w:vAlign w:val="center"/>
                </w:tcPr>
                <w:p w14:paraId="4DF6C637">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原辅料拆包</w:t>
                  </w:r>
                </w:p>
              </w:tc>
              <w:tc>
                <w:tcPr>
                  <w:tcW w:w="1138" w:type="pct"/>
                  <w:vAlign w:val="center"/>
                </w:tcPr>
                <w:p w14:paraId="21A4DF3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废包装材料</w:t>
                  </w:r>
                </w:p>
              </w:tc>
              <w:tc>
                <w:tcPr>
                  <w:tcW w:w="2119" w:type="pct"/>
                  <w:gridSpan w:val="2"/>
                  <w:vAlign w:val="center"/>
                </w:tcPr>
                <w:p w14:paraId="0F034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收集后外售</w:t>
                  </w:r>
                </w:p>
              </w:tc>
            </w:tr>
            <w:tr w14:paraId="2294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4F9D566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0CA6C2B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szCs w:val="20"/>
                      <w:highlight w:val="none"/>
                    </w:rPr>
                    <w:t>S</w:t>
                  </w:r>
                  <w:r>
                    <w:rPr>
                      <w:rFonts w:hint="eastAsia" w:cs="Times New Roman"/>
                      <w:smallCaps w:val="0"/>
                      <w:color w:val="auto"/>
                      <w:spacing w:val="0"/>
                      <w:szCs w:val="20"/>
                      <w:highlight w:val="none"/>
                      <w:lang w:val="en-US" w:eastAsia="zh-CN"/>
                    </w:rPr>
                    <w:t>2</w:t>
                  </w:r>
                </w:p>
              </w:tc>
              <w:tc>
                <w:tcPr>
                  <w:tcW w:w="803" w:type="pct"/>
                  <w:vAlign w:val="center"/>
                </w:tcPr>
                <w:p w14:paraId="6DB0ECF8">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布袋除尘器</w:t>
                  </w:r>
                </w:p>
              </w:tc>
              <w:tc>
                <w:tcPr>
                  <w:tcW w:w="1138" w:type="pct"/>
                  <w:vAlign w:val="center"/>
                </w:tcPr>
                <w:p w14:paraId="234A276C">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废布袋</w:t>
                  </w:r>
                </w:p>
              </w:tc>
              <w:tc>
                <w:tcPr>
                  <w:tcW w:w="2119" w:type="pct"/>
                  <w:gridSpan w:val="2"/>
                  <w:vAlign w:val="center"/>
                </w:tcPr>
                <w:p w14:paraId="61644684">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危废间暂存后交由有危废处置资质单位处置</w:t>
                  </w:r>
                </w:p>
              </w:tc>
            </w:tr>
            <w:tr w14:paraId="1EDC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0F144F61">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7E878F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szCs w:val="20"/>
                      <w:highlight w:val="none"/>
                    </w:rPr>
                    <w:t>S</w:t>
                  </w:r>
                  <w:r>
                    <w:rPr>
                      <w:rFonts w:hint="eastAsia" w:cs="Times New Roman"/>
                      <w:smallCaps w:val="0"/>
                      <w:color w:val="auto"/>
                      <w:spacing w:val="0"/>
                      <w:szCs w:val="20"/>
                      <w:highlight w:val="none"/>
                      <w:lang w:val="en-US" w:eastAsia="zh-CN"/>
                    </w:rPr>
                    <w:t>3</w:t>
                  </w:r>
                </w:p>
              </w:tc>
              <w:tc>
                <w:tcPr>
                  <w:tcW w:w="803" w:type="pct"/>
                  <w:shd w:val="clear" w:color="auto" w:fill="auto"/>
                  <w:vAlign w:val="center"/>
                </w:tcPr>
                <w:p w14:paraId="77BF9F37">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布袋除尘器</w:t>
                  </w:r>
                </w:p>
              </w:tc>
              <w:tc>
                <w:tcPr>
                  <w:tcW w:w="1138" w:type="pct"/>
                  <w:shd w:val="clear" w:color="auto" w:fill="auto"/>
                  <w:vAlign w:val="center"/>
                </w:tcPr>
                <w:p w14:paraId="429237D5">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smallCaps w:val="0"/>
                      <w:color w:val="auto"/>
                      <w:spacing w:val="0"/>
                      <w:szCs w:val="22"/>
                      <w:highlight w:val="none"/>
                      <w:lang w:val="en-US" w:eastAsia="zh-CN"/>
                    </w:rPr>
                    <w:t>除尘灰</w:t>
                  </w:r>
                </w:p>
              </w:tc>
              <w:tc>
                <w:tcPr>
                  <w:tcW w:w="2119" w:type="pct"/>
                  <w:gridSpan w:val="2"/>
                  <w:shd w:val="clear" w:color="auto" w:fill="auto"/>
                  <w:vAlign w:val="center"/>
                </w:tcPr>
                <w:p w14:paraId="6CBB5720">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危废间暂存后交由有危废处置资质单位处置</w:t>
                  </w:r>
                </w:p>
              </w:tc>
            </w:tr>
            <w:tr w14:paraId="2A1F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13B06902">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03435D5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S4</w:t>
                  </w:r>
                </w:p>
              </w:tc>
              <w:tc>
                <w:tcPr>
                  <w:tcW w:w="803" w:type="pct"/>
                  <w:shd w:val="clear" w:color="auto" w:fill="auto"/>
                  <w:vAlign w:val="center"/>
                </w:tcPr>
                <w:p w14:paraId="5AC04C3D">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两级活性吸附装置</w:t>
                  </w:r>
                </w:p>
              </w:tc>
              <w:tc>
                <w:tcPr>
                  <w:tcW w:w="1138" w:type="pct"/>
                  <w:shd w:val="clear" w:color="auto" w:fill="auto"/>
                  <w:vAlign w:val="center"/>
                </w:tcPr>
                <w:p w14:paraId="3F5E3A4C">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废活性炭</w:t>
                  </w:r>
                </w:p>
              </w:tc>
              <w:tc>
                <w:tcPr>
                  <w:tcW w:w="2119" w:type="pct"/>
                  <w:gridSpan w:val="2"/>
                  <w:shd w:val="clear" w:color="auto" w:fill="auto"/>
                  <w:vAlign w:val="center"/>
                </w:tcPr>
                <w:p w14:paraId="4AEE7534">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危废间暂存后交由有危废处置资质单位处置</w:t>
                  </w:r>
                </w:p>
              </w:tc>
            </w:tr>
            <w:tr w14:paraId="0B91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421CF707">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6E3E7E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S5</w:t>
                  </w:r>
                </w:p>
              </w:tc>
              <w:tc>
                <w:tcPr>
                  <w:tcW w:w="803" w:type="pct"/>
                  <w:shd w:val="clear" w:color="auto" w:fill="auto"/>
                  <w:vAlign w:val="center"/>
                </w:tcPr>
                <w:p w14:paraId="30AE4CA7">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注塑</w:t>
                  </w:r>
                </w:p>
              </w:tc>
              <w:tc>
                <w:tcPr>
                  <w:tcW w:w="1138" w:type="pct"/>
                  <w:shd w:val="clear" w:color="auto" w:fill="auto"/>
                  <w:vAlign w:val="center"/>
                </w:tcPr>
                <w:p w14:paraId="70AB3CC7">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废塑料边角料</w:t>
                  </w:r>
                </w:p>
              </w:tc>
              <w:tc>
                <w:tcPr>
                  <w:tcW w:w="2119" w:type="pct"/>
                  <w:gridSpan w:val="2"/>
                  <w:shd w:val="clear" w:color="auto" w:fill="auto"/>
                  <w:vAlign w:val="center"/>
                </w:tcPr>
                <w:p w14:paraId="7C624B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szCs w:val="20"/>
                      <w:highlight w:val="none"/>
                      <w:lang w:val="en-US" w:eastAsia="zh-CN"/>
                    </w:rPr>
                    <w:t>收集后外售</w:t>
                  </w:r>
                </w:p>
              </w:tc>
            </w:tr>
            <w:tr w14:paraId="2346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18EB46D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2C9C62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S6</w:t>
                  </w:r>
                </w:p>
              </w:tc>
              <w:tc>
                <w:tcPr>
                  <w:tcW w:w="803" w:type="pct"/>
                  <w:shd w:val="clear" w:color="auto" w:fill="auto"/>
                  <w:vAlign w:val="center"/>
                </w:tcPr>
                <w:p w14:paraId="589D4BBC">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注塑</w:t>
                  </w:r>
                </w:p>
              </w:tc>
              <w:tc>
                <w:tcPr>
                  <w:tcW w:w="1138" w:type="pct"/>
                  <w:shd w:val="clear" w:color="auto" w:fill="auto"/>
                  <w:vAlign w:val="center"/>
                </w:tcPr>
                <w:p w14:paraId="0121A028">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废切削液</w:t>
                  </w:r>
                </w:p>
              </w:tc>
              <w:tc>
                <w:tcPr>
                  <w:tcW w:w="2119" w:type="pct"/>
                  <w:gridSpan w:val="2"/>
                  <w:shd w:val="clear" w:color="auto" w:fill="auto"/>
                  <w:vAlign w:val="center"/>
                </w:tcPr>
                <w:p w14:paraId="6CA5FDDB">
                  <w:pPr>
                    <w:pStyle w:val="67"/>
                    <w:keepNext w:val="0"/>
                    <w:keepLines w:val="0"/>
                    <w:suppressLineNumbers w:val="0"/>
                    <w:spacing w:before="0" w:beforeAutospacing="0" w:after="0" w:afterAutospacing="0"/>
                    <w:ind w:left="0" w:leftChars="0" w:right="0" w:rightChars="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危废间暂存后交由有危废处置资质单位处置</w:t>
                  </w:r>
                </w:p>
              </w:tc>
            </w:tr>
            <w:tr w14:paraId="2986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010131C4">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16DE126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kern w:val="2"/>
                      <w:sz w:val="21"/>
                      <w:szCs w:val="20"/>
                      <w:highlight w:val="none"/>
                      <w:lang w:val="en-US" w:eastAsia="zh-CN" w:bidi="ar-SA"/>
                    </w:rPr>
                    <w:t>S7</w:t>
                  </w:r>
                </w:p>
              </w:tc>
              <w:tc>
                <w:tcPr>
                  <w:tcW w:w="803" w:type="pct"/>
                  <w:shd w:val="clear" w:color="auto" w:fill="auto"/>
                  <w:vAlign w:val="center"/>
                </w:tcPr>
                <w:p w14:paraId="4C42C4E3">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注塑</w:t>
                  </w:r>
                </w:p>
              </w:tc>
              <w:tc>
                <w:tcPr>
                  <w:tcW w:w="1138" w:type="pct"/>
                  <w:shd w:val="clear" w:color="auto" w:fill="auto"/>
                  <w:vAlign w:val="center"/>
                </w:tcPr>
                <w:p w14:paraId="33B8F6E0">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废切削液桶</w:t>
                  </w:r>
                </w:p>
              </w:tc>
              <w:tc>
                <w:tcPr>
                  <w:tcW w:w="2119" w:type="pct"/>
                  <w:gridSpan w:val="2"/>
                  <w:shd w:val="clear" w:color="auto" w:fill="auto"/>
                  <w:vAlign w:val="center"/>
                </w:tcPr>
                <w:p w14:paraId="0CD41AAB">
                  <w:pPr>
                    <w:pStyle w:val="67"/>
                    <w:keepNext w:val="0"/>
                    <w:keepLines w:val="0"/>
                    <w:suppressLineNumbers w:val="0"/>
                    <w:spacing w:before="0" w:beforeAutospacing="0" w:after="0" w:afterAutospacing="0"/>
                    <w:ind w:left="0" w:leftChars="0" w:right="0" w:rightChars="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危废间暂存后交由有危废处置资质单位处置</w:t>
                  </w:r>
                </w:p>
              </w:tc>
            </w:tr>
            <w:tr w14:paraId="3B2B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1DE4A10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453C3C55">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S</w:t>
                  </w:r>
                  <w:r>
                    <w:rPr>
                      <w:rFonts w:hint="eastAsia" w:cs="Times New Roman"/>
                      <w:smallCaps w:val="0"/>
                      <w:color w:val="auto"/>
                      <w:spacing w:val="0"/>
                      <w:highlight w:val="none"/>
                      <w:lang w:val="en-US" w:eastAsia="zh-CN"/>
                    </w:rPr>
                    <w:t>8</w:t>
                  </w:r>
                </w:p>
              </w:tc>
              <w:tc>
                <w:tcPr>
                  <w:tcW w:w="803" w:type="pct"/>
                  <w:shd w:val="clear" w:color="auto" w:fill="auto"/>
                  <w:vAlign w:val="center"/>
                </w:tcPr>
                <w:p w14:paraId="06CB52A1">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汽车塑料配件检验</w:t>
                  </w:r>
                </w:p>
              </w:tc>
              <w:tc>
                <w:tcPr>
                  <w:tcW w:w="1138" w:type="pct"/>
                  <w:shd w:val="clear" w:color="auto" w:fill="auto"/>
                  <w:vAlign w:val="center"/>
                </w:tcPr>
                <w:p w14:paraId="690D57F1">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2"/>
                      <w:highlight w:val="none"/>
                      <w:lang w:val="en-US" w:eastAsia="zh-CN" w:bidi="ar-SA"/>
                    </w:rPr>
                    <w:t>不合格品</w:t>
                  </w:r>
                </w:p>
              </w:tc>
              <w:tc>
                <w:tcPr>
                  <w:tcW w:w="2119" w:type="pct"/>
                  <w:gridSpan w:val="2"/>
                  <w:shd w:val="clear" w:color="auto" w:fill="auto"/>
                  <w:vAlign w:val="center"/>
                </w:tcPr>
                <w:p w14:paraId="177879A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szCs w:val="20"/>
                      <w:highlight w:val="none"/>
                      <w:lang w:val="en-US" w:eastAsia="zh-CN"/>
                    </w:rPr>
                    <w:t>收集后外售</w:t>
                  </w:r>
                </w:p>
              </w:tc>
            </w:tr>
            <w:tr w14:paraId="39F6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5C09864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71761C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szCs w:val="20"/>
                      <w:highlight w:val="none"/>
                    </w:rPr>
                    <w:t>S</w:t>
                  </w:r>
                  <w:r>
                    <w:rPr>
                      <w:rFonts w:hint="eastAsia" w:cs="Times New Roman"/>
                      <w:smallCaps w:val="0"/>
                      <w:color w:val="auto"/>
                      <w:spacing w:val="0"/>
                      <w:szCs w:val="20"/>
                      <w:highlight w:val="none"/>
                      <w:lang w:val="en-US" w:eastAsia="zh-CN"/>
                    </w:rPr>
                    <w:t>9</w:t>
                  </w:r>
                </w:p>
              </w:tc>
              <w:tc>
                <w:tcPr>
                  <w:tcW w:w="803" w:type="pct"/>
                  <w:shd w:val="clear" w:color="auto" w:fill="auto"/>
                  <w:vAlign w:val="center"/>
                </w:tcPr>
                <w:p w14:paraId="1FD54BF1">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剪板</w:t>
                  </w:r>
                </w:p>
              </w:tc>
              <w:tc>
                <w:tcPr>
                  <w:tcW w:w="1138" w:type="pct"/>
                  <w:shd w:val="clear" w:color="auto" w:fill="auto"/>
                  <w:vAlign w:val="center"/>
                </w:tcPr>
                <w:p w14:paraId="3E032865">
                  <w:pPr>
                    <w:pStyle w:val="67"/>
                    <w:keepNext w:val="0"/>
                    <w:keepLines w:val="0"/>
                    <w:suppressLineNumbers w:val="0"/>
                    <w:spacing w:before="0" w:beforeAutospacing="0" w:after="0" w:afterAutospacing="0"/>
                    <w:ind w:left="0" w:leftChars="0" w:right="0" w:rightChars="0"/>
                    <w:rPr>
                      <w:rFonts w:hint="default"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0"/>
                      <w:highlight w:val="none"/>
                      <w:lang w:val="en-US" w:eastAsia="zh-CN" w:bidi="ar-SA"/>
                    </w:rPr>
                    <w:t>金属下脚料</w:t>
                  </w:r>
                </w:p>
              </w:tc>
              <w:tc>
                <w:tcPr>
                  <w:tcW w:w="2119" w:type="pct"/>
                  <w:gridSpan w:val="2"/>
                  <w:vAlign w:val="center"/>
                </w:tcPr>
                <w:p w14:paraId="445D3CBE">
                  <w:pPr>
                    <w:keepNext w:val="0"/>
                    <w:keepLines w:val="0"/>
                    <w:suppressLineNumbers w:val="0"/>
                    <w:spacing w:before="0" w:beforeAutospacing="0" w:after="0" w:afterAutospacing="0"/>
                    <w:ind w:left="0" w:right="0"/>
                    <w:jc w:val="center"/>
                    <w:rPr>
                      <w:rFonts w:hint="eastAsia"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收集后外售</w:t>
                  </w:r>
                </w:p>
              </w:tc>
            </w:tr>
            <w:tr w14:paraId="2251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12CDAE88">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3EBDC8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szCs w:val="20"/>
                      <w:highlight w:val="none"/>
                    </w:rPr>
                    <w:t>S</w:t>
                  </w:r>
                  <w:r>
                    <w:rPr>
                      <w:rFonts w:hint="eastAsia" w:cs="Times New Roman"/>
                      <w:smallCaps w:val="0"/>
                      <w:color w:val="auto"/>
                      <w:spacing w:val="0"/>
                      <w:szCs w:val="20"/>
                      <w:highlight w:val="none"/>
                      <w:lang w:val="en-US" w:eastAsia="zh-CN"/>
                    </w:rPr>
                    <w:t>10</w:t>
                  </w:r>
                </w:p>
              </w:tc>
              <w:tc>
                <w:tcPr>
                  <w:tcW w:w="803" w:type="pct"/>
                  <w:shd w:val="clear" w:color="auto" w:fill="auto"/>
                  <w:vAlign w:val="center"/>
                </w:tcPr>
                <w:p w14:paraId="1DD6D5EB">
                  <w:pPr>
                    <w:pStyle w:val="67"/>
                    <w:keepNext w:val="0"/>
                    <w:keepLines w:val="0"/>
                    <w:suppressLineNumbers w:val="0"/>
                    <w:spacing w:before="0" w:beforeAutospacing="0" w:after="0" w:afterAutospacing="0"/>
                    <w:ind w:left="0" w:leftChars="0" w:right="0" w:rightChars="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电极片检验</w:t>
                  </w:r>
                </w:p>
              </w:tc>
              <w:tc>
                <w:tcPr>
                  <w:tcW w:w="1138" w:type="pct"/>
                  <w:shd w:val="clear" w:color="auto" w:fill="auto"/>
                  <w:vAlign w:val="center"/>
                </w:tcPr>
                <w:p w14:paraId="5C5800C9">
                  <w:pPr>
                    <w:pStyle w:val="67"/>
                    <w:keepNext w:val="0"/>
                    <w:keepLines w:val="0"/>
                    <w:suppressLineNumbers w:val="0"/>
                    <w:spacing w:before="0" w:beforeAutospacing="0" w:after="0" w:afterAutospacing="0"/>
                    <w:ind w:left="0" w:leftChars="0" w:right="0" w:rightChars="0"/>
                    <w:rPr>
                      <w:rFonts w:hint="default" w:cs="Times New Roman"/>
                      <w:smallCaps w:val="0"/>
                      <w:color w:val="auto"/>
                      <w:spacing w:val="0"/>
                      <w:szCs w:val="22"/>
                      <w:highlight w:val="none"/>
                      <w:lang w:val="en-US" w:eastAsia="zh-CN"/>
                    </w:rPr>
                  </w:pPr>
                  <w:r>
                    <w:rPr>
                      <w:rFonts w:hint="eastAsia" w:cs="Times New Roman"/>
                      <w:smallCaps w:val="0"/>
                      <w:color w:val="auto"/>
                      <w:spacing w:val="0"/>
                      <w:szCs w:val="22"/>
                      <w:highlight w:val="none"/>
                      <w:lang w:val="en-US" w:eastAsia="zh-CN"/>
                    </w:rPr>
                    <w:t>不合格电极片</w:t>
                  </w:r>
                </w:p>
              </w:tc>
              <w:tc>
                <w:tcPr>
                  <w:tcW w:w="2119" w:type="pct"/>
                  <w:gridSpan w:val="2"/>
                  <w:vAlign w:val="center"/>
                </w:tcPr>
                <w:p w14:paraId="6CFA55E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收集后外售</w:t>
                  </w:r>
                </w:p>
              </w:tc>
            </w:tr>
            <w:tr w14:paraId="4DDA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15258EB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2AA15BD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S11</w:t>
                  </w:r>
                </w:p>
              </w:tc>
              <w:tc>
                <w:tcPr>
                  <w:tcW w:w="803" w:type="pct"/>
                  <w:shd w:val="clear" w:color="auto" w:fill="auto"/>
                  <w:vAlign w:val="center"/>
                </w:tcPr>
                <w:p w14:paraId="1C91197A">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机加工</w:t>
                  </w:r>
                </w:p>
              </w:tc>
              <w:tc>
                <w:tcPr>
                  <w:tcW w:w="1138" w:type="pct"/>
                  <w:shd w:val="clear" w:color="auto" w:fill="auto"/>
                  <w:vAlign w:val="center"/>
                </w:tcPr>
                <w:p w14:paraId="1EEF54B8">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2"/>
                      <w:highlight w:val="none"/>
                      <w:lang w:val="en-US" w:eastAsia="zh-CN" w:bidi="ar-SA"/>
                    </w:rPr>
                  </w:pPr>
                  <w:r>
                    <w:rPr>
                      <w:rFonts w:hint="eastAsia" w:cs="Times New Roman"/>
                      <w:bCs/>
                      <w:smallCaps w:val="0"/>
                      <w:color w:val="auto"/>
                      <w:spacing w:val="0"/>
                      <w:kern w:val="0"/>
                      <w:sz w:val="21"/>
                      <w:szCs w:val="20"/>
                      <w:highlight w:val="none"/>
                      <w:lang w:val="en-US" w:eastAsia="zh-CN" w:bidi="ar-SA"/>
                    </w:rPr>
                    <w:t>含油金属屑</w:t>
                  </w:r>
                </w:p>
              </w:tc>
              <w:tc>
                <w:tcPr>
                  <w:tcW w:w="2119" w:type="pct"/>
                  <w:gridSpan w:val="2"/>
                  <w:vAlign w:val="center"/>
                </w:tcPr>
                <w:p w14:paraId="248652A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危废间暂存后交由有危废处置资质单位处置</w:t>
                  </w:r>
                </w:p>
              </w:tc>
            </w:tr>
            <w:tr w14:paraId="060E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56EE188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09E080C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S12</w:t>
                  </w:r>
                </w:p>
              </w:tc>
              <w:tc>
                <w:tcPr>
                  <w:tcW w:w="803" w:type="pct"/>
                  <w:shd w:val="clear" w:color="auto" w:fill="auto"/>
                  <w:vAlign w:val="center"/>
                </w:tcPr>
                <w:p w14:paraId="3FF50271">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设备维护</w:t>
                  </w:r>
                </w:p>
              </w:tc>
              <w:tc>
                <w:tcPr>
                  <w:tcW w:w="1138" w:type="pct"/>
                  <w:shd w:val="clear" w:color="auto" w:fill="auto"/>
                  <w:vAlign w:val="center"/>
                </w:tcPr>
                <w:p w14:paraId="0B9AD9AE">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废润滑油</w:t>
                  </w:r>
                </w:p>
              </w:tc>
              <w:tc>
                <w:tcPr>
                  <w:tcW w:w="2119" w:type="pct"/>
                  <w:gridSpan w:val="2"/>
                  <w:shd w:val="clear" w:color="auto" w:fill="auto"/>
                  <w:vAlign w:val="center"/>
                </w:tcPr>
                <w:p w14:paraId="4ACEE68E">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危废间暂存后交由有危废处置资质单位处置</w:t>
                  </w:r>
                </w:p>
              </w:tc>
            </w:tr>
            <w:tr w14:paraId="580A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2C23DA43">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3181DD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kern w:val="2"/>
                      <w:sz w:val="21"/>
                      <w:szCs w:val="20"/>
                      <w:highlight w:val="none"/>
                      <w:lang w:val="en-US" w:eastAsia="zh-CN" w:bidi="ar-SA"/>
                    </w:rPr>
                    <w:t>S13</w:t>
                  </w:r>
                </w:p>
              </w:tc>
              <w:tc>
                <w:tcPr>
                  <w:tcW w:w="803" w:type="pct"/>
                  <w:shd w:val="clear" w:color="auto" w:fill="auto"/>
                  <w:vAlign w:val="center"/>
                </w:tcPr>
                <w:p w14:paraId="4A56A3B7">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设备维护</w:t>
                  </w:r>
                </w:p>
              </w:tc>
              <w:tc>
                <w:tcPr>
                  <w:tcW w:w="1138" w:type="pct"/>
                  <w:shd w:val="clear" w:color="auto" w:fill="auto"/>
                  <w:vAlign w:val="center"/>
                </w:tcPr>
                <w:p w14:paraId="5BC15E0A">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废润滑油桶</w:t>
                  </w:r>
                </w:p>
              </w:tc>
              <w:tc>
                <w:tcPr>
                  <w:tcW w:w="2119" w:type="pct"/>
                  <w:gridSpan w:val="2"/>
                  <w:shd w:val="clear" w:color="auto" w:fill="auto"/>
                  <w:vAlign w:val="center"/>
                </w:tcPr>
                <w:p w14:paraId="57F842C3">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危废间暂存后交由有危废处置资质单位处置</w:t>
                  </w:r>
                </w:p>
              </w:tc>
            </w:tr>
            <w:tr w14:paraId="021E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3354721F">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3A135F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kern w:val="2"/>
                      <w:sz w:val="21"/>
                      <w:szCs w:val="20"/>
                      <w:highlight w:val="none"/>
                      <w:lang w:val="en-US" w:eastAsia="zh-CN" w:bidi="ar-SA"/>
                    </w:rPr>
                    <w:t>S14</w:t>
                  </w:r>
                </w:p>
              </w:tc>
              <w:tc>
                <w:tcPr>
                  <w:tcW w:w="803" w:type="pct"/>
                  <w:shd w:val="clear" w:color="auto" w:fill="auto"/>
                  <w:vAlign w:val="center"/>
                </w:tcPr>
                <w:p w14:paraId="7FC0B2CE">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lang w:val="en-US" w:eastAsia="zh-CN"/>
                    </w:rPr>
                    <w:t>设备维护</w:t>
                  </w:r>
                </w:p>
              </w:tc>
              <w:tc>
                <w:tcPr>
                  <w:tcW w:w="1138" w:type="pct"/>
                  <w:shd w:val="clear" w:color="auto" w:fill="auto"/>
                  <w:vAlign w:val="center"/>
                </w:tcPr>
                <w:p w14:paraId="2082CA17">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含油抹布及废劳保用品</w:t>
                  </w:r>
                </w:p>
              </w:tc>
              <w:tc>
                <w:tcPr>
                  <w:tcW w:w="2119" w:type="pct"/>
                  <w:gridSpan w:val="2"/>
                  <w:shd w:val="clear" w:color="auto" w:fill="auto"/>
                  <w:vAlign w:val="center"/>
                </w:tcPr>
                <w:p w14:paraId="02936BE3">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危废间暂存后交由有危废处置资质单位处置</w:t>
                  </w:r>
                </w:p>
              </w:tc>
            </w:tr>
            <w:tr w14:paraId="4144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vMerge w:val="continue"/>
                  <w:vAlign w:val="center"/>
                </w:tcPr>
                <w:p w14:paraId="73E7A55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tc>
              <w:tc>
                <w:tcPr>
                  <w:tcW w:w="530" w:type="pct"/>
                  <w:shd w:val="clear" w:color="auto" w:fill="auto"/>
                  <w:vAlign w:val="center"/>
                </w:tcPr>
                <w:p w14:paraId="542624C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S</w:t>
                  </w:r>
                </w:p>
              </w:tc>
              <w:tc>
                <w:tcPr>
                  <w:tcW w:w="803" w:type="pct"/>
                  <w:shd w:val="clear" w:color="auto" w:fill="auto"/>
                  <w:vAlign w:val="center"/>
                </w:tcPr>
                <w:p w14:paraId="03DD4D0E">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职工生活</w:t>
                  </w:r>
                </w:p>
              </w:tc>
              <w:tc>
                <w:tcPr>
                  <w:tcW w:w="1138" w:type="pct"/>
                  <w:shd w:val="clear" w:color="auto" w:fill="auto"/>
                  <w:vAlign w:val="center"/>
                </w:tcPr>
                <w:p w14:paraId="0DF6BFF2">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生活垃圾</w:t>
                  </w:r>
                </w:p>
              </w:tc>
              <w:tc>
                <w:tcPr>
                  <w:tcW w:w="2119" w:type="pct"/>
                  <w:gridSpan w:val="2"/>
                  <w:shd w:val="clear" w:color="auto" w:fill="auto"/>
                  <w:vAlign w:val="center"/>
                </w:tcPr>
                <w:p w14:paraId="363B55E0">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收集后由环卫部门统一处置</w:t>
                  </w:r>
                </w:p>
              </w:tc>
            </w:tr>
          </w:tbl>
          <w:p w14:paraId="71F3EED3">
            <w:pPr>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szCs w:val="20"/>
                <w:highlight w:val="none"/>
                <w:lang w:eastAsia="zh-CN"/>
              </w:rPr>
            </w:pPr>
          </w:p>
        </w:tc>
      </w:tr>
      <w:tr w14:paraId="4AA8F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75" w:type="dxa"/>
            <w:vAlign w:val="center"/>
          </w:tcPr>
          <w:p w14:paraId="2C5A5AB8">
            <w:pPr>
              <w:pStyle w:val="41"/>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bCs/>
                <w:smallCaps w:val="0"/>
                <w:color w:val="auto"/>
                <w:spacing w:val="0"/>
                <w:kern w:val="2"/>
                <w:szCs w:val="21"/>
                <w:highlight w:val="none"/>
              </w:rPr>
              <w:t>与项目有关的原有环境污染问题</w:t>
            </w:r>
          </w:p>
        </w:tc>
        <w:tc>
          <w:tcPr>
            <w:tcW w:w="8385" w:type="dxa"/>
            <w:vAlign w:val="center"/>
          </w:tcPr>
          <w:p w14:paraId="1920D5C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shd w:val="clear" w:color="auto" w:fill="FFFFFF"/>
              </w:rPr>
            </w:pPr>
            <w:r>
              <w:rPr>
                <w:rFonts w:hint="default" w:ascii="Times New Roman" w:hAnsi="Times New Roman" w:cs="Times New Roman"/>
                <w:smallCaps w:val="0"/>
                <w:color w:val="auto"/>
                <w:spacing w:val="0"/>
                <w:highlight w:val="none"/>
                <w:shd w:val="clear" w:color="auto" w:fill="FFFFFF"/>
              </w:rPr>
              <w:t>1、</w:t>
            </w:r>
            <w:r>
              <w:rPr>
                <w:rFonts w:hint="default" w:ascii="Times New Roman" w:hAnsi="Times New Roman" w:cs="Times New Roman"/>
                <w:smallCaps w:val="0"/>
                <w:color w:val="auto"/>
                <w:spacing w:val="0"/>
                <w:highlight w:val="none"/>
              </w:rPr>
              <w:t>现有工程</w:t>
            </w:r>
            <w:r>
              <w:rPr>
                <w:rFonts w:hint="default" w:ascii="Times New Roman" w:hAnsi="Times New Roman" w:cs="Times New Roman"/>
                <w:smallCaps w:val="0"/>
                <w:color w:val="auto"/>
                <w:spacing w:val="0"/>
                <w:highlight w:val="none"/>
                <w:shd w:val="clear" w:color="auto" w:fill="FFFFFF"/>
              </w:rPr>
              <w:t>概况</w:t>
            </w:r>
          </w:p>
          <w:p w14:paraId="14229EB9">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i w:val="0"/>
                <w:iCs w:val="0"/>
                <w:smallCaps w:val="0"/>
                <w:color w:val="auto"/>
                <w:spacing w:val="0"/>
                <w:highlight w:val="none"/>
                <w:lang w:eastAsia="zh-CN"/>
              </w:rPr>
            </w:pPr>
            <w:r>
              <w:rPr>
                <w:rFonts w:hint="eastAsia" w:ascii="Times New Roman" w:hAnsi="Times New Roman" w:cs="Times New Roman"/>
                <w:i w:val="0"/>
                <w:iCs w:val="0"/>
                <w:smallCaps w:val="0"/>
                <w:color w:val="auto"/>
                <w:spacing w:val="0"/>
                <w:highlight w:val="none"/>
                <w:lang w:val="en-US" w:eastAsia="zh-CN"/>
              </w:rPr>
              <w:t>2020</w:t>
            </w:r>
            <w:r>
              <w:rPr>
                <w:rFonts w:hint="default" w:ascii="Times New Roman" w:hAnsi="Times New Roman" w:cs="Times New Roman"/>
                <w:i w:val="0"/>
                <w:iCs w:val="0"/>
                <w:smallCaps w:val="0"/>
                <w:color w:val="auto"/>
                <w:spacing w:val="0"/>
                <w:highlight w:val="none"/>
              </w:rPr>
              <w:t>年</w:t>
            </w:r>
            <w:r>
              <w:rPr>
                <w:rFonts w:hint="eastAsia" w:ascii="Times New Roman" w:hAnsi="Times New Roman" w:cs="Times New Roman"/>
                <w:i w:val="0"/>
                <w:iCs w:val="0"/>
                <w:smallCaps w:val="0"/>
                <w:color w:val="auto"/>
                <w:spacing w:val="0"/>
                <w:highlight w:val="none"/>
                <w:lang w:val="en-US" w:eastAsia="zh-CN"/>
              </w:rPr>
              <w:t>4</w:t>
            </w:r>
            <w:r>
              <w:rPr>
                <w:rFonts w:hint="default" w:ascii="Times New Roman" w:hAnsi="Times New Roman" w:cs="Times New Roman"/>
                <w:i w:val="0"/>
                <w:iCs w:val="0"/>
                <w:smallCaps w:val="0"/>
                <w:color w:val="auto"/>
                <w:spacing w:val="0"/>
                <w:highlight w:val="none"/>
              </w:rPr>
              <w:t>月</w:t>
            </w:r>
            <w:r>
              <w:rPr>
                <w:rFonts w:hint="eastAsia" w:ascii="Times New Roman" w:hAnsi="Times New Roman" w:cs="Times New Roman"/>
                <w:i w:val="0"/>
                <w:iCs w:val="0"/>
                <w:smallCaps w:val="0"/>
                <w:color w:val="auto"/>
                <w:spacing w:val="0"/>
                <w:highlight w:val="none"/>
                <w:lang w:eastAsia="zh-CN"/>
              </w:rPr>
              <w:t>石家庄旭照电子科技有限公司</w:t>
            </w:r>
            <w:r>
              <w:rPr>
                <w:rFonts w:hint="default" w:ascii="Times New Roman" w:hAnsi="Times New Roman" w:cs="Times New Roman"/>
                <w:i w:val="0"/>
                <w:iCs w:val="0"/>
                <w:smallCaps w:val="0"/>
                <w:color w:val="auto"/>
                <w:spacing w:val="0"/>
                <w:highlight w:val="none"/>
              </w:rPr>
              <w:t>委托</w:t>
            </w:r>
            <w:r>
              <w:rPr>
                <w:rFonts w:hint="eastAsia" w:ascii="Times New Roman" w:hAnsi="Times New Roman" w:cs="Times New Roman"/>
                <w:i w:val="0"/>
                <w:iCs w:val="0"/>
                <w:smallCaps w:val="0"/>
                <w:color w:val="auto"/>
                <w:spacing w:val="0"/>
                <w:highlight w:val="none"/>
                <w:lang w:eastAsia="zh-CN"/>
              </w:rPr>
              <w:t>石家庄冀宁工程项目管理有限公司</w:t>
            </w:r>
            <w:r>
              <w:rPr>
                <w:rFonts w:hint="default" w:ascii="Times New Roman" w:hAnsi="Times New Roman" w:cs="Times New Roman"/>
                <w:i w:val="0"/>
                <w:iCs w:val="0"/>
                <w:smallCaps w:val="0"/>
                <w:color w:val="auto"/>
                <w:spacing w:val="0"/>
                <w:highlight w:val="none"/>
              </w:rPr>
              <w:t>编制了《</w:t>
            </w:r>
            <w:r>
              <w:rPr>
                <w:rFonts w:hint="eastAsia" w:ascii="Times New Roman" w:hAnsi="Times New Roman" w:cs="Times New Roman"/>
                <w:i w:val="0"/>
                <w:iCs w:val="0"/>
                <w:smallCaps w:val="0"/>
                <w:color w:val="auto"/>
                <w:spacing w:val="0"/>
                <w:highlight w:val="none"/>
                <w:lang w:eastAsia="zh-CN"/>
              </w:rPr>
              <w:t>石家庄旭照电子科技有限公司年产90万（只）套集水杯及配套塑料制品项目</w:t>
            </w:r>
            <w:r>
              <w:rPr>
                <w:rFonts w:hint="default" w:ascii="Times New Roman" w:hAnsi="Times New Roman" w:cs="Times New Roman"/>
                <w:i w:val="0"/>
                <w:iCs w:val="0"/>
                <w:smallCaps w:val="0"/>
                <w:color w:val="auto"/>
                <w:spacing w:val="0"/>
                <w:highlight w:val="none"/>
              </w:rPr>
              <w:t>环境影响报告表》</w:t>
            </w:r>
            <w:r>
              <w:rPr>
                <w:rFonts w:hint="eastAsia" w:cs="Times New Roman"/>
                <w:i w:val="0"/>
                <w:iCs w:val="0"/>
                <w:smallCaps w:val="0"/>
                <w:color w:val="auto"/>
                <w:spacing w:val="0"/>
                <w:highlight w:val="none"/>
                <w:lang w:eastAsia="zh-CN"/>
              </w:rPr>
              <w:t>，</w:t>
            </w:r>
            <w:r>
              <w:rPr>
                <w:rFonts w:hint="eastAsia" w:cs="Times New Roman"/>
                <w:i w:val="0"/>
                <w:iCs w:val="0"/>
                <w:smallCaps w:val="0"/>
                <w:color w:val="auto"/>
                <w:spacing w:val="0"/>
                <w:highlight w:val="none"/>
                <w:lang w:val="en-US" w:eastAsia="zh-CN"/>
              </w:rPr>
              <w:t>设计年产90万（只）套集水杯及配套塑料制品，其中中间产品电极片90万件、其他金属零部件90万套、注塑模具50件；</w:t>
            </w:r>
            <w:r>
              <w:rPr>
                <w:rFonts w:hint="default" w:ascii="Times New Roman" w:hAnsi="Times New Roman" w:cs="Times New Roman"/>
                <w:i w:val="0"/>
                <w:iCs w:val="0"/>
                <w:smallCaps w:val="0"/>
                <w:color w:val="auto"/>
                <w:spacing w:val="0"/>
                <w:highlight w:val="none"/>
              </w:rPr>
              <w:t>于</w:t>
            </w:r>
            <w:r>
              <w:rPr>
                <w:rFonts w:hint="eastAsia" w:ascii="Times New Roman" w:hAnsi="Times New Roman" w:cs="Times New Roman"/>
                <w:i w:val="0"/>
                <w:iCs w:val="0"/>
                <w:smallCaps w:val="0"/>
                <w:color w:val="auto"/>
                <w:spacing w:val="0"/>
                <w:highlight w:val="none"/>
                <w:lang w:eastAsia="zh-CN"/>
              </w:rPr>
              <w:t>2020年5月28日</w:t>
            </w:r>
            <w:r>
              <w:rPr>
                <w:rFonts w:hint="default" w:ascii="Times New Roman" w:hAnsi="Times New Roman" w:cs="Times New Roman"/>
                <w:i w:val="0"/>
                <w:iCs w:val="0"/>
                <w:smallCaps w:val="0"/>
                <w:color w:val="auto"/>
                <w:spacing w:val="0"/>
                <w:highlight w:val="none"/>
              </w:rPr>
              <w:t>取得</w:t>
            </w:r>
            <w:r>
              <w:rPr>
                <w:rFonts w:hint="eastAsia" w:ascii="Times New Roman" w:hAnsi="Times New Roman" w:cs="Times New Roman"/>
                <w:i w:val="0"/>
                <w:iCs w:val="0"/>
                <w:smallCaps w:val="0"/>
                <w:color w:val="auto"/>
                <w:spacing w:val="0"/>
                <w:highlight w:val="none"/>
                <w:lang w:eastAsia="zh-CN"/>
              </w:rPr>
              <w:t>石家庄市栾城区行政审批局</w:t>
            </w:r>
            <w:r>
              <w:rPr>
                <w:rFonts w:hint="default" w:ascii="Times New Roman" w:hAnsi="Times New Roman" w:cs="Times New Roman"/>
                <w:i w:val="0"/>
                <w:iCs w:val="0"/>
                <w:smallCaps w:val="0"/>
                <w:color w:val="auto"/>
                <w:spacing w:val="0"/>
                <w:highlight w:val="none"/>
              </w:rPr>
              <w:t>审批意见</w:t>
            </w:r>
            <w:r>
              <w:rPr>
                <w:rFonts w:hint="eastAsia" w:cs="Times New Roman"/>
                <w:i w:val="0"/>
                <w:iCs w:val="0"/>
                <w:smallCaps w:val="0"/>
                <w:color w:val="auto"/>
                <w:spacing w:val="0"/>
                <w:highlight w:val="none"/>
                <w:lang w:eastAsia="zh-CN"/>
              </w:rPr>
              <w:t>，</w:t>
            </w:r>
            <w:r>
              <w:rPr>
                <w:rFonts w:hint="eastAsia" w:cs="Times New Roman"/>
                <w:i w:val="0"/>
                <w:iCs w:val="0"/>
                <w:smallCaps w:val="0"/>
                <w:color w:val="auto"/>
                <w:spacing w:val="0"/>
                <w:highlight w:val="none"/>
                <w:lang w:val="en-US" w:eastAsia="zh-CN"/>
              </w:rPr>
              <w:t>于</w:t>
            </w:r>
            <w:r>
              <w:rPr>
                <w:rFonts w:hint="eastAsia" w:cs="Times New Roman"/>
                <w:b w:val="0"/>
                <w:bCs w:val="0"/>
                <w:smallCaps w:val="0"/>
                <w:color w:val="auto"/>
                <w:spacing w:val="0"/>
                <w:highlight w:val="none"/>
                <w:lang w:val="en-US" w:eastAsia="zh-CN"/>
              </w:rPr>
              <w:t>2020年11月25日首次申请固定污染源登记回执</w:t>
            </w:r>
            <w:r>
              <w:rPr>
                <w:rFonts w:hint="default" w:ascii="Times New Roman" w:hAnsi="Times New Roman" w:cs="Times New Roman"/>
                <w:i w:val="0"/>
                <w:iCs w:val="0"/>
                <w:smallCaps w:val="0"/>
                <w:color w:val="auto"/>
                <w:spacing w:val="0"/>
                <w:highlight w:val="none"/>
              </w:rPr>
              <w:t>，于</w:t>
            </w:r>
            <w:r>
              <w:rPr>
                <w:rFonts w:hint="eastAsia" w:ascii="Times New Roman" w:hAnsi="Times New Roman" w:cs="Times New Roman"/>
                <w:i w:val="0"/>
                <w:iCs w:val="0"/>
                <w:smallCaps w:val="0"/>
                <w:color w:val="auto"/>
                <w:spacing w:val="0"/>
                <w:highlight w:val="none"/>
                <w:lang w:eastAsia="zh-CN"/>
              </w:rPr>
              <w:t>20</w:t>
            </w:r>
            <w:r>
              <w:rPr>
                <w:rFonts w:hint="eastAsia" w:ascii="Times New Roman" w:hAnsi="Times New Roman" w:cs="Times New Roman"/>
                <w:i w:val="0"/>
                <w:iCs w:val="0"/>
                <w:smallCaps w:val="0"/>
                <w:color w:val="auto"/>
                <w:spacing w:val="0"/>
                <w:highlight w:val="none"/>
                <w:lang w:val="en-US" w:eastAsia="zh-CN"/>
              </w:rPr>
              <w:t>20</w:t>
            </w:r>
            <w:r>
              <w:rPr>
                <w:rFonts w:hint="eastAsia" w:ascii="Times New Roman" w:hAnsi="Times New Roman" w:cs="Times New Roman"/>
                <w:i w:val="0"/>
                <w:iCs w:val="0"/>
                <w:smallCaps w:val="0"/>
                <w:color w:val="auto"/>
                <w:spacing w:val="0"/>
                <w:highlight w:val="none"/>
                <w:lang w:eastAsia="zh-CN"/>
              </w:rPr>
              <w:t>年</w:t>
            </w:r>
            <w:r>
              <w:rPr>
                <w:rFonts w:hint="eastAsia" w:ascii="Times New Roman" w:hAnsi="Times New Roman" w:cs="Times New Roman"/>
                <w:i w:val="0"/>
                <w:iCs w:val="0"/>
                <w:smallCaps w:val="0"/>
                <w:color w:val="auto"/>
                <w:spacing w:val="0"/>
                <w:highlight w:val="none"/>
                <w:lang w:val="en-US" w:eastAsia="zh-CN"/>
              </w:rPr>
              <w:t>11</w:t>
            </w:r>
            <w:r>
              <w:rPr>
                <w:rFonts w:hint="eastAsia" w:ascii="Times New Roman" w:hAnsi="Times New Roman" w:cs="Times New Roman"/>
                <w:i w:val="0"/>
                <w:iCs w:val="0"/>
                <w:smallCaps w:val="0"/>
                <w:color w:val="auto"/>
                <w:spacing w:val="0"/>
                <w:highlight w:val="none"/>
                <w:lang w:eastAsia="zh-CN"/>
              </w:rPr>
              <w:t>月</w:t>
            </w:r>
            <w:r>
              <w:rPr>
                <w:rFonts w:hint="eastAsia" w:ascii="Times New Roman" w:hAnsi="Times New Roman" w:cs="Times New Roman"/>
                <w:i w:val="0"/>
                <w:iCs w:val="0"/>
                <w:smallCaps w:val="0"/>
                <w:color w:val="auto"/>
                <w:spacing w:val="0"/>
                <w:highlight w:val="none"/>
                <w:lang w:val="en-US" w:eastAsia="zh-CN"/>
              </w:rPr>
              <w:t>26</w:t>
            </w:r>
            <w:r>
              <w:rPr>
                <w:rFonts w:hint="eastAsia" w:ascii="Times New Roman" w:hAnsi="Times New Roman" w:cs="Times New Roman"/>
                <w:i w:val="0"/>
                <w:iCs w:val="0"/>
                <w:smallCaps w:val="0"/>
                <w:color w:val="auto"/>
                <w:spacing w:val="0"/>
                <w:highlight w:val="none"/>
                <w:lang w:eastAsia="zh-CN"/>
              </w:rPr>
              <w:t>日</w:t>
            </w:r>
            <w:r>
              <w:rPr>
                <w:rFonts w:hint="default" w:ascii="Times New Roman" w:hAnsi="Times New Roman" w:cs="Times New Roman"/>
                <w:i w:val="0"/>
                <w:iCs w:val="0"/>
                <w:smallCaps w:val="0"/>
                <w:color w:val="auto"/>
                <w:spacing w:val="0"/>
                <w:highlight w:val="none"/>
              </w:rPr>
              <w:t>取得了</w:t>
            </w:r>
            <w:r>
              <w:rPr>
                <w:rFonts w:hint="eastAsia" w:ascii="Times New Roman" w:hAnsi="Times New Roman" w:cs="Times New Roman"/>
                <w:i w:val="0"/>
                <w:iCs w:val="0"/>
                <w:smallCaps w:val="0"/>
                <w:color w:val="auto"/>
                <w:spacing w:val="0"/>
                <w:highlight w:val="none"/>
                <w:lang w:eastAsia="zh-CN"/>
              </w:rPr>
              <w:t>石家庄旭照电子科技有限公司年产90万（只）套集水杯及配套塑料制品项目</w:t>
            </w:r>
            <w:r>
              <w:rPr>
                <w:rFonts w:hint="eastAsia" w:ascii="Times New Roman" w:hAnsi="Times New Roman" w:cs="Times New Roman"/>
                <w:i w:val="0"/>
                <w:iCs w:val="0"/>
                <w:smallCaps w:val="0"/>
                <w:color w:val="auto"/>
                <w:spacing w:val="0"/>
                <w:highlight w:val="none"/>
                <w:lang w:val="en-US" w:eastAsia="zh-CN"/>
              </w:rPr>
              <w:t>竣工环境保护阶段性验收专家意见</w:t>
            </w:r>
            <w:r>
              <w:rPr>
                <w:rFonts w:hint="eastAsia" w:cs="Times New Roman"/>
                <w:i w:val="0"/>
                <w:iCs w:val="0"/>
                <w:smallCaps w:val="0"/>
                <w:color w:val="auto"/>
                <w:spacing w:val="0"/>
                <w:highlight w:val="none"/>
                <w:lang w:eastAsia="zh-CN"/>
              </w:rPr>
              <w:t>，</w:t>
            </w:r>
            <w:r>
              <w:rPr>
                <w:rFonts w:hint="default" w:ascii="Times New Roman" w:hAnsi="Times New Roman" w:cs="Times New Roman"/>
                <w:i w:val="0"/>
                <w:iCs w:val="0"/>
                <w:smallCaps w:val="0"/>
                <w:color w:val="auto"/>
                <w:spacing w:val="0"/>
                <w:highlight w:val="none"/>
                <w:lang w:val="en-US" w:eastAsia="zh-CN"/>
              </w:rPr>
              <w:t>于</w:t>
            </w:r>
            <w:r>
              <w:rPr>
                <w:rFonts w:hint="eastAsia" w:ascii="Times New Roman" w:hAnsi="Times New Roman" w:cs="Times New Roman"/>
                <w:i w:val="0"/>
                <w:iCs w:val="0"/>
                <w:smallCaps w:val="0"/>
                <w:color w:val="auto"/>
                <w:spacing w:val="0"/>
                <w:highlight w:val="none"/>
                <w:lang w:eastAsia="zh-CN"/>
              </w:rPr>
              <w:t>2022年8月11日</w:t>
            </w:r>
            <w:r>
              <w:rPr>
                <w:rFonts w:hint="default" w:ascii="Times New Roman" w:hAnsi="Times New Roman" w:cs="Times New Roman"/>
                <w:i w:val="0"/>
                <w:iCs w:val="0"/>
                <w:smallCaps w:val="0"/>
                <w:color w:val="auto"/>
                <w:spacing w:val="0"/>
                <w:highlight w:val="none"/>
                <w:lang w:val="en-US" w:eastAsia="zh-CN"/>
              </w:rPr>
              <w:t>取得</w:t>
            </w:r>
            <w:r>
              <w:rPr>
                <w:rFonts w:hint="eastAsia" w:ascii="Times New Roman" w:hAnsi="Times New Roman" w:cs="Times New Roman"/>
                <w:i w:val="0"/>
                <w:iCs w:val="0"/>
                <w:smallCaps w:val="0"/>
                <w:color w:val="auto"/>
                <w:spacing w:val="0"/>
                <w:highlight w:val="none"/>
                <w:lang w:eastAsia="zh-CN"/>
              </w:rPr>
              <w:t>石家庄旭照电子科技有限公司年产90万（只）套集水杯及配套塑料制品项目</w:t>
            </w:r>
            <w:r>
              <w:rPr>
                <w:rFonts w:hint="default" w:ascii="Times New Roman" w:hAnsi="Times New Roman" w:cs="Times New Roman"/>
                <w:i w:val="0"/>
                <w:iCs w:val="0"/>
                <w:smallCaps w:val="0"/>
                <w:color w:val="auto"/>
                <w:spacing w:val="0"/>
                <w:highlight w:val="none"/>
                <w:lang w:val="en-US" w:eastAsia="zh-CN"/>
              </w:rPr>
              <w:t>验收意见</w:t>
            </w:r>
            <w:r>
              <w:rPr>
                <w:rFonts w:hint="default" w:ascii="Times New Roman" w:hAnsi="Times New Roman" w:cs="Times New Roman"/>
                <w:i w:val="0"/>
                <w:iCs w:val="0"/>
                <w:smallCaps w:val="0"/>
                <w:color w:val="auto"/>
                <w:spacing w:val="0"/>
                <w:highlight w:val="none"/>
                <w:lang w:eastAsia="zh-CN"/>
              </w:rPr>
              <w:t>。现有工程净化设施调整已于2024年6月12日取得《石家庄旭照电子科技有限公司废气治理设施提升改造项目环境影响登记表》，由布袋除尘器+UV光氧+活性炭吸附装置调整为布袋除尘器+二级活性炭吸附装置</w:t>
            </w:r>
            <w:r>
              <w:rPr>
                <w:rFonts w:hint="eastAsia" w:cs="Times New Roman"/>
                <w:i w:val="0"/>
                <w:iCs w:val="0"/>
                <w:smallCaps w:val="0"/>
                <w:color w:val="auto"/>
                <w:spacing w:val="0"/>
                <w:highlight w:val="none"/>
                <w:lang w:eastAsia="zh-CN"/>
              </w:rPr>
              <w:t>。</w:t>
            </w:r>
          </w:p>
          <w:p w14:paraId="3D00E9DE">
            <w:pPr>
              <w:pStyle w:val="172"/>
              <w:keepNext w:val="0"/>
              <w:keepLines w:val="0"/>
              <w:suppressLineNumbers w:val="0"/>
              <w:spacing w:before="0" w:beforeAutospacing="0" w:after="0" w:afterAutospacing="0"/>
              <w:ind w:left="0" w:right="0" w:firstLine="480"/>
              <w:rPr>
                <w:rFonts w:hint="eastAsia" w:cs="Times New Roman"/>
                <w:i w:val="0"/>
                <w:iCs w:val="0"/>
                <w:smallCaps w:val="0"/>
                <w:color w:val="auto"/>
                <w:spacing w:val="0"/>
                <w:highlight w:val="none"/>
                <w:lang w:val="en-US" w:eastAsia="zh-CN"/>
              </w:rPr>
            </w:pPr>
            <w:r>
              <w:rPr>
                <w:rFonts w:hint="eastAsia" w:cs="Times New Roman"/>
                <w:b w:val="0"/>
                <w:bCs w:val="0"/>
                <w:smallCaps w:val="0"/>
                <w:color w:val="auto"/>
                <w:spacing w:val="0"/>
                <w:highlight w:val="none"/>
                <w:lang w:val="en-US" w:eastAsia="zh-CN"/>
              </w:rPr>
              <w:t>2020年11月25日首次申请固定污染源登记回执，2024年6月12日进行变更申请取得固定污染源登记回执</w:t>
            </w:r>
            <w:r>
              <w:rPr>
                <w:rFonts w:hint="eastAsia" w:cs="Times New Roman"/>
                <w:i w:val="0"/>
                <w:iCs w:val="0"/>
                <w:smallCaps w:val="0"/>
                <w:color w:val="auto"/>
                <w:spacing w:val="0"/>
                <w:highlight w:val="none"/>
                <w:lang w:val="en-US" w:eastAsia="zh-CN"/>
              </w:rPr>
              <w:t>，回执编号：91130132MA08M7644N001X，有效期2024年6月12日至2029年6月11日。</w:t>
            </w:r>
          </w:p>
          <w:p w14:paraId="740A91E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2、现有工程污染物排放情况</w:t>
            </w:r>
          </w:p>
          <w:p w14:paraId="0FD430BC">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根据</w:t>
            </w:r>
            <w:r>
              <w:rPr>
                <w:rFonts w:hint="eastAsia" w:ascii="Times New Roman" w:hAnsi="Times New Roman" w:cs="Times New Roman"/>
                <w:smallCaps w:val="0"/>
                <w:color w:val="auto"/>
                <w:spacing w:val="0"/>
                <w:highlight w:val="none"/>
                <w:lang w:eastAsia="zh-CN"/>
              </w:rPr>
              <w:t>河北聚元环境科技有限公司</w:t>
            </w:r>
            <w:r>
              <w:rPr>
                <w:rFonts w:hint="default" w:ascii="Times New Roman" w:hAnsi="Times New Roman" w:cs="Times New Roman"/>
                <w:smallCaps w:val="0"/>
                <w:color w:val="auto"/>
                <w:spacing w:val="0"/>
                <w:highlight w:val="none"/>
              </w:rPr>
              <w:t>出具的监测报告</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报告编号：</w:t>
            </w:r>
            <w:r>
              <w:rPr>
                <w:rFonts w:hint="eastAsia" w:ascii="Times New Roman" w:hAnsi="Times New Roman" w:cs="Times New Roman"/>
                <w:smallCaps w:val="0"/>
                <w:color w:val="auto"/>
                <w:spacing w:val="0"/>
                <w:highlight w:val="none"/>
                <w:lang w:val="en-US" w:eastAsia="zh-CN"/>
              </w:rPr>
              <w:t>JYHJ-2025-0181</w:t>
            </w:r>
            <w:r>
              <w:rPr>
                <w:rFonts w:hint="default" w:ascii="Times New Roman" w:hAnsi="Times New Roman" w:cs="Times New Roman"/>
                <w:smallCaps w:val="0"/>
                <w:color w:val="auto"/>
                <w:spacing w:val="0"/>
                <w:highlight w:val="none"/>
                <w:lang w:eastAsia="zh-CN"/>
              </w:rPr>
              <w:t>），</w:t>
            </w:r>
            <w:r>
              <w:rPr>
                <w:rFonts w:hint="eastAsia" w:ascii="Times New Roman" w:hAnsi="Times New Roman" w:cs="Times New Roman"/>
                <w:smallCaps w:val="0"/>
                <w:color w:val="auto"/>
                <w:spacing w:val="0"/>
                <w:highlight w:val="none"/>
                <w:lang w:eastAsia="zh-CN"/>
              </w:rPr>
              <w:t>石家庄旭照电子科技有限公司</w:t>
            </w:r>
            <w:r>
              <w:rPr>
                <w:rFonts w:hint="default" w:ascii="Times New Roman" w:hAnsi="Times New Roman" w:cs="Times New Roman"/>
                <w:smallCaps w:val="0"/>
                <w:color w:val="auto"/>
                <w:spacing w:val="0"/>
                <w:highlight w:val="none"/>
              </w:rPr>
              <w:t>现有污染物排放情况如下</w:t>
            </w:r>
            <w:r>
              <w:rPr>
                <w:rFonts w:hint="default" w:ascii="Times New Roman" w:hAnsi="Times New Roman" w:cs="Times New Roman"/>
                <w:smallCaps w:val="0"/>
                <w:color w:val="auto"/>
                <w:spacing w:val="0"/>
                <w:highlight w:val="none"/>
                <w:lang w:eastAsia="zh-CN"/>
              </w:rPr>
              <w:t>：</w:t>
            </w:r>
          </w:p>
          <w:p w14:paraId="1335EEF9">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lang w:val="en-US" w:eastAsia="zh-CN"/>
              </w:rPr>
              <w:t>废气：主要为</w:t>
            </w:r>
            <w:r>
              <w:rPr>
                <w:rFonts w:hint="eastAsia" w:ascii="Times New Roman" w:hAnsi="Times New Roman" w:cs="Times New Roman"/>
                <w:smallCaps w:val="0"/>
                <w:color w:val="auto"/>
                <w:spacing w:val="0"/>
                <w:highlight w:val="none"/>
                <w:lang w:val="en-US" w:eastAsia="zh-CN"/>
              </w:rPr>
              <w:t>注塑、烘干</w:t>
            </w:r>
            <w:r>
              <w:rPr>
                <w:rFonts w:hint="default" w:ascii="Times New Roman" w:hAnsi="Times New Roman" w:cs="Times New Roman"/>
                <w:smallCaps w:val="0"/>
                <w:color w:val="auto"/>
                <w:spacing w:val="0"/>
                <w:highlight w:val="none"/>
                <w:lang w:val="en-US" w:eastAsia="zh-CN"/>
              </w:rPr>
              <w:t>废气，</w:t>
            </w:r>
            <w:r>
              <w:rPr>
                <w:rFonts w:hint="eastAsia" w:ascii="Times New Roman" w:hAnsi="Times New Roman" w:cs="Times New Roman"/>
                <w:smallCaps w:val="0"/>
                <w:color w:val="auto"/>
                <w:spacing w:val="0"/>
                <w:highlight w:val="none"/>
                <w:lang w:val="en-US" w:eastAsia="zh-CN"/>
              </w:rPr>
              <w:t>注塑、烘干</w:t>
            </w:r>
            <w:r>
              <w:rPr>
                <w:rFonts w:hint="default" w:ascii="Times New Roman" w:hAnsi="Times New Roman" w:cs="Times New Roman"/>
                <w:smallCaps w:val="0"/>
                <w:color w:val="auto"/>
                <w:spacing w:val="0"/>
                <w:highlight w:val="none"/>
                <w:lang w:val="en-US" w:eastAsia="zh-CN"/>
              </w:rPr>
              <w:t>废气经布袋除尘器</w:t>
            </w:r>
            <w:r>
              <w:rPr>
                <w:rFonts w:hint="eastAsia" w:ascii="Times New Roman" w:hAnsi="Times New Roman" w:cs="Times New Roman"/>
                <w:smallCaps w:val="0"/>
                <w:color w:val="auto"/>
                <w:spacing w:val="0"/>
                <w:highlight w:val="none"/>
                <w:lang w:val="en-US" w:eastAsia="zh-CN"/>
              </w:rPr>
              <w:t>+活性炭吸附</w:t>
            </w:r>
            <w:r>
              <w:rPr>
                <w:rFonts w:hint="default" w:ascii="Times New Roman" w:hAnsi="Times New Roman" w:cs="Times New Roman"/>
                <w:smallCaps w:val="0"/>
                <w:color w:val="auto"/>
                <w:spacing w:val="0"/>
                <w:highlight w:val="none"/>
                <w:lang w:val="en-US" w:eastAsia="zh-CN"/>
              </w:rPr>
              <w:t>+</w:t>
            </w:r>
            <w:r>
              <w:rPr>
                <w:rFonts w:hint="eastAsia" w:ascii="Times New Roman" w:hAnsi="Times New Roman" w:cs="Times New Roman"/>
                <w:smallCaps w:val="0"/>
                <w:color w:val="auto"/>
                <w:spacing w:val="0"/>
                <w:highlight w:val="none"/>
                <w:lang w:val="en-US" w:eastAsia="zh-CN"/>
              </w:rPr>
              <w:t>15</w:t>
            </w:r>
            <w:r>
              <w:rPr>
                <w:rFonts w:hint="default" w:ascii="Times New Roman" w:hAnsi="Times New Roman" w:cs="Times New Roman"/>
                <w:smallCaps w:val="0"/>
                <w:color w:val="auto"/>
                <w:spacing w:val="0"/>
                <w:highlight w:val="none"/>
                <w:lang w:val="en-US" w:eastAsia="zh-CN"/>
              </w:rPr>
              <w:t>m高排气筒排放，无组织废气经车间密闭后排放</w:t>
            </w:r>
            <w:r>
              <w:rPr>
                <w:rFonts w:hint="eastAsia" w:cs="Times New Roman"/>
                <w:smallCaps w:val="0"/>
                <w:color w:val="auto"/>
                <w:spacing w:val="0"/>
                <w:highlight w:val="none"/>
                <w:lang w:val="en-US" w:eastAsia="zh-CN"/>
              </w:rPr>
              <w:t>，</w:t>
            </w:r>
            <w:r>
              <w:rPr>
                <w:rFonts w:hint="default" w:ascii="Times New Roman" w:hAnsi="Times New Roman" w:cs="Times New Roman"/>
                <w:smallCaps w:val="0"/>
                <w:color w:val="auto"/>
                <w:spacing w:val="0"/>
                <w:highlight w:val="none"/>
              </w:rPr>
              <w:t>所在厂区现有</w:t>
            </w:r>
            <w:r>
              <w:rPr>
                <w:rFonts w:hint="default" w:ascii="Times New Roman" w:hAnsi="Times New Roman" w:cs="Times New Roman"/>
                <w:smallCaps w:val="0"/>
                <w:color w:val="auto"/>
                <w:spacing w:val="0"/>
                <w:highlight w:val="none"/>
                <w:lang w:val="en-US" w:eastAsia="zh-CN"/>
              </w:rPr>
              <w:t>废气</w:t>
            </w:r>
            <w:r>
              <w:rPr>
                <w:rFonts w:hint="default" w:ascii="Times New Roman" w:hAnsi="Times New Roman" w:cs="Times New Roman"/>
                <w:smallCaps w:val="0"/>
                <w:color w:val="auto"/>
                <w:spacing w:val="0"/>
                <w:highlight w:val="none"/>
              </w:rPr>
              <w:t>污染物产生及治理情况见</w:t>
            </w:r>
            <w:r>
              <w:rPr>
                <w:rFonts w:hint="default" w:ascii="Times New Roman" w:hAnsi="Times New Roman" w:cs="Times New Roman"/>
                <w:smallCaps w:val="0"/>
                <w:color w:val="auto"/>
                <w:spacing w:val="0"/>
                <w:highlight w:val="none"/>
                <w:lang w:val="en-US" w:eastAsia="zh-CN"/>
              </w:rPr>
              <w:t>下表</w:t>
            </w:r>
            <w:r>
              <w:rPr>
                <w:rFonts w:hint="default" w:ascii="Times New Roman" w:hAnsi="Times New Roman" w:cs="Times New Roman"/>
                <w:smallCaps w:val="0"/>
                <w:color w:val="auto"/>
                <w:spacing w:val="0"/>
                <w:highlight w:val="none"/>
              </w:rPr>
              <w:t>：</w:t>
            </w:r>
          </w:p>
          <w:p w14:paraId="6B05A79B">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7</w:t>
            </w:r>
            <w:r>
              <w:rPr>
                <w:rFonts w:hint="default" w:ascii="Times New Roman" w:hAnsi="Times New Roman" w:eastAsia="宋体" w:cs="Times New Roman"/>
                <w:b/>
                <w:smallCaps w:val="0"/>
                <w:color w:val="auto"/>
                <w:spacing w:val="0"/>
                <w:highlight w:val="none"/>
              </w:rPr>
              <w:t xml:space="preserve">   项目所在厂区废气排放及治理情况一览表</w:t>
            </w:r>
          </w:p>
          <w:tbl>
            <w:tblPr>
              <w:tblStyle w:val="4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2"/>
              <w:gridCol w:w="724"/>
              <w:gridCol w:w="1084"/>
              <w:gridCol w:w="1078"/>
              <w:gridCol w:w="689"/>
              <w:gridCol w:w="898"/>
              <w:gridCol w:w="898"/>
              <w:gridCol w:w="1901"/>
              <w:gridCol w:w="575"/>
            </w:tblGrid>
            <w:tr w14:paraId="3976D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34" w:hRule="exact"/>
              </w:trPr>
              <w:tc>
                <w:tcPr>
                  <w:tcW w:w="191" w:type="pct"/>
                  <w:noWrap w:val="0"/>
                  <w:vAlign w:val="center"/>
                </w:tcPr>
                <w:p w14:paraId="7147F2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类别</w:t>
                  </w:r>
                </w:p>
              </w:tc>
              <w:tc>
                <w:tcPr>
                  <w:tcW w:w="443" w:type="pct"/>
                  <w:noWrap w:val="0"/>
                  <w:vAlign w:val="center"/>
                </w:tcPr>
                <w:p w14:paraId="021BEE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污染源</w:t>
                  </w:r>
                </w:p>
              </w:tc>
              <w:tc>
                <w:tcPr>
                  <w:tcW w:w="664" w:type="pct"/>
                  <w:noWrap w:val="0"/>
                  <w:vAlign w:val="center"/>
                </w:tcPr>
                <w:p w14:paraId="7C06BB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污染物</w:t>
                  </w:r>
                </w:p>
              </w:tc>
              <w:tc>
                <w:tcPr>
                  <w:tcW w:w="660" w:type="pct"/>
                  <w:noWrap w:val="0"/>
                  <w:vAlign w:val="center"/>
                </w:tcPr>
                <w:p w14:paraId="417580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治理措施</w:t>
                  </w:r>
                </w:p>
              </w:tc>
              <w:tc>
                <w:tcPr>
                  <w:tcW w:w="422" w:type="pct"/>
                  <w:tcBorders>
                    <w:right w:val="single" w:color="auto" w:sz="4" w:space="0"/>
                  </w:tcBorders>
                  <w:noWrap w:val="0"/>
                  <w:vAlign w:val="center"/>
                </w:tcPr>
                <w:p w14:paraId="5FCF72E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最大</w:t>
                  </w:r>
                  <w:r>
                    <w:rPr>
                      <w:rFonts w:hint="default" w:ascii="Times New Roman" w:hAnsi="Times New Roman" w:cs="Times New Roman"/>
                      <w:smallCaps w:val="0"/>
                      <w:color w:val="auto"/>
                      <w:spacing w:val="0"/>
                      <w:sz w:val="21"/>
                      <w:szCs w:val="21"/>
                      <w:highlight w:val="none"/>
                      <w:lang w:val="en-US" w:eastAsia="zh-CN"/>
                    </w:rPr>
                    <w:t>排气量m</w:t>
                  </w:r>
                  <w:r>
                    <w:rPr>
                      <w:rFonts w:hint="default" w:ascii="Times New Roman" w:hAnsi="Times New Roman" w:cs="Times New Roman"/>
                      <w:smallCaps w:val="0"/>
                      <w:color w:val="auto"/>
                      <w:spacing w:val="0"/>
                      <w:sz w:val="21"/>
                      <w:szCs w:val="21"/>
                      <w:highlight w:val="none"/>
                      <w:vertAlign w:val="superscript"/>
                      <w:lang w:val="en-US" w:eastAsia="zh-CN"/>
                    </w:rPr>
                    <w:t>3</w:t>
                  </w:r>
                  <w:r>
                    <w:rPr>
                      <w:rFonts w:hint="default" w:ascii="Times New Roman" w:hAnsi="Times New Roman" w:cs="Times New Roman"/>
                      <w:smallCaps w:val="0"/>
                      <w:color w:val="auto"/>
                      <w:spacing w:val="0"/>
                      <w:sz w:val="21"/>
                      <w:szCs w:val="21"/>
                      <w:highlight w:val="none"/>
                      <w:lang w:val="en-US" w:eastAsia="zh-CN"/>
                    </w:rPr>
                    <w:t>/h</w:t>
                  </w:r>
                </w:p>
              </w:tc>
              <w:tc>
                <w:tcPr>
                  <w:tcW w:w="550" w:type="pct"/>
                  <w:tcBorders>
                    <w:left w:val="single" w:color="auto" w:sz="4" w:space="0"/>
                  </w:tcBorders>
                  <w:noWrap w:val="0"/>
                  <w:vAlign w:val="center"/>
                </w:tcPr>
                <w:p w14:paraId="356C48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rPr>
                  </w:pPr>
                  <w:r>
                    <w:rPr>
                      <w:rFonts w:hint="eastAsia" w:cs="Times New Roman"/>
                      <w:smallCaps w:val="0"/>
                      <w:color w:val="auto"/>
                      <w:spacing w:val="0"/>
                      <w:sz w:val="21"/>
                      <w:szCs w:val="21"/>
                      <w:highlight w:val="none"/>
                      <w:lang w:val="en-US" w:eastAsia="zh-CN"/>
                    </w:rPr>
                    <w:t>检测值</w:t>
                  </w:r>
                  <w:r>
                    <w:rPr>
                      <w:rFonts w:hint="eastAsia" w:cs="Times New Roman"/>
                      <w:i w:val="0"/>
                      <w:iCs w:val="0"/>
                      <w:color w:val="auto"/>
                      <w:kern w:val="0"/>
                      <w:sz w:val="21"/>
                      <w:szCs w:val="21"/>
                      <w:highlight w:val="none"/>
                      <w:u w:val="none"/>
                      <w:lang w:val="en-US" w:eastAsia="zh-CN" w:bidi="ar"/>
                    </w:rPr>
                    <w:t>mg/m</w:t>
                  </w:r>
                  <w:r>
                    <w:rPr>
                      <w:rFonts w:hint="eastAsia" w:cs="Times New Roman"/>
                      <w:i w:val="0"/>
                      <w:iCs w:val="0"/>
                      <w:color w:val="auto"/>
                      <w:kern w:val="0"/>
                      <w:sz w:val="21"/>
                      <w:szCs w:val="21"/>
                      <w:highlight w:val="none"/>
                      <w:u w:val="none"/>
                      <w:vertAlign w:val="superscript"/>
                      <w:lang w:val="en-US" w:eastAsia="zh-CN" w:bidi="ar"/>
                    </w:rPr>
                    <w:t>3</w:t>
                  </w:r>
                </w:p>
              </w:tc>
              <w:tc>
                <w:tcPr>
                  <w:tcW w:w="550" w:type="pct"/>
                  <w:noWrap w:val="0"/>
                  <w:vAlign w:val="center"/>
                </w:tcPr>
                <w:p w14:paraId="0F4915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标准限值</w:t>
                  </w:r>
                  <w:r>
                    <w:rPr>
                      <w:rFonts w:hint="eastAsia" w:cs="Times New Roman"/>
                      <w:i w:val="0"/>
                      <w:iCs w:val="0"/>
                      <w:color w:val="auto"/>
                      <w:kern w:val="0"/>
                      <w:sz w:val="21"/>
                      <w:szCs w:val="21"/>
                      <w:highlight w:val="none"/>
                      <w:u w:val="none"/>
                      <w:lang w:val="en-US" w:eastAsia="zh-CN" w:bidi="ar"/>
                    </w:rPr>
                    <w:t>mg/m</w:t>
                  </w:r>
                  <w:r>
                    <w:rPr>
                      <w:rFonts w:hint="eastAsia" w:cs="Times New Roman"/>
                      <w:i w:val="0"/>
                      <w:iCs w:val="0"/>
                      <w:color w:val="auto"/>
                      <w:kern w:val="0"/>
                      <w:sz w:val="21"/>
                      <w:szCs w:val="21"/>
                      <w:highlight w:val="none"/>
                      <w:u w:val="none"/>
                      <w:vertAlign w:val="superscript"/>
                      <w:lang w:val="en-US" w:eastAsia="zh-CN" w:bidi="ar"/>
                    </w:rPr>
                    <w:t>3</w:t>
                  </w:r>
                </w:p>
              </w:tc>
              <w:tc>
                <w:tcPr>
                  <w:tcW w:w="1164" w:type="pct"/>
                  <w:noWrap w:val="0"/>
                  <w:vAlign w:val="center"/>
                </w:tcPr>
                <w:p w14:paraId="5AC87D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执行标准</w:t>
                  </w:r>
                </w:p>
              </w:tc>
              <w:tc>
                <w:tcPr>
                  <w:tcW w:w="352" w:type="pct"/>
                  <w:noWrap w:val="0"/>
                  <w:vAlign w:val="center"/>
                </w:tcPr>
                <w:p w14:paraId="1A5008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达标情况</w:t>
                  </w:r>
                </w:p>
              </w:tc>
            </w:tr>
            <w:tr w14:paraId="5F30A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38" w:hRule="exact"/>
              </w:trPr>
              <w:tc>
                <w:tcPr>
                  <w:tcW w:w="191" w:type="pct"/>
                  <w:vMerge w:val="restart"/>
                  <w:noWrap w:val="0"/>
                  <w:vAlign w:val="center"/>
                </w:tcPr>
                <w:p w14:paraId="3E4AE0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废气</w:t>
                  </w:r>
                </w:p>
              </w:tc>
              <w:tc>
                <w:tcPr>
                  <w:tcW w:w="443" w:type="pct"/>
                  <w:vMerge w:val="restart"/>
                  <w:noWrap w:val="0"/>
                  <w:vAlign w:val="center"/>
                </w:tcPr>
                <w:p w14:paraId="26D0AF7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注塑、烘干废气</w:t>
                  </w:r>
                </w:p>
              </w:tc>
              <w:tc>
                <w:tcPr>
                  <w:tcW w:w="664" w:type="pct"/>
                  <w:tcBorders>
                    <w:bottom w:val="single" w:color="auto" w:sz="4" w:space="0"/>
                  </w:tcBorders>
                  <w:noWrap w:val="0"/>
                  <w:vAlign w:val="center"/>
                </w:tcPr>
                <w:p w14:paraId="58712D0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氨</w:t>
                  </w:r>
                </w:p>
              </w:tc>
              <w:tc>
                <w:tcPr>
                  <w:tcW w:w="660" w:type="pct"/>
                  <w:vMerge w:val="restart"/>
                  <w:noWrap w:val="0"/>
                  <w:vAlign w:val="center"/>
                </w:tcPr>
                <w:p w14:paraId="567BF86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布袋除尘器+活性炭吸附+15m高排气筒</w:t>
                  </w:r>
                </w:p>
              </w:tc>
              <w:tc>
                <w:tcPr>
                  <w:tcW w:w="422" w:type="pct"/>
                  <w:tcBorders>
                    <w:bottom w:val="single" w:color="auto" w:sz="4" w:space="0"/>
                    <w:right w:val="single" w:color="auto" w:sz="4" w:space="0"/>
                  </w:tcBorders>
                  <w:noWrap w:val="0"/>
                  <w:vAlign w:val="center"/>
                </w:tcPr>
                <w:p w14:paraId="3A0441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5393</w:t>
                  </w:r>
                </w:p>
              </w:tc>
              <w:tc>
                <w:tcPr>
                  <w:tcW w:w="550" w:type="pct"/>
                  <w:tcBorders>
                    <w:left w:val="single" w:color="auto" w:sz="4" w:space="0"/>
                    <w:bottom w:val="single" w:color="auto" w:sz="4" w:space="0"/>
                  </w:tcBorders>
                  <w:noWrap w:val="0"/>
                  <w:vAlign w:val="center"/>
                </w:tcPr>
                <w:p w14:paraId="09E87B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3.26</w:t>
                  </w:r>
                </w:p>
              </w:tc>
              <w:tc>
                <w:tcPr>
                  <w:tcW w:w="550" w:type="pct"/>
                  <w:tcBorders>
                    <w:bottom w:val="single" w:color="auto" w:sz="4" w:space="0"/>
                  </w:tcBorders>
                  <w:noWrap w:val="0"/>
                  <w:vAlign w:val="center"/>
                </w:tcPr>
                <w:p w14:paraId="14AB74E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20</w:t>
                  </w:r>
                </w:p>
              </w:tc>
              <w:tc>
                <w:tcPr>
                  <w:tcW w:w="1164" w:type="pct"/>
                  <w:vMerge w:val="restart"/>
                  <w:noWrap w:val="0"/>
                  <w:vAlign w:val="center"/>
                </w:tcPr>
                <w:p w14:paraId="591DA34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《合成树脂工业污染物排放标准》（GB31572-2015）（含2024年修改单）表5标准</w:t>
                  </w:r>
                </w:p>
              </w:tc>
              <w:tc>
                <w:tcPr>
                  <w:tcW w:w="352" w:type="pct"/>
                  <w:vMerge w:val="restart"/>
                  <w:noWrap w:val="0"/>
                  <w:vAlign w:val="center"/>
                </w:tcPr>
                <w:p w14:paraId="6236606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r w14:paraId="6D90A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38" w:hRule="exact"/>
              </w:trPr>
              <w:tc>
                <w:tcPr>
                  <w:tcW w:w="191" w:type="pct"/>
                  <w:vMerge w:val="continue"/>
                  <w:noWrap w:val="0"/>
                  <w:vAlign w:val="center"/>
                </w:tcPr>
                <w:p w14:paraId="1E7DAA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6AC3366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tcBorders>
                  <w:noWrap w:val="0"/>
                  <w:vAlign w:val="center"/>
                </w:tcPr>
                <w:p w14:paraId="5507DF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非甲烷总烃</w:t>
                  </w:r>
                </w:p>
              </w:tc>
              <w:tc>
                <w:tcPr>
                  <w:tcW w:w="660" w:type="pct"/>
                  <w:vMerge w:val="continue"/>
                  <w:noWrap w:val="0"/>
                  <w:vAlign w:val="center"/>
                </w:tcPr>
                <w:p w14:paraId="4468A19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422" w:type="pct"/>
                  <w:tcBorders>
                    <w:top w:val="single" w:color="auto" w:sz="4" w:space="0"/>
                    <w:right w:val="single" w:color="auto" w:sz="4" w:space="0"/>
                  </w:tcBorders>
                  <w:noWrap w:val="0"/>
                  <w:vAlign w:val="center"/>
                </w:tcPr>
                <w:p w14:paraId="7EAF49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5261</w:t>
                  </w:r>
                </w:p>
              </w:tc>
              <w:tc>
                <w:tcPr>
                  <w:tcW w:w="550" w:type="pct"/>
                  <w:tcBorders>
                    <w:top w:val="single" w:color="auto" w:sz="4" w:space="0"/>
                    <w:left w:val="single" w:color="auto" w:sz="4" w:space="0"/>
                    <w:bottom w:val="single" w:color="auto" w:sz="4" w:space="0"/>
                  </w:tcBorders>
                  <w:noWrap w:val="0"/>
                  <w:vAlign w:val="center"/>
                </w:tcPr>
                <w:p w14:paraId="21B8A9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4.00</w:t>
                  </w:r>
                </w:p>
              </w:tc>
              <w:tc>
                <w:tcPr>
                  <w:tcW w:w="550" w:type="pct"/>
                  <w:tcBorders>
                    <w:top w:val="single" w:color="auto" w:sz="4" w:space="0"/>
                    <w:bottom w:val="single" w:color="auto" w:sz="4" w:space="0"/>
                  </w:tcBorders>
                  <w:noWrap w:val="0"/>
                  <w:vAlign w:val="center"/>
                </w:tcPr>
                <w:p w14:paraId="6DAD38E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60</w:t>
                  </w:r>
                </w:p>
              </w:tc>
              <w:tc>
                <w:tcPr>
                  <w:tcW w:w="1164" w:type="pct"/>
                  <w:vMerge w:val="continue"/>
                  <w:noWrap w:val="0"/>
                  <w:vAlign w:val="center"/>
                </w:tcPr>
                <w:p w14:paraId="182747AB">
                  <w:pPr>
                    <w:keepNext w:val="0"/>
                    <w:keepLines w:val="0"/>
                    <w:suppressLineNumbers w:val="0"/>
                    <w:spacing w:before="0" w:beforeAutospacing="0" w:after="0" w:afterAutospacing="0" w:line="360" w:lineRule="exact"/>
                    <w:ind w:left="0" w:right="0"/>
                    <w:jc w:val="center"/>
                    <w:rPr>
                      <w:rFonts w:hint="eastAsia" w:cs="Times New Roman"/>
                      <w:smallCaps w:val="0"/>
                      <w:color w:val="auto"/>
                      <w:spacing w:val="0"/>
                      <w:sz w:val="21"/>
                      <w:szCs w:val="21"/>
                      <w:highlight w:val="none"/>
                      <w:lang w:val="en-US" w:eastAsia="zh-CN"/>
                    </w:rPr>
                  </w:pPr>
                </w:p>
              </w:tc>
              <w:tc>
                <w:tcPr>
                  <w:tcW w:w="352" w:type="pct"/>
                  <w:vMerge w:val="continue"/>
                  <w:noWrap w:val="0"/>
                  <w:vAlign w:val="center"/>
                </w:tcPr>
                <w:p w14:paraId="207039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r>
            <w:tr w14:paraId="6E15B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1547" w:hRule="exact"/>
              </w:trPr>
              <w:tc>
                <w:tcPr>
                  <w:tcW w:w="191" w:type="pct"/>
                  <w:vMerge w:val="continue"/>
                  <w:noWrap w:val="0"/>
                  <w:vAlign w:val="center"/>
                </w:tcPr>
                <w:p w14:paraId="21A348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531798B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tcBorders>
                  <w:noWrap w:val="0"/>
                  <w:vAlign w:val="center"/>
                </w:tcPr>
                <w:p w14:paraId="27FC7C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单位产品非甲烷总烃排放量kg/t产品</w:t>
                  </w:r>
                </w:p>
              </w:tc>
              <w:tc>
                <w:tcPr>
                  <w:tcW w:w="660" w:type="pct"/>
                  <w:vMerge w:val="continue"/>
                  <w:noWrap w:val="0"/>
                  <w:vAlign w:val="center"/>
                </w:tcPr>
                <w:p w14:paraId="52E26E5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422" w:type="pct"/>
                  <w:tcBorders>
                    <w:top w:val="single" w:color="auto" w:sz="4" w:space="0"/>
                    <w:right w:val="single" w:color="auto" w:sz="4" w:space="0"/>
                  </w:tcBorders>
                  <w:noWrap w:val="0"/>
                  <w:vAlign w:val="center"/>
                </w:tcPr>
                <w:p w14:paraId="3D466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w:t>
                  </w:r>
                </w:p>
              </w:tc>
              <w:tc>
                <w:tcPr>
                  <w:tcW w:w="550" w:type="pct"/>
                  <w:tcBorders>
                    <w:top w:val="single" w:color="auto" w:sz="4" w:space="0"/>
                    <w:left w:val="single" w:color="auto" w:sz="4" w:space="0"/>
                    <w:bottom w:val="single" w:color="auto" w:sz="4" w:space="0"/>
                  </w:tcBorders>
                  <w:noWrap w:val="0"/>
                  <w:vAlign w:val="center"/>
                </w:tcPr>
                <w:p w14:paraId="109631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0.001</w:t>
                  </w:r>
                </w:p>
              </w:tc>
              <w:tc>
                <w:tcPr>
                  <w:tcW w:w="550" w:type="pct"/>
                  <w:tcBorders>
                    <w:top w:val="single" w:color="auto" w:sz="4" w:space="0"/>
                    <w:bottom w:val="single" w:color="auto" w:sz="4" w:space="0"/>
                  </w:tcBorders>
                  <w:noWrap w:val="0"/>
                  <w:vAlign w:val="center"/>
                </w:tcPr>
                <w:p w14:paraId="6545E96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0.3</w:t>
                  </w:r>
                </w:p>
              </w:tc>
              <w:tc>
                <w:tcPr>
                  <w:tcW w:w="1164" w:type="pct"/>
                  <w:vMerge w:val="continue"/>
                  <w:noWrap w:val="0"/>
                  <w:vAlign w:val="center"/>
                </w:tcPr>
                <w:p w14:paraId="7596F569">
                  <w:pPr>
                    <w:keepNext w:val="0"/>
                    <w:keepLines w:val="0"/>
                    <w:suppressLineNumbers w:val="0"/>
                    <w:spacing w:before="0" w:beforeAutospacing="0" w:after="0" w:afterAutospacing="0" w:line="360" w:lineRule="exact"/>
                    <w:ind w:left="0" w:right="0"/>
                    <w:jc w:val="center"/>
                    <w:rPr>
                      <w:rFonts w:hint="eastAsia" w:cs="Times New Roman"/>
                      <w:smallCaps w:val="0"/>
                      <w:color w:val="auto"/>
                      <w:spacing w:val="0"/>
                      <w:sz w:val="21"/>
                      <w:szCs w:val="21"/>
                      <w:highlight w:val="none"/>
                      <w:lang w:val="en-US" w:eastAsia="zh-CN"/>
                    </w:rPr>
                  </w:pPr>
                </w:p>
              </w:tc>
              <w:tc>
                <w:tcPr>
                  <w:tcW w:w="352" w:type="pct"/>
                  <w:vMerge w:val="continue"/>
                  <w:noWrap w:val="0"/>
                  <w:vAlign w:val="center"/>
                </w:tcPr>
                <w:p w14:paraId="37E9FA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r>
            <w:tr w14:paraId="424ED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1033" w:hRule="atLeast"/>
              </w:trPr>
              <w:tc>
                <w:tcPr>
                  <w:tcW w:w="191" w:type="pct"/>
                  <w:vMerge w:val="continue"/>
                  <w:noWrap w:val="0"/>
                  <w:vAlign w:val="center"/>
                </w:tcPr>
                <w:p w14:paraId="63FC57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restart"/>
                  <w:noWrap w:val="0"/>
                  <w:vAlign w:val="center"/>
                </w:tcPr>
                <w:p w14:paraId="275E5A4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厂界</w:t>
                  </w:r>
                </w:p>
              </w:tc>
              <w:tc>
                <w:tcPr>
                  <w:tcW w:w="664" w:type="pct"/>
                  <w:tcBorders>
                    <w:bottom w:val="single" w:color="auto" w:sz="4" w:space="0"/>
                  </w:tcBorders>
                  <w:noWrap w:val="0"/>
                  <w:vAlign w:val="center"/>
                </w:tcPr>
                <w:p w14:paraId="5E2765B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smallCaps w:val="0"/>
                      <w:color w:val="auto"/>
                      <w:spacing w:val="0"/>
                      <w:sz w:val="21"/>
                      <w:szCs w:val="21"/>
                      <w:highlight w:val="none"/>
                      <w:lang w:eastAsia="zh-CN"/>
                    </w:rPr>
                  </w:pPr>
                  <w:r>
                    <w:rPr>
                      <w:rFonts w:hint="eastAsia" w:ascii="Times New Roman" w:hAnsi="Times New Roman" w:cs="Times New Roman"/>
                      <w:smallCaps w:val="0"/>
                      <w:color w:val="auto"/>
                      <w:spacing w:val="0"/>
                      <w:sz w:val="21"/>
                      <w:szCs w:val="21"/>
                      <w:highlight w:val="none"/>
                      <w:lang w:val="en-US" w:eastAsia="zh-CN"/>
                    </w:rPr>
                    <w:t>氨</w:t>
                  </w:r>
                </w:p>
              </w:tc>
              <w:tc>
                <w:tcPr>
                  <w:tcW w:w="660" w:type="pct"/>
                  <w:vMerge w:val="restart"/>
                  <w:noWrap w:val="0"/>
                  <w:vAlign w:val="center"/>
                </w:tcPr>
                <w:p w14:paraId="69473F8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车间密闭</w:t>
                  </w:r>
                </w:p>
              </w:tc>
              <w:tc>
                <w:tcPr>
                  <w:tcW w:w="422" w:type="pct"/>
                  <w:tcBorders>
                    <w:bottom w:val="single" w:color="auto" w:sz="4" w:space="0"/>
                    <w:right w:val="single" w:color="auto" w:sz="4" w:space="0"/>
                  </w:tcBorders>
                  <w:noWrap w:val="0"/>
                  <w:vAlign w:val="center"/>
                </w:tcPr>
                <w:p w14:paraId="075FFB4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w:t>
                  </w:r>
                </w:p>
              </w:tc>
              <w:tc>
                <w:tcPr>
                  <w:tcW w:w="550" w:type="pct"/>
                  <w:tcBorders>
                    <w:left w:val="single" w:color="auto" w:sz="4" w:space="0"/>
                    <w:bottom w:val="single" w:color="auto" w:sz="4" w:space="0"/>
                    <w:right w:val="single" w:color="auto" w:sz="4" w:space="0"/>
                  </w:tcBorders>
                  <w:noWrap w:val="0"/>
                  <w:vAlign w:val="center"/>
                </w:tcPr>
                <w:p w14:paraId="7B9DFC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0.22</w:t>
                  </w:r>
                </w:p>
              </w:tc>
              <w:tc>
                <w:tcPr>
                  <w:tcW w:w="550" w:type="pct"/>
                  <w:tcBorders>
                    <w:left w:val="single" w:color="auto" w:sz="4" w:space="0"/>
                    <w:bottom w:val="single" w:color="auto" w:sz="4" w:space="0"/>
                  </w:tcBorders>
                  <w:noWrap w:val="0"/>
                  <w:vAlign w:val="center"/>
                </w:tcPr>
                <w:p w14:paraId="431B702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1.5</w:t>
                  </w:r>
                </w:p>
              </w:tc>
              <w:tc>
                <w:tcPr>
                  <w:tcW w:w="1164" w:type="pct"/>
                  <w:tcBorders>
                    <w:bottom w:val="single" w:color="auto" w:sz="4" w:space="0"/>
                  </w:tcBorders>
                  <w:noWrap w:val="0"/>
                  <w:vAlign w:val="center"/>
                </w:tcPr>
                <w:p w14:paraId="7596DE6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rPr>
                  </w:pPr>
                  <w:r>
                    <w:rPr>
                      <w:rFonts w:hint="eastAsia" w:ascii="Times New Roman" w:hAnsi="Times New Roman" w:eastAsia="宋体" w:cs="Times New Roman"/>
                      <w:smallCaps w:val="0"/>
                      <w:color w:val="auto"/>
                      <w:spacing w:val="0"/>
                      <w:sz w:val="21"/>
                      <w:szCs w:val="21"/>
                      <w:highlight w:val="none"/>
                      <w:lang w:val="en-US" w:eastAsia="zh-CN"/>
                    </w:rPr>
                    <w:t>《恶臭污染物排放标准》（GB14554-1993）表1二级新扩改建标准</w:t>
                  </w:r>
                </w:p>
              </w:tc>
              <w:tc>
                <w:tcPr>
                  <w:tcW w:w="352" w:type="pct"/>
                  <w:vMerge w:val="restart"/>
                  <w:noWrap w:val="0"/>
                  <w:vAlign w:val="center"/>
                </w:tcPr>
                <w:p w14:paraId="258569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达标</w:t>
                  </w:r>
                </w:p>
              </w:tc>
            </w:tr>
            <w:tr w14:paraId="42693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87" w:hRule="atLeast"/>
              </w:trPr>
              <w:tc>
                <w:tcPr>
                  <w:tcW w:w="191" w:type="pct"/>
                  <w:vMerge w:val="continue"/>
                  <w:noWrap w:val="0"/>
                  <w:vAlign w:val="center"/>
                </w:tcPr>
                <w:p w14:paraId="5AC32A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2178C0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tcBorders>
                  <w:noWrap w:val="0"/>
                  <w:vAlign w:val="center"/>
                </w:tcPr>
                <w:p w14:paraId="07AED9A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非甲烷总烃</w:t>
                  </w:r>
                </w:p>
              </w:tc>
              <w:tc>
                <w:tcPr>
                  <w:tcW w:w="660" w:type="pct"/>
                  <w:vMerge w:val="continue"/>
                  <w:noWrap w:val="0"/>
                  <w:vAlign w:val="center"/>
                </w:tcPr>
                <w:p w14:paraId="3FC21DC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smallCaps w:val="0"/>
                      <w:color w:val="auto"/>
                      <w:spacing w:val="0"/>
                      <w:sz w:val="21"/>
                      <w:szCs w:val="21"/>
                      <w:highlight w:val="none"/>
                      <w:lang w:val="en-US" w:eastAsia="zh-CN"/>
                    </w:rPr>
                  </w:pPr>
                </w:p>
              </w:tc>
              <w:tc>
                <w:tcPr>
                  <w:tcW w:w="422" w:type="pct"/>
                  <w:tcBorders>
                    <w:top w:val="single" w:color="auto" w:sz="4" w:space="0"/>
                    <w:right w:val="single" w:color="auto" w:sz="4" w:space="0"/>
                  </w:tcBorders>
                  <w:noWrap w:val="0"/>
                  <w:vAlign w:val="center"/>
                </w:tcPr>
                <w:p w14:paraId="2195964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w:t>
                  </w:r>
                </w:p>
              </w:tc>
              <w:tc>
                <w:tcPr>
                  <w:tcW w:w="550" w:type="pct"/>
                  <w:tcBorders>
                    <w:top w:val="single" w:color="auto" w:sz="4" w:space="0"/>
                    <w:left w:val="single" w:color="auto" w:sz="4" w:space="0"/>
                    <w:right w:val="single" w:color="auto" w:sz="4" w:space="0"/>
                  </w:tcBorders>
                  <w:noWrap w:val="0"/>
                  <w:vAlign w:val="center"/>
                </w:tcPr>
                <w:p w14:paraId="1050E6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1.17</w:t>
                  </w:r>
                </w:p>
              </w:tc>
              <w:tc>
                <w:tcPr>
                  <w:tcW w:w="550" w:type="pct"/>
                  <w:tcBorders>
                    <w:top w:val="single" w:color="auto" w:sz="4" w:space="0"/>
                    <w:left w:val="single" w:color="auto" w:sz="4" w:space="0"/>
                  </w:tcBorders>
                  <w:noWrap w:val="0"/>
                  <w:vAlign w:val="center"/>
                </w:tcPr>
                <w:p w14:paraId="15C980C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2.0</w:t>
                  </w:r>
                </w:p>
              </w:tc>
              <w:tc>
                <w:tcPr>
                  <w:tcW w:w="1164" w:type="pct"/>
                  <w:tcBorders>
                    <w:top w:val="single" w:color="auto" w:sz="4" w:space="0"/>
                  </w:tcBorders>
                  <w:noWrap w:val="0"/>
                  <w:vAlign w:val="center"/>
                </w:tcPr>
                <w:p w14:paraId="02A635F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《工业企业挥发性有机物排放控制标准》（DB13/2322-2016）表2标准</w:t>
                  </w:r>
                </w:p>
              </w:tc>
              <w:tc>
                <w:tcPr>
                  <w:tcW w:w="352" w:type="pct"/>
                  <w:vMerge w:val="continue"/>
                  <w:noWrap w:val="0"/>
                  <w:vAlign w:val="center"/>
                </w:tcPr>
                <w:p w14:paraId="2BF4E6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r>
          </w:tbl>
          <w:p w14:paraId="68272ADA">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废水：</w:t>
            </w:r>
            <w:r>
              <w:rPr>
                <w:rFonts w:hint="default" w:ascii="Times New Roman" w:hAnsi="Times New Roman" w:cs="Times New Roman"/>
                <w:smallCaps w:val="0"/>
                <w:color w:val="auto"/>
                <w:spacing w:val="0"/>
                <w:highlight w:val="none"/>
                <w:lang w:val="en-US" w:eastAsia="zh-CN"/>
              </w:rPr>
              <w:t>现有工程废水主要为</w:t>
            </w:r>
            <w:r>
              <w:rPr>
                <w:rFonts w:hint="eastAsia" w:ascii="Times New Roman" w:hAnsi="Times New Roman" w:cs="Times New Roman"/>
                <w:smallCaps w:val="0"/>
                <w:color w:val="auto"/>
                <w:spacing w:val="0"/>
                <w:highlight w:val="none"/>
                <w:lang w:val="en-US" w:eastAsia="zh-CN"/>
              </w:rPr>
              <w:t>职工生活污水</w:t>
            </w:r>
            <w:r>
              <w:rPr>
                <w:rFonts w:hint="default" w:ascii="Times New Roman" w:hAnsi="Times New Roman" w:cs="Times New Roman"/>
                <w:smallCaps w:val="0"/>
                <w:color w:val="auto"/>
                <w:spacing w:val="0"/>
                <w:highlight w:val="none"/>
                <w:lang w:val="en-US" w:eastAsia="zh-CN"/>
              </w:rPr>
              <w:t>。</w:t>
            </w:r>
            <w:r>
              <w:rPr>
                <w:rFonts w:hint="eastAsia" w:ascii="Times New Roman" w:hAnsi="Times New Roman" w:cs="Times New Roman"/>
                <w:smallCaps w:val="0"/>
                <w:color w:val="auto"/>
                <w:spacing w:val="0"/>
                <w:highlight w:val="none"/>
                <w:lang w:val="en-US" w:eastAsia="zh-CN"/>
              </w:rPr>
              <w:t>经集成式生物化粪池处理后经园区污水管网排入绿源污水处理有限公司进一步处理。</w:t>
            </w:r>
            <w:r>
              <w:rPr>
                <w:rFonts w:hint="default" w:ascii="Times New Roman" w:hAnsi="Times New Roman" w:cs="Times New Roman"/>
                <w:smallCaps w:val="0"/>
                <w:color w:val="auto"/>
                <w:spacing w:val="0"/>
                <w:highlight w:val="none"/>
              </w:rPr>
              <w:t>所在厂区现有</w:t>
            </w:r>
            <w:r>
              <w:rPr>
                <w:rFonts w:hint="eastAsia" w:ascii="Times New Roman" w:hAnsi="Times New Roman" w:cs="Times New Roman"/>
                <w:smallCaps w:val="0"/>
                <w:color w:val="auto"/>
                <w:spacing w:val="0"/>
                <w:highlight w:val="none"/>
                <w:lang w:val="en-US" w:eastAsia="zh-CN"/>
              </w:rPr>
              <w:t>废水</w:t>
            </w:r>
            <w:r>
              <w:rPr>
                <w:rFonts w:hint="default" w:ascii="Times New Roman" w:hAnsi="Times New Roman" w:cs="Times New Roman"/>
                <w:smallCaps w:val="0"/>
                <w:color w:val="auto"/>
                <w:spacing w:val="0"/>
                <w:highlight w:val="none"/>
              </w:rPr>
              <w:t>污染物产生及治理情况见</w:t>
            </w:r>
            <w:r>
              <w:rPr>
                <w:rFonts w:hint="default" w:ascii="Times New Roman" w:hAnsi="Times New Roman" w:cs="Times New Roman"/>
                <w:smallCaps w:val="0"/>
                <w:color w:val="auto"/>
                <w:spacing w:val="0"/>
                <w:highlight w:val="none"/>
                <w:lang w:val="en-US" w:eastAsia="zh-CN"/>
              </w:rPr>
              <w:t>下表</w:t>
            </w:r>
            <w:r>
              <w:rPr>
                <w:rFonts w:hint="default" w:ascii="Times New Roman" w:hAnsi="Times New Roman" w:cs="Times New Roman"/>
                <w:smallCaps w:val="0"/>
                <w:color w:val="auto"/>
                <w:spacing w:val="0"/>
                <w:highlight w:val="none"/>
              </w:rPr>
              <w:t>：</w:t>
            </w:r>
          </w:p>
          <w:p w14:paraId="0C9699E2">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p>
          <w:p w14:paraId="37B2F411">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p>
          <w:p w14:paraId="62ABB749">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p>
          <w:p w14:paraId="018DBE78">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8</w:t>
            </w:r>
            <w:r>
              <w:rPr>
                <w:rFonts w:hint="default" w:ascii="Times New Roman" w:hAnsi="Times New Roman" w:eastAsia="宋体" w:cs="Times New Roman"/>
                <w:b/>
                <w:smallCaps w:val="0"/>
                <w:color w:val="auto"/>
                <w:spacing w:val="0"/>
                <w:highlight w:val="none"/>
              </w:rPr>
              <w:t xml:space="preserve">   项目所在厂区</w:t>
            </w:r>
            <w:r>
              <w:rPr>
                <w:rFonts w:hint="eastAsia" w:ascii="Times New Roman" w:hAnsi="Times New Roman" w:eastAsia="宋体" w:cs="Times New Roman"/>
                <w:b/>
                <w:smallCaps w:val="0"/>
                <w:color w:val="auto"/>
                <w:spacing w:val="0"/>
                <w:highlight w:val="none"/>
                <w:lang w:val="en-US" w:eastAsia="zh-CN"/>
              </w:rPr>
              <w:t>废水</w:t>
            </w:r>
            <w:r>
              <w:rPr>
                <w:rFonts w:hint="default" w:ascii="Times New Roman" w:hAnsi="Times New Roman" w:eastAsia="宋体" w:cs="Times New Roman"/>
                <w:b/>
                <w:smallCaps w:val="0"/>
                <w:color w:val="auto"/>
                <w:spacing w:val="0"/>
                <w:highlight w:val="none"/>
              </w:rPr>
              <w:t>排放及治理情况一览表</w:t>
            </w:r>
          </w:p>
          <w:tbl>
            <w:tblPr>
              <w:tblStyle w:val="4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2"/>
              <w:gridCol w:w="724"/>
              <w:gridCol w:w="1084"/>
              <w:gridCol w:w="1078"/>
              <w:gridCol w:w="689"/>
              <w:gridCol w:w="898"/>
              <w:gridCol w:w="898"/>
              <w:gridCol w:w="1901"/>
              <w:gridCol w:w="575"/>
            </w:tblGrid>
            <w:tr w14:paraId="1C436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34" w:hRule="exact"/>
              </w:trPr>
              <w:tc>
                <w:tcPr>
                  <w:tcW w:w="191" w:type="pct"/>
                  <w:noWrap w:val="0"/>
                  <w:vAlign w:val="center"/>
                </w:tcPr>
                <w:p w14:paraId="5DCD67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类别</w:t>
                  </w:r>
                </w:p>
              </w:tc>
              <w:tc>
                <w:tcPr>
                  <w:tcW w:w="443" w:type="pct"/>
                  <w:noWrap w:val="0"/>
                  <w:vAlign w:val="center"/>
                </w:tcPr>
                <w:p w14:paraId="0E5E8D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污染源</w:t>
                  </w:r>
                </w:p>
              </w:tc>
              <w:tc>
                <w:tcPr>
                  <w:tcW w:w="664" w:type="pct"/>
                  <w:noWrap w:val="0"/>
                  <w:vAlign w:val="center"/>
                </w:tcPr>
                <w:p w14:paraId="680A92F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污染物</w:t>
                  </w:r>
                </w:p>
              </w:tc>
              <w:tc>
                <w:tcPr>
                  <w:tcW w:w="660" w:type="pct"/>
                  <w:noWrap w:val="0"/>
                  <w:vAlign w:val="center"/>
                </w:tcPr>
                <w:p w14:paraId="4338B80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治理措施</w:t>
                  </w:r>
                </w:p>
              </w:tc>
              <w:tc>
                <w:tcPr>
                  <w:tcW w:w="422" w:type="pct"/>
                  <w:tcBorders>
                    <w:right w:val="single" w:color="auto" w:sz="4" w:space="0"/>
                  </w:tcBorders>
                  <w:noWrap w:val="0"/>
                  <w:vAlign w:val="center"/>
                </w:tcPr>
                <w:p w14:paraId="2849E9E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水量</w:t>
                  </w:r>
                  <w:r>
                    <w:rPr>
                      <w:rFonts w:hint="default" w:ascii="Times New Roman" w:hAnsi="Times New Roman" w:cs="Times New Roman"/>
                      <w:smallCaps w:val="0"/>
                      <w:color w:val="auto"/>
                      <w:spacing w:val="0"/>
                      <w:sz w:val="21"/>
                      <w:szCs w:val="21"/>
                      <w:highlight w:val="none"/>
                      <w:lang w:val="en-US" w:eastAsia="zh-CN"/>
                    </w:rPr>
                    <w:t>m</w:t>
                  </w:r>
                  <w:r>
                    <w:rPr>
                      <w:rFonts w:hint="default" w:ascii="Times New Roman" w:hAnsi="Times New Roman" w:cs="Times New Roman"/>
                      <w:smallCaps w:val="0"/>
                      <w:color w:val="auto"/>
                      <w:spacing w:val="0"/>
                      <w:sz w:val="21"/>
                      <w:szCs w:val="21"/>
                      <w:highlight w:val="none"/>
                      <w:vertAlign w:val="superscript"/>
                      <w:lang w:val="en-US" w:eastAsia="zh-CN"/>
                    </w:rPr>
                    <w:t>3</w:t>
                  </w:r>
                  <w:r>
                    <w:rPr>
                      <w:rFonts w:hint="default" w:ascii="Times New Roman" w:hAnsi="Times New Roman" w:cs="Times New Roman"/>
                      <w:smallCaps w:val="0"/>
                      <w:color w:val="auto"/>
                      <w:spacing w:val="0"/>
                      <w:sz w:val="21"/>
                      <w:szCs w:val="21"/>
                      <w:highlight w:val="none"/>
                      <w:lang w:val="en-US" w:eastAsia="zh-CN"/>
                    </w:rPr>
                    <w:t>/</w:t>
                  </w:r>
                  <w:r>
                    <w:rPr>
                      <w:rFonts w:hint="eastAsia" w:ascii="Times New Roman" w:hAnsi="Times New Roman" w:cs="Times New Roman"/>
                      <w:smallCaps w:val="0"/>
                      <w:color w:val="auto"/>
                      <w:spacing w:val="0"/>
                      <w:sz w:val="21"/>
                      <w:szCs w:val="21"/>
                      <w:highlight w:val="none"/>
                      <w:lang w:val="en-US" w:eastAsia="zh-CN"/>
                    </w:rPr>
                    <w:t>d</w:t>
                  </w:r>
                </w:p>
              </w:tc>
              <w:tc>
                <w:tcPr>
                  <w:tcW w:w="550" w:type="pct"/>
                  <w:tcBorders>
                    <w:left w:val="single" w:color="auto" w:sz="4" w:space="0"/>
                  </w:tcBorders>
                  <w:noWrap w:val="0"/>
                  <w:vAlign w:val="center"/>
                </w:tcPr>
                <w:p w14:paraId="72A49F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rPr>
                  </w:pPr>
                  <w:r>
                    <w:rPr>
                      <w:rFonts w:hint="eastAsia" w:cs="Times New Roman"/>
                      <w:smallCaps w:val="0"/>
                      <w:color w:val="auto"/>
                      <w:spacing w:val="0"/>
                      <w:sz w:val="21"/>
                      <w:szCs w:val="21"/>
                      <w:highlight w:val="none"/>
                      <w:lang w:val="en-US" w:eastAsia="zh-CN"/>
                    </w:rPr>
                    <w:t>检测值</w:t>
                  </w:r>
                  <w:r>
                    <w:rPr>
                      <w:rFonts w:hint="eastAsia" w:cs="Times New Roman"/>
                      <w:i w:val="0"/>
                      <w:iCs w:val="0"/>
                      <w:color w:val="auto"/>
                      <w:kern w:val="0"/>
                      <w:sz w:val="21"/>
                      <w:szCs w:val="21"/>
                      <w:highlight w:val="none"/>
                      <w:u w:val="none"/>
                      <w:lang w:val="en-US" w:eastAsia="zh-CN" w:bidi="ar"/>
                    </w:rPr>
                    <w:t>mg/L</w:t>
                  </w:r>
                </w:p>
              </w:tc>
              <w:tc>
                <w:tcPr>
                  <w:tcW w:w="550" w:type="pct"/>
                  <w:noWrap w:val="0"/>
                  <w:vAlign w:val="center"/>
                </w:tcPr>
                <w:p w14:paraId="3B05CF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rPr>
                  </w:pPr>
                  <w:r>
                    <w:rPr>
                      <w:rFonts w:hint="default" w:ascii="Times New Roman" w:hAnsi="Times New Roman" w:cs="Times New Roman"/>
                      <w:smallCaps w:val="0"/>
                      <w:color w:val="auto"/>
                      <w:spacing w:val="0"/>
                      <w:sz w:val="21"/>
                      <w:szCs w:val="21"/>
                      <w:highlight w:val="none"/>
                    </w:rPr>
                    <w:t>标准限值</w:t>
                  </w:r>
                  <w:r>
                    <w:rPr>
                      <w:rFonts w:hint="eastAsia" w:cs="Times New Roman"/>
                      <w:i w:val="0"/>
                      <w:iCs w:val="0"/>
                      <w:color w:val="auto"/>
                      <w:kern w:val="0"/>
                      <w:sz w:val="21"/>
                      <w:szCs w:val="21"/>
                      <w:highlight w:val="none"/>
                      <w:u w:val="none"/>
                      <w:lang w:val="en-US" w:eastAsia="zh-CN" w:bidi="ar"/>
                    </w:rPr>
                    <w:t>mg/L</w:t>
                  </w:r>
                </w:p>
              </w:tc>
              <w:tc>
                <w:tcPr>
                  <w:tcW w:w="1164" w:type="pct"/>
                  <w:noWrap w:val="0"/>
                  <w:vAlign w:val="center"/>
                </w:tcPr>
                <w:p w14:paraId="5209C9F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执行标准</w:t>
                  </w:r>
                </w:p>
              </w:tc>
              <w:tc>
                <w:tcPr>
                  <w:tcW w:w="352" w:type="pct"/>
                  <w:noWrap w:val="0"/>
                  <w:vAlign w:val="center"/>
                </w:tcPr>
                <w:p w14:paraId="2D5330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达标情况</w:t>
                  </w:r>
                </w:p>
              </w:tc>
            </w:tr>
            <w:tr w14:paraId="6615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38" w:hRule="exact"/>
              </w:trPr>
              <w:tc>
                <w:tcPr>
                  <w:tcW w:w="191" w:type="pct"/>
                  <w:vMerge w:val="restart"/>
                  <w:noWrap w:val="0"/>
                  <w:vAlign w:val="center"/>
                </w:tcPr>
                <w:p w14:paraId="7EBEFE2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废水</w:t>
                  </w:r>
                </w:p>
              </w:tc>
              <w:tc>
                <w:tcPr>
                  <w:tcW w:w="443" w:type="pct"/>
                  <w:vMerge w:val="restart"/>
                  <w:noWrap w:val="0"/>
                  <w:vAlign w:val="center"/>
                </w:tcPr>
                <w:p w14:paraId="26AF7E2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职工生活污水</w:t>
                  </w:r>
                </w:p>
              </w:tc>
              <w:tc>
                <w:tcPr>
                  <w:tcW w:w="664" w:type="pct"/>
                  <w:tcBorders>
                    <w:bottom w:val="single" w:color="auto" w:sz="4" w:space="0"/>
                  </w:tcBorders>
                  <w:noWrap w:val="0"/>
                  <w:vAlign w:val="center"/>
                </w:tcPr>
                <w:p w14:paraId="473C505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SS</w:t>
                  </w:r>
                </w:p>
              </w:tc>
              <w:tc>
                <w:tcPr>
                  <w:tcW w:w="660" w:type="pct"/>
                  <w:vMerge w:val="restart"/>
                  <w:noWrap w:val="0"/>
                  <w:vAlign w:val="center"/>
                </w:tcPr>
                <w:p w14:paraId="67EC05F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集成式生物化粪池</w:t>
                  </w:r>
                </w:p>
              </w:tc>
              <w:tc>
                <w:tcPr>
                  <w:tcW w:w="422" w:type="pct"/>
                  <w:vMerge w:val="restart"/>
                  <w:tcBorders>
                    <w:right w:val="single" w:color="auto" w:sz="4" w:space="0"/>
                  </w:tcBorders>
                  <w:noWrap w:val="0"/>
                  <w:vAlign w:val="center"/>
                </w:tcPr>
                <w:p w14:paraId="2F8034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0.64</w:t>
                  </w:r>
                </w:p>
              </w:tc>
              <w:tc>
                <w:tcPr>
                  <w:tcW w:w="550" w:type="pct"/>
                  <w:tcBorders>
                    <w:left w:val="single" w:color="auto" w:sz="4" w:space="0"/>
                    <w:bottom w:val="single" w:color="auto" w:sz="4" w:space="0"/>
                  </w:tcBorders>
                  <w:noWrap w:val="0"/>
                  <w:vAlign w:val="center"/>
                </w:tcPr>
                <w:p w14:paraId="4EFB68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32</w:t>
                  </w:r>
                </w:p>
              </w:tc>
              <w:tc>
                <w:tcPr>
                  <w:tcW w:w="550" w:type="pct"/>
                  <w:tcBorders>
                    <w:bottom w:val="single" w:color="auto" w:sz="4" w:space="0"/>
                  </w:tcBorders>
                  <w:noWrap w:val="0"/>
                  <w:vAlign w:val="center"/>
                </w:tcPr>
                <w:p w14:paraId="2E82256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100</w:t>
                  </w:r>
                </w:p>
              </w:tc>
              <w:tc>
                <w:tcPr>
                  <w:tcW w:w="1164" w:type="pct"/>
                  <w:vMerge w:val="restart"/>
                  <w:noWrap w:val="0"/>
                  <w:vAlign w:val="center"/>
                </w:tcPr>
                <w:p w14:paraId="294238E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《污水综合排放标准》（GB8978-1996）表4三级标准及绿源污水处理有限公司协议标准要求</w:t>
                  </w:r>
                </w:p>
              </w:tc>
              <w:tc>
                <w:tcPr>
                  <w:tcW w:w="352" w:type="pct"/>
                  <w:tcBorders>
                    <w:bottom w:val="single" w:color="auto" w:sz="4" w:space="0"/>
                  </w:tcBorders>
                  <w:noWrap w:val="0"/>
                  <w:vAlign w:val="center"/>
                </w:tcPr>
                <w:p w14:paraId="3967FC8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r w14:paraId="541A7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38" w:hRule="exact"/>
              </w:trPr>
              <w:tc>
                <w:tcPr>
                  <w:tcW w:w="191" w:type="pct"/>
                  <w:vMerge w:val="continue"/>
                  <w:noWrap w:val="0"/>
                  <w:vAlign w:val="center"/>
                </w:tcPr>
                <w:p w14:paraId="6ECD78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0776A86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bottom w:val="single" w:color="auto" w:sz="4" w:space="0"/>
                  </w:tcBorders>
                  <w:noWrap w:val="0"/>
                  <w:vAlign w:val="center"/>
                </w:tcPr>
                <w:p w14:paraId="0026B3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氨氮</w:t>
                  </w:r>
                </w:p>
              </w:tc>
              <w:tc>
                <w:tcPr>
                  <w:tcW w:w="660" w:type="pct"/>
                  <w:vMerge w:val="continue"/>
                  <w:noWrap w:val="0"/>
                  <w:vAlign w:val="center"/>
                </w:tcPr>
                <w:p w14:paraId="334497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422" w:type="pct"/>
                  <w:vMerge w:val="continue"/>
                  <w:tcBorders>
                    <w:right w:val="single" w:color="auto" w:sz="4" w:space="0"/>
                  </w:tcBorders>
                  <w:noWrap w:val="0"/>
                  <w:vAlign w:val="center"/>
                </w:tcPr>
                <w:p w14:paraId="1D658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550" w:type="pct"/>
                  <w:tcBorders>
                    <w:top w:val="single" w:color="auto" w:sz="4" w:space="0"/>
                    <w:left w:val="single" w:color="auto" w:sz="4" w:space="0"/>
                    <w:bottom w:val="single" w:color="auto" w:sz="4" w:space="0"/>
                  </w:tcBorders>
                  <w:noWrap w:val="0"/>
                  <w:vAlign w:val="center"/>
                </w:tcPr>
                <w:p w14:paraId="41488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4.88</w:t>
                  </w:r>
                </w:p>
              </w:tc>
              <w:tc>
                <w:tcPr>
                  <w:tcW w:w="550" w:type="pct"/>
                  <w:tcBorders>
                    <w:top w:val="single" w:color="auto" w:sz="4" w:space="0"/>
                    <w:bottom w:val="single" w:color="auto" w:sz="4" w:space="0"/>
                  </w:tcBorders>
                  <w:noWrap w:val="0"/>
                  <w:vAlign w:val="center"/>
                </w:tcPr>
                <w:p w14:paraId="6BFCA1C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25</w:t>
                  </w:r>
                </w:p>
              </w:tc>
              <w:tc>
                <w:tcPr>
                  <w:tcW w:w="1164" w:type="pct"/>
                  <w:vMerge w:val="continue"/>
                  <w:noWrap w:val="0"/>
                  <w:vAlign w:val="center"/>
                </w:tcPr>
                <w:p w14:paraId="17D5CA29">
                  <w:pPr>
                    <w:keepNext w:val="0"/>
                    <w:keepLines w:val="0"/>
                    <w:suppressLineNumbers w:val="0"/>
                    <w:spacing w:before="0" w:beforeAutospacing="0" w:after="0" w:afterAutospacing="0" w:line="360" w:lineRule="exact"/>
                    <w:ind w:left="0" w:right="0"/>
                    <w:jc w:val="center"/>
                    <w:rPr>
                      <w:rFonts w:hint="eastAsia" w:cs="Times New Roman"/>
                      <w:smallCaps w:val="0"/>
                      <w:color w:val="auto"/>
                      <w:spacing w:val="0"/>
                      <w:sz w:val="21"/>
                      <w:szCs w:val="21"/>
                      <w:highlight w:val="none"/>
                      <w:lang w:val="en-US" w:eastAsia="zh-CN"/>
                    </w:rPr>
                  </w:pPr>
                </w:p>
              </w:tc>
              <w:tc>
                <w:tcPr>
                  <w:tcW w:w="352" w:type="pct"/>
                  <w:tcBorders>
                    <w:top w:val="single" w:color="auto" w:sz="4" w:space="0"/>
                  </w:tcBorders>
                  <w:noWrap w:val="0"/>
                  <w:vAlign w:val="center"/>
                </w:tcPr>
                <w:p w14:paraId="77349B8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r w14:paraId="43509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38" w:hRule="exact"/>
              </w:trPr>
              <w:tc>
                <w:tcPr>
                  <w:tcW w:w="191" w:type="pct"/>
                  <w:vMerge w:val="continue"/>
                  <w:noWrap w:val="0"/>
                  <w:vAlign w:val="center"/>
                </w:tcPr>
                <w:p w14:paraId="6C52AB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0932ABD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bottom w:val="single" w:color="auto" w:sz="4" w:space="0"/>
                  </w:tcBorders>
                  <w:noWrap w:val="0"/>
                  <w:vAlign w:val="center"/>
                </w:tcPr>
                <w:p w14:paraId="77E421C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COD</w:t>
                  </w:r>
                </w:p>
              </w:tc>
              <w:tc>
                <w:tcPr>
                  <w:tcW w:w="660" w:type="pct"/>
                  <w:vMerge w:val="continue"/>
                  <w:noWrap w:val="0"/>
                  <w:vAlign w:val="center"/>
                </w:tcPr>
                <w:p w14:paraId="6BD986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422" w:type="pct"/>
                  <w:vMerge w:val="continue"/>
                  <w:tcBorders>
                    <w:right w:val="single" w:color="auto" w:sz="4" w:space="0"/>
                  </w:tcBorders>
                  <w:noWrap w:val="0"/>
                  <w:vAlign w:val="center"/>
                </w:tcPr>
                <w:p w14:paraId="3AFD82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550" w:type="pct"/>
                  <w:tcBorders>
                    <w:top w:val="single" w:color="auto" w:sz="4" w:space="0"/>
                    <w:left w:val="single" w:color="auto" w:sz="4" w:space="0"/>
                    <w:bottom w:val="single" w:color="auto" w:sz="4" w:space="0"/>
                  </w:tcBorders>
                  <w:noWrap w:val="0"/>
                  <w:vAlign w:val="center"/>
                </w:tcPr>
                <w:p w14:paraId="5045D9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124</w:t>
                  </w:r>
                </w:p>
              </w:tc>
              <w:tc>
                <w:tcPr>
                  <w:tcW w:w="550" w:type="pct"/>
                  <w:tcBorders>
                    <w:top w:val="single" w:color="auto" w:sz="4" w:space="0"/>
                    <w:bottom w:val="single" w:color="auto" w:sz="4" w:space="0"/>
                  </w:tcBorders>
                  <w:noWrap w:val="0"/>
                  <w:vAlign w:val="center"/>
                </w:tcPr>
                <w:p w14:paraId="51F32AE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240</w:t>
                  </w:r>
                </w:p>
              </w:tc>
              <w:tc>
                <w:tcPr>
                  <w:tcW w:w="1164" w:type="pct"/>
                  <w:vMerge w:val="continue"/>
                  <w:noWrap w:val="0"/>
                  <w:vAlign w:val="center"/>
                </w:tcPr>
                <w:p w14:paraId="689D1F05">
                  <w:pPr>
                    <w:keepNext w:val="0"/>
                    <w:keepLines w:val="0"/>
                    <w:suppressLineNumbers w:val="0"/>
                    <w:spacing w:before="0" w:beforeAutospacing="0" w:after="0" w:afterAutospacing="0" w:line="360" w:lineRule="exact"/>
                    <w:ind w:left="0" w:right="0"/>
                    <w:jc w:val="center"/>
                    <w:rPr>
                      <w:rFonts w:hint="eastAsia" w:cs="Times New Roman"/>
                      <w:smallCaps w:val="0"/>
                      <w:color w:val="auto"/>
                      <w:spacing w:val="0"/>
                      <w:sz w:val="21"/>
                      <w:szCs w:val="21"/>
                      <w:highlight w:val="none"/>
                      <w:lang w:val="en-US" w:eastAsia="zh-CN"/>
                    </w:rPr>
                  </w:pPr>
                </w:p>
              </w:tc>
              <w:tc>
                <w:tcPr>
                  <w:tcW w:w="352" w:type="pct"/>
                  <w:noWrap w:val="0"/>
                  <w:vAlign w:val="center"/>
                </w:tcPr>
                <w:p w14:paraId="44A86E9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r w14:paraId="2BE39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38" w:hRule="exact"/>
              </w:trPr>
              <w:tc>
                <w:tcPr>
                  <w:tcW w:w="191" w:type="pct"/>
                  <w:vMerge w:val="continue"/>
                  <w:noWrap w:val="0"/>
                  <w:vAlign w:val="center"/>
                </w:tcPr>
                <w:p w14:paraId="01C4C8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443" w:type="pct"/>
                  <w:vMerge w:val="continue"/>
                  <w:noWrap w:val="0"/>
                  <w:vAlign w:val="center"/>
                </w:tcPr>
                <w:p w14:paraId="4AADC2F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smallCaps w:val="0"/>
                      <w:color w:val="auto"/>
                      <w:spacing w:val="0"/>
                      <w:sz w:val="21"/>
                      <w:szCs w:val="21"/>
                      <w:highlight w:val="none"/>
                      <w:lang w:val="en-US" w:eastAsia="zh-CN"/>
                    </w:rPr>
                  </w:pPr>
                </w:p>
              </w:tc>
              <w:tc>
                <w:tcPr>
                  <w:tcW w:w="664" w:type="pct"/>
                  <w:tcBorders>
                    <w:top w:val="single" w:color="auto" w:sz="4" w:space="0"/>
                  </w:tcBorders>
                  <w:noWrap w:val="0"/>
                  <w:vAlign w:val="center"/>
                </w:tcPr>
                <w:p w14:paraId="1A92E1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eastAsia" w:ascii="Times New Roman" w:hAnsi="Times New Roman" w:cs="Times New Roman"/>
                      <w:smallCaps w:val="0"/>
                      <w:color w:val="auto"/>
                      <w:spacing w:val="0"/>
                      <w:sz w:val="21"/>
                      <w:szCs w:val="21"/>
                      <w:highlight w:val="none"/>
                      <w:lang w:val="en-US" w:eastAsia="zh-CN"/>
                    </w:rPr>
                    <w:t>BOD</w:t>
                  </w:r>
                  <w:r>
                    <w:rPr>
                      <w:rFonts w:hint="eastAsia" w:ascii="Times New Roman" w:hAnsi="Times New Roman" w:cs="Times New Roman"/>
                      <w:smallCaps w:val="0"/>
                      <w:color w:val="auto"/>
                      <w:spacing w:val="0"/>
                      <w:sz w:val="21"/>
                      <w:szCs w:val="21"/>
                      <w:highlight w:val="none"/>
                      <w:vertAlign w:val="subscript"/>
                      <w:lang w:val="en-US" w:eastAsia="zh-CN"/>
                    </w:rPr>
                    <w:t>5</w:t>
                  </w:r>
                </w:p>
              </w:tc>
              <w:tc>
                <w:tcPr>
                  <w:tcW w:w="660" w:type="pct"/>
                  <w:vMerge w:val="continue"/>
                  <w:noWrap w:val="0"/>
                  <w:vAlign w:val="center"/>
                </w:tcPr>
                <w:p w14:paraId="67286B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422" w:type="pct"/>
                  <w:vMerge w:val="continue"/>
                  <w:tcBorders>
                    <w:right w:val="single" w:color="auto" w:sz="4" w:space="0"/>
                  </w:tcBorders>
                  <w:noWrap w:val="0"/>
                  <w:vAlign w:val="center"/>
                </w:tcPr>
                <w:p w14:paraId="18430A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550" w:type="pct"/>
                  <w:tcBorders>
                    <w:top w:val="single" w:color="auto" w:sz="4" w:space="0"/>
                    <w:left w:val="single" w:color="auto" w:sz="4" w:space="0"/>
                    <w:bottom w:val="single" w:color="auto" w:sz="4" w:space="0"/>
                  </w:tcBorders>
                  <w:noWrap w:val="0"/>
                  <w:vAlign w:val="center"/>
                </w:tcPr>
                <w:p w14:paraId="1CFD19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34.4</w:t>
                  </w:r>
                </w:p>
              </w:tc>
              <w:tc>
                <w:tcPr>
                  <w:tcW w:w="550" w:type="pct"/>
                  <w:tcBorders>
                    <w:top w:val="single" w:color="auto" w:sz="4" w:space="0"/>
                    <w:bottom w:val="single" w:color="auto" w:sz="4" w:space="0"/>
                  </w:tcBorders>
                  <w:noWrap w:val="0"/>
                  <w:vAlign w:val="center"/>
                </w:tcPr>
                <w:p w14:paraId="03A9A7F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100</w:t>
                  </w:r>
                </w:p>
              </w:tc>
              <w:tc>
                <w:tcPr>
                  <w:tcW w:w="1164" w:type="pct"/>
                  <w:vMerge w:val="continue"/>
                  <w:noWrap w:val="0"/>
                  <w:vAlign w:val="center"/>
                </w:tcPr>
                <w:p w14:paraId="13DF8DF6">
                  <w:pPr>
                    <w:keepNext w:val="0"/>
                    <w:keepLines w:val="0"/>
                    <w:suppressLineNumbers w:val="0"/>
                    <w:spacing w:before="0" w:beforeAutospacing="0" w:after="0" w:afterAutospacing="0" w:line="360" w:lineRule="exact"/>
                    <w:ind w:left="0" w:right="0"/>
                    <w:jc w:val="center"/>
                    <w:rPr>
                      <w:rFonts w:hint="eastAsia" w:cs="Times New Roman"/>
                      <w:smallCaps w:val="0"/>
                      <w:color w:val="auto"/>
                      <w:spacing w:val="0"/>
                      <w:sz w:val="21"/>
                      <w:szCs w:val="21"/>
                      <w:highlight w:val="none"/>
                      <w:lang w:val="en-US" w:eastAsia="zh-CN"/>
                    </w:rPr>
                  </w:pPr>
                </w:p>
              </w:tc>
              <w:tc>
                <w:tcPr>
                  <w:tcW w:w="352" w:type="pct"/>
                  <w:noWrap w:val="0"/>
                  <w:vAlign w:val="center"/>
                </w:tcPr>
                <w:p w14:paraId="364DDE3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bl>
          <w:p w14:paraId="6A2EA90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噪声：</w:t>
            </w:r>
            <w:r>
              <w:rPr>
                <w:rFonts w:hint="eastAsia" w:ascii="Times New Roman" w:hAnsi="Times New Roman" w:cs="Times New Roman"/>
                <w:smallCaps w:val="0"/>
                <w:color w:val="auto"/>
                <w:spacing w:val="0"/>
                <w:highlight w:val="none"/>
                <w:lang w:val="en-US" w:eastAsia="zh-CN"/>
              </w:rPr>
              <w:t>噪声主要为生产设备运转时产生的噪声，通过采取选用低噪声设备、基础减振、厂房隔声等措施降噪</w:t>
            </w:r>
            <w:r>
              <w:rPr>
                <w:rFonts w:hint="default" w:ascii="Times New Roman" w:hAnsi="Times New Roman" w:cs="Times New Roman"/>
                <w:smallCaps w:val="0"/>
                <w:color w:val="auto"/>
                <w:spacing w:val="0"/>
                <w:highlight w:val="none"/>
              </w:rPr>
              <w:t>。</w:t>
            </w:r>
          </w:p>
          <w:p w14:paraId="4E883800">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9</w:t>
            </w:r>
            <w:r>
              <w:rPr>
                <w:rFonts w:hint="default" w:ascii="Times New Roman" w:hAnsi="Times New Roman" w:eastAsia="宋体" w:cs="Times New Roman"/>
                <w:b/>
                <w:smallCaps w:val="0"/>
                <w:color w:val="auto"/>
                <w:spacing w:val="0"/>
                <w:highlight w:val="none"/>
              </w:rPr>
              <w:t xml:space="preserve">   项目所在厂区</w:t>
            </w:r>
            <w:r>
              <w:rPr>
                <w:rFonts w:hint="default" w:ascii="Times New Roman" w:hAnsi="Times New Roman" w:eastAsia="宋体" w:cs="Times New Roman"/>
                <w:b/>
                <w:smallCaps w:val="0"/>
                <w:color w:val="auto"/>
                <w:spacing w:val="0"/>
                <w:highlight w:val="none"/>
                <w:lang w:val="en-US" w:eastAsia="zh-CN"/>
              </w:rPr>
              <w:t>噪声检测结果</w:t>
            </w:r>
            <w:r>
              <w:rPr>
                <w:rFonts w:hint="default" w:ascii="Times New Roman" w:hAnsi="Times New Roman" w:eastAsia="宋体" w:cs="Times New Roman"/>
                <w:b/>
                <w:smallCaps w:val="0"/>
                <w:color w:val="auto"/>
                <w:spacing w:val="0"/>
                <w:highlight w:val="none"/>
              </w:rPr>
              <w:t>一览表</w:t>
            </w:r>
          </w:p>
          <w:tbl>
            <w:tblPr>
              <w:tblStyle w:val="4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48"/>
              <w:gridCol w:w="571"/>
              <w:gridCol w:w="1572"/>
              <w:gridCol w:w="1579"/>
              <w:gridCol w:w="769"/>
              <w:gridCol w:w="1737"/>
              <w:gridCol w:w="583"/>
            </w:tblGrid>
            <w:tr w14:paraId="7F943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70" w:hRule="exact"/>
              </w:trPr>
              <w:tc>
                <w:tcPr>
                  <w:tcW w:w="1176" w:type="pct"/>
                  <w:gridSpan w:val="2"/>
                  <w:vMerge w:val="restart"/>
                  <w:noWrap w:val="0"/>
                  <w:vAlign w:val="center"/>
                </w:tcPr>
                <w:p w14:paraId="215196D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检测时间</w:t>
                  </w:r>
                </w:p>
              </w:tc>
              <w:tc>
                <w:tcPr>
                  <w:tcW w:w="1930" w:type="pct"/>
                  <w:gridSpan w:val="2"/>
                  <w:tcBorders>
                    <w:bottom w:val="single" w:color="auto" w:sz="4" w:space="0"/>
                  </w:tcBorders>
                  <w:noWrap w:val="0"/>
                  <w:vAlign w:val="center"/>
                </w:tcPr>
                <w:p w14:paraId="7B4E7E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lang w:val="en-US" w:eastAsia="zh-CN"/>
                    </w:rPr>
                    <w:t>检测点位dB(A)</w:t>
                  </w:r>
                </w:p>
              </w:tc>
              <w:tc>
                <w:tcPr>
                  <w:tcW w:w="471" w:type="pct"/>
                  <w:vMerge w:val="restart"/>
                  <w:noWrap w:val="0"/>
                  <w:vAlign w:val="center"/>
                </w:tcPr>
                <w:p w14:paraId="008BB63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rPr>
                    <w:t>标准限值</w:t>
                  </w:r>
                  <w:r>
                    <w:rPr>
                      <w:rFonts w:hint="default" w:ascii="Times New Roman" w:hAnsi="Times New Roman" w:cs="Times New Roman"/>
                      <w:smallCaps w:val="0"/>
                      <w:color w:val="auto"/>
                      <w:spacing w:val="0"/>
                      <w:sz w:val="21"/>
                      <w:szCs w:val="21"/>
                      <w:highlight w:val="none"/>
                      <w:lang w:val="en-US" w:eastAsia="zh-CN"/>
                    </w:rPr>
                    <w:t>dB(A)</w:t>
                  </w:r>
                </w:p>
              </w:tc>
              <w:tc>
                <w:tcPr>
                  <w:tcW w:w="1064" w:type="pct"/>
                  <w:vMerge w:val="restart"/>
                  <w:noWrap w:val="0"/>
                  <w:vAlign w:val="center"/>
                </w:tcPr>
                <w:p w14:paraId="7C77F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执行标准</w:t>
                  </w:r>
                </w:p>
              </w:tc>
              <w:tc>
                <w:tcPr>
                  <w:tcW w:w="357" w:type="pct"/>
                  <w:vMerge w:val="restart"/>
                  <w:noWrap w:val="0"/>
                  <w:vAlign w:val="center"/>
                </w:tcPr>
                <w:p w14:paraId="3DE9EC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达标</w:t>
                  </w:r>
                </w:p>
                <w:p w14:paraId="7FB0A2F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情况</w:t>
                  </w:r>
                </w:p>
              </w:tc>
            </w:tr>
            <w:tr w14:paraId="55C10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7" w:hRule="exact"/>
              </w:trPr>
              <w:tc>
                <w:tcPr>
                  <w:tcW w:w="1176" w:type="pct"/>
                  <w:gridSpan w:val="2"/>
                  <w:vMerge w:val="continue"/>
                  <w:noWrap w:val="0"/>
                  <w:vAlign w:val="center"/>
                </w:tcPr>
                <w:p w14:paraId="391D80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lang w:val="en-US" w:eastAsia="zh-CN"/>
                    </w:rPr>
                  </w:pPr>
                </w:p>
              </w:tc>
              <w:tc>
                <w:tcPr>
                  <w:tcW w:w="963" w:type="pct"/>
                  <w:tcBorders>
                    <w:top w:val="single" w:color="auto" w:sz="4" w:space="0"/>
                  </w:tcBorders>
                  <w:noWrap w:val="0"/>
                  <w:vAlign w:val="center"/>
                </w:tcPr>
                <w:p w14:paraId="713C757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南厂界</w:t>
                  </w:r>
                </w:p>
              </w:tc>
              <w:tc>
                <w:tcPr>
                  <w:tcW w:w="967" w:type="pct"/>
                  <w:tcBorders>
                    <w:top w:val="single" w:color="auto" w:sz="4" w:space="0"/>
                  </w:tcBorders>
                  <w:noWrap w:val="0"/>
                  <w:vAlign w:val="center"/>
                </w:tcPr>
                <w:p w14:paraId="4D8810E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西厂界</w:t>
                  </w:r>
                </w:p>
              </w:tc>
              <w:tc>
                <w:tcPr>
                  <w:tcW w:w="471" w:type="pct"/>
                  <w:vMerge w:val="continue"/>
                  <w:noWrap w:val="0"/>
                  <w:vAlign w:val="center"/>
                </w:tcPr>
                <w:p w14:paraId="1AFC2B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c>
                <w:tcPr>
                  <w:tcW w:w="1064" w:type="pct"/>
                  <w:vMerge w:val="continue"/>
                  <w:noWrap w:val="0"/>
                  <w:vAlign w:val="center"/>
                </w:tcPr>
                <w:p w14:paraId="2470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mallCaps w:val="0"/>
                      <w:color w:val="auto"/>
                      <w:spacing w:val="0"/>
                      <w:sz w:val="21"/>
                      <w:szCs w:val="21"/>
                      <w:highlight w:val="none"/>
                    </w:rPr>
                  </w:pPr>
                </w:p>
              </w:tc>
              <w:tc>
                <w:tcPr>
                  <w:tcW w:w="357" w:type="pct"/>
                  <w:vMerge w:val="continue"/>
                  <w:noWrap w:val="0"/>
                  <w:vAlign w:val="center"/>
                </w:tcPr>
                <w:p w14:paraId="4B55195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sz w:val="21"/>
                      <w:szCs w:val="21"/>
                      <w:highlight w:val="none"/>
                    </w:rPr>
                  </w:pPr>
                </w:p>
              </w:tc>
            </w:tr>
            <w:tr w14:paraId="66486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1350" w:hRule="exact"/>
              </w:trPr>
              <w:tc>
                <w:tcPr>
                  <w:tcW w:w="826" w:type="pct"/>
                  <w:noWrap w:val="0"/>
                  <w:vAlign w:val="center"/>
                </w:tcPr>
                <w:p w14:paraId="6126276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2025.4.23</w:t>
                  </w:r>
                </w:p>
              </w:tc>
              <w:tc>
                <w:tcPr>
                  <w:tcW w:w="349" w:type="pct"/>
                  <w:noWrap w:val="0"/>
                  <w:vAlign w:val="center"/>
                </w:tcPr>
                <w:p w14:paraId="2855D40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昼间</w:t>
                  </w:r>
                </w:p>
              </w:tc>
              <w:tc>
                <w:tcPr>
                  <w:tcW w:w="963" w:type="pct"/>
                  <w:shd w:val="clear" w:color="auto" w:fill="auto"/>
                  <w:noWrap w:val="0"/>
                  <w:vAlign w:val="center"/>
                </w:tcPr>
                <w:p w14:paraId="2D0BF8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heme="minorBidi"/>
                      <w:color w:val="auto"/>
                      <w:kern w:val="2"/>
                      <w:sz w:val="21"/>
                      <w:szCs w:val="22"/>
                      <w:highlight w:val="none"/>
                      <w:lang w:val="en-US" w:eastAsia="zh-CN" w:bidi="ar-SA"/>
                    </w:rPr>
                  </w:pPr>
                  <w:r>
                    <w:rPr>
                      <w:rFonts w:hint="eastAsia" w:ascii="Times New Roman" w:hAnsi="Times New Roman" w:eastAsia="宋体" w:cstheme="minorBidi"/>
                      <w:color w:val="auto"/>
                      <w:kern w:val="2"/>
                      <w:sz w:val="21"/>
                      <w:szCs w:val="22"/>
                      <w:highlight w:val="none"/>
                      <w:lang w:val="en-US" w:eastAsia="zh-CN" w:bidi="ar-SA"/>
                    </w:rPr>
                    <w:t>62.8</w:t>
                  </w:r>
                </w:p>
              </w:tc>
              <w:tc>
                <w:tcPr>
                  <w:tcW w:w="967" w:type="pct"/>
                  <w:shd w:val="clear" w:color="auto" w:fill="auto"/>
                  <w:noWrap w:val="0"/>
                  <w:vAlign w:val="center"/>
                </w:tcPr>
                <w:p w14:paraId="66DB42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heme="minorBidi"/>
                      <w:color w:val="auto"/>
                      <w:kern w:val="2"/>
                      <w:sz w:val="21"/>
                      <w:szCs w:val="22"/>
                      <w:highlight w:val="none"/>
                      <w:lang w:val="en-US" w:eastAsia="zh-CN" w:bidi="ar-SA"/>
                    </w:rPr>
                  </w:pPr>
                  <w:r>
                    <w:rPr>
                      <w:rFonts w:hint="eastAsia" w:ascii="Times New Roman" w:hAnsi="Times New Roman" w:eastAsia="宋体" w:cstheme="minorBidi"/>
                      <w:color w:val="auto"/>
                      <w:kern w:val="2"/>
                      <w:sz w:val="21"/>
                      <w:szCs w:val="22"/>
                      <w:highlight w:val="none"/>
                      <w:lang w:val="en-US" w:eastAsia="zh-CN" w:bidi="ar-SA"/>
                    </w:rPr>
                    <w:t>61.5</w:t>
                  </w:r>
                </w:p>
              </w:tc>
              <w:tc>
                <w:tcPr>
                  <w:tcW w:w="471" w:type="pct"/>
                  <w:noWrap w:val="0"/>
                  <w:vAlign w:val="center"/>
                </w:tcPr>
                <w:p w14:paraId="7502D6A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65</w:t>
                  </w:r>
                </w:p>
              </w:tc>
              <w:tc>
                <w:tcPr>
                  <w:tcW w:w="1064" w:type="pct"/>
                  <w:noWrap w:val="0"/>
                  <w:vAlign w:val="center"/>
                </w:tcPr>
                <w:p w14:paraId="1478D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eastAsia="zh-CN"/>
                    </w:rPr>
                    <w:t>《</w:t>
                  </w:r>
                  <w:r>
                    <w:rPr>
                      <w:rFonts w:hint="default" w:ascii="Times New Roman" w:hAnsi="Times New Roman" w:cs="Times New Roman"/>
                      <w:smallCaps w:val="0"/>
                      <w:color w:val="auto"/>
                      <w:spacing w:val="0"/>
                      <w:sz w:val="21"/>
                      <w:szCs w:val="21"/>
                      <w:highlight w:val="none"/>
                      <w:lang w:val="en-US" w:eastAsia="zh-CN"/>
                    </w:rPr>
                    <w:t>工业企业厂界环境噪声排放标准</w:t>
                  </w:r>
                  <w:r>
                    <w:rPr>
                      <w:rFonts w:hint="default" w:ascii="Times New Roman" w:hAnsi="Times New Roman" w:cs="Times New Roman"/>
                      <w:smallCaps w:val="0"/>
                      <w:color w:val="auto"/>
                      <w:spacing w:val="0"/>
                      <w:sz w:val="21"/>
                      <w:szCs w:val="21"/>
                      <w:highlight w:val="none"/>
                      <w:lang w:eastAsia="zh-CN"/>
                    </w:rPr>
                    <w:t>》（</w:t>
                  </w:r>
                  <w:r>
                    <w:rPr>
                      <w:rFonts w:hint="default" w:ascii="Times New Roman" w:hAnsi="Times New Roman" w:cs="Times New Roman"/>
                      <w:smallCaps w:val="0"/>
                      <w:color w:val="auto"/>
                      <w:spacing w:val="0"/>
                      <w:sz w:val="21"/>
                      <w:szCs w:val="21"/>
                      <w:highlight w:val="none"/>
                      <w:lang w:val="en-US" w:eastAsia="zh-CN"/>
                    </w:rPr>
                    <w:t>GB12348-2008</w:t>
                  </w:r>
                  <w:r>
                    <w:rPr>
                      <w:rFonts w:hint="default" w:ascii="Times New Roman" w:hAnsi="Times New Roman" w:cs="Times New Roman"/>
                      <w:smallCaps w:val="0"/>
                      <w:color w:val="auto"/>
                      <w:spacing w:val="0"/>
                      <w:sz w:val="21"/>
                      <w:szCs w:val="21"/>
                      <w:highlight w:val="none"/>
                      <w:lang w:eastAsia="zh-CN"/>
                    </w:rPr>
                    <w:t>）</w:t>
                  </w:r>
                  <w:r>
                    <w:rPr>
                      <w:rFonts w:hint="default" w:ascii="Times New Roman" w:hAnsi="Times New Roman" w:cs="Times New Roman"/>
                      <w:smallCaps w:val="0"/>
                      <w:color w:val="auto"/>
                      <w:spacing w:val="0"/>
                      <w:sz w:val="21"/>
                      <w:szCs w:val="21"/>
                      <w:highlight w:val="none"/>
                      <w:lang w:val="en-US" w:eastAsia="zh-CN"/>
                    </w:rPr>
                    <w:t>3类标准</w:t>
                  </w:r>
                </w:p>
              </w:tc>
              <w:tc>
                <w:tcPr>
                  <w:tcW w:w="357" w:type="pct"/>
                  <w:noWrap w:val="0"/>
                  <w:vAlign w:val="center"/>
                </w:tcPr>
                <w:p w14:paraId="3E9A3C9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达标</w:t>
                  </w:r>
                </w:p>
              </w:tc>
            </w:tr>
          </w:tbl>
          <w:p w14:paraId="79262464">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注：厂界东、北两侧紧邻其他企业，不具备检测条件。</w:t>
            </w:r>
          </w:p>
          <w:p w14:paraId="5140C89F">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固体废物：现有工程运营期固体废物主要为注塑过程中产生的废边角料</w:t>
            </w:r>
            <w:r>
              <w:rPr>
                <w:rFonts w:hint="eastAsia" w:ascii="Times New Roman" w:hAnsi="Times New Roman" w:cs="Times New Roman"/>
                <w:smallCaps w:val="0"/>
                <w:color w:val="auto"/>
                <w:spacing w:val="0"/>
                <w:highlight w:val="none"/>
                <w:lang w:val="en-US" w:eastAsia="zh-CN"/>
              </w:rPr>
              <w:t>，</w:t>
            </w:r>
            <w:r>
              <w:rPr>
                <w:rFonts w:hint="default" w:ascii="Times New Roman" w:hAnsi="Times New Roman" w:cs="Times New Roman"/>
                <w:smallCaps w:val="0"/>
                <w:color w:val="auto"/>
                <w:spacing w:val="0"/>
                <w:highlight w:val="none"/>
              </w:rPr>
              <w:t>注塑工序产生的不合格产品、原料废包装、除尘灰，电极片生产过程中产生的废金属料、不合格产品、废模具以及其他配套金属零部件生产过程中产生的金属废屑</w:t>
            </w:r>
            <w:r>
              <w:rPr>
                <w:rFonts w:hint="eastAsia" w:ascii="Times New Roman" w:hAnsi="Times New Roman" w:cs="Times New Roman"/>
                <w:smallCaps w:val="0"/>
                <w:color w:val="auto"/>
                <w:spacing w:val="0"/>
                <w:highlight w:val="none"/>
                <w:lang w:eastAsia="zh-CN"/>
              </w:rPr>
              <w:t>，</w:t>
            </w:r>
            <w:r>
              <w:rPr>
                <w:rFonts w:hint="eastAsia" w:ascii="Times New Roman" w:hAnsi="Times New Roman" w:cs="Times New Roman"/>
                <w:smallCaps w:val="0"/>
                <w:color w:val="auto"/>
                <w:spacing w:val="0"/>
                <w:highlight w:val="none"/>
                <w:lang w:val="en-US" w:eastAsia="zh-CN"/>
              </w:rPr>
              <w:t>废</w:t>
            </w:r>
            <w:r>
              <w:rPr>
                <w:rFonts w:hint="default" w:ascii="Times New Roman" w:hAnsi="Times New Roman" w:cs="Times New Roman"/>
                <w:smallCaps w:val="0"/>
                <w:color w:val="auto"/>
                <w:spacing w:val="0"/>
                <w:highlight w:val="none"/>
              </w:rPr>
              <w:t>活性炭、</w:t>
            </w:r>
            <w:r>
              <w:rPr>
                <w:rFonts w:hint="eastAsia" w:ascii="Times New Roman" w:hAnsi="Times New Roman" w:cs="Times New Roman"/>
                <w:smallCaps w:val="0"/>
                <w:color w:val="auto"/>
                <w:spacing w:val="0"/>
                <w:highlight w:val="none"/>
                <w:lang w:val="en-US" w:eastAsia="zh-CN"/>
              </w:rPr>
              <w:t>废</w:t>
            </w:r>
            <w:r>
              <w:rPr>
                <w:rFonts w:hint="default" w:ascii="Times New Roman" w:hAnsi="Times New Roman" w:cs="Times New Roman"/>
                <w:smallCaps w:val="0"/>
                <w:color w:val="auto"/>
                <w:spacing w:val="0"/>
                <w:highlight w:val="none"/>
              </w:rPr>
              <w:t>机油、废切削液</w:t>
            </w:r>
            <w:r>
              <w:rPr>
                <w:rFonts w:hint="eastAsia"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沾油抹布和手套及生活垃圾</w:t>
            </w:r>
            <w:r>
              <w:rPr>
                <w:rFonts w:hint="eastAsia" w:cs="Times New Roman"/>
                <w:smallCaps w:val="0"/>
                <w:color w:val="auto"/>
                <w:spacing w:val="0"/>
                <w:highlight w:val="none"/>
                <w:lang w:eastAsia="zh-CN"/>
              </w:rPr>
              <w:t>。</w:t>
            </w:r>
          </w:p>
          <w:p w14:paraId="22FA430A">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10</w:t>
            </w:r>
            <w:r>
              <w:rPr>
                <w:rFonts w:hint="default" w:ascii="Times New Roman" w:hAnsi="Times New Roman" w:eastAsia="宋体" w:cs="Times New Roman"/>
                <w:b/>
                <w:smallCaps w:val="0"/>
                <w:color w:val="auto"/>
                <w:spacing w:val="0"/>
                <w:highlight w:val="none"/>
              </w:rPr>
              <w:t xml:space="preserve">   </w:t>
            </w:r>
            <w:r>
              <w:rPr>
                <w:rFonts w:hint="eastAsia" w:cs="Times New Roman"/>
                <w:b/>
                <w:smallCaps w:val="0"/>
                <w:color w:val="auto"/>
                <w:spacing w:val="0"/>
                <w:highlight w:val="none"/>
                <w:lang w:val="en-US" w:eastAsia="zh-CN"/>
              </w:rPr>
              <w:t>现有固体废物产生</w:t>
            </w:r>
            <w:r>
              <w:rPr>
                <w:rFonts w:hint="default" w:ascii="Times New Roman" w:hAnsi="Times New Roman" w:eastAsia="宋体" w:cs="Times New Roman"/>
                <w:b/>
                <w:smallCaps w:val="0"/>
                <w:color w:val="auto"/>
                <w:spacing w:val="0"/>
                <w:highlight w:val="none"/>
              </w:rPr>
              <w:t>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883"/>
              <w:gridCol w:w="1974"/>
              <w:gridCol w:w="2209"/>
            </w:tblGrid>
            <w:tr w14:paraId="5B82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733E9D31">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1767" w:type="pct"/>
                  <w:noWrap w:val="0"/>
                  <w:vAlign w:val="center"/>
                </w:tcPr>
                <w:p w14:paraId="2D6D9664">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固体废物</w:t>
                  </w:r>
                  <w:r>
                    <w:rPr>
                      <w:rFonts w:hint="default" w:ascii="Times New Roman" w:hAnsi="Times New Roman" w:eastAsia="宋体" w:cs="Times New Roman"/>
                      <w:color w:val="auto"/>
                      <w:kern w:val="0"/>
                      <w:szCs w:val="21"/>
                      <w:highlight w:val="none"/>
                    </w:rPr>
                    <w:t>名称</w:t>
                  </w:r>
                </w:p>
              </w:tc>
              <w:tc>
                <w:tcPr>
                  <w:tcW w:w="1210" w:type="pct"/>
                  <w:noWrap w:val="0"/>
                  <w:vAlign w:val="center"/>
                </w:tcPr>
                <w:p w14:paraId="6D48611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产生量</w:t>
                  </w:r>
                </w:p>
              </w:tc>
              <w:tc>
                <w:tcPr>
                  <w:tcW w:w="1353" w:type="pct"/>
                  <w:noWrap w:val="0"/>
                  <w:vAlign w:val="center"/>
                </w:tcPr>
                <w:p w14:paraId="0C48DBE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单位</w:t>
                  </w:r>
                </w:p>
              </w:tc>
            </w:tr>
            <w:tr w14:paraId="0FF5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389A126A">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c>
                <w:tcPr>
                  <w:tcW w:w="1767" w:type="pct"/>
                  <w:noWrap w:val="0"/>
                  <w:vAlign w:val="center"/>
                </w:tcPr>
                <w:p w14:paraId="24A5B939">
                  <w:pPr>
                    <w:keepNext w:val="0"/>
                    <w:keepLines w:val="0"/>
                    <w:suppressLineNumbers w:val="0"/>
                    <w:spacing w:before="0" w:beforeAutospacing="0" w:after="0" w:afterAutospacing="0" w:line="280" w:lineRule="exact"/>
                    <w:ind w:left="0" w:right="0"/>
                    <w:jc w:val="center"/>
                    <w:textAlignment w:val="baseline"/>
                    <w:rPr>
                      <w:rFonts w:hint="eastAsia" w:cs="Times New Roman"/>
                      <w:color w:val="auto"/>
                      <w:kern w:val="0"/>
                      <w:szCs w:val="21"/>
                      <w:highlight w:val="none"/>
                      <w:lang w:val="en-US" w:eastAsia="zh-CN"/>
                    </w:rPr>
                  </w:pPr>
                  <w:r>
                    <w:rPr>
                      <w:rFonts w:hint="default" w:ascii="Times New Roman" w:hAnsi="Times New Roman" w:cs="Times New Roman"/>
                      <w:smallCaps w:val="0"/>
                      <w:color w:val="auto"/>
                      <w:spacing w:val="0"/>
                      <w:szCs w:val="20"/>
                      <w:highlight w:val="none"/>
                    </w:rPr>
                    <w:t>废边角料</w:t>
                  </w:r>
                </w:p>
              </w:tc>
              <w:tc>
                <w:tcPr>
                  <w:tcW w:w="1210" w:type="pct"/>
                  <w:noWrap w:val="0"/>
                  <w:vAlign w:val="center"/>
                </w:tcPr>
                <w:p w14:paraId="4C330212">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353" w:type="pct"/>
                  <w:noWrap w:val="0"/>
                  <w:vAlign w:val="center"/>
                </w:tcPr>
                <w:p w14:paraId="1911A716">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t/a</w:t>
                  </w:r>
                </w:p>
              </w:tc>
            </w:tr>
            <w:tr w14:paraId="6BCB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6B128A8E">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1767" w:type="pct"/>
                  <w:noWrap w:val="0"/>
                  <w:vAlign w:val="center"/>
                </w:tcPr>
                <w:p w14:paraId="6997D89C">
                  <w:pPr>
                    <w:keepNext w:val="0"/>
                    <w:keepLines w:val="0"/>
                    <w:suppressLineNumbers w:val="0"/>
                    <w:spacing w:before="0" w:beforeAutospacing="0" w:after="0" w:afterAutospacing="0" w:line="280" w:lineRule="exact"/>
                    <w:ind w:left="0" w:right="0"/>
                    <w:jc w:val="center"/>
                    <w:textAlignment w:val="baseline"/>
                    <w:rPr>
                      <w:rFonts w:hint="eastAsia" w:cs="Times New Roman"/>
                      <w:color w:val="auto"/>
                      <w:kern w:val="0"/>
                      <w:szCs w:val="21"/>
                      <w:highlight w:val="none"/>
                      <w:lang w:val="en-US" w:eastAsia="zh-CN"/>
                    </w:rPr>
                  </w:pPr>
                  <w:r>
                    <w:rPr>
                      <w:rFonts w:hint="default" w:ascii="Times New Roman" w:hAnsi="Times New Roman" w:cs="Times New Roman"/>
                      <w:smallCaps w:val="0"/>
                      <w:color w:val="auto"/>
                      <w:spacing w:val="0"/>
                      <w:szCs w:val="20"/>
                      <w:highlight w:val="none"/>
                    </w:rPr>
                    <w:t>不合格产品</w:t>
                  </w:r>
                </w:p>
              </w:tc>
              <w:tc>
                <w:tcPr>
                  <w:tcW w:w="1210" w:type="pct"/>
                  <w:noWrap w:val="0"/>
                  <w:vAlign w:val="center"/>
                </w:tcPr>
                <w:p w14:paraId="27EBA74D">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353" w:type="pct"/>
                  <w:noWrap w:val="0"/>
                  <w:vAlign w:val="center"/>
                </w:tcPr>
                <w:p w14:paraId="6198AF91">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4FCD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2A8FAE62">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767" w:type="pct"/>
                  <w:noWrap w:val="0"/>
                  <w:vAlign w:val="center"/>
                </w:tcPr>
                <w:p w14:paraId="4B5892F7">
                  <w:pPr>
                    <w:keepNext w:val="0"/>
                    <w:keepLines w:val="0"/>
                    <w:suppressLineNumbers w:val="0"/>
                    <w:spacing w:before="0" w:beforeAutospacing="0" w:after="0" w:afterAutospacing="0" w:line="280" w:lineRule="exact"/>
                    <w:ind w:left="0" w:right="0"/>
                    <w:jc w:val="center"/>
                    <w:textAlignment w:val="baseline"/>
                    <w:rPr>
                      <w:rFonts w:hint="eastAsia" w:cs="Times New Roman"/>
                      <w:color w:val="auto"/>
                      <w:kern w:val="0"/>
                      <w:szCs w:val="21"/>
                      <w:highlight w:val="none"/>
                      <w:lang w:val="en-US" w:eastAsia="zh-CN"/>
                    </w:rPr>
                  </w:pPr>
                  <w:r>
                    <w:rPr>
                      <w:rFonts w:hint="default" w:ascii="Times New Roman" w:hAnsi="Times New Roman" w:cs="Times New Roman"/>
                      <w:smallCaps w:val="0"/>
                      <w:color w:val="auto"/>
                      <w:spacing w:val="0"/>
                      <w:szCs w:val="20"/>
                      <w:highlight w:val="none"/>
                    </w:rPr>
                    <w:t>原料废包装</w:t>
                  </w:r>
                </w:p>
              </w:tc>
              <w:tc>
                <w:tcPr>
                  <w:tcW w:w="1210" w:type="pct"/>
                  <w:noWrap w:val="0"/>
                  <w:vAlign w:val="center"/>
                </w:tcPr>
                <w:p w14:paraId="2115C4E1">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353" w:type="pct"/>
                  <w:noWrap w:val="0"/>
                  <w:vAlign w:val="center"/>
                </w:tcPr>
                <w:p w14:paraId="446BBF3A">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0515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4D2E7BE4">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1767" w:type="pct"/>
                  <w:noWrap w:val="0"/>
                  <w:vAlign w:val="center"/>
                </w:tcPr>
                <w:p w14:paraId="35265CAE">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除尘灰</w:t>
                  </w:r>
                </w:p>
              </w:tc>
              <w:tc>
                <w:tcPr>
                  <w:tcW w:w="1210" w:type="pct"/>
                  <w:noWrap w:val="0"/>
                  <w:vAlign w:val="center"/>
                </w:tcPr>
                <w:p w14:paraId="1AEAA239">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0.095</w:t>
                  </w:r>
                </w:p>
              </w:tc>
              <w:tc>
                <w:tcPr>
                  <w:tcW w:w="1353" w:type="pct"/>
                  <w:noWrap w:val="0"/>
                  <w:vAlign w:val="center"/>
                </w:tcPr>
                <w:p w14:paraId="70E4B19E">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063F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1CFCEF66">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c>
                <w:tcPr>
                  <w:tcW w:w="1767" w:type="pct"/>
                  <w:noWrap w:val="0"/>
                  <w:vAlign w:val="center"/>
                </w:tcPr>
                <w:p w14:paraId="1A6F5906">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废金属料</w:t>
                  </w:r>
                </w:p>
              </w:tc>
              <w:tc>
                <w:tcPr>
                  <w:tcW w:w="1210" w:type="pct"/>
                  <w:noWrap w:val="0"/>
                  <w:vAlign w:val="center"/>
                </w:tcPr>
                <w:p w14:paraId="55BAE465">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353" w:type="pct"/>
                  <w:noWrap w:val="0"/>
                  <w:vAlign w:val="center"/>
                </w:tcPr>
                <w:p w14:paraId="5A97D6F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0EE2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4D2D1FD3">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w:t>
                  </w:r>
                </w:p>
              </w:tc>
              <w:tc>
                <w:tcPr>
                  <w:tcW w:w="1767" w:type="pct"/>
                  <w:noWrap w:val="0"/>
                  <w:vAlign w:val="center"/>
                </w:tcPr>
                <w:p w14:paraId="3239D10B">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不合格产品</w:t>
                  </w:r>
                </w:p>
              </w:tc>
              <w:tc>
                <w:tcPr>
                  <w:tcW w:w="1210" w:type="pct"/>
                  <w:noWrap w:val="0"/>
                  <w:vAlign w:val="center"/>
                </w:tcPr>
                <w:p w14:paraId="250D7399">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353" w:type="pct"/>
                  <w:noWrap w:val="0"/>
                  <w:vAlign w:val="center"/>
                </w:tcPr>
                <w:p w14:paraId="1D2DDF1F">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0C87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40EAECB1">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w:t>
                  </w:r>
                </w:p>
              </w:tc>
              <w:tc>
                <w:tcPr>
                  <w:tcW w:w="1767" w:type="pct"/>
                  <w:noWrap w:val="0"/>
                  <w:vAlign w:val="center"/>
                </w:tcPr>
                <w:p w14:paraId="6AA34DE2">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废模具</w:t>
                  </w:r>
                </w:p>
              </w:tc>
              <w:tc>
                <w:tcPr>
                  <w:tcW w:w="1210" w:type="pct"/>
                  <w:noWrap w:val="0"/>
                  <w:vAlign w:val="center"/>
                </w:tcPr>
                <w:p w14:paraId="3CC6B735">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353" w:type="pct"/>
                  <w:noWrap w:val="0"/>
                  <w:vAlign w:val="center"/>
                </w:tcPr>
                <w:p w14:paraId="66BAD68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342E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014E06FD">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8</w:t>
                  </w:r>
                </w:p>
              </w:tc>
              <w:tc>
                <w:tcPr>
                  <w:tcW w:w="1767" w:type="pct"/>
                  <w:noWrap w:val="0"/>
                  <w:vAlign w:val="center"/>
                </w:tcPr>
                <w:p w14:paraId="6DD635AE">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金属废屑</w:t>
                  </w:r>
                </w:p>
              </w:tc>
              <w:tc>
                <w:tcPr>
                  <w:tcW w:w="1210" w:type="pct"/>
                  <w:noWrap w:val="0"/>
                  <w:vAlign w:val="center"/>
                </w:tcPr>
                <w:p w14:paraId="51124D04">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0.1</w:t>
                  </w:r>
                </w:p>
              </w:tc>
              <w:tc>
                <w:tcPr>
                  <w:tcW w:w="1353" w:type="pct"/>
                  <w:noWrap w:val="0"/>
                  <w:vAlign w:val="center"/>
                </w:tcPr>
                <w:p w14:paraId="25E6297F">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6823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01E1ADF4">
                  <w:pPr>
                    <w:keepNext w:val="0"/>
                    <w:keepLines w:val="0"/>
                    <w:suppressLineNumbers w:val="0"/>
                    <w:spacing w:before="0" w:beforeAutospacing="0" w:after="0" w:afterAutospacing="0" w:line="280" w:lineRule="exact"/>
                    <w:ind w:left="0" w:right="0"/>
                    <w:jc w:val="center"/>
                    <w:textAlignment w:val="baseline"/>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9</w:t>
                  </w:r>
                </w:p>
              </w:tc>
              <w:tc>
                <w:tcPr>
                  <w:tcW w:w="1767" w:type="pct"/>
                  <w:noWrap w:val="0"/>
                  <w:vAlign w:val="center"/>
                </w:tcPr>
                <w:p w14:paraId="539C5B0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eastAsia" w:ascii="Times New Roman" w:hAnsi="Times New Roman" w:cs="Times New Roman"/>
                      <w:smallCaps w:val="0"/>
                      <w:color w:val="auto"/>
                      <w:spacing w:val="0"/>
                      <w:szCs w:val="20"/>
                      <w:highlight w:val="none"/>
                      <w:lang w:val="en-US" w:eastAsia="zh-CN"/>
                    </w:rPr>
                    <w:t>废</w:t>
                  </w:r>
                  <w:r>
                    <w:rPr>
                      <w:rFonts w:hint="default" w:ascii="Times New Roman" w:hAnsi="Times New Roman" w:cs="Times New Roman"/>
                      <w:smallCaps w:val="0"/>
                      <w:color w:val="auto"/>
                      <w:spacing w:val="0"/>
                      <w:szCs w:val="20"/>
                      <w:highlight w:val="none"/>
                    </w:rPr>
                    <w:t>活性炭</w:t>
                  </w:r>
                </w:p>
              </w:tc>
              <w:tc>
                <w:tcPr>
                  <w:tcW w:w="1210" w:type="pct"/>
                  <w:noWrap w:val="0"/>
                  <w:vAlign w:val="center"/>
                </w:tcPr>
                <w:p w14:paraId="7B36D8B7">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0.6</w:t>
                  </w:r>
                </w:p>
              </w:tc>
              <w:tc>
                <w:tcPr>
                  <w:tcW w:w="1353" w:type="pct"/>
                  <w:noWrap w:val="0"/>
                  <w:vAlign w:val="center"/>
                </w:tcPr>
                <w:p w14:paraId="2796514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2BEB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67968655">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767" w:type="pct"/>
                  <w:noWrap w:val="0"/>
                  <w:vAlign w:val="center"/>
                </w:tcPr>
                <w:p w14:paraId="46F13D7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eastAsia" w:ascii="Times New Roman" w:hAnsi="Times New Roman" w:cs="Times New Roman"/>
                      <w:smallCaps w:val="0"/>
                      <w:color w:val="auto"/>
                      <w:spacing w:val="0"/>
                      <w:szCs w:val="20"/>
                      <w:highlight w:val="none"/>
                      <w:lang w:val="en-US" w:eastAsia="zh-CN"/>
                    </w:rPr>
                    <w:t>废</w:t>
                  </w:r>
                  <w:r>
                    <w:rPr>
                      <w:rFonts w:hint="default" w:ascii="Times New Roman" w:hAnsi="Times New Roman" w:cs="Times New Roman"/>
                      <w:smallCaps w:val="0"/>
                      <w:color w:val="auto"/>
                      <w:spacing w:val="0"/>
                      <w:szCs w:val="20"/>
                      <w:highlight w:val="none"/>
                    </w:rPr>
                    <w:t>机油</w:t>
                  </w:r>
                </w:p>
              </w:tc>
              <w:tc>
                <w:tcPr>
                  <w:tcW w:w="1210" w:type="pct"/>
                  <w:noWrap w:val="0"/>
                  <w:vAlign w:val="center"/>
                </w:tcPr>
                <w:p w14:paraId="7CEC8AFA">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0.05</w:t>
                  </w:r>
                </w:p>
              </w:tc>
              <w:tc>
                <w:tcPr>
                  <w:tcW w:w="1353" w:type="pct"/>
                  <w:noWrap w:val="0"/>
                  <w:vAlign w:val="center"/>
                </w:tcPr>
                <w:p w14:paraId="25EFDD0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2E65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32203EF8">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11</w:t>
                  </w:r>
                </w:p>
              </w:tc>
              <w:tc>
                <w:tcPr>
                  <w:tcW w:w="1767" w:type="pct"/>
                  <w:noWrap w:val="0"/>
                  <w:vAlign w:val="center"/>
                </w:tcPr>
                <w:p w14:paraId="773C45A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废切削液</w:t>
                  </w:r>
                </w:p>
              </w:tc>
              <w:tc>
                <w:tcPr>
                  <w:tcW w:w="1210" w:type="pct"/>
                  <w:noWrap w:val="0"/>
                  <w:vAlign w:val="center"/>
                </w:tcPr>
                <w:p w14:paraId="6889AE0A">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0.018</w:t>
                  </w:r>
                </w:p>
              </w:tc>
              <w:tc>
                <w:tcPr>
                  <w:tcW w:w="1353" w:type="pct"/>
                  <w:noWrap w:val="0"/>
                  <w:vAlign w:val="center"/>
                </w:tcPr>
                <w:p w14:paraId="19D371CE">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0C8E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1007963F">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12</w:t>
                  </w:r>
                </w:p>
              </w:tc>
              <w:tc>
                <w:tcPr>
                  <w:tcW w:w="1767" w:type="pct"/>
                  <w:noWrap w:val="0"/>
                  <w:vAlign w:val="center"/>
                </w:tcPr>
                <w:p w14:paraId="6E2F6A1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沾油抹布和手套</w:t>
                  </w:r>
                </w:p>
              </w:tc>
              <w:tc>
                <w:tcPr>
                  <w:tcW w:w="1210" w:type="pct"/>
                  <w:noWrap w:val="0"/>
                  <w:vAlign w:val="center"/>
                </w:tcPr>
                <w:p w14:paraId="2B90906F">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0.01</w:t>
                  </w:r>
                </w:p>
              </w:tc>
              <w:tc>
                <w:tcPr>
                  <w:tcW w:w="1353" w:type="pct"/>
                  <w:noWrap w:val="0"/>
                  <w:vAlign w:val="center"/>
                </w:tcPr>
                <w:p w14:paraId="5C93A62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r w14:paraId="472B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noWrap w:val="0"/>
                  <w:vAlign w:val="center"/>
                </w:tcPr>
                <w:p w14:paraId="2AA2BEDF">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13</w:t>
                  </w:r>
                </w:p>
              </w:tc>
              <w:tc>
                <w:tcPr>
                  <w:tcW w:w="1767" w:type="pct"/>
                  <w:noWrap w:val="0"/>
                  <w:vAlign w:val="center"/>
                </w:tcPr>
                <w:p w14:paraId="452EAF0B">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生活垃圾</w:t>
                  </w:r>
                </w:p>
              </w:tc>
              <w:tc>
                <w:tcPr>
                  <w:tcW w:w="1210" w:type="pct"/>
                  <w:noWrap w:val="0"/>
                  <w:vAlign w:val="center"/>
                </w:tcPr>
                <w:p w14:paraId="670C84C0">
                  <w:pPr>
                    <w:keepNext w:val="0"/>
                    <w:keepLines w:val="0"/>
                    <w:suppressLineNumbers w:val="0"/>
                    <w:spacing w:before="0" w:beforeAutospacing="0" w:after="0" w:afterAutospacing="0" w:line="312" w:lineRule="atLeast"/>
                    <w:ind w:left="0" w:right="0"/>
                    <w:jc w:val="center"/>
                    <w:textAlignment w:val="baseline"/>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353" w:type="pct"/>
                  <w:noWrap w:val="0"/>
                  <w:vAlign w:val="center"/>
                </w:tcPr>
                <w:p w14:paraId="1AC1DBF1">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t/a</w:t>
                  </w:r>
                </w:p>
              </w:tc>
            </w:tr>
          </w:tbl>
          <w:p w14:paraId="46D7F68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注塑过程中产生的废边角料破碎后回用于生产</w:t>
            </w:r>
            <w:r>
              <w:rPr>
                <w:rFonts w:hint="eastAsia"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注塑工序产生的不合格产品、原料废包装、除尘灰，电极片生产过程中产生的废金属料、不合格产品、废模具以及其他配套金属零部件生产过程中产生的金属废屑全部集中收集后外售</w:t>
            </w:r>
            <w:r>
              <w:rPr>
                <w:rFonts w:hint="eastAsia" w:ascii="Times New Roman" w:hAnsi="Times New Roman" w:cs="Times New Roman"/>
                <w:smallCaps w:val="0"/>
                <w:color w:val="auto"/>
                <w:spacing w:val="0"/>
                <w:highlight w:val="none"/>
                <w:lang w:eastAsia="zh-CN"/>
              </w:rPr>
              <w:t>；</w:t>
            </w:r>
            <w:r>
              <w:rPr>
                <w:rFonts w:hint="eastAsia" w:ascii="Times New Roman" w:hAnsi="Times New Roman" w:cs="Times New Roman"/>
                <w:smallCaps w:val="0"/>
                <w:color w:val="auto"/>
                <w:spacing w:val="0"/>
                <w:highlight w:val="none"/>
                <w:lang w:val="en-US" w:eastAsia="zh-CN"/>
              </w:rPr>
              <w:t>废</w:t>
            </w:r>
            <w:r>
              <w:rPr>
                <w:rFonts w:hint="default" w:ascii="Times New Roman" w:hAnsi="Times New Roman" w:cs="Times New Roman"/>
                <w:smallCaps w:val="0"/>
                <w:color w:val="auto"/>
                <w:spacing w:val="0"/>
                <w:highlight w:val="none"/>
              </w:rPr>
              <w:t>活性炭、</w:t>
            </w:r>
            <w:r>
              <w:rPr>
                <w:rFonts w:hint="eastAsia" w:ascii="Times New Roman" w:hAnsi="Times New Roman" w:cs="Times New Roman"/>
                <w:smallCaps w:val="0"/>
                <w:color w:val="auto"/>
                <w:spacing w:val="0"/>
                <w:highlight w:val="none"/>
                <w:lang w:val="en-US" w:eastAsia="zh-CN"/>
              </w:rPr>
              <w:t>废</w:t>
            </w:r>
            <w:r>
              <w:rPr>
                <w:rFonts w:hint="default" w:ascii="Times New Roman" w:hAnsi="Times New Roman" w:cs="Times New Roman"/>
                <w:smallCaps w:val="0"/>
                <w:color w:val="auto"/>
                <w:spacing w:val="0"/>
                <w:highlight w:val="none"/>
              </w:rPr>
              <w:t>机油、废切削液暂存危废问，</w:t>
            </w:r>
            <w:r>
              <w:rPr>
                <w:rFonts w:hint="eastAsia" w:cs="Times New Roman"/>
                <w:smallCaps w:val="0"/>
                <w:color w:val="auto"/>
                <w:spacing w:val="0"/>
                <w:highlight w:val="none"/>
                <w:lang w:val="en-US" w:eastAsia="zh-CN"/>
              </w:rPr>
              <w:t>定期交由河北宜盖亚环保科技有限公司</w:t>
            </w:r>
            <w:r>
              <w:rPr>
                <w:rFonts w:hint="default" w:ascii="Times New Roman" w:hAnsi="Times New Roman" w:cs="Times New Roman"/>
                <w:smallCaps w:val="0"/>
                <w:color w:val="auto"/>
                <w:spacing w:val="0"/>
                <w:highlight w:val="none"/>
              </w:rPr>
              <w:t>，沾油抹布和手套、职工生活垃圾集中收集，由环卫部门统一处理。</w:t>
            </w:r>
          </w:p>
          <w:p w14:paraId="195B221B">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3、现有工程设备产能及对应环保设施</w:t>
            </w:r>
          </w:p>
          <w:p w14:paraId="552C5427">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11</w:t>
            </w:r>
            <w:r>
              <w:rPr>
                <w:rFonts w:hint="default" w:ascii="Times New Roman" w:hAnsi="Times New Roman" w:eastAsia="宋体" w:cs="Times New Roman"/>
                <w:b/>
                <w:smallCaps w:val="0"/>
                <w:color w:val="auto"/>
                <w:spacing w:val="0"/>
                <w:highlight w:val="none"/>
              </w:rPr>
              <w:t xml:space="preserve">   </w:t>
            </w:r>
            <w:r>
              <w:rPr>
                <w:rFonts w:hint="eastAsia" w:cs="Times New Roman"/>
                <w:b/>
                <w:smallCaps w:val="0"/>
                <w:color w:val="auto"/>
                <w:spacing w:val="0"/>
                <w:highlight w:val="none"/>
                <w:lang w:val="en-US" w:eastAsia="zh-CN"/>
              </w:rPr>
              <w:t>现有设备</w:t>
            </w:r>
            <w:r>
              <w:rPr>
                <w:rFonts w:hint="default" w:ascii="Times New Roman" w:hAnsi="Times New Roman" w:eastAsia="宋体" w:cs="Times New Roman"/>
                <w:b/>
                <w:smallCaps w:val="0"/>
                <w:color w:val="auto"/>
                <w:spacing w:val="0"/>
                <w:highlight w:val="none"/>
              </w:rPr>
              <w:t>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666"/>
              <w:gridCol w:w="2463"/>
              <w:gridCol w:w="715"/>
              <w:gridCol w:w="904"/>
              <w:gridCol w:w="1660"/>
            </w:tblGrid>
            <w:tr w14:paraId="0E0E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noWrap w:val="0"/>
                  <w:vAlign w:val="center"/>
                </w:tcPr>
                <w:p w14:paraId="1F17E974">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1021" w:type="pct"/>
                  <w:noWrap w:val="0"/>
                  <w:vAlign w:val="center"/>
                </w:tcPr>
                <w:p w14:paraId="22A204D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设备名称</w:t>
                  </w:r>
                </w:p>
              </w:tc>
              <w:tc>
                <w:tcPr>
                  <w:tcW w:w="1509" w:type="pct"/>
                  <w:noWrap w:val="0"/>
                  <w:vAlign w:val="center"/>
                </w:tcPr>
                <w:p w14:paraId="71DF4B82">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设施参数</w:t>
                  </w:r>
                </w:p>
              </w:tc>
              <w:tc>
                <w:tcPr>
                  <w:tcW w:w="438" w:type="pct"/>
                  <w:noWrap w:val="0"/>
                  <w:vAlign w:val="center"/>
                </w:tcPr>
                <w:p w14:paraId="7AA69DC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单位</w:t>
                  </w:r>
                </w:p>
              </w:tc>
              <w:tc>
                <w:tcPr>
                  <w:tcW w:w="554" w:type="pct"/>
                  <w:noWrap w:val="0"/>
                  <w:vAlign w:val="center"/>
                </w:tcPr>
                <w:p w14:paraId="5DA4F205">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现有工程数量</w:t>
                  </w:r>
                </w:p>
              </w:tc>
              <w:tc>
                <w:tcPr>
                  <w:tcW w:w="1017" w:type="pct"/>
                  <w:noWrap w:val="0"/>
                  <w:vAlign w:val="center"/>
                </w:tcPr>
                <w:p w14:paraId="198D8F6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环保措施</w:t>
                  </w:r>
                </w:p>
              </w:tc>
            </w:tr>
            <w:tr w14:paraId="4BB8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noWrap w:val="0"/>
                  <w:vAlign w:val="center"/>
                </w:tcPr>
                <w:p w14:paraId="2CE7855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021" w:type="pct"/>
                  <w:noWrap w:val="0"/>
                  <w:vAlign w:val="center"/>
                </w:tcPr>
                <w:p w14:paraId="7DB30B2B">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注塑机</w:t>
                  </w:r>
                </w:p>
              </w:tc>
              <w:tc>
                <w:tcPr>
                  <w:tcW w:w="1509" w:type="pct"/>
                  <w:noWrap w:val="0"/>
                  <w:vAlign w:val="center"/>
                </w:tcPr>
                <w:p w14:paraId="6D898FC9">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处理能力0.002t/h</w:t>
                  </w:r>
                </w:p>
              </w:tc>
              <w:tc>
                <w:tcPr>
                  <w:tcW w:w="438" w:type="pct"/>
                  <w:noWrap w:val="0"/>
                  <w:vAlign w:val="center"/>
                </w:tcPr>
                <w:p w14:paraId="27412B0F">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472A6C7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9</w:t>
                  </w:r>
                </w:p>
              </w:tc>
              <w:tc>
                <w:tcPr>
                  <w:tcW w:w="1017" w:type="pct"/>
                  <w:vMerge w:val="restart"/>
                  <w:noWrap w:val="0"/>
                  <w:vAlign w:val="center"/>
                </w:tcPr>
                <w:p w14:paraId="1BAEE40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布袋除尘器+两级活性炭</w:t>
                  </w:r>
                </w:p>
              </w:tc>
            </w:tr>
            <w:tr w14:paraId="04BB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noWrap w:val="0"/>
                  <w:vAlign w:val="center"/>
                </w:tcPr>
                <w:p w14:paraId="04A4EF58">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1021" w:type="pct"/>
                  <w:noWrap w:val="0"/>
                  <w:vAlign w:val="center"/>
                </w:tcPr>
                <w:p w14:paraId="0D5967F4">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干燥机</w:t>
                  </w:r>
                </w:p>
              </w:tc>
              <w:tc>
                <w:tcPr>
                  <w:tcW w:w="1509" w:type="pct"/>
                  <w:noWrap w:val="0"/>
                  <w:vAlign w:val="center"/>
                </w:tcPr>
                <w:p w14:paraId="1172E56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处理能力0.005t/h</w:t>
                  </w:r>
                </w:p>
              </w:tc>
              <w:tc>
                <w:tcPr>
                  <w:tcW w:w="438" w:type="pct"/>
                  <w:noWrap w:val="0"/>
                  <w:vAlign w:val="center"/>
                </w:tcPr>
                <w:p w14:paraId="22ADC8C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0C68735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1017" w:type="pct"/>
                  <w:vMerge w:val="continue"/>
                  <w:noWrap w:val="0"/>
                  <w:vAlign w:val="center"/>
                </w:tcPr>
                <w:p w14:paraId="0B85703A">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p>
              </w:tc>
            </w:tr>
            <w:tr w14:paraId="6A8E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noWrap w:val="0"/>
                  <w:vAlign w:val="center"/>
                </w:tcPr>
                <w:p w14:paraId="67C85387">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021" w:type="pct"/>
                  <w:noWrap w:val="0"/>
                  <w:vAlign w:val="center"/>
                </w:tcPr>
                <w:p w14:paraId="7FC6642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干燥箱</w:t>
                  </w:r>
                </w:p>
              </w:tc>
              <w:tc>
                <w:tcPr>
                  <w:tcW w:w="1509" w:type="pct"/>
                  <w:noWrap w:val="0"/>
                  <w:vAlign w:val="center"/>
                </w:tcPr>
                <w:p w14:paraId="111D9A17">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处理能力0.005t/h</w:t>
                  </w:r>
                </w:p>
              </w:tc>
              <w:tc>
                <w:tcPr>
                  <w:tcW w:w="438" w:type="pct"/>
                  <w:noWrap w:val="0"/>
                  <w:vAlign w:val="center"/>
                </w:tcPr>
                <w:p w14:paraId="4FD78D4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13D286A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w:t>
                  </w:r>
                </w:p>
              </w:tc>
              <w:tc>
                <w:tcPr>
                  <w:tcW w:w="1017" w:type="pct"/>
                  <w:vMerge w:val="continue"/>
                  <w:noWrap w:val="0"/>
                  <w:vAlign w:val="center"/>
                </w:tcPr>
                <w:p w14:paraId="081E966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p>
              </w:tc>
            </w:tr>
            <w:tr w14:paraId="5A65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16700014">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Cs w:val="21"/>
                      <w:highlight w:val="none"/>
                    </w:rPr>
                    <w:t>4</w:t>
                  </w:r>
                </w:p>
              </w:tc>
              <w:tc>
                <w:tcPr>
                  <w:tcW w:w="1021" w:type="pct"/>
                  <w:noWrap w:val="0"/>
                  <w:vAlign w:val="center"/>
                </w:tcPr>
                <w:p w14:paraId="41A30E46">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冷却塔</w:t>
                  </w:r>
                </w:p>
              </w:tc>
              <w:tc>
                <w:tcPr>
                  <w:tcW w:w="1509" w:type="pct"/>
                  <w:noWrap w:val="0"/>
                  <w:vAlign w:val="center"/>
                </w:tcPr>
                <w:p w14:paraId="238B308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循环水量20m</w:t>
                  </w:r>
                  <w:r>
                    <w:rPr>
                      <w:rFonts w:hint="eastAsia" w:cs="Times New Roman"/>
                      <w:color w:val="auto"/>
                      <w:kern w:val="0"/>
                      <w:szCs w:val="21"/>
                      <w:highlight w:val="none"/>
                      <w:vertAlign w:val="superscript"/>
                      <w:lang w:val="en-US" w:eastAsia="zh-CN"/>
                    </w:rPr>
                    <w:t>3</w:t>
                  </w:r>
                </w:p>
              </w:tc>
              <w:tc>
                <w:tcPr>
                  <w:tcW w:w="438" w:type="pct"/>
                  <w:noWrap w:val="0"/>
                  <w:vAlign w:val="center"/>
                </w:tcPr>
                <w:p w14:paraId="7F3CED1E">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525FF8FE">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62C26DE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4994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38F0ACCB">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Cs w:val="21"/>
                      <w:highlight w:val="none"/>
                    </w:rPr>
                    <w:t>5</w:t>
                  </w:r>
                </w:p>
              </w:tc>
              <w:tc>
                <w:tcPr>
                  <w:tcW w:w="1021" w:type="pct"/>
                  <w:noWrap w:val="0"/>
                  <w:vAlign w:val="center"/>
                </w:tcPr>
                <w:p w14:paraId="6655547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冷水机</w:t>
                  </w:r>
                </w:p>
              </w:tc>
              <w:tc>
                <w:tcPr>
                  <w:tcW w:w="1509" w:type="pct"/>
                  <w:noWrap w:val="0"/>
                  <w:vAlign w:val="center"/>
                </w:tcPr>
                <w:p w14:paraId="7FD97FCC">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功率10.1kw</w:t>
                  </w:r>
                </w:p>
              </w:tc>
              <w:tc>
                <w:tcPr>
                  <w:tcW w:w="438" w:type="pct"/>
                  <w:noWrap w:val="0"/>
                  <w:vAlign w:val="center"/>
                </w:tcPr>
                <w:p w14:paraId="452281C2">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122AF2D6">
                  <w:pPr>
                    <w:keepNext w:val="0"/>
                    <w:keepLines w:val="0"/>
                    <w:suppressLineNumbers w:val="0"/>
                    <w:autoSpaceDE w:val="0"/>
                    <w:autoSpaceDN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1017" w:type="pct"/>
                  <w:noWrap w:val="0"/>
                  <w:vAlign w:val="center"/>
                </w:tcPr>
                <w:p w14:paraId="42208A2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223A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36FB8FF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6</w:t>
                  </w:r>
                </w:p>
              </w:tc>
              <w:tc>
                <w:tcPr>
                  <w:tcW w:w="1021" w:type="pct"/>
                  <w:noWrap w:val="0"/>
                  <w:vAlign w:val="center"/>
                </w:tcPr>
                <w:p w14:paraId="213DE5ED">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攻丝机</w:t>
                  </w:r>
                </w:p>
              </w:tc>
              <w:tc>
                <w:tcPr>
                  <w:tcW w:w="1509" w:type="pct"/>
                  <w:noWrap w:val="0"/>
                  <w:vAlign w:val="center"/>
                </w:tcPr>
                <w:p w14:paraId="16B7CC74">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功率0.75kw</w:t>
                  </w:r>
                </w:p>
              </w:tc>
              <w:tc>
                <w:tcPr>
                  <w:tcW w:w="438" w:type="pct"/>
                  <w:noWrap w:val="0"/>
                  <w:vAlign w:val="center"/>
                </w:tcPr>
                <w:p w14:paraId="1810A5A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13AA556D">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106252C2">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2C1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781559F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7</w:t>
                  </w:r>
                </w:p>
              </w:tc>
              <w:tc>
                <w:tcPr>
                  <w:tcW w:w="1021" w:type="pct"/>
                  <w:noWrap w:val="0"/>
                  <w:vAlign w:val="center"/>
                </w:tcPr>
                <w:p w14:paraId="0856E14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车床</w:t>
                  </w:r>
                </w:p>
              </w:tc>
              <w:tc>
                <w:tcPr>
                  <w:tcW w:w="1509" w:type="pct"/>
                  <w:noWrap w:val="0"/>
                  <w:vAlign w:val="center"/>
                </w:tcPr>
                <w:p w14:paraId="485BD97F">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功率4kw</w:t>
                  </w:r>
                </w:p>
              </w:tc>
              <w:tc>
                <w:tcPr>
                  <w:tcW w:w="438" w:type="pct"/>
                  <w:noWrap w:val="0"/>
                  <w:vAlign w:val="center"/>
                </w:tcPr>
                <w:p w14:paraId="308F5564">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485D9E8B">
                  <w:pPr>
                    <w:keepNext w:val="0"/>
                    <w:keepLines w:val="0"/>
                    <w:suppressLineNumbers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1017" w:type="pct"/>
                  <w:noWrap w:val="0"/>
                  <w:vAlign w:val="center"/>
                </w:tcPr>
                <w:p w14:paraId="08ACF66A">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44FD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4C159393">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8</w:t>
                  </w:r>
                </w:p>
              </w:tc>
              <w:tc>
                <w:tcPr>
                  <w:tcW w:w="1021" w:type="pct"/>
                  <w:noWrap w:val="0"/>
                  <w:vAlign w:val="center"/>
                </w:tcPr>
                <w:p w14:paraId="08A729BC">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铣床</w:t>
                  </w:r>
                </w:p>
              </w:tc>
              <w:tc>
                <w:tcPr>
                  <w:tcW w:w="1509" w:type="pct"/>
                  <w:noWrap w:val="0"/>
                  <w:vAlign w:val="center"/>
                </w:tcPr>
                <w:p w14:paraId="51F89C6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功率2.2kw</w:t>
                  </w:r>
                </w:p>
              </w:tc>
              <w:tc>
                <w:tcPr>
                  <w:tcW w:w="438" w:type="pct"/>
                  <w:noWrap w:val="0"/>
                  <w:vAlign w:val="center"/>
                </w:tcPr>
                <w:p w14:paraId="74A001E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3CAA4D50">
                  <w:pPr>
                    <w:keepNext w:val="0"/>
                    <w:keepLines w:val="0"/>
                    <w:suppressLineNumbers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2</w:t>
                  </w:r>
                </w:p>
              </w:tc>
              <w:tc>
                <w:tcPr>
                  <w:tcW w:w="1017" w:type="pct"/>
                  <w:noWrap w:val="0"/>
                  <w:vAlign w:val="center"/>
                </w:tcPr>
                <w:p w14:paraId="1C8F3478">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1194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1FDC259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9</w:t>
                  </w:r>
                </w:p>
              </w:tc>
              <w:tc>
                <w:tcPr>
                  <w:tcW w:w="1021" w:type="pct"/>
                  <w:noWrap w:val="0"/>
                  <w:vAlign w:val="center"/>
                </w:tcPr>
                <w:p w14:paraId="350FDF7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钻床</w:t>
                  </w:r>
                </w:p>
              </w:tc>
              <w:tc>
                <w:tcPr>
                  <w:tcW w:w="1509" w:type="pct"/>
                  <w:noWrap w:val="0"/>
                  <w:vAlign w:val="center"/>
                </w:tcPr>
                <w:p w14:paraId="5B22F589">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功率0.8kw</w:t>
                  </w:r>
                </w:p>
              </w:tc>
              <w:tc>
                <w:tcPr>
                  <w:tcW w:w="438" w:type="pct"/>
                  <w:noWrap w:val="0"/>
                  <w:vAlign w:val="center"/>
                </w:tcPr>
                <w:p w14:paraId="7A074506">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116C193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3</w:t>
                  </w:r>
                </w:p>
              </w:tc>
              <w:tc>
                <w:tcPr>
                  <w:tcW w:w="1017" w:type="pct"/>
                  <w:noWrap w:val="0"/>
                  <w:vAlign w:val="center"/>
                </w:tcPr>
                <w:p w14:paraId="03163B91">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7603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616D1E4E">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10</w:t>
                  </w:r>
                </w:p>
              </w:tc>
              <w:tc>
                <w:tcPr>
                  <w:tcW w:w="1021" w:type="pct"/>
                  <w:noWrap w:val="0"/>
                  <w:vAlign w:val="center"/>
                </w:tcPr>
                <w:p w14:paraId="16F27D87">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磨床</w:t>
                  </w:r>
                </w:p>
              </w:tc>
              <w:tc>
                <w:tcPr>
                  <w:tcW w:w="1509" w:type="pct"/>
                  <w:noWrap w:val="0"/>
                  <w:vAlign w:val="center"/>
                </w:tcPr>
                <w:p w14:paraId="155C1D78">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功率1.1kw</w:t>
                  </w:r>
                </w:p>
              </w:tc>
              <w:tc>
                <w:tcPr>
                  <w:tcW w:w="438" w:type="pct"/>
                  <w:noWrap w:val="0"/>
                  <w:vAlign w:val="center"/>
                </w:tcPr>
                <w:p w14:paraId="66193251">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3D45B46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4B4CC1B8">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2B3E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3EC6DD76">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11</w:t>
                  </w:r>
                </w:p>
              </w:tc>
              <w:tc>
                <w:tcPr>
                  <w:tcW w:w="1021" w:type="pct"/>
                  <w:noWrap w:val="0"/>
                  <w:vAlign w:val="center"/>
                </w:tcPr>
                <w:p w14:paraId="49C8B7B0">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线切割</w:t>
                  </w:r>
                </w:p>
              </w:tc>
              <w:tc>
                <w:tcPr>
                  <w:tcW w:w="1509" w:type="pct"/>
                  <w:noWrap w:val="0"/>
                  <w:vAlign w:val="center"/>
                </w:tcPr>
                <w:p w14:paraId="5C9C7A11">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功率0.37kw</w:t>
                  </w:r>
                </w:p>
              </w:tc>
              <w:tc>
                <w:tcPr>
                  <w:tcW w:w="438" w:type="pct"/>
                  <w:noWrap w:val="0"/>
                  <w:vAlign w:val="center"/>
                </w:tcPr>
                <w:p w14:paraId="33AE3508">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799F1742">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6AE58DD4">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3473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6E19498C">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12</w:t>
                  </w:r>
                </w:p>
              </w:tc>
              <w:tc>
                <w:tcPr>
                  <w:tcW w:w="1021" w:type="pct"/>
                  <w:noWrap w:val="0"/>
                  <w:vAlign w:val="center"/>
                </w:tcPr>
                <w:p w14:paraId="41C92FD9">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气泵</w:t>
                  </w:r>
                </w:p>
              </w:tc>
              <w:tc>
                <w:tcPr>
                  <w:tcW w:w="1509" w:type="pct"/>
                  <w:noWrap w:val="0"/>
                  <w:vAlign w:val="center"/>
                </w:tcPr>
                <w:p w14:paraId="6FCA4CCB">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功率2.8kw</w:t>
                  </w:r>
                </w:p>
              </w:tc>
              <w:tc>
                <w:tcPr>
                  <w:tcW w:w="438" w:type="pct"/>
                  <w:noWrap w:val="0"/>
                  <w:vAlign w:val="center"/>
                </w:tcPr>
                <w:p w14:paraId="16816CDA">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7F3A5040">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76CDD978">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02DC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2D9BFE2B">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13</w:t>
                  </w:r>
                </w:p>
              </w:tc>
              <w:tc>
                <w:tcPr>
                  <w:tcW w:w="1021" w:type="pct"/>
                  <w:noWrap w:val="0"/>
                  <w:vAlign w:val="center"/>
                </w:tcPr>
                <w:p w14:paraId="2097B9D4">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模具维修设备</w:t>
                  </w:r>
                </w:p>
              </w:tc>
              <w:tc>
                <w:tcPr>
                  <w:tcW w:w="1509" w:type="pct"/>
                  <w:noWrap w:val="0"/>
                  <w:vAlign w:val="center"/>
                </w:tcPr>
                <w:p w14:paraId="19E337A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Cs w:val="21"/>
                      <w:highlight w:val="none"/>
                      <w:lang w:val="en-US" w:eastAsia="zh-CN"/>
                    </w:rPr>
                    <w:t>功率1.2kw</w:t>
                  </w:r>
                </w:p>
              </w:tc>
              <w:tc>
                <w:tcPr>
                  <w:tcW w:w="438" w:type="pct"/>
                  <w:noWrap w:val="0"/>
                  <w:vAlign w:val="center"/>
                </w:tcPr>
                <w:p w14:paraId="322B6FA5">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554" w:type="pct"/>
                  <w:noWrap w:val="0"/>
                  <w:vAlign w:val="center"/>
                </w:tcPr>
                <w:p w14:paraId="69CB484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w:t>
                  </w:r>
                </w:p>
              </w:tc>
              <w:tc>
                <w:tcPr>
                  <w:tcW w:w="1017" w:type="pct"/>
                  <w:noWrap w:val="0"/>
                  <w:vAlign w:val="center"/>
                </w:tcPr>
                <w:p w14:paraId="372193BD">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513C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35CBD68D">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14</w:t>
                  </w:r>
                </w:p>
              </w:tc>
              <w:tc>
                <w:tcPr>
                  <w:tcW w:w="1021" w:type="pct"/>
                  <w:noWrap w:val="0"/>
                  <w:vAlign w:val="center"/>
                </w:tcPr>
                <w:p w14:paraId="4F018024">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1509" w:type="pct"/>
                  <w:noWrap w:val="0"/>
                  <w:vAlign w:val="center"/>
                </w:tcPr>
                <w:p w14:paraId="1CAAEEE6">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功率2.2kw</w:t>
                  </w:r>
                </w:p>
              </w:tc>
              <w:tc>
                <w:tcPr>
                  <w:tcW w:w="438" w:type="pct"/>
                  <w:noWrap w:val="0"/>
                  <w:vAlign w:val="center"/>
                </w:tcPr>
                <w:p w14:paraId="5553A2F2">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4525814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4</w:t>
                  </w:r>
                </w:p>
              </w:tc>
              <w:tc>
                <w:tcPr>
                  <w:tcW w:w="1017" w:type="pct"/>
                  <w:noWrap w:val="0"/>
                  <w:vAlign w:val="center"/>
                </w:tcPr>
                <w:p w14:paraId="333BD0A7">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Cs w:val="21"/>
                      <w:highlight w:val="none"/>
                      <w:lang w:val="en-US" w:eastAsia="zh-CN"/>
                    </w:rPr>
                    <w:t>--</w:t>
                  </w:r>
                </w:p>
              </w:tc>
            </w:tr>
            <w:tr w14:paraId="4225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8" w:type="pct"/>
                  <w:shd w:val="clear" w:color="auto" w:fill="auto"/>
                  <w:noWrap w:val="0"/>
                  <w:vAlign w:val="center"/>
                </w:tcPr>
                <w:p w14:paraId="068940E9">
                  <w:pPr>
                    <w:keepNext w:val="0"/>
                    <w:keepLines w:val="0"/>
                    <w:suppressLineNumbers w:val="0"/>
                    <w:spacing w:before="0" w:beforeAutospacing="0" w:after="0" w:afterAutospacing="0" w:line="280" w:lineRule="exac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15</w:t>
                  </w:r>
                </w:p>
              </w:tc>
              <w:tc>
                <w:tcPr>
                  <w:tcW w:w="1021" w:type="pct"/>
                  <w:noWrap w:val="0"/>
                  <w:vAlign w:val="center"/>
                </w:tcPr>
                <w:p w14:paraId="4A03C8CC">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剪板机</w:t>
                  </w:r>
                </w:p>
              </w:tc>
              <w:tc>
                <w:tcPr>
                  <w:tcW w:w="1509" w:type="pct"/>
                  <w:noWrap w:val="0"/>
                  <w:vAlign w:val="center"/>
                </w:tcPr>
                <w:p w14:paraId="5B0B8405">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功率3kw</w:t>
                  </w:r>
                </w:p>
              </w:tc>
              <w:tc>
                <w:tcPr>
                  <w:tcW w:w="438" w:type="pct"/>
                  <w:noWrap w:val="0"/>
                  <w:vAlign w:val="center"/>
                </w:tcPr>
                <w:p w14:paraId="2A251EBA">
                  <w:pPr>
                    <w:keepNext w:val="0"/>
                    <w:keepLines w:val="0"/>
                    <w:suppressLineNumbers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台</w:t>
                  </w:r>
                </w:p>
              </w:tc>
              <w:tc>
                <w:tcPr>
                  <w:tcW w:w="554" w:type="pct"/>
                  <w:noWrap w:val="0"/>
                  <w:vAlign w:val="center"/>
                </w:tcPr>
                <w:p w14:paraId="248A423D">
                  <w:pPr>
                    <w:keepNext w:val="0"/>
                    <w:keepLines w:val="0"/>
                    <w:suppressLineNumbers w:val="0"/>
                    <w:autoSpaceDE w:val="0"/>
                    <w:autoSpaceDN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1</w:t>
                  </w:r>
                </w:p>
              </w:tc>
              <w:tc>
                <w:tcPr>
                  <w:tcW w:w="1017" w:type="pct"/>
                  <w:noWrap w:val="0"/>
                  <w:vAlign w:val="center"/>
                </w:tcPr>
                <w:p w14:paraId="27D4D9B3">
                  <w:pPr>
                    <w:keepNext w:val="0"/>
                    <w:keepLines w:val="0"/>
                    <w:suppressLineNumbers w:val="0"/>
                    <w:autoSpaceDE w:val="0"/>
                    <w:autoSpaceDN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bl>
          <w:p w14:paraId="2A3ED45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4</w:t>
            </w:r>
            <w:r>
              <w:rPr>
                <w:rFonts w:hint="default" w:ascii="Times New Roman" w:hAnsi="Times New Roman" w:cs="Times New Roman"/>
                <w:smallCaps w:val="0"/>
                <w:color w:val="auto"/>
                <w:spacing w:val="0"/>
                <w:highlight w:val="none"/>
              </w:rPr>
              <w:t>、现有工程存在的问题</w:t>
            </w:r>
          </w:p>
          <w:p w14:paraId="425D6668">
            <w:pPr>
              <w:pStyle w:val="172"/>
              <w:keepNext w:val="0"/>
              <w:keepLines w:val="0"/>
              <w:numPr>
                <w:ilvl w:val="0"/>
                <w:numId w:val="0"/>
              </w:numPr>
              <w:suppressLineNumbers w:val="0"/>
              <w:spacing w:before="0" w:beforeAutospacing="0" w:after="0" w:afterAutospacing="0"/>
              <w:ind w:left="0" w:right="0" w:firstLine="480" w:firstLineChars="20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根据现有工程环评文件及相关材料，结合实际生产情况，</w:t>
            </w:r>
            <w:r>
              <w:rPr>
                <w:rFonts w:hint="eastAsia" w:ascii="Times New Roman" w:hAnsi="Times New Roman" w:cs="Times New Roman"/>
                <w:smallCaps w:val="0"/>
                <w:color w:val="auto"/>
                <w:spacing w:val="0"/>
                <w:highlight w:val="none"/>
                <w:lang w:val="en-US" w:eastAsia="zh-CN"/>
              </w:rPr>
              <w:t>现有工程环保手续</w:t>
            </w:r>
            <w:r>
              <w:rPr>
                <w:rFonts w:hint="eastAsia" w:cs="Times New Roman"/>
                <w:smallCaps w:val="0"/>
                <w:color w:val="auto"/>
                <w:spacing w:val="0"/>
                <w:highlight w:val="none"/>
                <w:lang w:val="en-US" w:eastAsia="zh-CN"/>
              </w:rPr>
              <w:t>拆包、</w:t>
            </w:r>
            <w:r>
              <w:rPr>
                <w:rFonts w:hint="eastAsia" w:ascii="Times New Roman" w:hAnsi="Times New Roman" w:cs="Times New Roman"/>
                <w:smallCaps w:val="0"/>
                <w:color w:val="auto"/>
                <w:spacing w:val="0"/>
                <w:highlight w:val="none"/>
                <w:lang w:val="en-US" w:eastAsia="zh-CN"/>
              </w:rPr>
              <w:t>投料</w:t>
            </w:r>
            <w:r>
              <w:rPr>
                <w:rFonts w:hint="eastAsia" w:cs="Times New Roman"/>
                <w:smallCaps w:val="0"/>
                <w:color w:val="auto"/>
                <w:spacing w:val="0"/>
                <w:highlight w:val="none"/>
                <w:lang w:val="en-US" w:eastAsia="zh-CN"/>
              </w:rPr>
              <w:t>、注塑</w:t>
            </w:r>
            <w:r>
              <w:rPr>
                <w:rFonts w:hint="eastAsia" w:ascii="Times New Roman" w:hAnsi="Times New Roman" w:cs="Times New Roman"/>
                <w:smallCaps w:val="0"/>
                <w:color w:val="auto"/>
                <w:spacing w:val="0"/>
                <w:highlight w:val="none"/>
                <w:lang w:val="en-US" w:eastAsia="zh-CN"/>
              </w:rPr>
              <w:t>未识别颗粒物</w:t>
            </w:r>
            <w:r>
              <w:rPr>
                <w:rFonts w:hint="eastAsia" w:cs="Times New Roman"/>
                <w:smallCaps w:val="0"/>
                <w:color w:val="auto"/>
                <w:spacing w:val="0"/>
                <w:highlight w:val="none"/>
                <w:lang w:val="en-US" w:eastAsia="zh-CN"/>
              </w:rPr>
              <w:t>，烘干、注塑未识别甲苯二异氰酸酯（TDI）、二苯基甲烷二异氰酸酯（MDI）、异佛尔酮二异氰酸酯（IPDI）、多亚甲基多苯基异氰酸酯（PAPI）</w:t>
            </w:r>
            <w:r>
              <w:rPr>
                <w:rFonts w:hint="default" w:ascii="Times New Roman" w:hAnsi="Times New Roman" w:cs="Times New Roman"/>
                <w:smallCaps w:val="0"/>
                <w:color w:val="auto"/>
                <w:spacing w:val="0"/>
                <w:highlight w:val="none"/>
              </w:rPr>
              <w:t>。</w:t>
            </w:r>
          </w:p>
          <w:p w14:paraId="16B87E8C">
            <w:pPr>
              <w:pStyle w:val="172"/>
              <w:keepNext w:val="0"/>
              <w:keepLines w:val="0"/>
              <w:numPr>
                <w:ilvl w:val="0"/>
                <w:numId w:val="0"/>
              </w:numPr>
              <w:suppressLineNumbers w:val="0"/>
              <w:spacing w:before="0" w:beforeAutospacing="0" w:after="0" w:afterAutospacing="0"/>
              <w:ind w:left="0" w:right="0" w:firstLine="480" w:firstLineChars="20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解决方案：</w:t>
            </w:r>
          </w:p>
          <w:p w14:paraId="28156B2C">
            <w:pPr>
              <w:pStyle w:val="172"/>
              <w:keepNext w:val="0"/>
              <w:keepLines w:val="0"/>
              <w:numPr>
                <w:ilvl w:val="0"/>
                <w:numId w:val="0"/>
              </w:numPr>
              <w:suppressLineNumbers w:val="0"/>
              <w:spacing w:before="0" w:beforeAutospacing="0" w:after="0" w:afterAutospacing="0"/>
              <w:ind w:left="0" w:right="0" w:firstLine="480" w:firstLineChars="200"/>
              <w:rPr>
                <w:rFonts w:hint="eastAsia" w:ascii="Times New Roman" w:hAnsi="Times New Roman" w:cs="Times New Roman"/>
                <w:smallCaps w:val="0"/>
                <w:color w:val="auto"/>
                <w:spacing w:val="0"/>
                <w:highlight w:val="none"/>
                <w:lang w:eastAsia="zh-CN"/>
              </w:rPr>
            </w:pPr>
            <w:r>
              <w:rPr>
                <w:rFonts w:hint="eastAsia" w:cs="Times New Roman"/>
                <w:smallCaps w:val="0"/>
                <w:color w:val="auto"/>
                <w:spacing w:val="0"/>
                <w:highlight w:val="none"/>
                <w:lang w:val="en-US" w:eastAsia="zh-CN"/>
              </w:rPr>
              <w:t>本次评价增加拆包、投料、注塑工序产生的颗粒物，后续按照本评价监测计划进行监测；因改建完成后不使用聚氨酯树脂，不涉及甲苯二异氰酸酯（TDI）、二苯基甲烷二异氰酸酯（MDI）、异佛尔酮二异氰酸酯（IPDI）、多亚甲基多苯基异氰酸酯（PAPI），故本次要求现有工程在使用聚氨酯原料的前提下，对上述因子进行检测，无检测方法的因子待国家污染物监测方法标准发布后实施</w:t>
            </w:r>
            <w:r>
              <w:rPr>
                <w:rFonts w:hint="eastAsia" w:ascii="Times New Roman" w:hAnsi="Times New Roman" w:cs="Times New Roman"/>
                <w:smallCaps w:val="0"/>
                <w:color w:val="auto"/>
                <w:spacing w:val="0"/>
                <w:highlight w:val="none"/>
                <w:lang w:eastAsia="zh-CN"/>
              </w:rPr>
              <w:t>。</w:t>
            </w:r>
          </w:p>
          <w:p w14:paraId="293F24BD">
            <w:pPr>
              <w:pStyle w:val="172"/>
              <w:keepNext w:val="0"/>
              <w:keepLines w:val="0"/>
              <w:numPr>
                <w:ilvl w:val="0"/>
                <w:numId w:val="0"/>
              </w:numPr>
              <w:suppressLineNumbers w:val="0"/>
              <w:spacing w:before="0" w:beforeAutospacing="0" w:after="0" w:afterAutospacing="0"/>
              <w:ind w:left="0" w:right="0" w:firstLine="480" w:firstLineChars="200"/>
              <w:rPr>
                <w:rFonts w:hint="default" w:ascii="Times New Roman" w:hAnsi="Times New Roman" w:eastAsia="宋体" w:cs="Times New Roman"/>
                <w:smallCaps w:val="0"/>
                <w:color w:val="auto"/>
                <w:spacing w:val="0"/>
                <w:highlight w:val="none"/>
                <w:lang w:eastAsia="zh-CN"/>
              </w:rPr>
            </w:pPr>
            <w:r>
              <w:rPr>
                <w:rFonts w:hint="eastAsia" w:cs="Times New Roman"/>
                <w:smallCaps w:val="0"/>
                <w:color w:val="auto"/>
                <w:spacing w:val="0"/>
                <w:highlight w:val="none"/>
                <w:lang w:val="en-US" w:eastAsia="zh-CN"/>
              </w:rPr>
              <w:t>除以上问题外，企业</w:t>
            </w:r>
            <w:r>
              <w:rPr>
                <w:rFonts w:hint="default" w:ascii="Times New Roman" w:hAnsi="Times New Roman" w:cs="Times New Roman"/>
                <w:smallCaps w:val="0"/>
                <w:color w:val="auto"/>
                <w:spacing w:val="0"/>
                <w:highlight w:val="none"/>
                <w:lang w:val="en-US" w:eastAsia="zh-CN"/>
              </w:rPr>
              <w:t>未发生环境污染事故，无环境违法行为。</w:t>
            </w:r>
          </w:p>
          <w:p w14:paraId="14ABA5E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5</w:t>
            </w:r>
            <w:r>
              <w:rPr>
                <w:rFonts w:hint="default" w:ascii="Times New Roman" w:hAnsi="Times New Roman" w:cs="Times New Roman"/>
                <w:smallCaps w:val="0"/>
                <w:color w:val="auto"/>
                <w:spacing w:val="0"/>
                <w:highlight w:val="none"/>
              </w:rPr>
              <w:t>、现有工程污染物排放量</w:t>
            </w:r>
          </w:p>
          <w:p w14:paraId="5A3DD9CC">
            <w:pPr>
              <w:keepNext w:val="0"/>
              <w:keepLines w:val="0"/>
              <w:widowControl/>
              <w:suppressLineNumbers w:val="0"/>
              <w:spacing w:before="0" w:beforeAutospacing="0" w:after="0" w:afterAutospacing="0" w:line="400" w:lineRule="exact"/>
              <w:ind w:left="0" w:right="0" w:firstLine="477" w:firstLineChars="199"/>
              <w:jc w:val="left"/>
              <w:outlineLvl w:val="2"/>
              <w:rPr>
                <w:rFonts w:hint="default" w:ascii="Times New Roman" w:hAnsi="Times New Roman" w:cs="Times New Roman"/>
                <w:b/>
                <w:smallCaps w:val="0"/>
                <w:color w:val="auto"/>
                <w:spacing w:val="0"/>
                <w:sz w:val="24"/>
                <w:szCs w:val="20"/>
                <w:highlight w:val="none"/>
              </w:rPr>
            </w:pPr>
            <w:bookmarkStart w:id="7" w:name="_Toc22365"/>
            <w:r>
              <w:rPr>
                <w:rFonts w:hint="default" w:ascii="Times New Roman" w:hAnsi="Times New Roman" w:cs="Times New Roman"/>
                <w:smallCaps w:val="0"/>
                <w:color w:val="auto"/>
                <w:spacing w:val="0"/>
                <w:sz w:val="24"/>
                <w:szCs w:val="20"/>
                <w:highlight w:val="none"/>
              </w:rPr>
              <w:t>现有工程污染物排放量情况如下：</w:t>
            </w:r>
            <w:bookmarkEnd w:id="7"/>
          </w:p>
          <w:p w14:paraId="2BEE207E">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default" w:ascii="Times New Roman" w:hAnsi="Times New Roman" w:eastAsia="宋体" w:cs="Times New Roman"/>
                <w:b/>
                <w:smallCaps w:val="0"/>
                <w:color w:val="auto"/>
                <w:spacing w:val="0"/>
                <w:highlight w:val="none"/>
                <w:lang w:val="en-US" w:eastAsia="zh-CN"/>
              </w:rPr>
              <w:t>2-</w:t>
            </w:r>
            <w:r>
              <w:rPr>
                <w:rFonts w:hint="eastAsia" w:cs="Times New Roman"/>
                <w:b/>
                <w:smallCaps w:val="0"/>
                <w:color w:val="auto"/>
                <w:spacing w:val="0"/>
                <w:highlight w:val="none"/>
                <w:lang w:val="en-US" w:eastAsia="zh-CN"/>
              </w:rPr>
              <w:t>12</w:t>
            </w:r>
            <w:r>
              <w:rPr>
                <w:rFonts w:hint="default" w:ascii="Times New Roman" w:hAnsi="Times New Roman" w:eastAsia="宋体" w:cs="Times New Roman"/>
                <w:b/>
                <w:smallCaps w:val="0"/>
                <w:color w:val="auto"/>
                <w:spacing w:val="0"/>
                <w:highlight w:val="none"/>
              </w:rPr>
              <w:t xml:space="preserve">    现有工程污染物排放量一览表      单位t/a</w:t>
            </w:r>
          </w:p>
          <w:tbl>
            <w:tblPr>
              <w:tblStyle w:val="4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708"/>
              <w:gridCol w:w="750"/>
              <w:gridCol w:w="750"/>
              <w:gridCol w:w="750"/>
              <w:gridCol w:w="750"/>
              <w:gridCol w:w="5"/>
              <w:gridCol w:w="745"/>
              <w:gridCol w:w="750"/>
              <w:gridCol w:w="762"/>
              <w:gridCol w:w="577"/>
              <w:gridCol w:w="1604"/>
            </w:tblGrid>
            <w:tr w14:paraId="6B0C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434" w:type="pct"/>
                  <w:vMerge w:val="restart"/>
                  <w:noWrap w:val="0"/>
                  <w:vAlign w:val="center"/>
                </w:tcPr>
                <w:p w14:paraId="3C69ED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污染物</w:t>
                  </w:r>
                </w:p>
              </w:tc>
              <w:tc>
                <w:tcPr>
                  <w:tcW w:w="1843" w:type="pct"/>
                  <w:gridSpan w:val="5"/>
                  <w:noWrap w:val="0"/>
                  <w:vAlign w:val="center"/>
                </w:tcPr>
                <w:p w14:paraId="52B255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废气</w:t>
                  </w:r>
                </w:p>
              </w:tc>
              <w:tc>
                <w:tcPr>
                  <w:tcW w:w="1384" w:type="pct"/>
                  <w:gridSpan w:val="3"/>
                  <w:noWrap w:val="0"/>
                  <w:vAlign w:val="center"/>
                </w:tcPr>
                <w:p w14:paraId="310CE9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废水</w:t>
                  </w:r>
                </w:p>
              </w:tc>
              <w:tc>
                <w:tcPr>
                  <w:tcW w:w="353" w:type="pct"/>
                  <w:vMerge w:val="restart"/>
                  <w:noWrap w:val="0"/>
                  <w:vAlign w:val="center"/>
                </w:tcPr>
                <w:p w14:paraId="362E26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固体</w:t>
                  </w:r>
                </w:p>
                <w:p w14:paraId="35805C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废物</w:t>
                  </w:r>
                </w:p>
              </w:tc>
              <w:tc>
                <w:tcPr>
                  <w:tcW w:w="983" w:type="pct"/>
                  <w:vMerge w:val="restart"/>
                  <w:noWrap w:val="0"/>
                  <w:vAlign w:val="center"/>
                </w:tcPr>
                <w:p w14:paraId="0EB8A6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数据来源</w:t>
                  </w:r>
                </w:p>
              </w:tc>
            </w:tr>
            <w:tr w14:paraId="2C18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434" w:type="pct"/>
                  <w:vMerge w:val="continue"/>
                  <w:noWrap w:val="0"/>
                  <w:vAlign w:val="center"/>
                </w:tcPr>
                <w:p w14:paraId="1089AC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p>
              </w:tc>
              <w:tc>
                <w:tcPr>
                  <w:tcW w:w="460" w:type="pct"/>
                  <w:shd w:val="clear" w:color="auto" w:fill="auto"/>
                  <w:noWrap w:val="0"/>
                  <w:vAlign w:val="center"/>
                </w:tcPr>
                <w:p w14:paraId="4A0B8C73">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cs="Times New Roman"/>
                      <w:smallCaps w:val="0"/>
                      <w:color w:val="auto"/>
                      <w:spacing w:val="0"/>
                      <w:kern w:val="0"/>
                      <w:szCs w:val="21"/>
                      <w:highlight w:val="none"/>
                      <w:lang w:val="en-US" w:eastAsia="zh-CN"/>
                    </w:rPr>
                    <w:t>氨</w:t>
                  </w:r>
                </w:p>
              </w:tc>
              <w:tc>
                <w:tcPr>
                  <w:tcW w:w="460" w:type="pct"/>
                  <w:noWrap w:val="0"/>
                  <w:vAlign w:val="center"/>
                </w:tcPr>
                <w:p w14:paraId="428BF47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lang w:val="en-US" w:eastAsia="zh-CN"/>
                    </w:rPr>
                  </w:pPr>
                  <w:r>
                    <w:rPr>
                      <w:rFonts w:hint="eastAsia" w:cs="Times New Roman"/>
                      <w:smallCaps w:val="0"/>
                      <w:color w:val="auto"/>
                      <w:spacing w:val="0"/>
                      <w:kern w:val="0"/>
                      <w:szCs w:val="21"/>
                      <w:highlight w:val="none"/>
                      <w:lang w:val="en-US" w:eastAsia="zh-CN"/>
                    </w:rPr>
                    <w:t>颗粒物</w:t>
                  </w:r>
                </w:p>
              </w:tc>
              <w:tc>
                <w:tcPr>
                  <w:tcW w:w="460" w:type="pct"/>
                  <w:noWrap w:val="0"/>
                  <w:vAlign w:val="center"/>
                </w:tcPr>
                <w:p w14:paraId="0BD60C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lang w:val="en-US" w:eastAsia="zh-CN"/>
                    </w:rPr>
                  </w:pPr>
                  <w:r>
                    <w:rPr>
                      <w:rFonts w:hint="eastAsia" w:ascii="Times New Roman" w:hAnsi="Times New Roman" w:cs="Times New Roman"/>
                      <w:smallCaps w:val="0"/>
                      <w:color w:val="auto"/>
                      <w:spacing w:val="0"/>
                      <w:kern w:val="0"/>
                      <w:szCs w:val="21"/>
                      <w:highlight w:val="none"/>
                      <w:lang w:val="en-US" w:eastAsia="zh-CN"/>
                    </w:rPr>
                    <w:t>非甲烷总烃</w:t>
                  </w:r>
                </w:p>
              </w:tc>
              <w:tc>
                <w:tcPr>
                  <w:tcW w:w="460" w:type="pct"/>
                  <w:noWrap w:val="0"/>
                  <w:vAlign w:val="center"/>
                </w:tcPr>
                <w:p w14:paraId="16A0CC7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SO</w:t>
                  </w:r>
                  <w:r>
                    <w:rPr>
                      <w:rFonts w:hint="default" w:ascii="Times New Roman" w:hAnsi="Times New Roman" w:cs="Times New Roman"/>
                      <w:smallCaps w:val="0"/>
                      <w:color w:val="auto"/>
                      <w:spacing w:val="0"/>
                      <w:kern w:val="0"/>
                      <w:szCs w:val="21"/>
                      <w:highlight w:val="none"/>
                      <w:vertAlign w:val="subscript"/>
                    </w:rPr>
                    <w:t>2</w:t>
                  </w:r>
                </w:p>
              </w:tc>
              <w:tc>
                <w:tcPr>
                  <w:tcW w:w="460" w:type="pct"/>
                  <w:gridSpan w:val="2"/>
                  <w:noWrap w:val="0"/>
                  <w:vAlign w:val="center"/>
                </w:tcPr>
                <w:p w14:paraId="5712AD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NOx</w:t>
                  </w:r>
                </w:p>
              </w:tc>
              <w:tc>
                <w:tcPr>
                  <w:tcW w:w="460" w:type="pct"/>
                  <w:noWrap w:val="0"/>
                  <w:vAlign w:val="center"/>
                </w:tcPr>
                <w:p w14:paraId="7567E8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COD</w:t>
                  </w:r>
                </w:p>
              </w:tc>
              <w:tc>
                <w:tcPr>
                  <w:tcW w:w="464" w:type="pct"/>
                  <w:noWrap w:val="0"/>
                  <w:vAlign w:val="center"/>
                </w:tcPr>
                <w:p w14:paraId="713339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氨氮</w:t>
                  </w:r>
                </w:p>
              </w:tc>
              <w:tc>
                <w:tcPr>
                  <w:tcW w:w="353" w:type="pct"/>
                  <w:vMerge w:val="continue"/>
                  <w:noWrap w:val="0"/>
                  <w:vAlign w:val="center"/>
                </w:tcPr>
                <w:p w14:paraId="06D732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p>
              </w:tc>
              <w:tc>
                <w:tcPr>
                  <w:tcW w:w="983" w:type="pct"/>
                  <w:vMerge w:val="continue"/>
                  <w:noWrap w:val="0"/>
                  <w:vAlign w:val="top"/>
                </w:tcPr>
                <w:p w14:paraId="01E781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p>
              </w:tc>
            </w:tr>
            <w:tr w14:paraId="3DDC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434" w:type="pct"/>
                  <w:noWrap w:val="0"/>
                  <w:vAlign w:val="center"/>
                </w:tcPr>
                <w:p w14:paraId="228319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排放量</w:t>
                  </w:r>
                </w:p>
              </w:tc>
              <w:tc>
                <w:tcPr>
                  <w:tcW w:w="460" w:type="pct"/>
                  <w:shd w:val="clear" w:color="auto" w:fill="auto"/>
                  <w:noWrap w:val="0"/>
                  <w:vAlign w:val="center"/>
                </w:tcPr>
                <w:p w14:paraId="09CC9B1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Cs w:val="21"/>
                      <w:highlight w:val="none"/>
                      <w:lang w:val="en-US" w:eastAsia="zh-CN"/>
                    </w:rPr>
                    <w:t>0.127</w:t>
                  </w:r>
                </w:p>
              </w:tc>
              <w:tc>
                <w:tcPr>
                  <w:tcW w:w="460" w:type="pct"/>
                  <w:noWrap w:val="0"/>
                  <w:vAlign w:val="center"/>
                </w:tcPr>
                <w:p w14:paraId="6911AD6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eastAsia" w:cs="Times New Roman"/>
                      <w:smallCaps w:val="0"/>
                      <w:color w:val="auto"/>
                      <w:spacing w:val="0"/>
                      <w:kern w:val="0"/>
                      <w:szCs w:val="21"/>
                      <w:highlight w:val="none"/>
                      <w:lang w:val="en-US" w:eastAsia="zh-CN"/>
                    </w:rPr>
                    <w:t>0.411</w:t>
                  </w:r>
                </w:p>
              </w:tc>
              <w:tc>
                <w:tcPr>
                  <w:tcW w:w="460" w:type="pct"/>
                  <w:noWrap w:val="0"/>
                  <w:vAlign w:val="center"/>
                </w:tcPr>
                <w:p w14:paraId="6F3C721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eastAsia" w:ascii="Times New Roman" w:hAnsi="Times New Roman" w:eastAsia="宋体" w:cs="Times New Roman"/>
                      <w:smallCaps w:val="0"/>
                      <w:color w:val="auto"/>
                      <w:spacing w:val="0"/>
                      <w:kern w:val="0"/>
                      <w:szCs w:val="21"/>
                      <w:highlight w:val="none"/>
                      <w:lang w:val="en-US" w:eastAsia="zh-CN"/>
                    </w:rPr>
                    <w:t>0.152</w:t>
                  </w:r>
                </w:p>
              </w:tc>
              <w:tc>
                <w:tcPr>
                  <w:tcW w:w="460" w:type="pct"/>
                  <w:noWrap w:val="0"/>
                  <w:vAlign w:val="center"/>
                </w:tcPr>
                <w:p w14:paraId="63C48E9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eastAsia" w:ascii="Times New Roman" w:hAnsi="Times New Roman" w:eastAsia="宋体" w:cs="Times New Roman"/>
                      <w:smallCaps w:val="0"/>
                      <w:color w:val="auto"/>
                      <w:spacing w:val="0"/>
                      <w:kern w:val="0"/>
                      <w:szCs w:val="21"/>
                      <w:highlight w:val="none"/>
                      <w:lang w:val="en-US" w:eastAsia="zh-CN"/>
                    </w:rPr>
                    <w:t>0</w:t>
                  </w:r>
                </w:p>
              </w:tc>
              <w:tc>
                <w:tcPr>
                  <w:tcW w:w="460" w:type="pct"/>
                  <w:gridSpan w:val="2"/>
                  <w:noWrap w:val="0"/>
                  <w:vAlign w:val="center"/>
                </w:tcPr>
                <w:p w14:paraId="74C84A6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eastAsia" w:ascii="Times New Roman" w:hAnsi="Times New Roman" w:eastAsia="宋体" w:cs="Times New Roman"/>
                      <w:smallCaps w:val="0"/>
                      <w:color w:val="auto"/>
                      <w:spacing w:val="0"/>
                      <w:kern w:val="0"/>
                      <w:szCs w:val="21"/>
                      <w:highlight w:val="none"/>
                      <w:lang w:val="en-US" w:eastAsia="zh-CN"/>
                    </w:rPr>
                    <w:t>0</w:t>
                  </w:r>
                </w:p>
              </w:tc>
              <w:tc>
                <w:tcPr>
                  <w:tcW w:w="460" w:type="pct"/>
                  <w:noWrap w:val="0"/>
                  <w:vAlign w:val="center"/>
                </w:tcPr>
                <w:p w14:paraId="0574BD7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default" w:ascii="Times New Roman" w:hAnsi="Times New Roman" w:eastAsia="宋体" w:cs="Times New Roman"/>
                      <w:smallCaps w:val="0"/>
                      <w:color w:val="auto"/>
                      <w:spacing w:val="0"/>
                      <w:kern w:val="0"/>
                      <w:szCs w:val="21"/>
                      <w:highlight w:val="none"/>
                      <w:lang w:val="en-US" w:eastAsia="zh-CN"/>
                    </w:rPr>
                    <w:t>0.006</w:t>
                  </w:r>
                </w:p>
              </w:tc>
              <w:tc>
                <w:tcPr>
                  <w:tcW w:w="464" w:type="pct"/>
                  <w:noWrap w:val="0"/>
                  <w:vAlign w:val="center"/>
                </w:tcPr>
                <w:p w14:paraId="6A4A137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default" w:ascii="Times New Roman" w:hAnsi="Times New Roman" w:eastAsia="宋体" w:cs="Times New Roman"/>
                      <w:smallCaps w:val="0"/>
                      <w:color w:val="auto"/>
                      <w:spacing w:val="0"/>
                      <w:kern w:val="0"/>
                      <w:szCs w:val="21"/>
                      <w:highlight w:val="none"/>
                      <w:lang w:val="en-US" w:eastAsia="zh-CN"/>
                    </w:rPr>
                    <w:t>9.370</w:t>
                  </w:r>
                </w:p>
                <w:p w14:paraId="207CD03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default" w:ascii="Times New Roman" w:hAnsi="Times New Roman" w:eastAsia="宋体" w:cs="Times New Roman"/>
                      <w:smallCaps w:val="0"/>
                      <w:color w:val="auto"/>
                      <w:spacing w:val="0"/>
                      <w:kern w:val="0"/>
                      <w:szCs w:val="21"/>
                      <w:highlight w:val="none"/>
                      <w:lang w:val="en-US" w:eastAsia="zh-CN"/>
                    </w:rPr>
                    <w:t>×10</w:t>
                  </w:r>
                  <w:r>
                    <w:rPr>
                      <w:rFonts w:hint="default" w:ascii="Times New Roman" w:hAnsi="Times New Roman" w:eastAsia="宋体" w:cs="Times New Roman"/>
                      <w:smallCaps w:val="0"/>
                      <w:color w:val="auto"/>
                      <w:spacing w:val="0"/>
                      <w:kern w:val="0"/>
                      <w:szCs w:val="21"/>
                      <w:highlight w:val="none"/>
                      <w:vertAlign w:val="superscript"/>
                      <w:lang w:val="en-US" w:eastAsia="zh-CN"/>
                    </w:rPr>
                    <w:t>-4</w:t>
                  </w:r>
                </w:p>
              </w:tc>
              <w:tc>
                <w:tcPr>
                  <w:tcW w:w="353" w:type="pct"/>
                  <w:noWrap w:val="0"/>
                  <w:vAlign w:val="center"/>
                </w:tcPr>
                <w:p w14:paraId="34DC9F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Cs w:val="21"/>
                      <w:highlight w:val="none"/>
                    </w:rPr>
                    <w:t>0</w:t>
                  </w:r>
                </w:p>
              </w:tc>
              <w:tc>
                <w:tcPr>
                  <w:tcW w:w="983" w:type="pct"/>
                  <w:noWrap w:val="0"/>
                  <w:vAlign w:val="center"/>
                </w:tcPr>
                <w:p w14:paraId="594577E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kern w:val="0"/>
                      <w:szCs w:val="21"/>
                      <w:highlight w:val="none"/>
                      <w:lang w:val="en-US" w:eastAsia="zh-CN"/>
                    </w:rPr>
                  </w:pPr>
                  <w:r>
                    <w:rPr>
                      <w:rFonts w:hint="default" w:ascii="Times New Roman" w:hAnsi="Times New Roman" w:eastAsia="宋体" w:cs="Times New Roman"/>
                      <w:smallCaps w:val="0"/>
                      <w:color w:val="auto"/>
                      <w:spacing w:val="0"/>
                      <w:kern w:val="0"/>
                      <w:szCs w:val="21"/>
                      <w:highlight w:val="none"/>
                      <w:lang w:val="en-US" w:eastAsia="zh-CN"/>
                    </w:rPr>
                    <w:t>报告编号：JYHJ-2025-0181</w:t>
                  </w:r>
                </w:p>
              </w:tc>
            </w:tr>
          </w:tbl>
          <w:p w14:paraId="32AB57A9">
            <w:pPr>
              <w:pStyle w:val="1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40" w:firstLineChars="200"/>
              <w:textAlignment w:val="auto"/>
              <w:rPr>
                <w:rFonts w:hint="default" w:ascii="Times New Roman" w:hAnsi="Times New Roman" w:cs="Times New Roman"/>
                <w:smallCaps w:val="0"/>
                <w:color w:val="auto"/>
                <w:spacing w:val="0"/>
                <w:sz w:val="22"/>
                <w:szCs w:val="22"/>
                <w:highlight w:val="none"/>
                <w:lang w:val="en-US" w:eastAsia="zh-CN"/>
              </w:rPr>
            </w:pPr>
            <w:r>
              <w:rPr>
                <w:rFonts w:hint="eastAsia" w:cs="Times New Roman"/>
                <w:smallCaps w:val="0"/>
                <w:color w:val="auto"/>
                <w:spacing w:val="0"/>
                <w:sz w:val="22"/>
                <w:szCs w:val="22"/>
                <w:highlight w:val="none"/>
                <w:lang w:val="en-US" w:eastAsia="zh-CN"/>
              </w:rPr>
              <w:t>注：因现有工程未识别颗粒物，按照本项目产排污系数计算颗粒物排放量。参照《排放源统计调查产排污核算方法和系数手册》（环境部公告 2021年 第24号）中292塑料制品行业系数手册，树脂、助剂混料-混合-挤出颗粒物产生量为6.00千克/吨-产品，现有工程塑料产品约137吨，产生量为0.822t/a，排放量为0.411t/a。</w:t>
            </w:r>
          </w:p>
          <w:p w14:paraId="78933D9B">
            <w:pPr>
              <w:pStyle w:val="172"/>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cs="Times New Roman"/>
                <w:smallCaps w:val="0"/>
                <w:color w:val="auto"/>
                <w:spacing w:val="0"/>
                <w:highlight w:val="none"/>
                <w:lang w:val="en-US" w:eastAsia="zh-CN"/>
              </w:rPr>
            </w:pPr>
            <w:r>
              <w:rPr>
                <w:rFonts w:hint="eastAsia" w:cs="Times New Roman"/>
                <w:smallCaps w:val="0"/>
                <w:snapToGrid w:val="0"/>
                <w:color w:val="auto"/>
                <w:spacing w:val="0"/>
                <w:kern w:val="2"/>
                <w:sz w:val="24"/>
                <w:szCs w:val="24"/>
                <w:highlight w:val="none"/>
                <w:lang w:val="en-US" w:eastAsia="zh-CN" w:bidi="ar-SA"/>
              </w:rPr>
              <w:t>6</w:t>
            </w:r>
            <w:r>
              <w:rPr>
                <w:rFonts w:hint="default" w:ascii="Times New Roman" w:hAnsi="Times New Roman" w:eastAsia="宋体" w:cs="Times New Roman"/>
                <w:smallCaps w:val="0"/>
                <w:snapToGrid w:val="0"/>
                <w:color w:val="auto"/>
                <w:spacing w:val="0"/>
                <w:kern w:val="2"/>
                <w:sz w:val="24"/>
                <w:szCs w:val="24"/>
                <w:highlight w:val="none"/>
                <w:lang w:val="en-US" w:eastAsia="zh-CN" w:bidi="ar-SA"/>
              </w:rPr>
              <w:t>、</w:t>
            </w:r>
            <w:r>
              <w:rPr>
                <w:rFonts w:hint="default" w:ascii="Times New Roman" w:hAnsi="Times New Roman" w:cs="Times New Roman"/>
                <w:smallCaps w:val="0"/>
                <w:color w:val="auto"/>
                <w:spacing w:val="0"/>
                <w:highlight w:val="none"/>
                <w:lang w:val="en-US" w:eastAsia="zh-CN"/>
              </w:rPr>
              <w:t>现有工程总量控制指标</w:t>
            </w:r>
          </w:p>
          <w:p w14:paraId="6929A0DA">
            <w:pPr>
              <w:pStyle w:val="1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lang w:val="en-US" w:eastAsia="zh-CN"/>
              </w:rPr>
              <w:t>现有</w:t>
            </w:r>
            <w:r>
              <w:rPr>
                <w:rFonts w:hint="default" w:ascii="Times New Roman" w:hAnsi="Times New Roman" w:cs="Times New Roman"/>
                <w:smallCaps w:val="0"/>
                <w:color w:val="auto"/>
                <w:spacing w:val="0"/>
                <w:highlight w:val="none"/>
              </w:rPr>
              <w:t>总量控制指标：</w:t>
            </w:r>
            <w:r>
              <w:rPr>
                <w:rFonts w:hint="default" w:ascii="Times New Roman" w:hAnsi="Times New Roman" w:cs="Times New Roman"/>
                <w:smallCaps w:val="0"/>
                <w:color w:val="auto"/>
                <w:spacing w:val="0"/>
                <w:sz w:val="24"/>
                <w:highlight w:val="none"/>
              </w:rPr>
              <w:t>SO</w:t>
            </w:r>
            <w:r>
              <w:rPr>
                <w:rFonts w:hint="default" w:ascii="Times New Roman" w:hAnsi="Times New Roman" w:cs="Times New Roman"/>
                <w:smallCaps w:val="0"/>
                <w:color w:val="auto"/>
                <w:spacing w:val="0"/>
                <w:sz w:val="24"/>
                <w:highlight w:val="none"/>
                <w:vertAlign w:val="subscript"/>
              </w:rPr>
              <w:t>2</w:t>
            </w:r>
            <w:r>
              <w:rPr>
                <w:rFonts w:hint="default" w:ascii="Times New Roman" w:hAnsi="Times New Roman" w:cs="Times New Roman"/>
                <w:smallCaps w:val="0"/>
                <w:color w:val="auto"/>
                <w:spacing w:val="0"/>
                <w:sz w:val="24"/>
                <w:highlight w:val="none"/>
              </w:rPr>
              <w:t>：</w:t>
            </w:r>
            <w:r>
              <w:rPr>
                <w:rFonts w:hint="eastAsia" w:ascii="Times New Roman" w:hAnsi="Times New Roman" w:cs="Times New Roman"/>
                <w:smallCaps w:val="0"/>
                <w:color w:val="auto"/>
                <w:spacing w:val="0"/>
                <w:sz w:val="24"/>
                <w:highlight w:val="none"/>
                <w:lang w:val="en-US" w:eastAsia="zh-CN"/>
              </w:rPr>
              <w:t>0</w:t>
            </w:r>
            <w:r>
              <w:rPr>
                <w:rFonts w:hint="default" w:ascii="Times New Roman" w:hAnsi="Times New Roman" w:cs="Times New Roman"/>
                <w:smallCaps w:val="0"/>
                <w:color w:val="auto"/>
                <w:spacing w:val="0"/>
                <w:sz w:val="24"/>
                <w:highlight w:val="none"/>
              </w:rPr>
              <w:t>t/a ；NO</w:t>
            </w:r>
            <w:r>
              <w:rPr>
                <w:rFonts w:hint="default" w:ascii="Times New Roman" w:hAnsi="Times New Roman" w:cs="Times New Roman"/>
                <w:smallCaps w:val="0"/>
                <w:color w:val="auto"/>
                <w:spacing w:val="0"/>
                <w:sz w:val="24"/>
                <w:highlight w:val="none"/>
                <w:vertAlign w:val="subscript"/>
              </w:rPr>
              <w:t>X</w:t>
            </w:r>
            <w:r>
              <w:rPr>
                <w:rFonts w:hint="default" w:ascii="Times New Roman" w:hAnsi="Times New Roman" w:cs="Times New Roman"/>
                <w:smallCaps w:val="0"/>
                <w:color w:val="auto"/>
                <w:spacing w:val="0"/>
                <w:sz w:val="24"/>
                <w:highlight w:val="none"/>
              </w:rPr>
              <w:t>：</w:t>
            </w:r>
            <w:r>
              <w:rPr>
                <w:rFonts w:hint="eastAsia" w:ascii="Times New Roman" w:hAnsi="Times New Roman" w:cs="Times New Roman"/>
                <w:smallCaps w:val="0"/>
                <w:color w:val="auto"/>
                <w:spacing w:val="0"/>
                <w:sz w:val="24"/>
                <w:highlight w:val="none"/>
                <w:lang w:val="en-US" w:eastAsia="zh-CN"/>
              </w:rPr>
              <w:t>0</w:t>
            </w:r>
            <w:r>
              <w:rPr>
                <w:rFonts w:hint="default" w:ascii="Times New Roman" w:hAnsi="Times New Roman" w:cs="Times New Roman"/>
                <w:smallCaps w:val="0"/>
                <w:color w:val="auto"/>
                <w:spacing w:val="0"/>
                <w:sz w:val="24"/>
                <w:highlight w:val="none"/>
              </w:rPr>
              <w:t>t/a；COD：</w:t>
            </w:r>
            <w:r>
              <w:rPr>
                <w:rFonts w:hint="eastAsia" w:ascii="Times New Roman" w:hAnsi="Times New Roman" w:cs="Times New Roman"/>
                <w:smallCaps w:val="0"/>
                <w:color w:val="auto"/>
                <w:spacing w:val="0"/>
                <w:sz w:val="24"/>
                <w:highlight w:val="none"/>
                <w:lang w:val="en-US" w:eastAsia="zh-CN"/>
              </w:rPr>
              <w:t>0.046</w:t>
            </w:r>
            <w:r>
              <w:rPr>
                <w:rFonts w:hint="default" w:ascii="Times New Roman" w:hAnsi="Times New Roman" w:cs="Times New Roman"/>
                <w:smallCaps w:val="0"/>
                <w:color w:val="auto"/>
                <w:spacing w:val="0"/>
                <w:sz w:val="24"/>
                <w:highlight w:val="none"/>
              </w:rPr>
              <w:t>t/a；NH</w:t>
            </w:r>
            <w:r>
              <w:rPr>
                <w:rFonts w:hint="default" w:ascii="Times New Roman" w:hAnsi="Times New Roman" w:cs="Times New Roman"/>
                <w:smallCaps w:val="0"/>
                <w:color w:val="auto"/>
                <w:spacing w:val="0"/>
                <w:sz w:val="24"/>
                <w:highlight w:val="none"/>
                <w:vertAlign w:val="subscript"/>
              </w:rPr>
              <w:t>3</w:t>
            </w:r>
            <w:r>
              <w:rPr>
                <w:rFonts w:hint="default" w:ascii="Times New Roman" w:hAnsi="Times New Roman" w:cs="Times New Roman"/>
                <w:smallCaps w:val="0"/>
                <w:color w:val="auto"/>
                <w:spacing w:val="0"/>
                <w:sz w:val="24"/>
                <w:highlight w:val="none"/>
              </w:rPr>
              <w:t>-N：</w:t>
            </w:r>
            <w:r>
              <w:rPr>
                <w:rFonts w:hint="eastAsia" w:ascii="Times New Roman" w:hAnsi="Times New Roman" w:cs="Times New Roman"/>
                <w:smallCaps w:val="0"/>
                <w:color w:val="auto"/>
                <w:spacing w:val="0"/>
                <w:sz w:val="24"/>
                <w:highlight w:val="none"/>
                <w:lang w:val="en-US" w:eastAsia="zh-CN"/>
              </w:rPr>
              <w:t>0.005</w:t>
            </w:r>
            <w:r>
              <w:rPr>
                <w:rFonts w:hint="default" w:ascii="Times New Roman" w:hAnsi="Times New Roman" w:cs="Times New Roman"/>
                <w:smallCaps w:val="0"/>
                <w:color w:val="auto"/>
                <w:spacing w:val="0"/>
                <w:sz w:val="24"/>
                <w:highlight w:val="none"/>
              </w:rPr>
              <w:t>t/a</w:t>
            </w:r>
            <w:r>
              <w:rPr>
                <w:rFonts w:hint="eastAsia" w:cs="Times New Roman"/>
                <w:smallCaps w:val="0"/>
                <w:color w:val="auto"/>
                <w:spacing w:val="0"/>
                <w:sz w:val="24"/>
                <w:highlight w:val="none"/>
                <w:lang w:val="en-US" w:eastAsia="zh-CN"/>
              </w:rPr>
              <w:t>。现有工程实际排放量未超出现有工程总量控制指标</w:t>
            </w:r>
            <w:r>
              <w:rPr>
                <w:rFonts w:hint="default" w:ascii="Times New Roman" w:hAnsi="Times New Roman" w:cs="Times New Roman"/>
                <w:smallCaps w:val="0"/>
                <w:color w:val="auto"/>
                <w:spacing w:val="0"/>
                <w:sz w:val="24"/>
                <w:highlight w:val="none"/>
              </w:rPr>
              <w:t>。</w:t>
            </w:r>
          </w:p>
          <w:p w14:paraId="192BFC52">
            <w:pPr>
              <w:keepNext w:val="0"/>
              <w:keepLines w:val="0"/>
              <w:suppressLineNumbers w:val="0"/>
              <w:spacing w:before="0" w:beforeAutospacing="0" w:after="0" w:afterAutospacing="0"/>
              <w:ind w:left="0" w:right="0"/>
              <w:rPr>
                <w:rFonts w:hint="eastAsia" w:cs="Times New Roman"/>
                <w:smallCaps w:val="0"/>
                <w:color w:val="auto"/>
                <w:spacing w:val="0"/>
                <w:szCs w:val="20"/>
                <w:highlight w:val="none"/>
                <w:lang w:val="en-US" w:eastAsia="zh-CN"/>
              </w:rPr>
            </w:pPr>
          </w:p>
          <w:p w14:paraId="3179EBC3">
            <w:pPr>
              <w:keepNext w:val="0"/>
              <w:keepLines w:val="0"/>
              <w:suppressLineNumbers w:val="0"/>
              <w:spacing w:before="0" w:beforeAutospacing="0" w:after="0" w:afterAutospacing="0"/>
              <w:ind w:left="0" w:right="0"/>
              <w:rPr>
                <w:rFonts w:hint="eastAsia" w:cs="Times New Roman"/>
                <w:smallCaps w:val="0"/>
                <w:color w:val="auto"/>
                <w:spacing w:val="0"/>
                <w:szCs w:val="20"/>
                <w:highlight w:val="none"/>
                <w:lang w:val="en-US" w:eastAsia="zh-CN"/>
              </w:rPr>
            </w:pPr>
          </w:p>
          <w:p w14:paraId="1CADEB59">
            <w:pPr>
              <w:keepNext w:val="0"/>
              <w:keepLines w:val="0"/>
              <w:suppressLineNumbers w:val="0"/>
              <w:spacing w:before="0" w:beforeAutospacing="0" w:after="0" w:afterAutospacing="0"/>
              <w:ind w:left="0" w:right="0"/>
              <w:rPr>
                <w:rFonts w:hint="eastAsia" w:cs="Times New Roman"/>
                <w:smallCaps w:val="0"/>
                <w:color w:val="auto"/>
                <w:spacing w:val="0"/>
                <w:szCs w:val="20"/>
                <w:highlight w:val="none"/>
                <w:lang w:val="en-US" w:eastAsia="zh-CN"/>
              </w:rPr>
            </w:pPr>
          </w:p>
          <w:p w14:paraId="7CF4E54F">
            <w:pPr>
              <w:keepNext w:val="0"/>
              <w:keepLines w:val="0"/>
              <w:suppressLineNumbers w:val="0"/>
              <w:spacing w:before="0" w:beforeAutospacing="0" w:after="0" w:afterAutospacing="0"/>
              <w:ind w:left="0" w:right="0"/>
              <w:rPr>
                <w:rFonts w:hint="eastAsia" w:cs="Times New Roman"/>
                <w:smallCaps w:val="0"/>
                <w:color w:val="auto"/>
                <w:spacing w:val="0"/>
                <w:szCs w:val="20"/>
                <w:highlight w:val="none"/>
                <w:lang w:val="en-US" w:eastAsia="zh-CN"/>
              </w:rPr>
            </w:pPr>
          </w:p>
          <w:p w14:paraId="2DBFA998">
            <w:pPr>
              <w:keepNext w:val="0"/>
              <w:keepLines w:val="0"/>
              <w:suppressLineNumbers w:val="0"/>
              <w:spacing w:before="0" w:beforeAutospacing="0" w:after="0" w:afterAutospacing="0"/>
              <w:ind w:left="0" w:right="0"/>
              <w:rPr>
                <w:rFonts w:hint="eastAsia" w:cs="Times New Roman"/>
                <w:smallCaps w:val="0"/>
                <w:color w:val="auto"/>
                <w:spacing w:val="0"/>
                <w:szCs w:val="20"/>
                <w:highlight w:val="none"/>
                <w:lang w:val="en-US" w:eastAsia="zh-CN"/>
              </w:rPr>
            </w:pPr>
          </w:p>
          <w:p w14:paraId="6AAD6904">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Cs w:val="20"/>
                <w:highlight w:val="none"/>
                <w:lang w:val="en-US" w:eastAsia="zh-CN"/>
              </w:rPr>
            </w:pPr>
          </w:p>
        </w:tc>
      </w:tr>
    </w:tbl>
    <w:p w14:paraId="0AC57130">
      <w:pPr>
        <w:pStyle w:val="41"/>
        <w:jc w:val="center"/>
        <w:rPr>
          <w:rFonts w:hint="default" w:ascii="Times New Roman" w:hAnsi="Times New Roman" w:eastAsia="黑体" w:cs="Times New Roman"/>
          <w:smallCaps w:val="0"/>
          <w:snapToGrid w:val="0"/>
          <w:color w:val="auto"/>
          <w:spacing w:val="0"/>
          <w:sz w:val="36"/>
          <w:szCs w:val="36"/>
          <w:highlight w:val="none"/>
        </w:rPr>
        <w:sectPr>
          <w:pgSz w:w="11906" w:h="16838"/>
          <w:pgMar w:top="1701" w:right="1531" w:bottom="1701" w:left="1531" w:header="851" w:footer="851" w:gutter="0"/>
          <w:cols w:space="720" w:num="1"/>
          <w:docGrid w:linePitch="312" w:charSpace="0"/>
        </w:sectPr>
      </w:pPr>
    </w:p>
    <w:p w14:paraId="374E216E">
      <w:pPr>
        <w:pStyle w:val="41"/>
        <w:jc w:val="center"/>
        <w:outlineLvl w:val="0"/>
        <w:rPr>
          <w:rFonts w:hint="default" w:ascii="Times New Roman" w:hAnsi="Times New Roman" w:eastAsia="黑体" w:cs="Times New Roman"/>
          <w:smallCaps w:val="0"/>
          <w:snapToGrid w:val="0"/>
          <w:color w:val="auto"/>
          <w:spacing w:val="0"/>
          <w:sz w:val="30"/>
          <w:szCs w:val="30"/>
          <w:highlight w:val="none"/>
        </w:rPr>
      </w:pPr>
      <w:bookmarkStart w:id="8" w:name="_Toc22540"/>
      <w:r>
        <w:rPr>
          <w:rFonts w:hint="default" w:ascii="Times New Roman" w:hAnsi="Times New Roman" w:eastAsia="黑体" w:cs="Times New Roman"/>
          <w:smallCaps w:val="0"/>
          <w:snapToGrid w:val="0"/>
          <w:color w:val="auto"/>
          <w:spacing w:val="0"/>
          <w:sz w:val="30"/>
          <w:szCs w:val="30"/>
          <w:highlight w:val="none"/>
        </w:rPr>
        <w:t>三、区域环境质量现状、环境保护目标及评价标准</w:t>
      </w:r>
      <w:bookmarkEnd w:id="8"/>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4"/>
        <w:gridCol w:w="7889"/>
      </w:tblGrid>
      <w:tr w14:paraId="7F0EB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2" w:type="pct"/>
            <w:vAlign w:val="center"/>
          </w:tcPr>
          <w:p w14:paraId="7BF881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区域</w:t>
            </w:r>
          </w:p>
          <w:p w14:paraId="2BEE2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环境</w:t>
            </w:r>
          </w:p>
          <w:p w14:paraId="406466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质量</w:t>
            </w:r>
          </w:p>
          <w:p w14:paraId="7E1FB7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 w:val="24"/>
                <w:szCs w:val="21"/>
                <w:highlight w:val="none"/>
              </w:rPr>
              <w:t>现状</w:t>
            </w:r>
          </w:p>
        </w:tc>
        <w:tc>
          <w:tcPr>
            <w:tcW w:w="4627" w:type="pct"/>
            <w:vAlign w:val="center"/>
          </w:tcPr>
          <w:p w14:paraId="3F250EE4">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1、环境空气</w:t>
            </w:r>
          </w:p>
          <w:p w14:paraId="1A9CF300">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1）基本污染物环境质量现状监测数据</w:t>
            </w:r>
          </w:p>
          <w:p w14:paraId="2983F3A3">
            <w:pPr>
              <w:pStyle w:val="172"/>
              <w:keepNext w:val="0"/>
              <w:keepLines w:val="0"/>
              <w:suppressLineNumbers w:val="0"/>
              <w:spacing w:before="0" w:beforeAutospacing="0" w:after="0" w:afterAutospacing="0" w:line="460" w:lineRule="exact"/>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根据《环境影响评价技术导则 大气环境》（HJ2.2-2018）要求，采用地方生态环境主管部门公开发布的评价基准年环境质量公告的数据对项目所在区域进行区域达标判定。</w:t>
            </w:r>
          </w:p>
          <w:p w14:paraId="63B5BEC0">
            <w:pPr>
              <w:pStyle w:val="172"/>
              <w:keepNext w:val="0"/>
              <w:keepLines w:val="0"/>
              <w:suppressLineNumbers w:val="0"/>
              <w:spacing w:before="0" w:beforeAutospacing="0" w:after="0" w:afterAutospacing="0" w:line="460" w:lineRule="exact"/>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根据石家庄市生态环境局发布的</w:t>
            </w:r>
            <w:r>
              <w:rPr>
                <w:rFonts w:hint="default" w:ascii="Times New Roman" w:hAnsi="Times New Roman" w:cs="Times New Roman"/>
                <w:smallCaps w:val="0"/>
                <w:color w:val="auto"/>
                <w:spacing w:val="0"/>
                <w:highlight w:val="none"/>
                <w:lang w:eastAsia="zh-CN"/>
              </w:rPr>
              <w:t>《</w:t>
            </w:r>
            <w:r>
              <w:rPr>
                <w:rFonts w:hint="eastAsia" w:cs="Times New Roman"/>
                <w:smallCaps w:val="0"/>
                <w:color w:val="auto"/>
                <w:spacing w:val="0"/>
                <w:highlight w:val="none"/>
                <w:lang w:eastAsia="zh-CN"/>
              </w:rPr>
              <w:t>石家庄市生态环境状况公报（2024年）</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中相关数据，</w:t>
            </w:r>
            <w:r>
              <w:rPr>
                <w:rFonts w:hint="default" w:ascii="Times New Roman" w:hAnsi="Times New Roman" w:cs="Times New Roman"/>
                <w:smallCaps w:val="0"/>
                <w:color w:val="auto"/>
                <w:spacing w:val="0"/>
                <w:highlight w:val="none"/>
                <w:lang w:val="en-US" w:eastAsia="zh-CN"/>
              </w:rPr>
              <w:t>石家庄市</w:t>
            </w:r>
            <w:r>
              <w:rPr>
                <w:rFonts w:hint="default" w:ascii="Times New Roman" w:hAnsi="Times New Roman" w:cs="Times New Roman"/>
                <w:smallCaps w:val="0"/>
                <w:color w:val="auto"/>
                <w:spacing w:val="0"/>
                <w:highlight w:val="none"/>
              </w:rPr>
              <w:t>环境空气质量现状评价结果见</w:t>
            </w:r>
            <w:r>
              <w:rPr>
                <w:rFonts w:hint="default" w:ascii="Times New Roman" w:hAnsi="Times New Roman" w:cs="Times New Roman"/>
                <w:smallCaps w:val="0"/>
                <w:snapToGrid w:val="0"/>
                <w:color w:val="auto"/>
                <w:spacing w:val="0"/>
                <w:kern w:val="0"/>
                <w:highlight w:val="none"/>
              </w:rPr>
              <w:t>下表。</w:t>
            </w:r>
          </w:p>
          <w:p w14:paraId="3C662B92">
            <w:pPr>
              <w:pStyle w:val="18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表</w:t>
            </w:r>
            <w:r>
              <w:rPr>
                <w:rFonts w:hint="default" w:ascii="Times New Roman" w:hAnsi="Times New Roman" w:cs="Times New Roman"/>
                <w:smallCaps w:val="0"/>
                <w:color w:val="auto"/>
                <w:spacing w:val="0"/>
                <w:highlight w:val="none"/>
                <w:lang w:val="en-US" w:eastAsia="zh-CN"/>
              </w:rPr>
              <w:t>3-1</w:t>
            </w:r>
            <w:r>
              <w:rPr>
                <w:rFonts w:hint="default" w:ascii="Times New Roman" w:hAnsi="Times New Roman" w:eastAsia="宋体" w:cs="Times New Roman"/>
                <w:smallCaps w:val="0"/>
                <w:color w:val="auto"/>
                <w:spacing w:val="0"/>
                <w:highlight w:val="none"/>
              </w:rPr>
              <w:t xml:space="preserve">  </w:t>
            </w:r>
            <w:r>
              <w:rPr>
                <w:rFonts w:hint="default" w:ascii="Times New Roman" w:hAnsi="Times New Roman" w:cs="Times New Roman"/>
                <w:smallCaps w:val="0"/>
                <w:color w:val="auto"/>
                <w:spacing w:val="0"/>
                <w:highlight w:val="none"/>
                <w:lang w:val="en-US" w:eastAsia="zh-CN"/>
              </w:rPr>
              <w:t xml:space="preserve"> 石家庄市</w:t>
            </w:r>
            <w:r>
              <w:rPr>
                <w:rFonts w:hint="default" w:ascii="Times New Roman" w:hAnsi="Times New Roman" w:eastAsia="宋体" w:cs="Times New Roman"/>
                <w:smallCaps w:val="0"/>
                <w:color w:val="auto"/>
                <w:spacing w:val="0"/>
                <w:highlight w:val="none"/>
              </w:rPr>
              <w:t>环境空气质量现状判定表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3"/>
              <w:gridCol w:w="2298"/>
              <w:gridCol w:w="1218"/>
              <w:gridCol w:w="1080"/>
              <w:gridCol w:w="1080"/>
              <w:gridCol w:w="1104"/>
            </w:tblGrid>
            <w:tr w14:paraId="546A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noWrap w:val="0"/>
                  <w:vAlign w:val="center"/>
                </w:tcPr>
                <w:p w14:paraId="7BDC99C8">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污染物名称</w:t>
                  </w:r>
                </w:p>
              </w:tc>
              <w:tc>
                <w:tcPr>
                  <w:tcW w:w="1498" w:type="pct"/>
                  <w:noWrap w:val="0"/>
                  <w:vAlign w:val="center"/>
                </w:tcPr>
                <w:p w14:paraId="5BE6F762">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年评价指标</w:t>
                  </w:r>
                </w:p>
              </w:tc>
              <w:tc>
                <w:tcPr>
                  <w:tcW w:w="794" w:type="pct"/>
                  <w:noWrap w:val="0"/>
                  <w:vAlign w:val="center"/>
                </w:tcPr>
                <w:p w14:paraId="08A7EF66">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现状浓度</w:t>
                  </w:r>
                </w:p>
                <w:p w14:paraId="0ABC2369">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（μg/m</w:t>
                  </w:r>
                  <w:r>
                    <w:rPr>
                      <w:rFonts w:hint="default" w:ascii="Times New Roman" w:hAnsi="Times New Roman" w:cs="Times New Roman"/>
                      <w:smallCaps w:val="0"/>
                      <w:color w:val="auto"/>
                      <w:spacing w:val="0"/>
                      <w:kern w:val="0"/>
                      <w:sz w:val="21"/>
                      <w:szCs w:val="18"/>
                      <w:highlight w:val="none"/>
                      <w:vertAlign w:val="superscript"/>
                    </w:rPr>
                    <w:t>3</w:t>
                  </w:r>
                  <w:r>
                    <w:rPr>
                      <w:rFonts w:hint="default" w:ascii="Times New Roman" w:hAnsi="Times New Roman" w:cs="Times New Roman"/>
                      <w:smallCaps w:val="0"/>
                      <w:color w:val="auto"/>
                      <w:spacing w:val="0"/>
                      <w:kern w:val="0"/>
                      <w:sz w:val="21"/>
                      <w:szCs w:val="18"/>
                      <w:highlight w:val="none"/>
                    </w:rPr>
                    <w:t>）</w:t>
                  </w:r>
                </w:p>
              </w:tc>
              <w:tc>
                <w:tcPr>
                  <w:tcW w:w="704" w:type="pct"/>
                  <w:noWrap w:val="0"/>
                  <w:vAlign w:val="center"/>
                </w:tcPr>
                <w:p w14:paraId="4BA3772F">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标准值</w:t>
                  </w:r>
                </w:p>
                <w:p w14:paraId="77E73C60">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（μg/m</w:t>
                  </w:r>
                  <w:r>
                    <w:rPr>
                      <w:rFonts w:hint="default" w:ascii="Times New Roman" w:hAnsi="Times New Roman" w:cs="Times New Roman"/>
                      <w:smallCaps w:val="0"/>
                      <w:color w:val="auto"/>
                      <w:spacing w:val="0"/>
                      <w:kern w:val="0"/>
                      <w:sz w:val="21"/>
                      <w:szCs w:val="18"/>
                      <w:highlight w:val="none"/>
                      <w:vertAlign w:val="superscript"/>
                    </w:rPr>
                    <w:t>3</w:t>
                  </w:r>
                  <w:r>
                    <w:rPr>
                      <w:rFonts w:hint="default" w:ascii="Times New Roman" w:hAnsi="Times New Roman" w:cs="Times New Roman"/>
                      <w:smallCaps w:val="0"/>
                      <w:color w:val="auto"/>
                      <w:spacing w:val="0"/>
                      <w:kern w:val="0"/>
                      <w:sz w:val="21"/>
                      <w:szCs w:val="18"/>
                      <w:highlight w:val="none"/>
                    </w:rPr>
                    <w:t>）</w:t>
                  </w:r>
                </w:p>
              </w:tc>
              <w:tc>
                <w:tcPr>
                  <w:tcW w:w="704" w:type="pct"/>
                  <w:noWrap w:val="0"/>
                  <w:vAlign w:val="center"/>
                </w:tcPr>
                <w:p w14:paraId="38CC803B">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占标率%</w:t>
                  </w:r>
                </w:p>
              </w:tc>
              <w:tc>
                <w:tcPr>
                  <w:tcW w:w="720" w:type="pct"/>
                  <w:noWrap w:val="0"/>
                  <w:vAlign w:val="center"/>
                </w:tcPr>
                <w:p w14:paraId="3A106C40">
                  <w:pPr>
                    <w:pStyle w:val="172"/>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smallCaps w:val="0"/>
                      <w:color w:val="auto"/>
                      <w:spacing w:val="0"/>
                      <w:kern w:val="0"/>
                      <w:sz w:val="21"/>
                      <w:szCs w:val="18"/>
                      <w:highlight w:val="none"/>
                    </w:rPr>
                  </w:pPr>
                  <w:r>
                    <w:rPr>
                      <w:rFonts w:hint="default" w:ascii="Times New Roman" w:hAnsi="Times New Roman" w:cs="Times New Roman"/>
                      <w:smallCaps w:val="0"/>
                      <w:color w:val="auto"/>
                      <w:spacing w:val="0"/>
                      <w:kern w:val="0"/>
                      <w:sz w:val="21"/>
                      <w:szCs w:val="18"/>
                      <w:highlight w:val="none"/>
                    </w:rPr>
                    <w:t>达标情况</w:t>
                  </w:r>
                </w:p>
              </w:tc>
            </w:tr>
            <w:tr w14:paraId="73FF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4AB5A329">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PM</w:t>
                  </w:r>
                  <w:r>
                    <w:rPr>
                      <w:rFonts w:hint="default" w:ascii="Times New Roman" w:hAnsi="Times New Roman" w:cs="Times New Roman"/>
                      <w:smallCaps w:val="0"/>
                      <w:color w:val="auto"/>
                      <w:spacing w:val="0"/>
                      <w:kern w:val="0"/>
                      <w:sz w:val="21"/>
                      <w:szCs w:val="18"/>
                      <w:highlight w:val="none"/>
                      <w:vertAlign w:val="subscript"/>
                    </w:rPr>
                    <w:t>10</w:t>
                  </w:r>
                </w:p>
              </w:tc>
              <w:tc>
                <w:tcPr>
                  <w:tcW w:w="1498" w:type="pct"/>
                  <w:shd w:val="clear" w:color="auto" w:fill="auto"/>
                  <w:noWrap w:val="0"/>
                  <w:vAlign w:val="center"/>
                </w:tcPr>
                <w:p w14:paraId="064DD864">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年平均质量浓度</w:t>
                  </w:r>
                </w:p>
              </w:tc>
              <w:tc>
                <w:tcPr>
                  <w:tcW w:w="794" w:type="pct"/>
                  <w:shd w:val="clear" w:color="auto" w:fill="auto"/>
                  <w:noWrap w:val="0"/>
                  <w:vAlign w:val="center"/>
                </w:tcPr>
                <w:p w14:paraId="0B585065">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78</w:t>
                  </w:r>
                </w:p>
              </w:tc>
              <w:tc>
                <w:tcPr>
                  <w:tcW w:w="704" w:type="pct"/>
                  <w:shd w:val="clear" w:color="auto" w:fill="auto"/>
                  <w:noWrap w:val="0"/>
                  <w:vAlign w:val="center"/>
                </w:tcPr>
                <w:p w14:paraId="7859C667">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70</w:t>
                  </w:r>
                </w:p>
              </w:tc>
              <w:tc>
                <w:tcPr>
                  <w:tcW w:w="1080" w:type="dxa"/>
                  <w:shd w:val="clear" w:color="auto" w:fill="auto"/>
                  <w:noWrap w:val="0"/>
                  <w:vAlign w:val="center"/>
                </w:tcPr>
                <w:p w14:paraId="49A92DCE">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111.43</w:t>
                  </w:r>
                </w:p>
              </w:tc>
              <w:tc>
                <w:tcPr>
                  <w:tcW w:w="720" w:type="pct"/>
                  <w:shd w:val="clear" w:color="auto" w:fill="auto"/>
                  <w:noWrap w:val="0"/>
                  <w:vAlign w:val="center"/>
                </w:tcPr>
                <w:p w14:paraId="23827190">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不达标</w:t>
                  </w:r>
                </w:p>
              </w:tc>
            </w:tr>
            <w:tr w14:paraId="682B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628BDE19">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PM</w:t>
                  </w:r>
                  <w:r>
                    <w:rPr>
                      <w:rFonts w:hint="default" w:ascii="Times New Roman" w:hAnsi="Times New Roman" w:cs="Times New Roman"/>
                      <w:smallCaps w:val="0"/>
                      <w:color w:val="auto"/>
                      <w:spacing w:val="0"/>
                      <w:kern w:val="0"/>
                      <w:sz w:val="21"/>
                      <w:szCs w:val="18"/>
                      <w:highlight w:val="none"/>
                      <w:vertAlign w:val="subscript"/>
                    </w:rPr>
                    <w:t>2.5</w:t>
                  </w:r>
                </w:p>
              </w:tc>
              <w:tc>
                <w:tcPr>
                  <w:tcW w:w="1498" w:type="pct"/>
                  <w:shd w:val="clear" w:color="auto" w:fill="auto"/>
                  <w:noWrap w:val="0"/>
                  <w:vAlign w:val="center"/>
                </w:tcPr>
                <w:p w14:paraId="230CCDC5">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年平均质量浓度</w:t>
                  </w:r>
                </w:p>
              </w:tc>
              <w:tc>
                <w:tcPr>
                  <w:tcW w:w="794" w:type="pct"/>
                  <w:shd w:val="clear" w:color="auto" w:fill="auto"/>
                  <w:noWrap w:val="0"/>
                  <w:vAlign w:val="center"/>
                </w:tcPr>
                <w:p w14:paraId="11AD0440">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45</w:t>
                  </w:r>
                </w:p>
              </w:tc>
              <w:tc>
                <w:tcPr>
                  <w:tcW w:w="704" w:type="pct"/>
                  <w:shd w:val="clear" w:color="auto" w:fill="auto"/>
                  <w:noWrap w:val="0"/>
                  <w:vAlign w:val="center"/>
                </w:tcPr>
                <w:p w14:paraId="4D0F5DD4">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35</w:t>
                  </w:r>
                </w:p>
              </w:tc>
              <w:tc>
                <w:tcPr>
                  <w:tcW w:w="1080" w:type="dxa"/>
                  <w:shd w:val="clear" w:color="auto" w:fill="auto"/>
                  <w:noWrap w:val="0"/>
                  <w:vAlign w:val="center"/>
                </w:tcPr>
                <w:p w14:paraId="289FBE83">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128.57</w:t>
                  </w:r>
                </w:p>
              </w:tc>
              <w:tc>
                <w:tcPr>
                  <w:tcW w:w="720" w:type="pct"/>
                  <w:shd w:val="clear" w:color="auto" w:fill="auto"/>
                  <w:noWrap w:val="0"/>
                  <w:vAlign w:val="center"/>
                </w:tcPr>
                <w:p w14:paraId="4A39C767">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不达标</w:t>
                  </w:r>
                </w:p>
              </w:tc>
            </w:tr>
            <w:tr w14:paraId="2B9B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4C78B152">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SO</w:t>
                  </w:r>
                  <w:r>
                    <w:rPr>
                      <w:rFonts w:hint="default" w:ascii="Times New Roman" w:hAnsi="Times New Roman" w:cs="Times New Roman"/>
                      <w:smallCaps w:val="0"/>
                      <w:color w:val="auto"/>
                      <w:spacing w:val="0"/>
                      <w:kern w:val="0"/>
                      <w:sz w:val="21"/>
                      <w:szCs w:val="18"/>
                      <w:highlight w:val="none"/>
                      <w:vertAlign w:val="subscript"/>
                    </w:rPr>
                    <w:t>2</w:t>
                  </w:r>
                </w:p>
              </w:tc>
              <w:tc>
                <w:tcPr>
                  <w:tcW w:w="1498" w:type="pct"/>
                  <w:shd w:val="clear" w:color="auto" w:fill="auto"/>
                  <w:noWrap w:val="0"/>
                  <w:vAlign w:val="center"/>
                </w:tcPr>
                <w:p w14:paraId="124AAF39">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年平均质量浓度</w:t>
                  </w:r>
                </w:p>
              </w:tc>
              <w:tc>
                <w:tcPr>
                  <w:tcW w:w="794" w:type="pct"/>
                  <w:shd w:val="clear" w:color="auto" w:fill="auto"/>
                  <w:noWrap w:val="0"/>
                  <w:vAlign w:val="center"/>
                </w:tcPr>
                <w:p w14:paraId="62C729A2">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5</w:t>
                  </w:r>
                </w:p>
              </w:tc>
              <w:tc>
                <w:tcPr>
                  <w:tcW w:w="704" w:type="pct"/>
                  <w:shd w:val="clear" w:color="auto" w:fill="auto"/>
                  <w:noWrap w:val="0"/>
                  <w:vAlign w:val="center"/>
                </w:tcPr>
                <w:p w14:paraId="3629E15E">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60</w:t>
                  </w:r>
                </w:p>
              </w:tc>
              <w:tc>
                <w:tcPr>
                  <w:tcW w:w="1080" w:type="dxa"/>
                  <w:shd w:val="clear" w:color="auto" w:fill="auto"/>
                  <w:noWrap w:val="0"/>
                  <w:vAlign w:val="center"/>
                </w:tcPr>
                <w:p w14:paraId="3DB223ED">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8.33</w:t>
                  </w:r>
                </w:p>
              </w:tc>
              <w:tc>
                <w:tcPr>
                  <w:tcW w:w="720" w:type="pct"/>
                  <w:shd w:val="clear" w:color="auto" w:fill="auto"/>
                  <w:noWrap w:val="0"/>
                  <w:vAlign w:val="center"/>
                </w:tcPr>
                <w:p w14:paraId="47EE186A">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达标</w:t>
                  </w:r>
                </w:p>
              </w:tc>
            </w:tr>
            <w:tr w14:paraId="3E5D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54335BE8">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NO</w:t>
                  </w:r>
                  <w:r>
                    <w:rPr>
                      <w:rFonts w:hint="default" w:ascii="Times New Roman" w:hAnsi="Times New Roman" w:cs="Times New Roman"/>
                      <w:smallCaps w:val="0"/>
                      <w:color w:val="auto"/>
                      <w:spacing w:val="0"/>
                      <w:kern w:val="0"/>
                      <w:sz w:val="21"/>
                      <w:szCs w:val="18"/>
                      <w:highlight w:val="none"/>
                      <w:vertAlign w:val="subscript"/>
                    </w:rPr>
                    <w:t>2</w:t>
                  </w:r>
                </w:p>
              </w:tc>
              <w:tc>
                <w:tcPr>
                  <w:tcW w:w="1498" w:type="pct"/>
                  <w:shd w:val="clear" w:color="auto" w:fill="auto"/>
                  <w:noWrap w:val="0"/>
                  <w:vAlign w:val="center"/>
                </w:tcPr>
                <w:p w14:paraId="2434ABC9">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年平均质量浓度</w:t>
                  </w:r>
                </w:p>
              </w:tc>
              <w:tc>
                <w:tcPr>
                  <w:tcW w:w="794" w:type="pct"/>
                  <w:shd w:val="clear" w:color="auto" w:fill="auto"/>
                  <w:noWrap w:val="0"/>
                  <w:vAlign w:val="center"/>
                </w:tcPr>
                <w:p w14:paraId="58EECE81">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27</w:t>
                  </w:r>
                </w:p>
              </w:tc>
              <w:tc>
                <w:tcPr>
                  <w:tcW w:w="704" w:type="pct"/>
                  <w:shd w:val="clear" w:color="auto" w:fill="auto"/>
                  <w:noWrap w:val="0"/>
                  <w:vAlign w:val="center"/>
                </w:tcPr>
                <w:p w14:paraId="6FFC23F6">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40</w:t>
                  </w:r>
                </w:p>
              </w:tc>
              <w:tc>
                <w:tcPr>
                  <w:tcW w:w="1080" w:type="dxa"/>
                  <w:shd w:val="clear" w:color="auto" w:fill="auto"/>
                  <w:noWrap w:val="0"/>
                  <w:vAlign w:val="center"/>
                </w:tcPr>
                <w:p w14:paraId="04839FF2">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67.50</w:t>
                  </w:r>
                </w:p>
              </w:tc>
              <w:tc>
                <w:tcPr>
                  <w:tcW w:w="720" w:type="pct"/>
                  <w:shd w:val="clear" w:color="auto" w:fill="auto"/>
                  <w:noWrap w:val="0"/>
                  <w:vAlign w:val="center"/>
                </w:tcPr>
                <w:p w14:paraId="20B49AC8">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达标</w:t>
                  </w:r>
                </w:p>
              </w:tc>
            </w:tr>
            <w:tr w14:paraId="74D5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2166357F">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CO</w:t>
                  </w:r>
                </w:p>
              </w:tc>
              <w:tc>
                <w:tcPr>
                  <w:tcW w:w="1498" w:type="pct"/>
                  <w:shd w:val="clear" w:color="auto" w:fill="auto"/>
                  <w:noWrap w:val="0"/>
                  <w:vAlign w:val="center"/>
                </w:tcPr>
                <w:p w14:paraId="07D0D60F">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sz w:val="21"/>
                      <w:highlight w:val="none"/>
                    </w:rPr>
                    <w:t>24小时第95位百分位数</w:t>
                  </w:r>
                </w:p>
              </w:tc>
              <w:tc>
                <w:tcPr>
                  <w:tcW w:w="794" w:type="pct"/>
                  <w:shd w:val="clear" w:color="auto" w:fill="auto"/>
                  <w:noWrap w:val="0"/>
                  <w:vAlign w:val="center"/>
                </w:tcPr>
                <w:p w14:paraId="2716A58A">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1200</w:t>
                  </w:r>
                </w:p>
              </w:tc>
              <w:tc>
                <w:tcPr>
                  <w:tcW w:w="704" w:type="pct"/>
                  <w:shd w:val="clear" w:color="auto" w:fill="auto"/>
                  <w:noWrap w:val="0"/>
                  <w:vAlign w:val="center"/>
                </w:tcPr>
                <w:p w14:paraId="2C89A7AD">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4000</w:t>
                  </w:r>
                </w:p>
              </w:tc>
              <w:tc>
                <w:tcPr>
                  <w:tcW w:w="1080" w:type="dxa"/>
                  <w:shd w:val="clear" w:color="auto" w:fill="auto"/>
                  <w:noWrap w:val="0"/>
                  <w:vAlign w:val="center"/>
                </w:tcPr>
                <w:p w14:paraId="3FB31185">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30.00</w:t>
                  </w:r>
                </w:p>
              </w:tc>
              <w:tc>
                <w:tcPr>
                  <w:tcW w:w="720" w:type="pct"/>
                  <w:shd w:val="clear" w:color="auto" w:fill="auto"/>
                  <w:noWrap w:val="0"/>
                  <w:vAlign w:val="center"/>
                </w:tcPr>
                <w:p w14:paraId="4D8D28CC">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达标</w:t>
                  </w:r>
                </w:p>
              </w:tc>
            </w:tr>
            <w:tr w14:paraId="0FCA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576" w:type="pct"/>
                  <w:shd w:val="clear" w:color="auto" w:fill="auto"/>
                  <w:noWrap w:val="0"/>
                  <w:vAlign w:val="center"/>
                </w:tcPr>
                <w:p w14:paraId="725D3416">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O</w:t>
                  </w:r>
                  <w:r>
                    <w:rPr>
                      <w:rFonts w:hint="default" w:ascii="Times New Roman" w:hAnsi="Times New Roman" w:cs="Times New Roman"/>
                      <w:smallCaps w:val="0"/>
                      <w:color w:val="auto"/>
                      <w:spacing w:val="0"/>
                      <w:kern w:val="0"/>
                      <w:sz w:val="21"/>
                      <w:szCs w:val="18"/>
                      <w:highlight w:val="none"/>
                      <w:vertAlign w:val="subscript"/>
                    </w:rPr>
                    <w:t>3</w:t>
                  </w:r>
                </w:p>
              </w:tc>
              <w:tc>
                <w:tcPr>
                  <w:tcW w:w="1498" w:type="pct"/>
                  <w:shd w:val="clear" w:color="auto" w:fill="auto"/>
                  <w:noWrap w:val="0"/>
                  <w:vAlign w:val="center"/>
                </w:tcPr>
                <w:p w14:paraId="12BB6C84">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sz w:val="21"/>
                      <w:highlight w:val="none"/>
                    </w:rPr>
                    <w:t>日最大8小时平均浓度第90百分位数</w:t>
                  </w:r>
                </w:p>
              </w:tc>
              <w:tc>
                <w:tcPr>
                  <w:tcW w:w="794" w:type="pct"/>
                  <w:shd w:val="clear" w:color="auto" w:fill="auto"/>
                  <w:noWrap w:val="0"/>
                  <w:vAlign w:val="center"/>
                </w:tcPr>
                <w:p w14:paraId="309D1857">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182</w:t>
                  </w:r>
                </w:p>
              </w:tc>
              <w:tc>
                <w:tcPr>
                  <w:tcW w:w="704" w:type="pct"/>
                  <w:shd w:val="clear" w:color="auto" w:fill="auto"/>
                  <w:noWrap w:val="0"/>
                  <w:vAlign w:val="center"/>
                </w:tcPr>
                <w:p w14:paraId="397385F2">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160</w:t>
                  </w:r>
                </w:p>
              </w:tc>
              <w:tc>
                <w:tcPr>
                  <w:tcW w:w="1080" w:type="dxa"/>
                  <w:shd w:val="clear" w:color="auto" w:fill="auto"/>
                  <w:noWrap w:val="0"/>
                  <w:vAlign w:val="center"/>
                </w:tcPr>
                <w:p w14:paraId="10690A2A">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cs="Times New Roman"/>
                      <w:smallCaps w:val="0"/>
                      <w:snapToGrid w:val="0"/>
                      <w:color w:val="auto"/>
                      <w:spacing w:val="0"/>
                      <w:kern w:val="0"/>
                      <w:sz w:val="21"/>
                      <w:szCs w:val="18"/>
                      <w:highlight w:val="none"/>
                      <w:lang w:val="en-US" w:eastAsia="zh-CN" w:bidi="ar-SA"/>
                    </w:rPr>
                  </w:pPr>
                  <w:r>
                    <w:rPr>
                      <w:rFonts w:hint="eastAsia" w:cs="Times New Roman"/>
                      <w:smallCaps w:val="0"/>
                      <w:snapToGrid w:val="0"/>
                      <w:color w:val="auto"/>
                      <w:spacing w:val="0"/>
                      <w:kern w:val="0"/>
                      <w:sz w:val="21"/>
                      <w:szCs w:val="18"/>
                      <w:highlight w:val="none"/>
                      <w:lang w:val="en-US" w:eastAsia="zh-CN" w:bidi="ar-SA"/>
                    </w:rPr>
                    <w:t>113.75</w:t>
                  </w:r>
                </w:p>
              </w:tc>
              <w:tc>
                <w:tcPr>
                  <w:tcW w:w="720" w:type="pct"/>
                  <w:shd w:val="clear" w:color="auto" w:fill="auto"/>
                  <w:noWrap w:val="0"/>
                  <w:vAlign w:val="center"/>
                </w:tcPr>
                <w:p w14:paraId="151E5FEB">
                  <w:pPr>
                    <w:pStyle w:val="172"/>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18"/>
                      <w:highlight w:val="none"/>
                      <w:lang w:val="en-US" w:eastAsia="zh-CN" w:bidi="ar-SA"/>
                    </w:rPr>
                  </w:pPr>
                  <w:r>
                    <w:rPr>
                      <w:rFonts w:hint="default" w:ascii="Times New Roman" w:hAnsi="Times New Roman" w:cs="Times New Roman"/>
                      <w:smallCaps w:val="0"/>
                      <w:color w:val="auto"/>
                      <w:spacing w:val="0"/>
                      <w:kern w:val="0"/>
                      <w:sz w:val="21"/>
                      <w:szCs w:val="18"/>
                      <w:highlight w:val="none"/>
                    </w:rPr>
                    <w:t>不达标</w:t>
                  </w:r>
                </w:p>
              </w:tc>
            </w:tr>
          </w:tbl>
          <w:p w14:paraId="6CAAA9ED">
            <w:pPr>
              <w:pStyle w:val="172"/>
              <w:keepNext w:val="0"/>
              <w:keepLines w:val="0"/>
              <w:suppressLineNumbers w:val="0"/>
              <w:spacing w:before="0" w:beforeAutospacing="0" w:after="0" w:afterAutospacing="0" w:line="460" w:lineRule="exact"/>
              <w:ind w:left="0" w:right="0"/>
              <w:rPr>
                <w:rFonts w:hint="default" w:ascii="Times New Roman" w:hAnsi="Times New Roman" w:cs="Times New Roman"/>
                <w:smallCaps w:val="0"/>
                <w:color w:val="auto"/>
                <w:spacing w:val="0"/>
                <w:highlight w:val="none"/>
                <w:lang w:eastAsia="zh-CN"/>
              </w:rPr>
            </w:pPr>
            <w:r>
              <w:rPr>
                <w:rFonts w:hint="default" w:ascii="Times New Roman" w:hAnsi="Times New Roman" w:cs="Times New Roman"/>
                <w:smallCaps w:val="0"/>
                <w:color w:val="auto"/>
                <w:spacing w:val="0"/>
                <w:highlight w:val="none"/>
              </w:rPr>
              <w:t>由上表</w:t>
            </w:r>
            <w:r>
              <w:rPr>
                <w:rFonts w:hint="default" w:ascii="Times New Roman" w:hAnsi="Times New Roman" w:cs="Times New Roman"/>
                <w:smallCaps w:val="0"/>
                <w:color w:val="auto"/>
                <w:spacing w:val="0"/>
                <w:sz w:val="24"/>
                <w:szCs w:val="24"/>
                <w:highlight w:val="none"/>
              </w:rPr>
              <w:t>可知，</w:t>
            </w:r>
            <w:r>
              <w:rPr>
                <w:rFonts w:hint="default" w:ascii="Times New Roman" w:hAnsi="Times New Roman" w:cs="Times New Roman"/>
                <w:smallCaps w:val="0"/>
                <w:color w:val="auto"/>
                <w:spacing w:val="0"/>
                <w:kern w:val="0"/>
                <w:sz w:val="24"/>
                <w:szCs w:val="24"/>
                <w:highlight w:val="none"/>
              </w:rPr>
              <w:t>PM</w:t>
            </w:r>
            <w:r>
              <w:rPr>
                <w:rFonts w:hint="default" w:ascii="Times New Roman" w:hAnsi="Times New Roman" w:cs="Times New Roman"/>
                <w:smallCaps w:val="0"/>
                <w:color w:val="auto"/>
                <w:spacing w:val="0"/>
                <w:kern w:val="0"/>
                <w:sz w:val="24"/>
                <w:szCs w:val="24"/>
                <w:highlight w:val="none"/>
                <w:vertAlign w:val="subscript"/>
              </w:rPr>
              <w:t>10</w:t>
            </w:r>
            <w:r>
              <w:rPr>
                <w:rFonts w:hint="eastAsia" w:ascii="Times New Roman" w:hAnsi="Times New Roman" w:cs="Times New Roman"/>
                <w:smallCaps w:val="0"/>
                <w:color w:val="auto"/>
                <w:spacing w:val="0"/>
                <w:kern w:val="0"/>
                <w:sz w:val="24"/>
                <w:szCs w:val="24"/>
                <w:highlight w:val="none"/>
                <w:vertAlign w:val="baseline"/>
                <w:lang w:eastAsia="zh-CN"/>
              </w:rPr>
              <w:t>、</w:t>
            </w:r>
            <w:r>
              <w:rPr>
                <w:rFonts w:hint="default" w:ascii="Times New Roman" w:hAnsi="Times New Roman" w:cs="Times New Roman"/>
                <w:smallCaps w:val="0"/>
                <w:color w:val="auto"/>
                <w:spacing w:val="0"/>
                <w:kern w:val="0"/>
                <w:sz w:val="24"/>
                <w:szCs w:val="24"/>
                <w:highlight w:val="none"/>
              </w:rPr>
              <w:t>PM</w:t>
            </w:r>
            <w:r>
              <w:rPr>
                <w:rFonts w:hint="default" w:ascii="Times New Roman" w:hAnsi="Times New Roman" w:cs="Times New Roman"/>
                <w:smallCaps w:val="0"/>
                <w:color w:val="auto"/>
                <w:spacing w:val="0"/>
                <w:kern w:val="0"/>
                <w:sz w:val="24"/>
                <w:szCs w:val="24"/>
                <w:highlight w:val="none"/>
                <w:vertAlign w:val="subscript"/>
              </w:rPr>
              <w:t>2.5</w:t>
            </w:r>
            <w:r>
              <w:rPr>
                <w:rFonts w:hint="eastAsia" w:ascii="Times New Roman" w:hAnsi="Times New Roman" w:cs="Times New Roman"/>
                <w:smallCaps w:val="0"/>
                <w:color w:val="auto"/>
                <w:spacing w:val="0"/>
                <w:kern w:val="0"/>
                <w:sz w:val="24"/>
                <w:szCs w:val="24"/>
                <w:highlight w:val="none"/>
                <w:vertAlign w:val="baseline"/>
                <w:lang w:eastAsia="zh-CN"/>
              </w:rPr>
              <w:t>、</w:t>
            </w:r>
            <w:r>
              <w:rPr>
                <w:rFonts w:hint="default" w:ascii="Times New Roman" w:hAnsi="Times New Roman" w:cs="Times New Roman"/>
                <w:smallCaps w:val="0"/>
                <w:color w:val="auto"/>
                <w:spacing w:val="0"/>
                <w:kern w:val="0"/>
                <w:sz w:val="24"/>
                <w:szCs w:val="24"/>
                <w:highlight w:val="none"/>
              </w:rPr>
              <w:t>O</w:t>
            </w:r>
            <w:r>
              <w:rPr>
                <w:rFonts w:hint="default" w:ascii="Times New Roman" w:hAnsi="Times New Roman" w:cs="Times New Roman"/>
                <w:smallCaps w:val="0"/>
                <w:color w:val="auto"/>
                <w:spacing w:val="0"/>
                <w:kern w:val="0"/>
                <w:sz w:val="24"/>
                <w:szCs w:val="24"/>
                <w:highlight w:val="none"/>
                <w:vertAlign w:val="subscript"/>
              </w:rPr>
              <w:t>3</w:t>
            </w:r>
            <w:r>
              <w:rPr>
                <w:rFonts w:hint="eastAsia" w:ascii="Times New Roman" w:hAnsi="Times New Roman" w:cs="Times New Roman"/>
                <w:smallCaps w:val="0"/>
                <w:color w:val="auto"/>
                <w:spacing w:val="0"/>
                <w:kern w:val="0"/>
                <w:sz w:val="24"/>
                <w:szCs w:val="24"/>
                <w:highlight w:val="none"/>
                <w:vertAlign w:val="baseline"/>
                <w:lang w:val="en-US" w:eastAsia="zh-CN"/>
              </w:rPr>
              <w:t>不满足</w:t>
            </w:r>
            <w:r>
              <w:rPr>
                <w:rFonts w:hint="default" w:ascii="Times New Roman" w:hAnsi="Times New Roman" w:eastAsia="宋体" w:cs="Times New Roman"/>
                <w:bCs/>
                <w:color w:val="auto"/>
                <w:kern w:val="2"/>
                <w:sz w:val="24"/>
                <w:szCs w:val="24"/>
                <w:highlight w:val="none"/>
                <w:lang w:val="en-US" w:eastAsia="zh-CN" w:bidi="ar"/>
              </w:rPr>
              <w:t>《环境空气质量标准》（GB3095-2012）二级标准</w:t>
            </w:r>
            <w:r>
              <w:rPr>
                <w:rFonts w:hint="default" w:ascii="Times New Roman" w:hAnsi="Times New Roman" w:eastAsia="宋体" w:cs="Times New Roman"/>
                <w:color w:val="auto"/>
                <w:kern w:val="0"/>
                <w:sz w:val="24"/>
                <w:szCs w:val="24"/>
                <w:highlight w:val="none"/>
                <w:lang w:val="en-US" w:eastAsia="zh-CN" w:bidi="ar"/>
              </w:rPr>
              <w:t>及修改单要</w:t>
            </w:r>
            <w:r>
              <w:rPr>
                <w:rFonts w:hint="default" w:ascii="Times New Roman" w:hAnsi="Times New Roman" w:eastAsia="宋体" w:cs="Times New Roman"/>
                <w:color w:val="auto"/>
                <w:kern w:val="2"/>
                <w:sz w:val="24"/>
                <w:szCs w:val="24"/>
                <w:highlight w:val="none"/>
                <w:lang w:val="en-US" w:eastAsia="zh-CN" w:bidi="ar"/>
              </w:rPr>
              <w:t>求</w:t>
            </w:r>
            <w:r>
              <w:rPr>
                <w:rFonts w:hint="eastAsia" w:ascii="Times New Roman" w:hAnsi="Times New Roman" w:cs="Times New Roman"/>
                <w:color w:val="auto"/>
                <w:kern w:val="2"/>
                <w:sz w:val="24"/>
                <w:szCs w:val="24"/>
                <w:highlight w:val="none"/>
                <w:lang w:val="en-US" w:eastAsia="zh-CN" w:bidi="ar"/>
              </w:rPr>
              <w:t>，</w:t>
            </w:r>
            <w:r>
              <w:rPr>
                <w:rFonts w:hint="default" w:ascii="Times New Roman" w:hAnsi="Times New Roman" w:cs="Times New Roman"/>
                <w:smallCaps w:val="0"/>
                <w:color w:val="auto"/>
                <w:spacing w:val="0"/>
                <w:kern w:val="0"/>
                <w:sz w:val="24"/>
                <w:szCs w:val="24"/>
                <w:highlight w:val="none"/>
              </w:rPr>
              <w:t>SO</w:t>
            </w:r>
            <w:r>
              <w:rPr>
                <w:rFonts w:hint="default" w:ascii="Times New Roman" w:hAnsi="Times New Roman" w:cs="Times New Roman"/>
                <w:smallCaps w:val="0"/>
                <w:color w:val="auto"/>
                <w:spacing w:val="0"/>
                <w:kern w:val="0"/>
                <w:sz w:val="24"/>
                <w:szCs w:val="24"/>
                <w:highlight w:val="none"/>
                <w:vertAlign w:val="subscript"/>
              </w:rPr>
              <w:t>2</w:t>
            </w:r>
            <w:r>
              <w:rPr>
                <w:rFonts w:hint="eastAsia" w:ascii="Times New Roman" w:hAnsi="Times New Roman" w:cs="Times New Roman"/>
                <w:smallCaps w:val="0"/>
                <w:color w:val="auto"/>
                <w:spacing w:val="0"/>
                <w:kern w:val="0"/>
                <w:sz w:val="24"/>
                <w:szCs w:val="24"/>
                <w:highlight w:val="none"/>
                <w:vertAlign w:val="baseline"/>
                <w:lang w:eastAsia="zh-CN"/>
              </w:rPr>
              <w:t>、</w:t>
            </w:r>
            <w:r>
              <w:rPr>
                <w:rFonts w:hint="default" w:ascii="Times New Roman" w:hAnsi="Times New Roman" w:cs="Times New Roman"/>
                <w:smallCaps w:val="0"/>
                <w:color w:val="auto"/>
                <w:spacing w:val="0"/>
                <w:kern w:val="0"/>
                <w:sz w:val="24"/>
                <w:szCs w:val="24"/>
                <w:highlight w:val="none"/>
              </w:rPr>
              <w:t>NO</w:t>
            </w:r>
            <w:r>
              <w:rPr>
                <w:rFonts w:hint="default" w:ascii="Times New Roman" w:hAnsi="Times New Roman" w:cs="Times New Roman"/>
                <w:smallCaps w:val="0"/>
                <w:color w:val="auto"/>
                <w:spacing w:val="0"/>
                <w:kern w:val="0"/>
                <w:sz w:val="24"/>
                <w:szCs w:val="24"/>
                <w:highlight w:val="none"/>
                <w:vertAlign w:val="subscript"/>
              </w:rPr>
              <w:t>2</w:t>
            </w:r>
            <w:r>
              <w:rPr>
                <w:rFonts w:hint="eastAsia" w:ascii="Times New Roman" w:hAnsi="Times New Roman" w:cs="Times New Roman"/>
                <w:smallCaps w:val="0"/>
                <w:color w:val="auto"/>
                <w:spacing w:val="0"/>
                <w:kern w:val="0"/>
                <w:sz w:val="24"/>
                <w:szCs w:val="24"/>
                <w:highlight w:val="none"/>
                <w:vertAlign w:val="baseline"/>
                <w:lang w:eastAsia="zh-CN"/>
              </w:rPr>
              <w:t>、</w:t>
            </w:r>
            <w:r>
              <w:rPr>
                <w:rFonts w:hint="default" w:ascii="Times New Roman" w:hAnsi="Times New Roman" w:cs="Times New Roman"/>
                <w:smallCaps w:val="0"/>
                <w:color w:val="auto"/>
                <w:spacing w:val="0"/>
                <w:kern w:val="0"/>
                <w:sz w:val="24"/>
                <w:szCs w:val="24"/>
                <w:highlight w:val="none"/>
              </w:rPr>
              <w:t>CO</w:t>
            </w:r>
            <w:r>
              <w:rPr>
                <w:rFonts w:hint="eastAsia" w:ascii="Times New Roman" w:hAnsi="Times New Roman" w:cs="Times New Roman"/>
                <w:smallCaps w:val="0"/>
                <w:color w:val="auto"/>
                <w:spacing w:val="0"/>
                <w:kern w:val="0"/>
                <w:sz w:val="24"/>
                <w:szCs w:val="24"/>
                <w:highlight w:val="none"/>
                <w:vertAlign w:val="baseline"/>
                <w:lang w:val="en-US" w:eastAsia="zh-CN"/>
              </w:rPr>
              <w:t>满足</w:t>
            </w:r>
            <w:r>
              <w:rPr>
                <w:rFonts w:hint="default" w:ascii="Times New Roman" w:hAnsi="Times New Roman" w:eastAsia="宋体" w:cs="Times New Roman"/>
                <w:bCs/>
                <w:color w:val="auto"/>
                <w:kern w:val="2"/>
                <w:sz w:val="24"/>
                <w:szCs w:val="24"/>
                <w:highlight w:val="none"/>
                <w:lang w:val="en-US" w:eastAsia="zh-CN" w:bidi="ar"/>
              </w:rPr>
              <w:t>《环境空气质量标准》（GB3095-2012）二级标准</w:t>
            </w:r>
            <w:r>
              <w:rPr>
                <w:rFonts w:hint="default" w:ascii="Times New Roman" w:hAnsi="Times New Roman" w:eastAsia="宋体" w:cs="Times New Roman"/>
                <w:color w:val="auto"/>
                <w:kern w:val="0"/>
                <w:sz w:val="24"/>
                <w:szCs w:val="24"/>
                <w:highlight w:val="none"/>
                <w:lang w:val="en-US" w:eastAsia="zh-CN" w:bidi="ar"/>
              </w:rPr>
              <w:t>及修改单要</w:t>
            </w:r>
            <w:r>
              <w:rPr>
                <w:rFonts w:hint="default" w:ascii="Times New Roman" w:hAnsi="Times New Roman" w:eastAsia="宋体" w:cs="Times New Roman"/>
                <w:color w:val="auto"/>
                <w:kern w:val="2"/>
                <w:sz w:val="24"/>
                <w:szCs w:val="24"/>
                <w:highlight w:val="none"/>
                <w:lang w:val="en-US" w:eastAsia="zh-CN" w:bidi="ar"/>
              </w:rPr>
              <w:t>求</w:t>
            </w:r>
            <w:r>
              <w:rPr>
                <w:rFonts w:hint="eastAsia" w:ascii="Times New Roman" w:hAnsi="Times New Roman" w:cs="Times New Roman"/>
                <w:color w:val="auto"/>
                <w:kern w:val="2"/>
                <w:sz w:val="24"/>
                <w:szCs w:val="24"/>
                <w:highlight w:val="none"/>
                <w:lang w:val="en-US" w:eastAsia="zh-CN" w:bidi="ar"/>
              </w:rPr>
              <w:t>，</w:t>
            </w:r>
            <w:r>
              <w:rPr>
                <w:rFonts w:hint="default" w:ascii="Times New Roman" w:hAnsi="Times New Roman" w:cs="Times New Roman"/>
                <w:smallCaps w:val="0"/>
                <w:color w:val="auto"/>
                <w:spacing w:val="0"/>
                <w:sz w:val="24"/>
                <w:szCs w:val="24"/>
                <w:highlight w:val="none"/>
                <w:lang w:val="en-US" w:eastAsia="zh-CN"/>
              </w:rPr>
              <w:t>石家庄市</w:t>
            </w:r>
            <w:r>
              <w:rPr>
                <w:rFonts w:hint="default" w:ascii="Times New Roman" w:hAnsi="Times New Roman" w:cs="Times New Roman"/>
                <w:smallCaps w:val="0"/>
                <w:color w:val="auto"/>
                <w:spacing w:val="0"/>
                <w:highlight w:val="none"/>
              </w:rPr>
              <w:t>属于不达标区域</w:t>
            </w:r>
            <w:r>
              <w:rPr>
                <w:rFonts w:hint="default" w:ascii="Times New Roman" w:hAnsi="Times New Roman" w:cs="Times New Roman"/>
                <w:smallCaps w:val="0"/>
                <w:color w:val="auto"/>
                <w:spacing w:val="0"/>
                <w:highlight w:val="none"/>
                <w:lang w:eastAsia="zh-CN"/>
              </w:rPr>
              <w:t>。</w:t>
            </w:r>
          </w:p>
          <w:p w14:paraId="5DE940D2">
            <w:pPr>
              <w:keepNext w:val="0"/>
              <w:keepLines w:val="0"/>
              <w:suppressLineNumbers w:val="0"/>
              <w:spacing w:before="0" w:beforeAutospacing="0" w:after="0" w:afterAutospacing="0" w:line="460" w:lineRule="exact"/>
              <w:ind w:left="0" w:right="0" w:firstLine="480" w:firstLineChars="200"/>
              <w:rPr>
                <w:rFonts w:hint="default"/>
                <w:color w:val="auto"/>
                <w:sz w:val="24"/>
                <w:szCs w:val="20"/>
                <w:highlight w:val="none"/>
              </w:rPr>
            </w:pPr>
            <w:r>
              <w:rPr>
                <w:rFonts w:hint="default"/>
                <w:color w:val="auto"/>
                <w:sz w:val="24"/>
                <w:szCs w:val="20"/>
                <w:highlight w:val="none"/>
              </w:rPr>
              <w:t>2）其它污染物环境空气质量现状监测</w:t>
            </w:r>
          </w:p>
          <w:p w14:paraId="5E2F5777">
            <w:pPr>
              <w:keepNext w:val="0"/>
              <w:keepLines w:val="0"/>
              <w:suppressLineNumbers w:val="0"/>
              <w:spacing w:before="0" w:beforeAutospacing="0" w:after="0" w:afterAutospacing="0" w:line="460" w:lineRule="exact"/>
              <w:ind w:left="0" w:right="0" w:firstLine="480" w:firstLineChars="200"/>
              <w:rPr>
                <w:rFonts w:hint="default"/>
                <w:color w:val="auto"/>
                <w:sz w:val="24"/>
                <w:szCs w:val="20"/>
                <w:highlight w:val="none"/>
              </w:rPr>
            </w:pPr>
            <w:r>
              <w:rPr>
                <w:rFonts w:hint="default"/>
                <w:color w:val="auto"/>
                <w:sz w:val="24"/>
                <w:szCs w:val="20"/>
                <w:highlight w:val="none"/>
              </w:rPr>
              <w:t>根据《建设项目环境影响报告表编制技术指南 污染影响类（试行）》：</w:t>
            </w:r>
            <w:r>
              <w:rPr>
                <w:rFonts w:hint="eastAsia"/>
                <w:color w:val="auto"/>
                <w:sz w:val="24"/>
                <w:szCs w:val="20"/>
                <w:highlight w:val="none"/>
              </w:rPr>
              <w:t>“</w:t>
            </w:r>
            <w:r>
              <w:rPr>
                <w:rFonts w:hint="default"/>
                <w:color w:val="auto"/>
                <w:sz w:val="24"/>
                <w:szCs w:val="20"/>
                <w:highlight w:val="none"/>
              </w:rPr>
              <w:t>排放国家、地方环境空气质量标准中有标准限值要求的特征污染物时，引用建设项目周边5千米范围内近3年的现有监测数据</w:t>
            </w:r>
            <w:r>
              <w:rPr>
                <w:rFonts w:hint="eastAsia"/>
                <w:color w:val="auto"/>
                <w:sz w:val="24"/>
                <w:szCs w:val="20"/>
                <w:highlight w:val="none"/>
              </w:rPr>
              <w:t>”</w:t>
            </w:r>
            <w:r>
              <w:rPr>
                <w:rFonts w:hint="default"/>
                <w:color w:val="auto"/>
                <w:sz w:val="24"/>
                <w:szCs w:val="20"/>
                <w:highlight w:val="none"/>
              </w:rPr>
              <w:t>，无相关数据的选择当季主导风向下风向1个点位补充不少于3天的监测数据。</w:t>
            </w:r>
          </w:p>
          <w:p w14:paraId="401BE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color w:val="auto"/>
                <w:sz w:val="24"/>
                <w:szCs w:val="20"/>
                <w:highlight w:val="none"/>
              </w:rPr>
            </w:pPr>
            <w:r>
              <w:rPr>
                <w:rFonts w:hint="eastAsia"/>
                <w:color w:val="auto"/>
                <w:sz w:val="24"/>
                <w:szCs w:val="20"/>
                <w:highlight w:val="none"/>
              </w:rPr>
              <w:t>本次评价非甲烷总烃</w:t>
            </w:r>
            <w:r>
              <w:rPr>
                <w:rFonts w:hint="eastAsia"/>
                <w:color w:val="auto"/>
                <w:sz w:val="24"/>
                <w:szCs w:val="20"/>
                <w:highlight w:val="none"/>
                <w:lang w:eastAsia="zh-CN"/>
              </w:rPr>
              <w:t>、</w:t>
            </w:r>
            <w:r>
              <w:rPr>
                <w:rFonts w:hint="eastAsia"/>
                <w:color w:val="auto"/>
                <w:sz w:val="24"/>
                <w:szCs w:val="20"/>
                <w:highlight w:val="none"/>
                <w:lang w:val="en-US" w:eastAsia="zh-CN"/>
              </w:rPr>
              <w:t>TSP、氨、臭气浓度</w:t>
            </w:r>
            <w:r>
              <w:rPr>
                <w:rFonts w:hint="eastAsia"/>
                <w:color w:val="auto"/>
                <w:sz w:val="24"/>
                <w:szCs w:val="20"/>
                <w:highlight w:val="none"/>
              </w:rPr>
              <w:t>环境质量现状数据引用</w:t>
            </w:r>
            <w:r>
              <w:rPr>
                <w:rFonts w:hint="eastAsia"/>
                <w:color w:val="auto"/>
                <w:sz w:val="24"/>
                <w:szCs w:val="20"/>
                <w:highlight w:val="none"/>
                <w:lang w:eastAsia="zh-CN"/>
              </w:rPr>
              <w:t>河北中寰检测服务有限公司</w:t>
            </w:r>
            <w:r>
              <w:rPr>
                <w:rFonts w:hint="eastAsia"/>
                <w:color w:val="auto"/>
                <w:sz w:val="24"/>
                <w:szCs w:val="20"/>
                <w:highlight w:val="none"/>
              </w:rPr>
              <w:t>2023年</w:t>
            </w:r>
            <w:r>
              <w:rPr>
                <w:rFonts w:hint="eastAsia"/>
                <w:color w:val="auto"/>
                <w:sz w:val="24"/>
                <w:szCs w:val="20"/>
                <w:highlight w:val="none"/>
                <w:lang w:val="en-US" w:eastAsia="zh-CN"/>
              </w:rPr>
              <w:t>6</w:t>
            </w:r>
            <w:r>
              <w:rPr>
                <w:rFonts w:hint="eastAsia"/>
                <w:color w:val="auto"/>
                <w:sz w:val="24"/>
                <w:szCs w:val="20"/>
                <w:highlight w:val="none"/>
              </w:rPr>
              <w:t>月</w:t>
            </w:r>
            <w:r>
              <w:rPr>
                <w:rFonts w:hint="eastAsia"/>
                <w:color w:val="auto"/>
                <w:sz w:val="24"/>
                <w:szCs w:val="20"/>
                <w:highlight w:val="none"/>
                <w:lang w:val="en-US" w:eastAsia="zh-CN"/>
              </w:rPr>
              <w:t>5</w:t>
            </w:r>
            <w:r>
              <w:rPr>
                <w:rFonts w:hint="eastAsia"/>
                <w:color w:val="auto"/>
                <w:sz w:val="24"/>
                <w:szCs w:val="20"/>
                <w:highlight w:val="none"/>
              </w:rPr>
              <w:t>日出具的《中集合斯康储氢系统装备生产基地建设项目环境质量现状检测》（报告编号：HBZH-H-20230028），监测点位为段家营村，位于本项目</w:t>
            </w:r>
            <w:r>
              <w:rPr>
                <w:rFonts w:hint="eastAsia"/>
                <w:color w:val="auto"/>
                <w:sz w:val="24"/>
                <w:szCs w:val="20"/>
                <w:highlight w:val="none"/>
                <w:lang w:val="en-US" w:eastAsia="zh-CN"/>
              </w:rPr>
              <w:t>东北2000</w:t>
            </w:r>
            <w:r>
              <w:rPr>
                <w:rFonts w:hint="eastAsia"/>
                <w:color w:val="auto"/>
                <w:sz w:val="24"/>
                <w:szCs w:val="20"/>
                <w:highlight w:val="none"/>
              </w:rPr>
              <w:t>m处，监测时间2023年5月23日~2023年5月26日，引用监测点位和时间符合技术指南要求。</w:t>
            </w:r>
          </w:p>
          <w:p w14:paraId="29B0EC88">
            <w:pPr>
              <w:keepNext w:val="0"/>
              <w:keepLines w:val="0"/>
              <w:suppressLineNumbers w:val="0"/>
              <w:spacing w:before="0" w:beforeAutospacing="0" w:after="0" w:afterAutospacing="0" w:line="460" w:lineRule="exact"/>
              <w:ind w:left="0" w:right="0" w:firstLine="480" w:firstLineChars="200"/>
              <w:rPr>
                <w:rFonts w:hint="default"/>
                <w:color w:val="auto"/>
                <w:sz w:val="24"/>
                <w:szCs w:val="20"/>
                <w:highlight w:val="none"/>
              </w:rPr>
            </w:pPr>
            <w:r>
              <w:rPr>
                <w:rFonts w:hint="default"/>
                <w:color w:val="auto"/>
                <w:sz w:val="24"/>
                <w:szCs w:val="20"/>
                <w:highlight w:val="none"/>
              </w:rPr>
              <w:t>①</w:t>
            </w:r>
            <w:r>
              <w:rPr>
                <w:rFonts w:hint="eastAsia"/>
                <w:color w:val="auto"/>
                <w:sz w:val="24"/>
                <w:szCs w:val="20"/>
                <w:highlight w:val="none"/>
                <w:lang w:val="en-US" w:eastAsia="zh-CN"/>
              </w:rPr>
              <w:t>引用</w:t>
            </w:r>
            <w:r>
              <w:rPr>
                <w:rFonts w:hint="default"/>
                <w:color w:val="auto"/>
                <w:sz w:val="24"/>
                <w:szCs w:val="20"/>
                <w:highlight w:val="none"/>
              </w:rPr>
              <w:t>监测因子：非甲烷总烃</w:t>
            </w:r>
            <w:r>
              <w:rPr>
                <w:rFonts w:hint="eastAsia"/>
                <w:color w:val="auto"/>
                <w:sz w:val="24"/>
                <w:szCs w:val="20"/>
                <w:highlight w:val="none"/>
                <w:lang w:eastAsia="zh-CN"/>
              </w:rPr>
              <w:t>、</w:t>
            </w:r>
            <w:r>
              <w:rPr>
                <w:rFonts w:hint="eastAsia"/>
                <w:color w:val="auto"/>
                <w:sz w:val="24"/>
                <w:szCs w:val="20"/>
                <w:highlight w:val="none"/>
                <w:lang w:val="en-US" w:eastAsia="zh-CN"/>
              </w:rPr>
              <w:t>TSP、氨、臭气浓度</w:t>
            </w:r>
            <w:r>
              <w:rPr>
                <w:rFonts w:hint="default"/>
                <w:color w:val="auto"/>
                <w:sz w:val="24"/>
                <w:szCs w:val="20"/>
                <w:highlight w:val="none"/>
              </w:rPr>
              <w:t>。</w:t>
            </w:r>
          </w:p>
          <w:p w14:paraId="7ECDF0B0">
            <w:pPr>
              <w:keepNext w:val="0"/>
              <w:keepLines w:val="0"/>
              <w:suppressLineNumbers w:val="0"/>
              <w:spacing w:before="0" w:beforeAutospacing="0" w:after="0" w:afterAutospacing="0" w:line="460" w:lineRule="exact"/>
              <w:ind w:left="0" w:right="0" w:firstLine="480" w:firstLineChars="200"/>
              <w:rPr>
                <w:rFonts w:hint="eastAsia"/>
                <w:color w:val="auto"/>
                <w:sz w:val="24"/>
                <w:szCs w:val="20"/>
                <w:highlight w:val="none"/>
              </w:rPr>
            </w:pPr>
            <w:r>
              <w:rPr>
                <w:rFonts w:hint="default"/>
                <w:color w:val="auto"/>
                <w:sz w:val="24"/>
                <w:szCs w:val="20"/>
                <w:highlight w:val="none"/>
              </w:rPr>
              <w:t>②监测布点：引用1个环境空气质量监测点</w:t>
            </w:r>
            <w:r>
              <w:rPr>
                <w:rFonts w:hint="eastAsia"/>
                <w:color w:val="auto"/>
                <w:sz w:val="24"/>
                <w:szCs w:val="20"/>
                <w:highlight w:val="none"/>
              </w:rPr>
              <w:t>。</w:t>
            </w:r>
          </w:p>
          <w:p w14:paraId="25566A31">
            <w:pPr>
              <w:keepNext w:val="0"/>
              <w:keepLines w:val="0"/>
              <w:suppressLineNumbers w:val="0"/>
              <w:adjustRightInd w:val="0"/>
              <w:snapToGrid w:val="0"/>
              <w:spacing w:before="0" w:beforeAutospacing="0" w:after="0" w:afterAutospacing="0"/>
              <w:ind w:left="0" w:right="0"/>
              <w:jc w:val="center"/>
              <w:rPr>
                <w:rFonts w:hint="default"/>
                <w:b/>
                <w:color w:val="auto"/>
                <w:sz w:val="24"/>
                <w:szCs w:val="20"/>
                <w:highlight w:val="none"/>
              </w:rPr>
            </w:pPr>
            <w:r>
              <w:rPr>
                <w:rFonts w:hint="default"/>
                <w:b/>
                <w:color w:val="auto"/>
                <w:sz w:val="24"/>
                <w:szCs w:val="20"/>
                <w:highlight w:val="none"/>
              </w:rPr>
              <w:t>表</w:t>
            </w:r>
            <w:r>
              <w:rPr>
                <w:rFonts w:hint="eastAsia"/>
                <w:b/>
                <w:color w:val="auto"/>
                <w:sz w:val="24"/>
                <w:szCs w:val="20"/>
                <w:highlight w:val="none"/>
              </w:rPr>
              <w:t>3-2</w:t>
            </w:r>
            <w:r>
              <w:rPr>
                <w:rFonts w:hint="default"/>
                <w:b/>
                <w:color w:val="auto"/>
                <w:sz w:val="24"/>
                <w:szCs w:val="20"/>
                <w:highlight w:val="none"/>
              </w:rPr>
              <w:t xml:space="preserve">  特征污染物</w:t>
            </w:r>
            <w:r>
              <w:rPr>
                <w:rFonts w:hint="eastAsia"/>
                <w:b/>
                <w:color w:val="auto"/>
                <w:sz w:val="24"/>
                <w:szCs w:val="20"/>
                <w:highlight w:val="none"/>
              </w:rPr>
              <w:t>检测点位基本信息</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045"/>
              <w:gridCol w:w="1016"/>
              <w:gridCol w:w="1176"/>
              <w:gridCol w:w="898"/>
              <w:gridCol w:w="1782"/>
              <w:gridCol w:w="756"/>
              <w:gridCol w:w="987"/>
            </w:tblGrid>
            <w:tr w14:paraId="2E4C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82" w:type="pct"/>
                  <w:vMerge w:val="restart"/>
                  <w:noWrap w:val="0"/>
                  <w:vAlign w:val="center"/>
                </w:tcPr>
                <w:p w14:paraId="5E38E3DB">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检测点名称</w:t>
                  </w:r>
                </w:p>
              </w:tc>
              <w:tc>
                <w:tcPr>
                  <w:tcW w:w="1430" w:type="pct"/>
                  <w:gridSpan w:val="2"/>
                  <w:noWrap w:val="0"/>
                  <w:vAlign w:val="center"/>
                </w:tcPr>
                <w:p w14:paraId="583BE6BC">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监测点坐标</w:t>
                  </w:r>
                </w:p>
              </w:tc>
              <w:tc>
                <w:tcPr>
                  <w:tcW w:w="586" w:type="pct"/>
                  <w:vMerge w:val="restart"/>
                  <w:noWrap w:val="0"/>
                  <w:vAlign w:val="center"/>
                </w:tcPr>
                <w:p w14:paraId="22D973E1">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监测因子</w:t>
                  </w:r>
                </w:p>
              </w:tc>
              <w:tc>
                <w:tcPr>
                  <w:tcW w:w="1163" w:type="pct"/>
                  <w:vMerge w:val="restart"/>
                  <w:noWrap w:val="0"/>
                  <w:vAlign w:val="center"/>
                </w:tcPr>
                <w:p w14:paraId="6CE9EC21">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检测时段</w:t>
                  </w:r>
                </w:p>
              </w:tc>
              <w:tc>
                <w:tcPr>
                  <w:tcW w:w="493" w:type="pct"/>
                  <w:vMerge w:val="restart"/>
                  <w:noWrap w:val="0"/>
                  <w:vAlign w:val="center"/>
                </w:tcPr>
                <w:p w14:paraId="46B15C22">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相对厂址方位</w:t>
                  </w:r>
                </w:p>
              </w:tc>
              <w:tc>
                <w:tcPr>
                  <w:tcW w:w="644" w:type="pct"/>
                  <w:vMerge w:val="restart"/>
                  <w:noWrap w:val="0"/>
                  <w:vAlign w:val="center"/>
                </w:tcPr>
                <w:p w14:paraId="65C4F2F8">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相对厂址距离/m</w:t>
                  </w:r>
                </w:p>
              </w:tc>
            </w:tr>
            <w:tr w14:paraId="2C21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82" w:type="pct"/>
                  <w:vMerge w:val="continue"/>
                  <w:noWrap w:val="0"/>
                  <w:vAlign w:val="center"/>
                </w:tcPr>
                <w:p w14:paraId="7B4A506F">
                  <w:pPr>
                    <w:keepNext w:val="0"/>
                    <w:keepLines w:val="0"/>
                    <w:suppressLineNumbers w:val="0"/>
                    <w:spacing w:before="0" w:beforeAutospacing="0" w:after="0" w:afterAutospacing="0"/>
                    <w:ind w:left="0" w:right="0"/>
                    <w:jc w:val="center"/>
                    <w:rPr>
                      <w:rFonts w:hint="default"/>
                      <w:color w:val="auto"/>
                      <w:szCs w:val="21"/>
                      <w:highlight w:val="none"/>
                    </w:rPr>
                  </w:pPr>
                </w:p>
              </w:tc>
              <w:tc>
                <w:tcPr>
                  <w:tcW w:w="663" w:type="pct"/>
                  <w:noWrap w:val="0"/>
                  <w:vAlign w:val="center"/>
                </w:tcPr>
                <w:p w14:paraId="51314101">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经度</w:t>
                  </w:r>
                </w:p>
              </w:tc>
              <w:tc>
                <w:tcPr>
                  <w:tcW w:w="767" w:type="pct"/>
                  <w:noWrap w:val="0"/>
                  <w:vAlign w:val="center"/>
                </w:tcPr>
                <w:p w14:paraId="2CC096DB">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纬度</w:t>
                  </w:r>
                </w:p>
              </w:tc>
              <w:tc>
                <w:tcPr>
                  <w:tcW w:w="586" w:type="pct"/>
                  <w:vMerge w:val="continue"/>
                  <w:noWrap w:val="0"/>
                  <w:vAlign w:val="center"/>
                </w:tcPr>
                <w:p w14:paraId="3AB556F0">
                  <w:pPr>
                    <w:keepNext w:val="0"/>
                    <w:keepLines w:val="0"/>
                    <w:suppressLineNumbers w:val="0"/>
                    <w:spacing w:before="0" w:beforeAutospacing="0" w:after="0" w:afterAutospacing="0"/>
                    <w:ind w:left="0" w:right="0"/>
                    <w:jc w:val="center"/>
                    <w:rPr>
                      <w:rFonts w:hint="default"/>
                      <w:color w:val="auto"/>
                      <w:szCs w:val="21"/>
                      <w:highlight w:val="none"/>
                    </w:rPr>
                  </w:pPr>
                </w:p>
              </w:tc>
              <w:tc>
                <w:tcPr>
                  <w:tcW w:w="1163" w:type="pct"/>
                  <w:vMerge w:val="continue"/>
                  <w:noWrap w:val="0"/>
                  <w:vAlign w:val="center"/>
                </w:tcPr>
                <w:p w14:paraId="2CAA1B14">
                  <w:pPr>
                    <w:keepNext w:val="0"/>
                    <w:keepLines w:val="0"/>
                    <w:suppressLineNumbers w:val="0"/>
                    <w:spacing w:before="0" w:beforeAutospacing="0" w:after="0" w:afterAutospacing="0"/>
                    <w:ind w:left="0" w:right="0"/>
                    <w:jc w:val="center"/>
                    <w:rPr>
                      <w:rFonts w:hint="default"/>
                      <w:color w:val="auto"/>
                      <w:szCs w:val="21"/>
                      <w:highlight w:val="none"/>
                    </w:rPr>
                  </w:pPr>
                </w:p>
              </w:tc>
              <w:tc>
                <w:tcPr>
                  <w:tcW w:w="493" w:type="pct"/>
                  <w:vMerge w:val="continue"/>
                  <w:noWrap w:val="0"/>
                  <w:vAlign w:val="center"/>
                </w:tcPr>
                <w:p w14:paraId="152850A9">
                  <w:pPr>
                    <w:keepNext w:val="0"/>
                    <w:keepLines w:val="0"/>
                    <w:suppressLineNumbers w:val="0"/>
                    <w:spacing w:before="0" w:beforeAutospacing="0" w:after="0" w:afterAutospacing="0"/>
                    <w:ind w:left="0" w:right="0"/>
                    <w:jc w:val="center"/>
                    <w:rPr>
                      <w:rFonts w:hint="default"/>
                      <w:color w:val="auto"/>
                      <w:szCs w:val="21"/>
                      <w:highlight w:val="none"/>
                    </w:rPr>
                  </w:pPr>
                </w:p>
              </w:tc>
              <w:tc>
                <w:tcPr>
                  <w:tcW w:w="644" w:type="pct"/>
                  <w:vMerge w:val="continue"/>
                  <w:noWrap w:val="0"/>
                  <w:vAlign w:val="center"/>
                </w:tcPr>
                <w:p w14:paraId="614DAB85">
                  <w:pPr>
                    <w:keepNext w:val="0"/>
                    <w:keepLines w:val="0"/>
                    <w:suppressLineNumbers w:val="0"/>
                    <w:spacing w:before="0" w:beforeAutospacing="0" w:after="0" w:afterAutospacing="0"/>
                    <w:ind w:left="0" w:right="0"/>
                    <w:jc w:val="center"/>
                    <w:rPr>
                      <w:rFonts w:hint="default"/>
                      <w:color w:val="auto"/>
                      <w:szCs w:val="21"/>
                      <w:highlight w:val="none"/>
                    </w:rPr>
                  </w:pPr>
                </w:p>
              </w:tc>
            </w:tr>
            <w:tr w14:paraId="6FE7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6" w:hRule="atLeast"/>
                <w:jc w:val="center"/>
              </w:trPr>
              <w:tc>
                <w:tcPr>
                  <w:tcW w:w="682" w:type="pct"/>
                  <w:vMerge w:val="restart"/>
                  <w:noWrap w:val="0"/>
                  <w:vAlign w:val="center"/>
                </w:tcPr>
                <w:p w14:paraId="7D79B1E3">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段家营村</w:t>
                  </w:r>
                </w:p>
              </w:tc>
              <w:tc>
                <w:tcPr>
                  <w:tcW w:w="663" w:type="pct"/>
                  <w:vMerge w:val="restart"/>
                  <w:shd w:val="clear" w:color="auto" w:fill="auto"/>
                  <w:noWrap w:val="0"/>
                  <w:vAlign w:val="center"/>
                </w:tcPr>
                <w:p w14:paraId="28E1A5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114°31′50.808″</w:t>
                  </w:r>
                </w:p>
              </w:tc>
              <w:tc>
                <w:tcPr>
                  <w:tcW w:w="767" w:type="pct"/>
                  <w:vMerge w:val="restart"/>
                  <w:shd w:val="clear" w:color="auto" w:fill="auto"/>
                  <w:noWrap w:val="0"/>
                  <w:vAlign w:val="center"/>
                </w:tcPr>
                <w:p w14:paraId="1BE118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37°55′11.208″</w:t>
                  </w:r>
                </w:p>
              </w:tc>
              <w:tc>
                <w:tcPr>
                  <w:tcW w:w="586" w:type="pct"/>
                  <w:noWrap w:val="0"/>
                  <w:vAlign w:val="center"/>
                </w:tcPr>
                <w:p w14:paraId="20D320E2">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非甲烷总烃</w:t>
                  </w:r>
                </w:p>
              </w:tc>
              <w:tc>
                <w:tcPr>
                  <w:tcW w:w="1163" w:type="pct"/>
                  <w:noWrap w:val="0"/>
                  <w:vAlign w:val="center"/>
                </w:tcPr>
                <w:p w14:paraId="0E8CBFEB">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 w:val="21"/>
                      <w:szCs w:val="21"/>
                      <w:highlight w:val="none"/>
                    </w:rPr>
                    <w:t>2023年5月23日~2023年5月</w:t>
                  </w:r>
                  <w:r>
                    <w:rPr>
                      <w:rFonts w:hint="eastAsia"/>
                      <w:color w:val="auto"/>
                      <w:sz w:val="21"/>
                      <w:szCs w:val="21"/>
                      <w:highlight w:val="none"/>
                      <w:lang w:val="en-US" w:eastAsia="zh-CN"/>
                    </w:rPr>
                    <w:t>25</w:t>
                  </w:r>
                  <w:r>
                    <w:rPr>
                      <w:rFonts w:hint="eastAsia"/>
                      <w:color w:val="auto"/>
                      <w:sz w:val="21"/>
                      <w:szCs w:val="21"/>
                      <w:highlight w:val="none"/>
                    </w:rPr>
                    <w:t>日</w:t>
                  </w:r>
                </w:p>
              </w:tc>
              <w:tc>
                <w:tcPr>
                  <w:tcW w:w="493" w:type="pct"/>
                  <w:vMerge w:val="restart"/>
                  <w:noWrap w:val="0"/>
                  <w:vAlign w:val="center"/>
                </w:tcPr>
                <w:p w14:paraId="7C9C840D">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东北</w:t>
                  </w:r>
                </w:p>
              </w:tc>
              <w:tc>
                <w:tcPr>
                  <w:tcW w:w="644" w:type="pct"/>
                  <w:vMerge w:val="restart"/>
                  <w:noWrap w:val="0"/>
                  <w:vAlign w:val="center"/>
                </w:tcPr>
                <w:p w14:paraId="0E929D78">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2000</w:t>
                  </w:r>
                </w:p>
              </w:tc>
            </w:tr>
            <w:tr w14:paraId="625E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6" w:hRule="atLeast"/>
                <w:jc w:val="center"/>
              </w:trPr>
              <w:tc>
                <w:tcPr>
                  <w:tcW w:w="682" w:type="pct"/>
                  <w:vMerge w:val="continue"/>
                  <w:noWrap w:val="0"/>
                  <w:vAlign w:val="center"/>
                </w:tcPr>
                <w:p w14:paraId="33364F5F">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63" w:type="pct"/>
                  <w:vMerge w:val="continue"/>
                  <w:shd w:val="clear" w:color="auto" w:fill="auto"/>
                  <w:noWrap w:val="0"/>
                  <w:vAlign w:val="center"/>
                </w:tcPr>
                <w:p w14:paraId="582B1D4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67" w:type="pct"/>
                  <w:vMerge w:val="continue"/>
                  <w:shd w:val="clear" w:color="auto" w:fill="auto"/>
                  <w:noWrap w:val="0"/>
                  <w:vAlign w:val="center"/>
                </w:tcPr>
                <w:p w14:paraId="531BAB7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586" w:type="pct"/>
                  <w:noWrap w:val="0"/>
                  <w:vAlign w:val="center"/>
                </w:tcPr>
                <w:p w14:paraId="45AC6CBE">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TSP</w:t>
                  </w:r>
                </w:p>
              </w:tc>
              <w:tc>
                <w:tcPr>
                  <w:tcW w:w="1163" w:type="pct"/>
                  <w:noWrap w:val="0"/>
                  <w:vAlign w:val="center"/>
                </w:tcPr>
                <w:p w14:paraId="260BDD6E">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2023年5月23日~2023年5月26日</w:t>
                  </w:r>
                </w:p>
              </w:tc>
              <w:tc>
                <w:tcPr>
                  <w:tcW w:w="493" w:type="pct"/>
                  <w:vMerge w:val="continue"/>
                  <w:noWrap w:val="0"/>
                  <w:vAlign w:val="center"/>
                </w:tcPr>
                <w:p w14:paraId="50C6C753">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44" w:type="pct"/>
                  <w:vMerge w:val="continue"/>
                  <w:noWrap w:val="0"/>
                  <w:vAlign w:val="center"/>
                </w:tcPr>
                <w:p w14:paraId="13558AF0">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r>
            <w:tr w14:paraId="3163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6" w:hRule="atLeast"/>
                <w:jc w:val="center"/>
              </w:trPr>
              <w:tc>
                <w:tcPr>
                  <w:tcW w:w="682" w:type="pct"/>
                  <w:vMerge w:val="continue"/>
                  <w:noWrap w:val="0"/>
                  <w:vAlign w:val="center"/>
                </w:tcPr>
                <w:p w14:paraId="2B20AFF7">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63" w:type="pct"/>
                  <w:vMerge w:val="continue"/>
                  <w:shd w:val="clear" w:color="auto" w:fill="auto"/>
                  <w:noWrap w:val="0"/>
                  <w:vAlign w:val="center"/>
                </w:tcPr>
                <w:p w14:paraId="30611A2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67" w:type="pct"/>
                  <w:vMerge w:val="continue"/>
                  <w:shd w:val="clear" w:color="auto" w:fill="auto"/>
                  <w:noWrap w:val="0"/>
                  <w:vAlign w:val="center"/>
                </w:tcPr>
                <w:p w14:paraId="42EED4F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586" w:type="pct"/>
                  <w:noWrap w:val="0"/>
                  <w:vAlign w:val="center"/>
                </w:tcPr>
                <w:p w14:paraId="4A2CD30C">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氨</w:t>
                  </w:r>
                </w:p>
              </w:tc>
              <w:tc>
                <w:tcPr>
                  <w:tcW w:w="1163" w:type="pct"/>
                  <w:noWrap w:val="0"/>
                  <w:vAlign w:val="center"/>
                </w:tcPr>
                <w:p w14:paraId="5C55B023">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2023年5月23日~2023年5月</w:t>
                  </w:r>
                  <w:r>
                    <w:rPr>
                      <w:rFonts w:hint="eastAsia"/>
                      <w:color w:val="auto"/>
                      <w:sz w:val="21"/>
                      <w:szCs w:val="21"/>
                      <w:highlight w:val="none"/>
                      <w:lang w:val="en-US" w:eastAsia="zh-CN"/>
                    </w:rPr>
                    <w:t>25</w:t>
                  </w:r>
                  <w:r>
                    <w:rPr>
                      <w:rFonts w:hint="eastAsia"/>
                      <w:color w:val="auto"/>
                      <w:sz w:val="21"/>
                      <w:szCs w:val="21"/>
                      <w:highlight w:val="none"/>
                    </w:rPr>
                    <w:t>日</w:t>
                  </w:r>
                </w:p>
              </w:tc>
              <w:tc>
                <w:tcPr>
                  <w:tcW w:w="493" w:type="pct"/>
                  <w:vMerge w:val="continue"/>
                  <w:noWrap w:val="0"/>
                  <w:vAlign w:val="center"/>
                </w:tcPr>
                <w:p w14:paraId="66358C6D">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44" w:type="pct"/>
                  <w:vMerge w:val="continue"/>
                  <w:noWrap w:val="0"/>
                  <w:vAlign w:val="center"/>
                </w:tcPr>
                <w:p w14:paraId="20966B18">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r>
            <w:tr w14:paraId="3C99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6" w:hRule="atLeast"/>
                <w:jc w:val="center"/>
              </w:trPr>
              <w:tc>
                <w:tcPr>
                  <w:tcW w:w="682" w:type="pct"/>
                  <w:vMerge w:val="continue"/>
                  <w:noWrap w:val="0"/>
                  <w:vAlign w:val="center"/>
                </w:tcPr>
                <w:p w14:paraId="35C29939">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63" w:type="pct"/>
                  <w:vMerge w:val="continue"/>
                  <w:shd w:val="clear" w:color="auto" w:fill="auto"/>
                  <w:noWrap w:val="0"/>
                  <w:vAlign w:val="center"/>
                </w:tcPr>
                <w:p w14:paraId="4B8EBD2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67" w:type="pct"/>
                  <w:vMerge w:val="continue"/>
                  <w:shd w:val="clear" w:color="auto" w:fill="auto"/>
                  <w:noWrap w:val="0"/>
                  <w:vAlign w:val="center"/>
                </w:tcPr>
                <w:p w14:paraId="165B560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586" w:type="pct"/>
                  <w:noWrap w:val="0"/>
                  <w:vAlign w:val="center"/>
                </w:tcPr>
                <w:p w14:paraId="08FE9EA5">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臭气浓度</w:t>
                  </w:r>
                </w:p>
              </w:tc>
              <w:tc>
                <w:tcPr>
                  <w:tcW w:w="1163" w:type="pct"/>
                  <w:noWrap w:val="0"/>
                  <w:vAlign w:val="center"/>
                </w:tcPr>
                <w:p w14:paraId="1ABB0BD4">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2023年5月23日~2023年5月</w:t>
                  </w:r>
                  <w:r>
                    <w:rPr>
                      <w:rFonts w:hint="eastAsia"/>
                      <w:color w:val="auto"/>
                      <w:sz w:val="21"/>
                      <w:szCs w:val="21"/>
                      <w:highlight w:val="none"/>
                      <w:lang w:val="en-US" w:eastAsia="zh-CN"/>
                    </w:rPr>
                    <w:t>25</w:t>
                  </w:r>
                  <w:r>
                    <w:rPr>
                      <w:rFonts w:hint="eastAsia"/>
                      <w:color w:val="auto"/>
                      <w:sz w:val="21"/>
                      <w:szCs w:val="21"/>
                      <w:highlight w:val="none"/>
                    </w:rPr>
                    <w:t>日</w:t>
                  </w:r>
                </w:p>
              </w:tc>
              <w:tc>
                <w:tcPr>
                  <w:tcW w:w="493" w:type="pct"/>
                  <w:vMerge w:val="continue"/>
                  <w:noWrap w:val="0"/>
                  <w:vAlign w:val="center"/>
                </w:tcPr>
                <w:p w14:paraId="48638358">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644" w:type="pct"/>
                  <w:vMerge w:val="continue"/>
                  <w:noWrap w:val="0"/>
                  <w:vAlign w:val="center"/>
                </w:tcPr>
                <w:p w14:paraId="1EDC9F77">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r>
          </w:tbl>
          <w:p w14:paraId="68103560">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③监测分析方法</w:t>
            </w:r>
          </w:p>
          <w:p w14:paraId="7B8013C3">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采样方法按《环境监测技术规范》（大气部分）进行，监测分析方法按《环境空气质量标准》（GB3095-2012）中表2和《空气和废气监测分析方法》（第四版）进行。</w:t>
            </w:r>
          </w:p>
          <w:p w14:paraId="32D8837A">
            <w:pPr>
              <w:keepNext w:val="0"/>
              <w:keepLines w:val="0"/>
              <w:suppressLineNumbers w:val="0"/>
              <w:adjustRightInd w:val="0"/>
              <w:snapToGrid w:val="0"/>
              <w:spacing w:before="0" w:beforeAutospacing="0" w:after="0" w:afterAutospacing="0"/>
              <w:ind w:left="0" w:right="0"/>
              <w:jc w:val="center"/>
              <w:rPr>
                <w:rFonts w:hint="default"/>
                <w:b/>
                <w:color w:val="auto"/>
                <w:sz w:val="24"/>
                <w:szCs w:val="20"/>
                <w:highlight w:val="none"/>
              </w:rPr>
            </w:pPr>
            <w:r>
              <w:rPr>
                <w:rFonts w:hint="default"/>
                <w:b/>
                <w:color w:val="auto"/>
                <w:sz w:val="24"/>
                <w:szCs w:val="20"/>
                <w:highlight w:val="none"/>
              </w:rPr>
              <w:t>表</w:t>
            </w:r>
            <w:r>
              <w:rPr>
                <w:rFonts w:hint="eastAsia"/>
                <w:b/>
                <w:color w:val="auto"/>
                <w:sz w:val="24"/>
                <w:szCs w:val="20"/>
                <w:highlight w:val="none"/>
              </w:rPr>
              <w:t>3-3</w:t>
            </w:r>
            <w:r>
              <w:rPr>
                <w:rFonts w:hint="default"/>
                <w:b/>
                <w:color w:val="auto"/>
                <w:sz w:val="24"/>
                <w:szCs w:val="20"/>
                <w:highlight w:val="none"/>
              </w:rPr>
              <w:t xml:space="preserve">  检测项目及分析方法</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779"/>
              <w:gridCol w:w="1914"/>
              <w:gridCol w:w="3009"/>
              <w:gridCol w:w="897"/>
            </w:tblGrid>
            <w:tr w14:paraId="27BB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0"/>
                  <w:vAlign w:val="center"/>
                </w:tcPr>
                <w:p w14:paraId="3D7CB29D">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检测类别</w:t>
                  </w:r>
                </w:p>
              </w:tc>
              <w:tc>
                <w:tcPr>
                  <w:tcW w:w="508" w:type="pct"/>
                  <w:noWrap w:val="0"/>
                  <w:vAlign w:val="center"/>
                </w:tcPr>
                <w:p w14:paraId="13E80581">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w:t>
                  </w:r>
                </w:p>
              </w:tc>
              <w:tc>
                <w:tcPr>
                  <w:tcW w:w="1248" w:type="pct"/>
                  <w:noWrap w:val="0"/>
                  <w:vAlign w:val="center"/>
                </w:tcPr>
                <w:p w14:paraId="663E2BE2">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分析方法</w:t>
                  </w:r>
                </w:p>
              </w:tc>
              <w:tc>
                <w:tcPr>
                  <w:tcW w:w="1963" w:type="pct"/>
                  <w:noWrap w:val="0"/>
                  <w:vAlign w:val="center"/>
                </w:tcPr>
                <w:p w14:paraId="3B52BA96">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仪器名称、型号及编号</w:t>
                  </w:r>
                </w:p>
              </w:tc>
              <w:tc>
                <w:tcPr>
                  <w:tcW w:w="585" w:type="pct"/>
                  <w:noWrap w:val="0"/>
                  <w:vAlign w:val="center"/>
                </w:tcPr>
                <w:p w14:paraId="3981F030">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检出限</w:t>
                  </w:r>
                </w:p>
              </w:tc>
            </w:tr>
            <w:tr w14:paraId="4D1B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restart"/>
                  <w:shd w:val="clear" w:color="auto" w:fill="auto"/>
                  <w:noWrap w:val="0"/>
                  <w:vAlign w:val="center"/>
                </w:tcPr>
                <w:p w14:paraId="015B40BE">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环境</w:t>
                  </w:r>
                </w:p>
                <w:p w14:paraId="1F022C7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空气</w:t>
                  </w:r>
                </w:p>
              </w:tc>
              <w:tc>
                <w:tcPr>
                  <w:tcW w:w="508" w:type="pct"/>
                  <w:shd w:val="clear" w:color="auto" w:fill="auto"/>
                  <w:noWrap w:val="0"/>
                  <w:vAlign w:val="center"/>
                </w:tcPr>
                <w:p w14:paraId="3D416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非甲烷总烃</w:t>
                  </w:r>
                </w:p>
              </w:tc>
              <w:tc>
                <w:tcPr>
                  <w:tcW w:w="1248" w:type="pct"/>
                  <w:shd w:val="clear" w:color="auto" w:fill="auto"/>
                  <w:noWrap w:val="0"/>
                  <w:vAlign w:val="center"/>
                </w:tcPr>
                <w:p w14:paraId="2B6CDC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《环境空气总烃、甲烷和非甲烷总经的测定直接进样-气相色谱法》</w:t>
                  </w:r>
                  <w:r>
                    <w:rPr>
                      <w:rFonts w:hint="default"/>
                      <w:color w:val="auto"/>
                      <w:szCs w:val="21"/>
                      <w:highlight w:val="none"/>
                    </w:rPr>
                    <w:t>HJ604-2017</w:t>
                  </w:r>
                </w:p>
              </w:tc>
              <w:tc>
                <w:tcPr>
                  <w:tcW w:w="1963" w:type="pct"/>
                  <w:shd w:val="clear" w:color="auto" w:fill="auto"/>
                  <w:noWrap w:val="0"/>
                  <w:vAlign w:val="center"/>
                </w:tcPr>
                <w:p w14:paraId="7A0A24C6">
                  <w:pPr>
                    <w:keepNext w:val="0"/>
                    <w:keepLines w:val="0"/>
                    <w:suppressLineNumbers w:val="0"/>
                    <w:snapToGrid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GX-01型全自动真空箱气袋采样器/YQC211</w:t>
                  </w:r>
                </w:p>
                <w:p w14:paraId="63C1E6AF">
                  <w:pPr>
                    <w:keepNext w:val="0"/>
                    <w:keepLines w:val="0"/>
                    <w:suppressLineNumbers w:val="0"/>
                    <w:snapToGrid w:val="0"/>
                    <w:spacing w:before="0" w:beforeAutospacing="0" w:after="0" w:afterAutospacing="0" w:line="32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GC9790气相色谱仪/YQA048</w:t>
                  </w:r>
                </w:p>
              </w:tc>
              <w:tc>
                <w:tcPr>
                  <w:tcW w:w="585" w:type="pct"/>
                  <w:shd w:val="clear" w:color="auto" w:fill="auto"/>
                  <w:noWrap w:val="0"/>
                  <w:vAlign w:val="center"/>
                </w:tcPr>
                <w:p w14:paraId="4525D89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0.07mg/m</w:t>
                  </w:r>
                  <w:r>
                    <w:rPr>
                      <w:rFonts w:hint="eastAsia"/>
                      <w:color w:val="auto"/>
                      <w:szCs w:val="21"/>
                      <w:highlight w:val="none"/>
                      <w:vertAlign w:val="superscript"/>
                    </w:rPr>
                    <w:t>3</w:t>
                  </w:r>
                </w:p>
              </w:tc>
            </w:tr>
            <w:tr w14:paraId="5929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shd w:val="clear" w:color="auto" w:fill="auto"/>
                  <w:noWrap w:val="0"/>
                  <w:vAlign w:val="center"/>
                </w:tcPr>
                <w:p w14:paraId="1D3A0E9A">
                  <w:pPr>
                    <w:keepNext w:val="0"/>
                    <w:keepLines w:val="0"/>
                    <w:suppressLineNumbers w:val="0"/>
                    <w:spacing w:before="0" w:beforeAutospacing="0" w:after="0" w:afterAutospacing="0"/>
                    <w:ind w:left="0" w:right="0"/>
                    <w:jc w:val="center"/>
                    <w:rPr>
                      <w:rFonts w:hint="eastAsia"/>
                      <w:color w:val="auto"/>
                      <w:szCs w:val="21"/>
                      <w:highlight w:val="none"/>
                    </w:rPr>
                  </w:pPr>
                </w:p>
              </w:tc>
              <w:tc>
                <w:tcPr>
                  <w:tcW w:w="508" w:type="pct"/>
                  <w:shd w:val="clear" w:color="auto" w:fill="auto"/>
                  <w:noWrap w:val="0"/>
                  <w:vAlign w:val="center"/>
                </w:tcPr>
                <w:p w14:paraId="33269FD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TSP</w:t>
                  </w:r>
                </w:p>
              </w:tc>
              <w:tc>
                <w:tcPr>
                  <w:tcW w:w="1248" w:type="pct"/>
                  <w:shd w:val="clear" w:color="auto" w:fill="auto"/>
                  <w:noWrap w:val="0"/>
                  <w:vAlign w:val="center"/>
                </w:tcPr>
                <w:p w14:paraId="2DE0DC80">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《环境空气 总悬浮颗粒物的测定重量法》HJ1263-2022</w:t>
                  </w:r>
                </w:p>
              </w:tc>
              <w:tc>
                <w:tcPr>
                  <w:tcW w:w="1963" w:type="pct"/>
                  <w:shd w:val="clear" w:color="auto" w:fill="auto"/>
                  <w:noWrap w:val="0"/>
                  <w:vAlign w:val="center"/>
                </w:tcPr>
                <w:p w14:paraId="3A927BD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MH1200型全自动大气/颗粒物采样器/YQC034</w:t>
                  </w:r>
                </w:p>
                <w:p w14:paraId="08FB165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MEI55DU/02电子天平/YQA021</w:t>
                  </w:r>
                </w:p>
              </w:tc>
              <w:tc>
                <w:tcPr>
                  <w:tcW w:w="585" w:type="pct"/>
                  <w:shd w:val="clear" w:color="auto" w:fill="auto"/>
                  <w:noWrap w:val="0"/>
                  <w:vAlign w:val="center"/>
                </w:tcPr>
                <w:p w14:paraId="0F2C5F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7μg/m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（24小时）</w:t>
                  </w:r>
                </w:p>
              </w:tc>
            </w:tr>
            <w:tr w14:paraId="7C2F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shd w:val="clear" w:color="auto" w:fill="auto"/>
                  <w:noWrap w:val="0"/>
                  <w:vAlign w:val="center"/>
                </w:tcPr>
                <w:p w14:paraId="745293B3">
                  <w:pPr>
                    <w:keepNext w:val="0"/>
                    <w:keepLines w:val="0"/>
                    <w:suppressLineNumbers w:val="0"/>
                    <w:spacing w:before="0" w:beforeAutospacing="0" w:after="0" w:afterAutospacing="0"/>
                    <w:ind w:left="0" w:right="0"/>
                    <w:jc w:val="center"/>
                    <w:rPr>
                      <w:rFonts w:hint="eastAsia"/>
                      <w:color w:val="auto"/>
                      <w:szCs w:val="21"/>
                      <w:highlight w:val="none"/>
                    </w:rPr>
                  </w:pPr>
                </w:p>
              </w:tc>
              <w:tc>
                <w:tcPr>
                  <w:tcW w:w="508" w:type="pct"/>
                  <w:shd w:val="clear" w:color="auto" w:fill="auto"/>
                  <w:noWrap w:val="0"/>
                  <w:vAlign w:val="center"/>
                </w:tcPr>
                <w:p w14:paraId="3B08ED1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氨</w:t>
                  </w:r>
                </w:p>
              </w:tc>
              <w:tc>
                <w:tcPr>
                  <w:tcW w:w="1248" w:type="pct"/>
                  <w:shd w:val="clear" w:color="auto" w:fill="auto"/>
                  <w:noWrap w:val="0"/>
                  <w:vAlign w:val="center"/>
                </w:tcPr>
                <w:p w14:paraId="1396CEF1">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《环境空气和废气氨的测定纳氏试剂分光光度法》HJ533-2009</w:t>
                  </w:r>
                </w:p>
              </w:tc>
              <w:tc>
                <w:tcPr>
                  <w:tcW w:w="1963" w:type="pct"/>
                  <w:shd w:val="clear" w:color="auto" w:fill="auto"/>
                  <w:noWrap w:val="0"/>
                  <w:vAlign w:val="center"/>
                </w:tcPr>
                <w:p w14:paraId="7C978C85">
                  <w:pPr>
                    <w:keepNext w:val="0"/>
                    <w:keepLines w:val="0"/>
                    <w:suppressLineNumbers w:val="0"/>
                    <w:snapToGrid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MH1200型全自动大气/颗粒物采样器/YQC034</w:t>
                  </w:r>
                </w:p>
                <w:p w14:paraId="6A11E9D0">
                  <w:pPr>
                    <w:keepNext w:val="0"/>
                    <w:keepLines w:val="0"/>
                    <w:suppressLineNumbers w:val="0"/>
                    <w:snapToGrid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T6新世纪紫外可见分光光度计</w:t>
                  </w:r>
                </w:p>
                <w:p w14:paraId="1D00ABC4">
                  <w:pPr>
                    <w:keepNext w:val="0"/>
                    <w:keepLines w:val="0"/>
                    <w:suppressLineNumbers w:val="0"/>
                    <w:snapToGrid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YQA012</w:t>
                  </w:r>
                </w:p>
              </w:tc>
              <w:tc>
                <w:tcPr>
                  <w:tcW w:w="585" w:type="pct"/>
                  <w:shd w:val="clear" w:color="auto" w:fill="auto"/>
                  <w:noWrap w:val="0"/>
                  <w:vAlign w:val="center"/>
                </w:tcPr>
                <w:p w14:paraId="57943DAA">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0.01</w:t>
                  </w:r>
                  <w:r>
                    <w:rPr>
                      <w:rFonts w:hint="eastAsia"/>
                      <w:color w:val="auto"/>
                      <w:szCs w:val="21"/>
                      <w:highlight w:val="none"/>
                    </w:rPr>
                    <w:t>mg/m</w:t>
                  </w:r>
                  <w:r>
                    <w:rPr>
                      <w:rFonts w:hint="eastAsia"/>
                      <w:color w:val="auto"/>
                      <w:szCs w:val="21"/>
                      <w:highlight w:val="none"/>
                      <w:vertAlign w:val="superscript"/>
                    </w:rPr>
                    <w:t>3</w:t>
                  </w:r>
                </w:p>
              </w:tc>
            </w:tr>
            <w:tr w14:paraId="3B21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shd w:val="clear" w:color="auto" w:fill="auto"/>
                  <w:noWrap w:val="0"/>
                  <w:vAlign w:val="center"/>
                </w:tcPr>
                <w:p w14:paraId="7E3D8B6E">
                  <w:pPr>
                    <w:keepNext w:val="0"/>
                    <w:keepLines w:val="0"/>
                    <w:suppressLineNumbers w:val="0"/>
                    <w:spacing w:before="0" w:beforeAutospacing="0" w:after="0" w:afterAutospacing="0"/>
                    <w:ind w:left="0" w:right="0"/>
                    <w:jc w:val="center"/>
                    <w:rPr>
                      <w:rFonts w:hint="eastAsia"/>
                      <w:color w:val="auto"/>
                      <w:szCs w:val="21"/>
                      <w:highlight w:val="none"/>
                    </w:rPr>
                  </w:pPr>
                </w:p>
              </w:tc>
              <w:tc>
                <w:tcPr>
                  <w:tcW w:w="508" w:type="pct"/>
                  <w:shd w:val="clear" w:color="auto" w:fill="auto"/>
                  <w:noWrap w:val="0"/>
                  <w:vAlign w:val="center"/>
                </w:tcPr>
                <w:p w14:paraId="572900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臭气浓度</w:t>
                  </w:r>
                </w:p>
              </w:tc>
              <w:tc>
                <w:tcPr>
                  <w:tcW w:w="1248" w:type="pct"/>
                  <w:shd w:val="clear" w:color="auto" w:fill="auto"/>
                  <w:noWrap w:val="0"/>
                  <w:vAlign w:val="center"/>
                </w:tcPr>
                <w:p w14:paraId="0AC1D0C0">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rPr>
                    <w:t>《空气质量 恶臭的测定 三点比较式臭袋法》HI1262-2022</w:t>
                  </w:r>
                  <w:r>
                    <w:rPr>
                      <w:rFonts w:hint="eastAsia"/>
                      <w:color w:val="auto"/>
                      <w:szCs w:val="21"/>
                      <w:highlight w:val="none"/>
                      <w:lang w:val="en-US" w:eastAsia="zh-CN"/>
                    </w:rPr>
                    <w:t xml:space="preserve"> </w:t>
                  </w:r>
                </w:p>
              </w:tc>
              <w:tc>
                <w:tcPr>
                  <w:tcW w:w="1963" w:type="pct"/>
                  <w:shd w:val="clear" w:color="auto" w:fill="auto"/>
                  <w:noWrap w:val="0"/>
                  <w:vAlign w:val="center"/>
                </w:tcPr>
                <w:p w14:paraId="754702F8">
                  <w:pPr>
                    <w:keepNext w:val="0"/>
                    <w:keepLines w:val="0"/>
                    <w:suppressLineNumbers w:val="0"/>
                    <w:snapToGrid w:val="0"/>
                    <w:spacing w:before="0" w:beforeAutospacing="0" w:after="0" w:afterAutospacing="0" w:line="32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85" w:type="pct"/>
                  <w:shd w:val="clear" w:color="auto" w:fill="auto"/>
                  <w:noWrap w:val="0"/>
                  <w:vAlign w:val="center"/>
                </w:tcPr>
                <w:p w14:paraId="44B9EF6C">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bl>
          <w:p w14:paraId="037EE327">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④评价方法</w:t>
            </w:r>
          </w:p>
          <w:p w14:paraId="232CB4C2">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评价方法采用单项标准指数法，计算模式如下：</w:t>
            </w:r>
          </w:p>
          <w:p w14:paraId="35AE7BA5">
            <w:pPr>
              <w:keepNext w:val="0"/>
              <w:keepLines w:val="0"/>
              <w:suppressLineNumbers w:val="0"/>
              <w:spacing w:before="0" w:beforeAutospacing="0" w:after="0" w:afterAutospacing="0" w:line="500" w:lineRule="exact"/>
              <w:ind w:left="0" w:right="0" w:firstLine="480" w:firstLineChars="200"/>
              <w:jc w:val="center"/>
              <w:rPr>
                <w:rFonts w:hint="default"/>
                <w:color w:val="auto"/>
                <w:sz w:val="24"/>
                <w:szCs w:val="20"/>
                <w:highlight w:val="none"/>
              </w:rPr>
            </w:pPr>
            <w:r>
              <w:rPr>
                <w:rFonts w:hint="default"/>
                <w:color w:val="auto"/>
                <w:sz w:val="24"/>
                <w:szCs w:val="20"/>
                <w:highlight w:val="none"/>
              </w:rPr>
              <w:t>P</w:t>
            </w:r>
            <w:r>
              <w:rPr>
                <w:rFonts w:hint="default"/>
                <w:color w:val="auto"/>
                <w:sz w:val="24"/>
                <w:szCs w:val="20"/>
                <w:highlight w:val="none"/>
                <w:vertAlign w:val="subscript"/>
              </w:rPr>
              <w:t>i</w:t>
            </w:r>
            <w:r>
              <w:rPr>
                <w:rFonts w:hint="default"/>
                <w:color w:val="auto"/>
                <w:sz w:val="24"/>
                <w:szCs w:val="20"/>
                <w:highlight w:val="none"/>
              </w:rPr>
              <w:t>＝C</w:t>
            </w:r>
            <w:r>
              <w:rPr>
                <w:rFonts w:hint="default"/>
                <w:color w:val="auto"/>
                <w:sz w:val="24"/>
                <w:szCs w:val="20"/>
                <w:highlight w:val="none"/>
                <w:vertAlign w:val="subscript"/>
              </w:rPr>
              <w:t>i</w:t>
            </w:r>
            <w:r>
              <w:rPr>
                <w:rFonts w:hint="default"/>
                <w:color w:val="auto"/>
                <w:sz w:val="24"/>
                <w:szCs w:val="20"/>
                <w:highlight w:val="none"/>
              </w:rPr>
              <w:t>/C</w:t>
            </w:r>
            <w:r>
              <w:rPr>
                <w:rFonts w:hint="default"/>
                <w:color w:val="auto"/>
                <w:sz w:val="24"/>
                <w:szCs w:val="20"/>
                <w:highlight w:val="none"/>
                <w:vertAlign w:val="subscript"/>
              </w:rPr>
              <w:t>0i</w:t>
            </w:r>
          </w:p>
          <w:p w14:paraId="66995BB7">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式中：P</w:t>
            </w:r>
            <w:r>
              <w:rPr>
                <w:rFonts w:hint="default"/>
                <w:color w:val="auto"/>
                <w:sz w:val="24"/>
                <w:szCs w:val="20"/>
                <w:highlight w:val="none"/>
                <w:vertAlign w:val="subscript"/>
              </w:rPr>
              <w:t>i</w:t>
            </w:r>
            <w:r>
              <w:rPr>
                <w:rFonts w:hint="default"/>
                <w:color w:val="auto"/>
                <w:sz w:val="24"/>
                <w:szCs w:val="20"/>
                <w:highlight w:val="none"/>
              </w:rPr>
              <w:t>--i污染物标准指数；</w:t>
            </w:r>
          </w:p>
          <w:p w14:paraId="22FE5F53">
            <w:pPr>
              <w:keepNext w:val="0"/>
              <w:keepLines w:val="0"/>
              <w:suppressLineNumbers w:val="0"/>
              <w:spacing w:before="0" w:beforeAutospacing="0" w:after="0" w:afterAutospacing="0" w:line="500" w:lineRule="exact"/>
              <w:ind w:left="0" w:right="0" w:firstLine="1200" w:firstLineChars="500"/>
              <w:rPr>
                <w:rFonts w:hint="default"/>
                <w:color w:val="auto"/>
                <w:sz w:val="24"/>
                <w:szCs w:val="20"/>
                <w:highlight w:val="none"/>
              </w:rPr>
            </w:pPr>
            <w:r>
              <w:rPr>
                <w:rFonts w:hint="default"/>
                <w:color w:val="auto"/>
                <w:sz w:val="24"/>
                <w:szCs w:val="20"/>
                <w:highlight w:val="none"/>
              </w:rPr>
              <w:t>C</w:t>
            </w:r>
            <w:r>
              <w:rPr>
                <w:rFonts w:hint="default"/>
                <w:color w:val="auto"/>
                <w:sz w:val="24"/>
                <w:szCs w:val="20"/>
                <w:highlight w:val="none"/>
                <w:vertAlign w:val="subscript"/>
              </w:rPr>
              <w:t>i</w:t>
            </w:r>
            <w:r>
              <w:rPr>
                <w:rFonts w:hint="default"/>
                <w:color w:val="auto"/>
                <w:sz w:val="24"/>
                <w:szCs w:val="20"/>
                <w:highlight w:val="none"/>
              </w:rPr>
              <w:t>--i污染物实测浓度，mg/m</w:t>
            </w:r>
            <w:r>
              <w:rPr>
                <w:rFonts w:hint="default"/>
                <w:color w:val="auto"/>
                <w:sz w:val="24"/>
                <w:szCs w:val="20"/>
                <w:highlight w:val="none"/>
                <w:vertAlign w:val="superscript"/>
              </w:rPr>
              <w:t>3</w:t>
            </w:r>
            <w:r>
              <w:rPr>
                <w:rFonts w:hint="default"/>
                <w:color w:val="auto"/>
                <w:sz w:val="24"/>
                <w:szCs w:val="20"/>
                <w:highlight w:val="none"/>
              </w:rPr>
              <w:t>；</w:t>
            </w:r>
          </w:p>
          <w:p w14:paraId="6A087AF0">
            <w:pPr>
              <w:keepNext w:val="0"/>
              <w:keepLines w:val="0"/>
              <w:suppressLineNumbers w:val="0"/>
              <w:spacing w:before="0" w:beforeAutospacing="0" w:after="0" w:afterAutospacing="0" w:line="500" w:lineRule="exact"/>
              <w:ind w:left="0" w:right="0" w:firstLine="1200" w:firstLineChars="500"/>
              <w:rPr>
                <w:rFonts w:hint="default"/>
                <w:color w:val="auto"/>
                <w:sz w:val="24"/>
                <w:szCs w:val="20"/>
                <w:highlight w:val="none"/>
              </w:rPr>
            </w:pPr>
            <w:r>
              <w:rPr>
                <w:rFonts w:hint="default"/>
                <w:color w:val="auto"/>
                <w:sz w:val="24"/>
                <w:szCs w:val="20"/>
                <w:highlight w:val="none"/>
              </w:rPr>
              <w:t>C</w:t>
            </w:r>
            <w:r>
              <w:rPr>
                <w:rFonts w:hint="default"/>
                <w:color w:val="auto"/>
                <w:sz w:val="24"/>
                <w:szCs w:val="20"/>
                <w:highlight w:val="none"/>
                <w:vertAlign w:val="subscript"/>
              </w:rPr>
              <w:t>0i</w:t>
            </w:r>
            <w:r>
              <w:rPr>
                <w:rFonts w:hint="default"/>
                <w:color w:val="auto"/>
                <w:sz w:val="24"/>
                <w:szCs w:val="20"/>
                <w:highlight w:val="none"/>
              </w:rPr>
              <w:t>--i污染物评价标准值，mg/m</w:t>
            </w:r>
            <w:r>
              <w:rPr>
                <w:rFonts w:hint="default"/>
                <w:color w:val="auto"/>
                <w:sz w:val="24"/>
                <w:szCs w:val="20"/>
                <w:highlight w:val="none"/>
                <w:vertAlign w:val="superscript"/>
              </w:rPr>
              <w:t>3</w:t>
            </w:r>
            <w:r>
              <w:rPr>
                <w:rFonts w:hint="default"/>
                <w:color w:val="auto"/>
                <w:sz w:val="24"/>
                <w:szCs w:val="20"/>
                <w:highlight w:val="none"/>
              </w:rPr>
              <w:t>。</w:t>
            </w:r>
          </w:p>
          <w:p w14:paraId="7CDE805A">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⑤监测及评价结果</w:t>
            </w:r>
          </w:p>
          <w:p w14:paraId="77449D04">
            <w:pPr>
              <w:keepNext w:val="0"/>
              <w:keepLines w:val="0"/>
              <w:suppressLineNumbers w:val="0"/>
              <w:adjustRightInd w:val="0"/>
              <w:snapToGrid w:val="0"/>
              <w:spacing w:before="0" w:beforeAutospacing="0" w:after="0" w:afterAutospacing="0"/>
              <w:ind w:left="0" w:right="0"/>
              <w:jc w:val="center"/>
              <w:rPr>
                <w:rFonts w:hint="default"/>
                <w:b/>
                <w:color w:val="auto"/>
                <w:sz w:val="24"/>
                <w:szCs w:val="20"/>
                <w:highlight w:val="none"/>
              </w:rPr>
            </w:pPr>
            <w:r>
              <w:rPr>
                <w:rFonts w:hint="default"/>
                <w:b/>
                <w:color w:val="auto"/>
                <w:sz w:val="24"/>
                <w:szCs w:val="20"/>
                <w:highlight w:val="none"/>
              </w:rPr>
              <w:t>表</w:t>
            </w:r>
            <w:r>
              <w:rPr>
                <w:rFonts w:hint="eastAsia"/>
                <w:b/>
                <w:color w:val="auto"/>
                <w:sz w:val="24"/>
                <w:szCs w:val="20"/>
                <w:highlight w:val="none"/>
              </w:rPr>
              <w:t>3-4</w:t>
            </w:r>
            <w:r>
              <w:rPr>
                <w:rFonts w:hint="default"/>
                <w:b/>
                <w:color w:val="auto"/>
                <w:sz w:val="24"/>
                <w:szCs w:val="20"/>
                <w:highlight w:val="none"/>
              </w:rPr>
              <w:t xml:space="preserve"> 评价结果一览表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6"/>
              <w:gridCol w:w="1005"/>
              <w:gridCol w:w="945"/>
              <w:gridCol w:w="796"/>
              <w:gridCol w:w="684"/>
              <w:gridCol w:w="977"/>
              <w:gridCol w:w="977"/>
              <w:gridCol w:w="553"/>
              <w:gridCol w:w="435"/>
              <w:gridCol w:w="422"/>
            </w:tblGrid>
            <w:tr w14:paraId="79A3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vAlign w:val="center"/>
                </w:tcPr>
                <w:p w14:paraId="769492DA">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监测点位</w:t>
                  </w:r>
                </w:p>
              </w:tc>
              <w:tc>
                <w:tcPr>
                  <w:tcW w:w="1272" w:type="pct"/>
                  <w:gridSpan w:val="2"/>
                  <w:vAlign w:val="center"/>
                </w:tcPr>
                <w:p w14:paraId="3CD2A4D7">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监测点坐标</w:t>
                  </w:r>
                </w:p>
              </w:tc>
              <w:tc>
                <w:tcPr>
                  <w:tcW w:w="966" w:type="pct"/>
                  <w:gridSpan w:val="2"/>
                  <w:vMerge w:val="restart"/>
                  <w:vAlign w:val="center"/>
                </w:tcPr>
                <w:p w14:paraId="780A9874">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污染物</w:t>
                  </w:r>
                </w:p>
              </w:tc>
              <w:tc>
                <w:tcPr>
                  <w:tcW w:w="637" w:type="pct"/>
                  <w:vMerge w:val="restart"/>
                  <w:vAlign w:val="center"/>
                </w:tcPr>
                <w:p w14:paraId="49879DDD">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评价标准/（ug/m</w:t>
                  </w:r>
                  <w:r>
                    <w:rPr>
                      <w:rFonts w:hint="eastAsia"/>
                      <w:color w:val="auto"/>
                      <w:szCs w:val="21"/>
                      <w:highlight w:val="none"/>
                      <w:vertAlign w:val="superscript"/>
                    </w:rPr>
                    <w:t>3</w:t>
                  </w:r>
                  <w:r>
                    <w:rPr>
                      <w:rFonts w:hint="eastAsia"/>
                      <w:color w:val="auto"/>
                      <w:szCs w:val="21"/>
                      <w:highlight w:val="none"/>
                    </w:rPr>
                    <w:t>）</w:t>
                  </w:r>
                </w:p>
              </w:tc>
              <w:tc>
                <w:tcPr>
                  <w:tcW w:w="637" w:type="pct"/>
                  <w:vMerge w:val="restart"/>
                  <w:vAlign w:val="center"/>
                </w:tcPr>
                <w:p w14:paraId="72C00DB6">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监测浓度范围/（ug/m</w:t>
                  </w:r>
                  <w:r>
                    <w:rPr>
                      <w:rFonts w:hint="eastAsia"/>
                      <w:color w:val="auto"/>
                      <w:szCs w:val="21"/>
                      <w:highlight w:val="none"/>
                      <w:vertAlign w:val="superscript"/>
                    </w:rPr>
                    <w:t>3</w:t>
                  </w:r>
                  <w:r>
                    <w:rPr>
                      <w:rFonts w:hint="eastAsia"/>
                      <w:color w:val="auto"/>
                      <w:szCs w:val="21"/>
                      <w:highlight w:val="none"/>
                    </w:rPr>
                    <w:t>）</w:t>
                  </w:r>
                </w:p>
              </w:tc>
              <w:tc>
                <w:tcPr>
                  <w:tcW w:w="360" w:type="pct"/>
                  <w:vMerge w:val="restart"/>
                  <w:vAlign w:val="center"/>
                </w:tcPr>
                <w:p w14:paraId="4CDAE492">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标准指数</w:t>
                  </w:r>
                </w:p>
              </w:tc>
              <w:tc>
                <w:tcPr>
                  <w:tcW w:w="283" w:type="pct"/>
                  <w:vMerge w:val="restart"/>
                  <w:vAlign w:val="center"/>
                </w:tcPr>
                <w:p w14:paraId="047F8CC9">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超标率/%</w:t>
                  </w:r>
                </w:p>
              </w:tc>
              <w:tc>
                <w:tcPr>
                  <w:tcW w:w="275" w:type="pct"/>
                  <w:vMerge w:val="restart"/>
                  <w:vAlign w:val="center"/>
                </w:tcPr>
                <w:p w14:paraId="2C48A308">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达标情况</w:t>
                  </w:r>
                </w:p>
              </w:tc>
            </w:tr>
            <w:tr w14:paraId="2DE9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vAlign w:val="center"/>
                </w:tcPr>
                <w:p w14:paraId="07650852">
                  <w:pPr>
                    <w:keepNext w:val="0"/>
                    <w:keepLines w:val="0"/>
                    <w:suppressLineNumbers w:val="0"/>
                    <w:spacing w:before="0" w:beforeAutospacing="0" w:after="0" w:afterAutospacing="0"/>
                    <w:ind w:left="0" w:right="0"/>
                    <w:jc w:val="center"/>
                    <w:rPr>
                      <w:rFonts w:hint="default"/>
                      <w:color w:val="auto"/>
                      <w:szCs w:val="21"/>
                      <w:highlight w:val="none"/>
                    </w:rPr>
                  </w:pPr>
                </w:p>
              </w:tc>
              <w:tc>
                <w:tcPr>
                  <w:tcW w:w="656" w:type="pct"/>
                  <w:vAlign w:val="center"/>
                </w:tcPr>
                <w:p w14:paraId="49FCED0F">
                  <w:pPr>
                    <w:pStyle w:val="63"/>
                    <w:keepNext w:val="0"/>
                    <w:keepLines w:val="0"/>
                    <w:suppressLineNumbers w:val="0"/>
                    <w:spacing w:before="0" w:beforeAutospacing="0" w:after="0" w:afterAutospacing="0" w:line="240" w:lineRule="auto"/>
                    <w:ind w:left="0" w:leftChars="0" w:right="0" w:firstLine="0" w:firstLineChars="0"/>
                    <w:rPr>
                      <w:rFonts w:hint="default"/>
                      <w:color w:val="auto"/>
                      <w:szCs w:val="21"/>
                      <w:highlight w:val="none"/>
                    </w:rPr>
                  </w:pPr>
                  <w:r>
                    <w:rPr>
                      <w:rFonts w:hint="eastAsia"/>
                      <w:color w:val="auto"/>
                      <w:szCs w:val="21"/>
                      <w:highlight w:val="none"/>
                    </w:rPr>
                    <w:t>经度</w:t>
                  </w:r>
                </w:p>
              </w:tc>
              <w:tc>
                <w:tcPr>
                  <w:tcW w:w="616" w:type="pct"/>
                  <w:vAlign w:val="center"/>
                </w:tcPr>
                <w:p w14:paraId="071F25EE">
                  <w:pPr>
                    <w:pStyle w:val="63"/>
                    <w:keepNext w:val="0"/>
                    <w:keepLines w:val="0"/>
                    <w:suppressLineNumbers w:val="0"/>
                    <w:spacing w:before="0" w:beforeAutospacing="0" w:after="0" w:afterAutospacing="0" w:line="240" w:lineRule="auto"/>
                    <w:ind w:left="0" w:leftChars="0" w:right="0" w:firstLine="0" w:firstLineChars="0"/>
                    <w:rPr>
                      <w:rFonts w:hint="default"/>
                      <w:color w:val="auto"/>
                      <w:szCs w:val="21"/>
                      <w:highlight w:val="none"/>
                    </w:rPr>
                  </w:pPr>
                  <w:r>
                    <w:rPr>
                      <w:rFonts w:hint="eastAsia"/>
                      <w:color w:val="auto"/>
                      <w:szCs w:val="21"/>
                      <w:highlight w:val="none"/>
                    </w:rPr>
                    <w:t>纬度</w:t>
                  </w:r>
                </w:p>
              </w:tc>
              <w:tc>
                <w:tcPr>
                  <w:tcW w:w="966" w:type="pct"/>
                  <w:gridSpan w:val="2"/>
                  <w:vMerge w:val="continue"/>
                  <w:vAlign w:val="center"/>
                </w:tcPr>
                <w:p w14:paraId="50FEC7E5">
                  <w:pPr>
                    <w:keepNext w:val="0"/>
                    <w:keepLines w:val="0"/>
                    <w:suppressLineNumbers w:val="0"/>
                    <w:spacing w:before="0" w:beforeAutospacing="0" w:after="0" w:afterAutospacing="0"/>
                    <w:ind w:left="0" w:right="0"/>
                    <w:jc w:val="center"/>
                    <w:rPr>
                      <w:rFonts w:hint="default"/>
                      <w:color w:val="auto"/>
                      <w:szCs w:val="21"/>
                      <w:highlight w:val="none"/>
                    </w:rPr>
                  </w:pPr>
                </w:p>
              </w:tc>
              <w:tc>
                <w:tcPr>
                  <w:tcW w:w="637" w:type="pct"/>
                  <w:vMerge w:val="continue"/>
                  <w:vAlign w:val="center"/>
                </w:tcPr>
                <w:p w14:paraId="59476B04">
                  <w:pPr>
                    <w:keepNext w:val="0"/>
                    <w:keepLines w:val="0"/>
                    <w:suppressLineNumbers w:val="0"/>
                    <w:spacing w:before="0" w:beforeAutospacing="0" w:after="0" w:afterAutospacing="0"/>
                    <w:ind w:left="0" w:right="0"/>
                    <w:jc w:val="center"/>
                    <w:rPr>
                      <w:rFonts w:hint="default"/>
                      <w:color w:val="auto"/>
                      <w:szCs w:val="21"/>
                      <w:highlight w:val="none"/>
                    </w:rPr>
                  </w:pPr>
                </w:p>
              </w:tc>
              <w:tc>
                <w:tcPr>
                  <w:tcW w:w="637" w:type="pct"/>
                  <w:vMerge w:val="continue"/>
                  <w:vAlign w:val="center"/>
                </w:tcPr>
                <w:p w14:paraId="23E15597">
                  <w:pPr>
                    <w:keepNext w:val="0"/>
                    <w:keepLines w:val="0"/>
                    <w:suppressLineNumbers w:val="0"/>
                    <w:spacing w:before="0" w:beforeAutospacing="0" w:after="0" w:afterAutospacing="0"/>
                    <w:ind w:left="0" w:right="0"/>
                    <w:jc w:val="center"/>
                    <w:rPr>
                      <w:rFonts w:hint="default"/>
                      <w:color w:val="auto"/>
                      <w:szCs w:val="21"/>
                      <w:highlight w:val="none"/>
                    </w:rPr>
                  </w:pPr>
                </w:p>
              </w:tc>
              <w:tc>
                <w:tcPr>
                  <w:tcW w:w="360" w:type="pct"/>
                  <w:vMerge w:val="continue"/>
                  <w:vAlign w:val="center"/>
                </w:tcPr>
                <w:p w14:paraId="169D533B">
                  <w:pPr>
                    <w:keepNext w:val="0"/>
                    <w:keepLines w:val="0"/>
                    <w:suppressLineNumbers w:val="0"/>
                    <w:spacing w:before="0" w:beforeAutospacing="0" w:after="0" w:afterAutospacing="0"/>
                    <w:ind w:left="0" w:right="0"/>
                    <w:jc w:val="center"/>
                    <w:rPr>
                      <w:rFonts w:hint="default"/>
                      <w:color w:val="auto"/>
                      <w:szCs w:val="21"/>
                      <w:highlight w:val="none"/>
                    </w:rPr>
                  </w:pPr>
                </w:p>
              </w:tc>
              <w:tc>
                <w:tcPr>
                  <w:tcW w:w="283" w:type="pct"/>
                  <w:vMerge w:val="continue"/>
                  <w:vAlign w:val="center"/>
                </w:tcPr>
                <w:p w14:paraId="2C8EBBF4">
                  <w:pPr>
                    <w:keepNext w:val="0"/>
                    <w:keepLines w:val="0"/>
                    <w:suppressLineNumbers w:val="0"/>
                    <w:spacing w:before="0" w:beforeAutospacing="0" w:after="0" w:afterAutospacing="0"/>
                    <w:ind w:left="0" w:right="0"/>
                    <w:jc w:val="center"/>
                    <w:rPr>
                      <w:rFonts w:hint="default"/>
                      <w:color w:val="auto"/>
                      <w:szCs w:val="21"/>
                      <w:highlight w:val="none"/>
                    </w:rPr>
                  </w:pPr>
                </w:p>
              </w:tc>
              <w:tc>
                <w:tcPr>
                  <w:tcW w:w="275" w:type="pct"/>
                  <w:vMerge w:val="continue"/>
                  <w:vAlign w:val="center"/>
                </w:tcPr>
                <w:p w14:paraId="7ACD37FC">
                  <w:pPr>
                    <w:keepNext w:val="0"/>
                    <w:keepLines w:val="0"/>
                    <w:suppressLineNumbers w:val="0"/>
                    <w:spacing w:before="0" w:beforeAutospacing="0" w:after="0" w:afterAutospacing="0"/>
                    <w:ind w:left="0" w:right="0"/>
                    <w:jc w:val="center"/>
                    <w:rPr>
                      <w:rFonts w:hint="default"/>
                      <w:color w:val="auto"/>
                      <w:szCs w:val="21"/>
                      <w:highlight w:val="none"/>
                    </w:rPr>
                  </w:pPr>
                </w:p>
              </w:tc>
            </w:tr>
            <w:tr w14:paraId="0FE5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vAlign w:val="center"/>
                </w:tcPr>
                <w:p w14:paraId="78F1B865">
                  <w:pPr>
                    <w:keepNext w:val="0"/>
                    <w:keepLines w:val="0"/>
                    <w:suppressLineNumbers w:val="0"/>
                    <w:spacing w:before="0" w:beforeAutospacing="0" w:after="0" w:afterAutospacing="0"/>
                    <w:ind w:left="0" w:leftChars="0" w:right="0" w:rightChars="0"/>
                    <w:jc w:val="center"/>
                    <w:rPr>
                      <w:rFonts w:hint="default"/>
                      <w:color w:val="auto"/>
                      <w:szCs w:val="21"/>
                      <w:highlight w:val="none"/>
                    </w:rPr>
                  </w:pPr>
                  <w:r>
                    <w:rPr>
                      <w:rFonts w:hint="eastAsia"/>
                      <w:color w:val="auto"/>
                      <w:szCs w:val="21"/>
                      <w:highlight w:val="none"/>
                      <w:lang w:val="en-US" w:eastAsia="zh-CN"/>
                    </w:rPr>
                    <w:t>段家营村</w:t>
                  </w:r>
                </w:p>
              </w:tc>
              <w:tc>
                <w:tcPr>
                  <w:tcW w:w="656" w:type="pct"/>
                  <w:vMerge w:val="restart"/>
                  <w:vAlign w:val="center"/>
                </w:tcPr>
                <w:p w14:paraId="6C3BE83C">
                  <w:pPr>
                    <w:keepNext w:val="0"/>
                    <w:keepLines w:val="0"/>
                    <w:suppressLineNumbers w:val="0"/>
                    <w:spacing w:before="0" w:beforeAutospacing="0" w:after="0" w:afterAutospacing="0"/>
                    <w:ind w:left="0" w:leftChars="0" w:right="0" w:rightChars="0"/>
                    <w:jc w:val="center"/>
                    <w:rPr>
                      <w:rFonts w:hint="default"/>
                      <w:color w:val="auto"/>
                      <w:szCs w:val="21"/>
                      <w:highlight w:val="none"/>
                    </w:rPr>
                  </w:pPr>
                  <w:r>
                    <w:rPr>
                      <w:rFonts w:hint="default"/>
                      <w:color w:val="auto"/>
                      <w:sz w:val="21"/>
                      <w:szCs w:val="21"/>
                      <w:highlight w:val="none"/>
                    </w:rPr>
                    <w:t>114°31′50.808″</w:t>
                  </w:r>
                </w:p>
              </w:tc>
              <w:tc>
                <w:tcPr>
                  <w:tcW w:w="616" w:type="pct"/>
                  <w:vMerge w:val="restart"/>
                  <w:vAlign w:val="center"/>
                </w:tcPr>
                <w:p w14:paraId="51493537">
                  <w:pPr>
                    <w:keepNext w:val="0"/>
                    <w:keepLines w:val="0"/>
                    <w:suppressLineNumbers w:val="0"/>
                    <w:spacing w:before="0" w:beforeAutospacing="0" w:after="0" w:afterAutospacing="0"/>
                    <w:ind w:left="0" w:leftChars="0" w:right="0" w:rightChars="0"/>
                    <w:jc w:val="center"/>
                    <w:rPr>
                      <w:rFonts w:hint="default"/>
                      <w:color w:val="auto"/>
                      <w:szCs w:val="21"/>
                      <w:highlight w:val="none"/>
                    </w:rPr>
                  </w:pPr>
                  <w:r>
                    <w:rPr>
                      <w:rFonts w:hint="default"/>
                      <w:color w:val="auto"/>
                      <w:sz w:val="21"/>
                      <w:szCs w:val="21"/>
                      <w:highlight w:val="none"/>
                    </w:rPr>
                    <w:t>37°55′11.208″</w:t>
                  </w:r>
                </w:p>
              </w:tc>
              <w:tc>
                <w:tcPr>
                  <w:tcW w:w="519" w:type="pct"/>
                  <w:shd w:val="clear" w:color="auto" w:fill="auto"/>
                  <w:vAlign w:val="center"/>
                </w:tcPr>
                <w:p w14:paraId="008B5C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非甲烷总烃</w:t>
                  </w:r>
                </w:p>
              </w:tc>
              <w:tc>
                <w:tcPr>
                  <w:tcW w:w="446" w:type="pct"/>
                  <w:vAlign w:val="center"/>
                </w:tcPr>
                <w:p w14:paraId="7D70BB3C">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1h平均</w:t>
                  </w:r>
                </w:p>
              </w:tc>
              <w:tc>
                <w:tcPr>
                  <w:tcW w:w="637" w:type="pct"/>
                  <w:vAlign w:val="center"/>
                </w:tcPr>
                <w:p w14:paraId="68CBD612">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2000</w:t>
                  </w:r>
                </w:p>
              </w:tc>
              <w:tc>
                <w:tcPr>
                  <w:tcW w:w="637" w:type="pct"/>
                  <w:vAlign w:val="center"/>
                </w:tcPr>
                <w:p w14:paraId="6EE05DDB">
                  <w:pPr>
                    <w:keepNext w:val="0"/>
                    <w:keepLines w:val="0"/>
                    <w:suppressLineNumbers w:val="0"/>
                    <w:adjustRightInd w:val="0"/>
                    <w:snapToGrid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710-970</w:t>
                  </w:r>
                </w:p>
              </w:tc>
              <w:tc>
                <w:tcPr>
                  <w:tcW w:w="360" w:type="pct"/>
                  <w:vAlign w:val="center"/>
                </w:tcPr>
                <w:p w14:paraId="307D9B4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0.485</w:t>
                  </w:r>
                </w:p>
              </w:tc>
              <w:tc>
                <w:tcPr>
                  <w:tcW w:w="283" w:type="pct"/>
                  <w:vAlign w:val="center"/>
                </w:tcPr>
                <w:p w14:paraId="5DBB1BC1">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0</w:t>
                  </w:r>
                </w:p>
              </w:tc>
              <w:tc>
                <w:tcPr>
                  <w:tcW w:w="275" w:type="pct"/>
                  <w:vAlign w:val="center"/>
                </w:tcPr>
                <w:p w14:paraId="6E24ABF4">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达标</w:t>
                  </w:r>
                </w:p>
              </w:tc>
            </w:tr>
            <w:tr w14:paraId="5C3B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vAlign w:val="center"/>
                </w:tcPr>
                <w:p w14:paraId="3941706A">
                  <w:pPr>
                    <w:pStyle w:val="67"/>
                    <w:keepNext w:val="0"/>
                    <w:keepLines w:val="0"/>
                    <w:suppressLineNumbers w:val="0"/>
                    <w:spacing w:before="0" w:beforeAutospacing="0" w:after="0" w:afterAutospacing="0"/>
                    <w:ind w:left="0" w:right="0"/>
                    <w:rPr>
                      <w:rFonts w:hint="eastAsia"/>
                      <w:color w:val="auto"/>
                      <w:highlight w:val="none"/>
                    </w:rPr>
                  </w:pPr>
                </w:p>
              </w:tc>
              <w:tc>
                <w:tcPr>
                  <w:tcW w:w="656" w:type="pct"/>
                  <w:vMerge w:val="continue"/>
                  <w:vAlign w:val="center"/>
                </w:tcPr>
                <w:p w14:paraId="6F6B9F36">
                  <w:pPr>
                    <w:pStyle w:val="67"/>
                    <w:keepNext w:val="0"/>
                    <w:keepLines w:val="0"/>
                    <w:suppressLineNumbers w:val="0"/>
                    <w:spacing w:before="0" w:beforeAutospacing="0" w:after="0" w:afterAutospacing="0"/>
                    <w:ind w:left="0" w:right="0"/>
                    <w:rPr>
                      <w:rFonts w:hint="default"/>
                      <w:color w:val="auto"/>
                      <w:szCs w:val="21"/>
                      <w:highlight w:val="none"/>
                    </w:rPr>
                  </w:pPr>
                </w:p>
              </w:tc>
              <w:tc>
                <w:tcPr>
                  <w:tcW w:w="616" w:type="pct"/>
                  <w:vMerge w:val="continue"/>
                  <w:vAlign w:val="center"/>
                </w:tcPr>
                <w:p w14:paraId="1DD22AB0">
                  <w:pPr>
                    <w:pStyle w:val="67"/>
                    <w:keepNext w:val="0"/>
                    <w:keepLines w:val="0"/>
                    <w:suppressLineNumbers w:val="0"/>
                    <w:spacing w:before="0" w:beforeAutospacing="0" w:after="0" w:afterAutospacing="0"/>
                    <w:ind w:left="0" w:right="0"/>
                    <w:rPr>
                      <w:rFonts w:hint="default"/>
                      <w:color w:val="auto"/>
                      <w:szCs w:val="21"/>
                      <w:highlight w:val="none"/>
                    </w:rPr>
                  </w:pPr>
                </w:p>
              </w:tc>
              <w:tc>
                <w:tcPr>
                  <w:tcW w:w="519" w:type="pct"/>
                  <w:shd w:val="clear" w:color="auto" w:fill="auto"/>
                  <w:vAlign w:val="center"/>
                </w:tcPr>
                <w:p w14:paraId="01A44D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TSP</w:t>
                  </w:r>
                </w:p>
              </w:tc>
              <w:tc>
                <w:tcPr>
                  <w:tcW w:w="446" w:type="pct"/>
                  <w:vAlign w:val="center"/>
                </w:tcPr>
                <w:p w14:paraId="0A5E6574">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日均值</w:t>
                  </w:r>
                </w:p>
              </w:tc>
              <w:tc>
                <w:tcPr>
                  <w:tcW w:w="637" w:type="pct"/>
                  <w:vAlign w:val="center"/>
                </w:tcPr>
                <w:p w14:paraId="1B2FE4D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637" w:type="pct"/>
                  <w:vAlign w:val="center"/>
                </w:tcPr>
                <w:p w14:paraId="55508DD0">
                  <w:pPr>
                    <w:keepNext w:val="0"/>
                    <w:keepLines w:val="0"/>
                    <w:suppressLineNumbers w:val="0"/>
                    <w:adjustRightInd w:val="0"/>
                    <w:snapToGrid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152-221</w:t>
                  </w:r>
                </w:p>
              </w:tc>
              <w:tc>
                <w:tcPr>
                  <w:tcW w:w="360" w:type="pct"/>
                  <w:vAlign w:val="center"/>
                </w:tcPr>
                <w:p w14:paraId="045B27B7">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0.737</w:t>
                  </w:r>
                </w:p>
              </w:tc>
              <w:tc>
                <w:tcPr>
                  <w:tcW w:w="283" w:type="pct"/>
                  <w:vAlign w:val="center"/>
                </w:tcPr>
                <w:p w14:paraId="64955E03">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0</w:t>
                  </w:r>
                </w:p>
              </w:tc>
              <w:tc>
                <w:tcPr>
                  <w:tcW w:w="275" w:type="pct"/>
                  <w:vAlign w:val="center"/>
                </w:tcPr>
                <w:p w14:paraId="63B007F4">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达标</w:t>
                  </w:r>
                </w:p>
              </w:tc>
            </w:tr>
            <w:tr w14:paraId="58C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vAlign w:val="center"/>
                </w:tcPr>
                <w:p w14:paraId="228FBB62">
                  <w:pPr>
                    <w:pStyle w:val="67"/>
                    <w:keepNext w:val="0"/>
                    <w:keepLines w:val="0"/>
                    <w:suppressLineNumbers w:val="0"/>
                    <w:spacing w:before="0" w:beforeAutospacing="0" w:after="0" w:afterAutospacing="0"/>
                    <w:ind w:left="0" w:right="0"/>
                    <w:rPr>
                      <w:rFonts w:hint="eastAsia"/>
                      <w:color w:val="auto"/>
                      <w:highlight w:val="none"/>
                    </w:rPr>
                  </w:pPr>
                </w:p>
              </w:tc>
              <w:tc>
                <w:tcPr>
                  <w:tcW w:w="656" w:type="pct"/>
                  <w:vMerge w:val="continue"/>
                  <w:vAlign w:val="center"/>
                </w:tcPr>
                <w:p w14:paraId="1768EC30">
                  <w:pPr>
                    <w:pStyle w:val="67"/>
                    <w:keepNext w:val="0"/>
                    <w:keepLines w:val="0"/>
                    <w:suppressLineNumbers w:val="0"/>
                    <w:spacing w:before="0" w:beforeAutospacing="0" w:after="0" w:afterAutospacing="0"/>
                    <w:ind w:left="0" w:right="0"/>
                    <w:rPr>
                      <w:rFonts w:hint="default"/>
                      <w:color w:val="auto"/>
                      <w:szCs w:val="21"/>
                      <w:highlight w:val="none"/>
                    </w:rPr>
                  </w:pPr>
                </w:p>
              </w:tc>
              <w:tc>
                <w:tcPr>
                  <w:tcW w:w="616" w:type="pct"/>
                  <w:vMerge w:val="continue"/>
                  <w:vAlign w:val="center"/>
                </w:tcPr>
                <w:p w14:paraId="2C601245">
                  <w:pPr>
                    <w:pStyle w:val="67"/>
                    <w:keepNext w:val="0"/>
                    <w:keepLines w:val="0"/>
                    <w:suppressLineNumbers w:val="0"/>
                    <w:spacing w:before="0" w:beforeAutospacing="0" w:after="0" w:afterAutospacing="0"/>
                    <w:ind w:left="0" w:right="0"/>
                    <w:rPr>
                      <w:rFonts w:hint="default"/>
                      <w:color w:val="auto"/>
                      <w:szCs w:val="21"/>
                      <w:highlight w:val="none"/>
                    </w:rPr>
                  </w:pPr>
                </w:p>
              </w:tc>
              <w:tc>
                <w:tcPr>
                  <w:tcW w:w="519" w:type="pct"/>
                  <w:shd w:val="clear" w:color="auto" w:fill="auto"/>
                  <w:vAlign w:val="center"/>
                </w:tcPr>
                <w:p w14:paraId="2047C2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氨</w:t>
                  </w:r>
                </w:p>
              </w:tc>
              <w:tc>
                <w:tcPr>
                  <w:tcW w:w="446" w:type="pct"/>
                  <w:vAlign w:val="center"/>
                </w:tcPr>
                <w:p w14:paraId="01D116B3">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1h平均</w:t>
                  </w:r>
                </w:p>
              </w:tc>
              <w:tc>
                <w:tcPr>
                  <w:tcW w:w="637" w:type="pct"/>
                  <w:vAlign w:val="center"/>
                </w:tcPr>
                <w:p w14:paraId="26981356">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200</w:t>
                  </w:r>
                </w:p>
              </w:tc>
              <w:tc>
                <w:tcPr>
                  <w:tcW w:w="637" w:type="pct"/>
                  <w:vAlign w:val="center"/>
                </w:tcPr>
                <w:p w14:paraId="2725148E">
                  <w:pPr>
                    <w:keepNext w:val="0"/>
                    <w:keepLines w:val="0"/>
                    <w:suppressLineNumbers w:val="0"/>
                    <w:adjustRightInd w:val="0"/>
                    <w:snapToGrid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0.02-0.06</w:t>
                  </w:r>
                </w:p>
              </w:tc>
              <w:tc>
                <w:tcPr>
                  <w:tcW w:w="360" w:type="pct"/>
                  <w:vAlign w:val="center"/>
                </w:tcPr>
                <w:p w14:paraId="48BBDFE8">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0.0003</w:t>
                  </w:r>
                </w:p>
              </w:tc>
              <w:tc>
                <w:tcPr>
                  <w:tcW w:w="283" w:type="pct"/>
                  <w:vAlign w:val="center"/>
                </w:tcPr>
                <w:p w14:paraId="446BBEB7">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0</w:t>
                  </w:r>
                </w:p>
              </w:tc>
              <w:tc>
                <w:tcPr>
                  <w:tcW w:w="275" w:type="pct"/>
                  <w:vAlign w:val="center"/>
                </w:tcPr>
                <w:p w14:paraId="48DCCABB">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达标</w:t>
                  </w:r>
                </w:p>
              </w:tc>
            </w:tr>
            <w:tr w14:paraId="3C21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vAlign w:val="center"/>
                </w:tcPr>
                <w:p w14:paraId="0FB0D3BD">
                  <w:pPr>
                    <w:pStyle w:val="67"/>
                    <w:keepNext w:val="0"/>
                    <w:keepLines w:val="0"/>
                    <w:suppressLineNumbers w:val="0"/>
                    <w:spacing w:before="0" w:beforeAutospacing="0" w:after="0" w:afterAutospacing="0"/>
                    <w:ind w:left="0" w:right="0"/>
                    <w:rPr>
                      <w:rFonts w:hint="eastAsia"/>
                      <w:color w:val="auto"/>
                      <w:highlight w:val="none"/>
                    </w:rPr>
                  </w:pPr>
                </w:p>
              </w:tc>
              <w:tc>
                <w:tcPr>
                  <w:tcW w:w="656" w:type="pct"/>
                  <w:vMerge w:val="continue"/>
                  <w:vAlign w:val="center"/>
                </w:tcPr>
                <w:p w14:paraId="375D5F7E">
                  <w:pPr>
                    <w:pStyle w:val="67"/>
                    <w:keepNext w:val="0"/>
                    <w:keepLines w:val="0"/>
                    <w:suppressLineNumbers w:val="0"/>
                    <w:spacing w:before="0" w:beforeAutospacing="0" w:after="0" w:afterAutospacing="0"/>
                    <w:ind w:left="0" w:right="0"/>
                    <w:rPr>
                      <w:rFonts w:hint="default"/>
                      <w:color w:val="auto"/>
                      <w:szCs w:val="21"/>
                      <w:highlight w:val="none"/>
                    </w:rPr>
                  </w:pPr>
                </w:p>
              </w:tc>
              <w:tc>
                <w:tcPr>
                  <w:tcW w:w="616" w:type="pct"/>
                  <w:vMerge w:val="continue"/>
                  <w:vAlign w:val="center"/>
                </w:tcPr>
                <w:p w14:paraId="3F9BB4A6">
                  <w:pPr>
                    <w:pStyle w:val="67"/>
                    <w:keepNext w:val="0"/>
                    <w:keepLines w:val="0"/>
                    <w:suppressLineNumbers w:val="0"/>
                    <w:spacing w:before="0" w:beforeAutospacing="0" w:after="0" w:afterAutospacing="0"/>
                    <w:ind w:left="0" w:right="0"/>
                    <w:rPr>
                      <w:rFonts w:hint="default"/>
                      <w:color w:val="auto"/>
                      <w:szCs w:val="21"/>
                      <w:highlight w:val="none"/>
                    </w:rPr>
                  </w:pPr>
                </w:p>
              </w:tc>
              <w:tc>
                <w:tcPr>
                  <w:tcW w:w="519" w:type="pct"/>
                  <w:shd w:val="clear" w:color="auto" w:fill="auto"/>
                  <w:vAlign w:val="center"/>
                </w:tcPr>
                <w:p w14:paraId="56309F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臭气浓度</w:t>
                  </w:r>
                </w:p>
              </w:tc>
              <w:tc>
                <w:tcPr>
                  <w:tcW w:w="446" w:type="pct"/>
                  <w:vAlign w:val="center"/>
                </w:tcPr>
                <w:p w14:paraId="734DF1C7">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1次平均浓度</w:t>
                  </w:r>
                </w:p>
              </w:tc>
              <w:tc>
                <w:tcPr>
                  <w:tcW w:w="637" w:type="pct"/>
                  <w:vAlign w:val="center"/>
                </w:tcPr>
                <w:p w14:paraId="3CBB0599">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637" w:type="pct"/>
                  <w:vAlign w:val="center"/>
                </w:tcPr>
                <w:p w14:paraId="5D3C582E">
                  <w:pPr>
                    <w:keepNext w:val="0"/>
                    <w:keepLines w:val="0"/>
                    <w:suppressLineNumbers w:val="0"/>
                    <w:adjustRightInd w:val="0"/>
                    <w:snapToGrid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＜10</w:t>
                  </w:r>
                </w:p>
              </w:tc>
              <w:tc>
                <w:tcPr>
                  <w:tcW w:w="360" w:type="pct"/>
                  <w:vAlign w:val="center"/>
                </w:tcPr>
                <w:p w14:paraId="480E6B35">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w:t>
                  </w:r>
                </w:p>
              </w:tc>
              <w:tc>
                <w:tcPr>
                  <w:tcW w:w="283" w:type="pct"/>
                  <w:vAlign w:val="center"/>
                </w:tcPr>
                <w:p w14:paraId="6FC0AF45">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75" w:type="pct"/>
                  <w:vAlign w:val="center"/>
                </w:tcPr>
                <w:p w14:paraId="14A4AC9B">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bl>
          <w:p w14:paraId="061FD181">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default"/>
                <w:color w:val="auto"/>
                <w:sz w:val="24"/>
                <w:szCs w:val="20"/>
                <w:highlight w:val="none"/>
              </w:rPr>
              <w:t>由上表可知，本项目TSP的24小时平均浓度满足《环境空气质量标准》(GB3095-2012)表2二级标准，非甲烷总烃的1小时平均浓度满足《环境空气质量 非甲烷总烃限值》(DB13/1577-2012)表1二级标准</w:t>
            </w:r>
            <w:r>
              <w:rPr>
                <w:rFonts w:hint="eastAsia"/>
                <w:color w:val="auto"/>
                <w:sz w:val="24"/>
                <w:szCs w:val="20"/>
                <w:highlight w:val="none"/>
                <w:lang w:eastAsia="zh-CN"/>
              </w:rPr>
              <w:t>，</w:t>
            </w:r>
            <w:r>
              <w:rPr>
                <w:rFonts w:hint="default"/>
                <w:color w:val="auto"/>
                <w:sz w:val="24"/>
                <w:szCs w:val="20"/>
                <w:highlight w:val="none"/>
              </w:rPr>
              <w:t>氨的1小时平均浓度满足《环境影响评价技术导则 大气环境》(HJ2.2-2018)附录D表D.1中1h平均值</w:t>
            </w:r>
            <w:r>
              <w:rPr>
                <w:rFonts w:hint="eastAsia"/>
                <w:bCs/>
                <w:color w:val="auto"/>
                <w:sz w:val="24"/>
                <w:szCs w:val="20"/>
                <w:highlight w:val="none"/>
              </w:rPr>
              <w:t>。</w:t>
            </w:r>
          </w:p>
          <w:p w14:paraId="4A087DE7">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2、水环境</w:t>
            </w:r>
          </w:p>
          <w:p w14:paraId="4428E20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项目</w:t>
            </w:r>
            <w:r>
              <w:rPr>
                <w:rFonts w:hint="default" w:ascii="Times New Roman" w:hAnsi="Times New Roman" w:cs="Times New Roman"/>
                <w:smallCaps w:val="0"/>
                <w:color w:val="auto"/>
                <w:spacing w:val="0"/>
                <w:highlight w:val="none"/>
                <w:lang w:val="en-US" w:eastAsia="zh-CN"/>
              </w:rPr>
              <w:t>所在区域附近无地表水体，项目距离最近的水体为</w:t>
            </w:r>
            <w:r>
              <w:rPr>
                <w:rFonts w:hint="eastAsia" w:cs="Times New Roman"/>
                <w:smallCaps w:val="0"/>
                <w:color w:val="auto"/>
                <w:spacing w:val="0"/>
                <w:highlight w:val="none"/>
                <w:lang w:val="en-US" w:eastAsia="zh-CN"/>
              </w:rPr>
              <w:t>西南侧约345m的洨河</w:t>
            </w:r>
            <w:r>
              <w:rPr>
                <w:rFonts w:hint="default" w:ascii="Times New Roman" w:hAnsi="Times New Roman" w:cs="Times New Roman"/>
                <w:smallCaps w:val="0"/>
                <w:color w:val="auto"/>
                <w:spacing w:val="0"/>
                <w:highlight w:val="none"/>
                <w:lang w:val="en-US" w:eastAsia="zh-CN"/>
              </w:rPr>
              <w:t>，根据石家庄市生态环境局</w:t>
            </w:r>
            <w:r>
              <w:rPr>
                <w:rFonts w:hint="eastAsia" w:cs="Times New Roman"/>
                <w:smallCaps w:val="0"/>
                <w:color w:val="auto"/>
                <w:spacing w:val="0"/>
                <w:highlight w:val="none"/>
                <w:lang w:val="en-US" w:eastAsia="zh-CN"/>
              </w:rPr>
              <w:t>2025年6月</w:t>
            </w:r>
            <w:r>
              <w:rPr>
                <w:rFonts w:hint="default" w:ascii="Times New Roman" w:hAnsi="Times New Roman" w:cs="Times New Roman"/>
                <w:smallCaps w:val="0"/>
                <w:color w:val="auto"/>
                <w:spacing w:val="0"/>
                <w:highlight w:val="none"/>
                <w:lang w:val="en-US" w:eastAsia="zh-CN"/>
              </w:rPr>
              <w:t>发布的《</w:t>
            </w:r>
            <w:r>
              <w:rPr>
                <w:rFonts w:hint="eastAsia" w:cs="Times New Roman"/>
                <w:smallCaps w:val="0"/>
                <w:color w:val="auto"/>
                <w:spacing w:val="0"/>
                <w:highlight w:val="none"/>
                <w:lang w:val="en-US" w:eastAsia="zh-CN"/>
              </w:rPr>
              <w:t>石家庄市生态环境状况公报（2024年）</w:t>
            </w:r>
            <w:r>
              <w:rPr>
                <w:rFonts w:hint="default" w:ascii="Times New Roman" w:hAnsi="Times New Roman" w:cs="Times New Roman"/>
                <w:smallCaps w:val="0"/>
                <w:color w:val="auto"/>
                <w:spacing w:val="0"/>
                <w:highlight w:val="none"/>
                <w:lang w:val="en-US" w:eastAsia="zh-CN"/>
              </w:rPr>
              <w:t>》洨河水质状况</w:t>
            </w:r>
            <w:r>
              <w:rPr>
                <w:rFonts w:hint="eastAsia" w:cs="Times New Roman"/>
                <w:smallCaps w:val="0"/>
                <w:color w:val="auto"/>
                <w:spacing w:val="0"/>
                <w:highlight w:val="none"/>
                <w:lang w:val="en-US" w:eastAsia="zh-CN"/>
              </w:rPr>
              <w:t>为</w:t>
            </w:r>
            <w:r>
              <w:rPr>
                <w:rFonts w:hint="default" w:ascii="Times New Roman" w:hAnsi="Times New Roman" w:cs="Times New Roman"/>
                <w:smallCaps w:val="0"/>
                <w:color w:val="auto"/>
                <w:spacing w:val="0"/>
                <w:highlight w:val="none"/>
                <w:lang w:val="en-US" w:eastAsia="zh-CN"/>
              </w:rPr>
              <w:t>轻度污染。</w:t>
            </w:r>
          </w:p>
          <w:p w14:paraId="4A7F1C6A">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3、声环境</w:t>
            </w:r>
          </w:p>
          <w:p w14:paraId="5730842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20"/>
                <w:highlight w:val="none"/>
              </w:rPr>
            </w:pPr>
            <w:r>
              <w:rPr>
                <w:rFonts w:hint="default" w:ascii="Times New Roman" w:hAnsi="Times New Roman" w:cs="Times New Roman"/>
                <w:smallCaps w:val="0"/>
                <w:color w:val="auto"/>
                <w:spacing w:val="0"/>
                <w:szCs w:val="20"/>
                <w:highlight w:val="none"/>
              </w:rPr>
              <w:t>项目厂界外周边50米范围内不存在声环境保护目标。</w:t>
            </w:r>
          </w:p>
          <w:p w14:paraId="5EF9B290">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4、生态环境</w:t>
            </w:r>
          </w:p>
          <w:p w14:paraId="16D8321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lang w:val="en-US" w:eastAsia="zh-CN"/>
              </w:rPr>
              <w:t>项目</w:t>
            </w:r>
            <w:r>
              <w:rPr>
                <w:rFonts w:hint="eastAsia" w:cs="Times New Roman"/>
                <w:smallCaps w:val="0"/>
                <w:color w:val="auto"/>
                <w:spacing w:val="0"/>
                <w:highlight w:val="none"/>
                <w:lang w:val="en-US" w:eastAsia="zh-CN"/>
              </w:rPr>
              <w:t>租赁现有厂房进行汽车塑料配件生产</w:t>
            </w:r>
            <w:r>
              <w:rPr>
                <w:rFonts w:hint="default" w:ascii="Times New Roman" w:hAnsi="Times New Roman" w:cs="Times New Roman"/>
                <w:smallCaps w:val="0"/>
                <w:color w:val="auto"/>
                <w:spacing w:val="0"/>
                <w:highlight w:val="none"/>
                <w:lang w:val="en-US" w:eastAsia="zh-CN"/>
              </w:rPr>
              <w:t>，用地性质为工业用地，用地范围内不含有生态环境保护目标，无需进行生态现状调查</w:t>
            </w:r>
            <w:r>
              <w:rPr>
                <w:rFonts w:hint="default" w:ascii="Times New Roman" w:hAnsi="Times New Roman" w:cs="Times New Roman"/>
                <w:smallCaps w:val="0"/>
                <w:color w:val="auto"/>
                <w:spacing w:val="0"/>
                <w:highlight w:val="none"/>
              </w:rPr>
              <w:t>。</w:t>
            </w:r>
          </w:p>
          <w:p w14:paraId="737B2DF6">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5、电磁辐射</w:t>
            </w:r>
          </w:p>
          <w:p w14:paraId="2833F21E">
            <w:pPr>
              <w:keepNext w:val="0"/>
              <w:keepLines w:val="0"/>
              <w:widowControl/>
              <w:suppressLineNumbers w:val="0"/>
              <w:spacing w:before="0" w:beforeAutospacing="0" w:after="0" w:afterAutospacing="0" w:line="500" w:lineRule="exact"/>
              <w:ind w:left="0" w:right="0" w:firstLine="480" w:firstLineChars="200"/>
              <w:rPr>
                <w:rFonts w:hint="default" w:ascii="Times New Roman" w:hAnsi="Times New Roman" w:cs="Times New Roman"/>
                <w:smallCaps w:val="0"/>
                <w:color w:val="auto"/>
                <w:spacing w:val="0"/>
                <w:sz w:val="24"/>
                <w:szCs w:val="20"/>
                <w:highlight w:val="none"/>
              </w:rPr>
            </w:pPr>
            <w:r>
              <w:rPr>
                <w:rFonts w:hint="default" w:ascii="Times New Roman" w:hAnsi="Times New Roman" w:cs="Times New Roman"/>
                <w:smallCaps w:val="0"/>
                <w:color w:val="auto"/>
                <w:spacing w:val="0"/>
                <w:sz w:val="24"/>
                <w:szCs w:val="20"/>
                <w:highlight w:val="none"/>
              </w:rPr>
              <w:t>不涉及。</w:t>
            </w:r>
          </w:p>
          <w:p w14:paraId="0749944D">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6、地下水、土壤环境质量现状</w:t>
            </w:r>
          </w:p>
          <w:p w14:paraId="6D0042E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建设项目</w:t>
            </w:r>
            <w:r>
              <w:rPr>
                <w:rFonts w:hint="eastAsia" w:cs="Times New Roman"/>
                <w:smallCaps w:val="0"/>
                <w:color w:val="auto"/>
                <w:spacing w:val="0"/>
                <w:highlight w:val="none"/>
                <w:lang w:val="en-US" w:eastAsia="zh-CN"/>
              </w:rPr>
              <w:t>在落实好分区防渗措施后可有效切断对</w:t>
            </w:r>
            <w:r>
              <w:rPr>
                <w:rFonts w:hint="default" w:ascii="Times New Roman" w:hAnsi="Times New Roman" w:cs="Times New Roman"/>
                <w:smallCaps w:val="0"/>
                <w:color w:val="auto"/>
                <w:spacing w:val="0"/>
                <w:highlight w:val="none"/>
              </w:rPr>
              <w:t>地下水、土壤环境污染</w:t>
            </w:r>
            <w:r>
              <w:rPr>
                <w:rFonts w:hint="eastAsia" w:cs="Times New Roman"/>
                <w:smallCaps w:val="0"/>
                <w:color w:val="auto"/>
                <w:spacing w:val="0"/>
                <w:highlight w:val="none"/>
                <w:lang w:val="en-US" w:eastAsia="zh-CN"/>
              </w:rPr>
              <w:t>途径</w:t>
            </w:r>
            <w:r>
              <w:rPr>
                <w:rFonts w:hint="default" w:ascii="Times New Roman" w:hAnsi="Times New Roman" w:cs="Times New Roman"/>
                <w:smallCaps w:val="0"/>
                <w:color w:val="auto"/>
                <w:spacing w:val="0"/>
                <w:highlight w:val="none"/>
              </w:rPr>
              <w:t>，原则上不开展环境质量现状调查</w:t>
            </w:r>
            <w:r>
              <w:rPr>
                <w:rFonts w:hint="eastAsia" w:cs="Times New Roman"/>
                <w:smallCaps w:val="0"/>
                <w:color w:val="auto"/>
                <w:spacing w:val="0"/>
                <w:highlight w:val="none"/>
                <w:lang w:eastAsia="zh-CN"/>
              </w:rPr>
              <w:t>。</w:t>
            </w:r>
          </w:p>
        </w:tc>
      </w:tr>
      <w:tr w14:paraId="18F1B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2" w:type="pct"/>
            <w:vAlign w:val="center"/>
          </w:tcPr>
          <w:p w14:paraId="7FD7A3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环境</w:t>
            </w:r>
          </w:p>
          <w:p w14:paraId="2187F2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保护</w:t>
            </w:r>
          </w:p>
          <w:p w14:paraId="52A92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 w:val="24"/>
                <w:szCs w:val="21"/>
                <w:highlight w:val="none"/>
              </w:rPr>
              <w:t>目标</w:t>
            </w:r>
          </w:p>
        </w:tc>
        <w:tc>
          <w:tcPr>
            <w:tcW w:w="4627" w:type="pct"/>
            <w:vAlign w:val="center"/>
          </w:tcPr>
          <w:p w14:paraId="2577A8EA">
            <w:pPr>
              <w:pStyle w:val="172"/>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1、大气环境</w:t>
            </w:r>
          </w:p>
          <w:p w14:paraId="56646EF0">
            <w:pPr>
              <w:pStyle w:val="172"/>
              <w:keepNext w:val="0"/>
              <w:keepLines w:val="0"/>
              <w:suppressLineNumbers w:val="0"/>
              <w:spacing w:before="0" w:beforeAutospacing="0" w:after="0" w:afterAutospacing="0"/>
              <w:ind w:left="0" w:right="0" w:firstLine="480"/>
              <w:rPr>
                <w:rFonts w:hint="eastAsia"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厂界外500米范围内</w:t>
            </w:r>
            <w:r>
              <w:rPr>
                <w:rFonts w:hint="eastAsia" w:cs="Times New Roman"/>
                <w:smallCaps w:val="0"/>
                <w:color w:val="auto"/>
                <w:spacing w:val="0"/>
                <w:highlight w:val="none"/>
                <w:lang w:val="en-US" w:eastAsia="zh-CN"/>
              </w:rPr>
              <w:t>不存在大气</w:t>
            </w:r>
            <w:r>
              <w:rPr>
                <w:rFonts w:hint="default" w:ascii="Times New Roman" w:hAnsi="Times New Roman" w:cs="Times New Roman"/>
                <w:smallCaps w:val="0"/>
                <w:color w:val="auto"/>
                <w:spacing w:val="0"/>
                <w:highlight w:val="none"/>
              </w:rPr>
              <w:t>环境保护目标</w:t>
            </w:r>
            <w:r>
              <w:rPr>
                <w:rFonts w:hint="eastAsia" w:cs="Times New Roman"/>
                <w:smallCaps w:val="0"/>
                <w:color w:val="auto"/>
                <w:spacing w:val="0"/>
                <w:highlight w:val="none"/>
                <w:lang w:eastAsia="zh-CN"/>
              </w:rPr>
              <w:t>。</w:t>
            </w:r>
          </w:p>
          <w:p w14:paraId="5E1E8EE5">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2、声环境</w:t>
            </w:r>
          </w:p>
          <w:p w14:paraId="4668E0E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项目厂界外50m范围内</w:t>
            </w:r>
            <w:r>
              <w:rPr>
                <w:rFonts w:hint="default" w:ascii="Times New Roman" w:hAnsi="Times New Roman" w:cs="Times New Roman"/>
                <w:smallCaps w:val="0"/>
                <w:color w:val="auto"/>
                <w:spacing w:val="0"/>
                <w:highlight w:val="none"/>
                <w:lang w:val="en-US" w:eastAsia="zh-CN"/>
              </w:rPr>
              <w:t>不</w:t>
            </w:r>
            <w:r>
              <w:rPr>
                <w:rFonts w:hint="default" w:ascii="Times New Roman" w:hAnsi="Times New Roman" w:cs="Times New Roman"/>
                <w:smallCaps w:val="0"/>
                <w:color w:val="auto"/>
                <w:spacing w:val="0"/>
                <w:highlight w:val="none"/>
              </w:rPr>
              <w:t>存在声环境保护目标。</w:t>
            </w:r>
          </w:p>
          <w:p w14:paraId="1AF5C4BC">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3、地下水环境</w:t>
            </w:r>
          </w:p>
          <w:p w14:paraId="0CA6AB3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szCs w:val="32"/>
                <w:highlight w:val="none"/>
              </w:rPr>
              <w:t>根据项目性质及周围环境特征</w:t>
            </w:r>
            <w:r>
              <w:rPr>
                <w:rFonts w:hint="default" w:ascii="Times New Roman" w:hAnsi="Times New Roman" w:cs="Times New Roman"/>
                <w:smallCaps w:val="0"/>
                <w:color w:val="auto"/>
                <w:spacing w:val="0"/>
                <w:szCs w:val="32"/>
                <w:highlight w:val="none"/>
                <w:lang w:eastAsia="zh-CN"/>
              </w:rPr>
              <w:t>，</w:t>
            </w:r>
            <w:r>
              <w:rPr>
                <w:rFonts w:hint="default" w:ascii="Times New Roman" w:hAnsi="Times New Roman" w:cs="Times New Roman"/>
                <w:smallCaps w:val="0"/>
                <w:color w:val="auto"/>
                <w:spacing w:val="0"/>
                <w:szCs w:val="32"/>
                <w:highlight w:val="none"/>
              </w:rPr>
              <w:t>本项目周边500m范围内无地下水集中式饮用水水源和热水、矿泉水、温泉等特殊地下水</w:t>
            </w:r>
            <w:r>
              <w:rPr>
                <w:rFonts w:hint="eastAsia" w:cs="Times New Roman"/>
                <w:smallCaps w:val="0"/>
                <w:color w:val="auto"/>
                <w:spacing w:val="0"/>
                <w:szCs w:val="32"/>
                <w:highlight w:val="none"/>
                <w:lang w:val="en-US" w:eastAsia="zh-CN"/>
              </w:rPr>
              <w:t>资源</w:t>
            </w:r>
            <w:r>
              <w:rPr>
                <w:rFonts w:hint="default" w:ascii="Times New Roman" w:hAnsi="Times New Roman" w:cs="Times New Roman"/>
                <w:smallCaps w:val="0"/>
                <w:color w:val="auto"/>
                <w:spacing w:val="0"/>
                <w:szCs w:val="32"/>
                <w:highlight w:val="none"/>
                <w:lang w:eastAsia="zh-CN"/>
              </w:rPr>
              <w:t>，</w:t>
            </w:r>
            <w:r>
              <w:rPr>
                <w:rFonts w:hint="default" w:ascii="Times New Roman" w:hAnsi="Times New Roman" w:cs="Times New Roman"/>
                <w:smallCaps w:val="0"/>
                <w:color w:val="auto"/>
                <w:spacing w:val="0"/>
                <w:szCs w:val="32"/>
                <w:highlight w:val="none"/>
              </w:rPr>
              <w:t>不存在地下水环境保护目标</w:t>
            </w:r>
            <w:r>
              <w:rPr>
                <w:rFonts w:hint="default" w:ascii="Times New Roman" w:hAnsi="Times New Roman" w:cs="Times New Roman"/>
                <w:smallCaps w:val="0"/>
                <w:color w:val="auto"/>
                <w:spacing w:val="0"/>
                <w:highlight w:val="none"/>
              </w:rPr>
              <w:t>。</w:t>
            </w:r>
          </w:p>
          <w:p w14:paraId="46841023">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4、生态环境</w:t>
            </w:r>
          </w:p>
          <w:p w14:paraId="25A5E62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项目周边无生态环境保护目标。</w:t>
            </w:r>
          </w:p>
        </w:tc>
      </w:tr>
      <w:tr w14:paraId="42128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72" w:type="pct"/>
            <w:tcMar>
              <w:left w:w="28" w:type="dxa"/>
              <w:right w:w="28" w:type="dxa"/>
            </w:tcMar>
            <w:vAlign w:val="center"/>
          </w:tcPr>
          <w:p w14:paraId="445C6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污染</w:t>
            </w:r>
          </w:p>
          <w:p w14:paraId="411F8D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物排</w:t>
            </w:r>
          </w:p>
          <w:p w14:paraId="68331D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放控</w:t>
            </w:r>
          </w:p>
          <w:p w14:paraId="7725E5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制标</w:t>
            </w:r>
          </w:p>
          <w:p w14:paraId="258695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 w:val="24"/>
                <w:szCs w:val="21"/>
                <w:highlight w:val="none"/>
              </w:rPr>
              <w:t>准</w:t>
            </w:r>
          </w:p>
        </w:tc>
        <w:tc>
          <w:tcPr>
            <w:tcW w:w="4627" w:type="pct"/>
            <w:vAlign w:val="center"/>
          </w:tcPr>
          <w:p w14:paraId="68211FCE">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eastAsia" w:cs="Times New Roman"/>
                <w:b/>
                <w:smallCaps w:val="0"/>
                <w:color w:val="auto"/>
                <w:spacing w:val="0"/>
                <w:highlight w:val="none"/>
                <w:lang w:val="en-US" w:eastAsia="zh-CN"/>
              </w:rPr>
              <w:t>1</w:t>
            </w:r>
            <w:r>
              <w:rPr>
                <w:rFonts w:hint="default" w:ascii="Times New Roman" w:hAnsi="Times New Roman" w:cs="Times New Roman"/>
                <w:b/>
                <w:smallCaps w:val="0"/>
                <w:color w:val="auto"/>
                <w:spacing w:val="0"/>
                <w:highlight w:val="none"/>
              </w:rPr>
              <w:t>、</w:t>
            </w:r>
            <w:r>
              <w:rPr>
                <w:rFonts w:hint="eastAsia" w:ascii="Times New Roman" w:hAnsi="Times New Roman" w:cs="Times New Roman"/>
                <w:b/>
                <w:smallCaps w:val="0"/>
                <w:color w:val="auto"/>
                <w:spacing w:val="0"/>
                <w:highlight w:val="none"/>
                <w:lang w:val="en-US" w:eastAsia="zh-CN"/>
              </w:rPr>
              <w:t>大气</w:t>
            </w:r>
            <w:r>
              <w:rPr>
                <w:rFonts w:hint="default" w:ascii="Times New Roman" w:hAnsi="Times New Roman" w:cs="Times New Roman"/>
                <w:b/>
                <w:smallCaps w:val="0"/>
                <w:color w:val="auto"/>
                <w:spacing w:val="0"/>
                <w:highlight w:val="none"/>
              </w:rPr>
              <w:t>污染执行标准</w:t>
            </w:r>
          </w:p>
          <w:p w14:paraId="59F5B797">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运营期：</w:t>
            </w:r>
            <w:r>
              <w:rPr>
                <w:rFonts w:hint="eastAsia" w:cs="Times New Roman"/>
                <w:smallCaps w:val="0"/>
                <w:color w:val="auto"/>
                <w:spacing w:val="0"/>
                <w:highlight w:val="none"/>
                <w:lang w:val="en-US" w:eastAsia="zh-CN"/>
              </w:rPr>
              <w:t>拆包、投料、烘干、注塑废气中非甲烷总烃</w:t>
            </w:r>
            <w:r>
              <w:rPr>
                <w:rFonts w:hint="default" w:ascii="Times New Roman" w:hAnsi="Times New Roman" w:cs="Times New Roman"/>
                <w:smallCaps w:val="0"/>
                <w:color w:val="auto"/>
                <w:spacing w:val="0"/>
                <w:highlight w:val="none"/>
              </w:rPr>
              <w:t>执行</w:t>
            </w:r>
            <w:r>
              <w:rPr>
                <w:rFonts w:hint="eastAsia" w:cs="Times New Roman"/>
                <w:smallCaps w:val="0"/>
                <w:color w:val="auto"/>
                <w:spacing w:val="0"/>
                <w:highlight w:val="none"/>
                <w:lang w:eastAsia="zh-CN"/>
              </w:rPr>
              <w:t>《工业企业挥发性有机物排放控制标准》（DB13/2322-2025）表1（塑料制品制造）标准；</w:t>
            </w:r>
            <w:r>
              <w:rPr>
                <w:rFonts w:hint="eastAsia" w:cs="Times New Roman"/>
                <w:smallCaps w:val="0"/>
                <w:color w:val="auto"/>
                <w:spacing w:val="0"/>
                <w:highlight w:val="none"/>
                <w:lang w:val="en-US" w:eastAsia="zh-CN"/>
              </w:rPr>
              <w:t>氨、颗粒物及单位产品非甲烷总烃排放量执行《合成树脂工业污染物排放标准》（GB31572-2015）（含2024年修改单）表5标准</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臭气浓度执行《恶臭污染物排放标准》（GB14554-93）表2标准；</w:t>
            </w:r>
          </w:p>
          <w:p w14:paraId="388D254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厂界无组织非甲烷总烃执行</w:t>
            </w:r>
            <w:r>
              <w:rPr>
                <w:rFonts w:hint="eastAsia" w:cs="Times New Roman"/>
                <w:smallCaps w:val="0"/>
                <w:color w:val="auto"/>
                <w:spacing w:val="0"/>
                <w:highlight w:val="none"/>
                <w:lang w:eastAsia="zh-CN"/>
              </w:rPr>
              <w:t>《工业企业挥发性有机物排放控制标准》（DB13/2322-20</w:t>
            </w:r>
            <w:r>
              <w:rPr>
                <w:rFonts w:hint="eastAsia" w:cs="Times New Roman"/>
                <w:smallCaps w:val="0"/>
                <w:color w:val="auto"/>
                <w:spacing w:val="0"/>
                <w:highlight w:val="none"/>
                <w:lang w:val="en-US" w:eastAsia="zh-CN"/>
              </w:rPr>
              <w:t>16</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表2标准；无组织颗粒物执行《合成树脂工业污染物排放标准》（GB31572-2015）（含2024年修改单）表9标准；氨、臭气浓度执行《恶臭污染物排放标准》（GB14554-93）表1二级新扩改建标准</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具体见下表。</w:t>
            </w:r>
          </w:p>
          <w:p w14:paraId="470A4551">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表3-</w:t>
            </w:r>
            <w:r>
              <w:rPr>
                <w:rFonts w:hint="eastAsia" w:cs="Times New Roman"/>
                <w:smallCaps w:val="0"/>
                <w:color w:val="auto"/>
                <w:spacing w:val="0"/>
                <w:highlight w:val="none"/>
                <w:lang w:val="en-US" w:eastAsia="zh-CN"/>
              </w:rPr>
              <w:t>5</w:t>
            </w:r>
            <w:r>
              <w:rPr>
                <w:rFonts w:hint="default" w:ascii="Times New Roman" w:hAnsi="Times New Roman" w:cs="Times New Roman"/>
                <w:smallCaps w:val="0"/>
                <w:color w:val="auto"/>
                <w:spacing w:val="0"/>
                <w:highlight w:val="none"/>
              </w:rPr>
              <w:t xml:space="preserve">     </w:t>
            </w:r>
            <w:r>
              <w:rPr>
                <w:rFonts w:hint="eastAsia" w:ascii="Times New Roman" w:hAnsi="Times New Roman" w:cs="Times New Roman"/>
                <w:smallCaps w:val="0"/>
                <w:color w:val="auto"/>
                <w:spacing w:val="0"/>
                <w:highlight w:val="none"/>
                <w:lang w:val="en-US" w:eastAsia="zh-CN"/>
              </w:rPr>
              <w:t>大气</w:t>
            </w:r>
            <w:r>
              <w:rPr>
                <w:rFonts w:hint="default" w:ascii="Times New Roman" w:hAnsi="Times New Roman" w:cs="Times New Roman"/>
                <w:smallCaps w:val="0"/>
                <w:color w:val="auto"/>
                <w:spacing w:val="0"/>
                <w:highlight w:val="none"/>
              </w:rPr>
              <w:t>排放标准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66"/>
              <w:gridCol w:w="1717"/>
              <w:gridCol w:w="1592"/>
              <w:gridCol w:w="2858"/>
            </w:tblGrid>
            <w:tr w14:paraId="7C24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0" w:type="dxa"/>
                  <w:tcBorders>
                    <w:top w:val="single" w:color="auto" w:sz="4" w:space="0"/>
                    <w:left w:val="single" w:color="auto" w:sz="4" w:space="0"/>
                    <w:right w:val="single" w:color="auto" w:sz="4" w:space="0"/>
                  </w:tcBorders>
                  <w:vAlign w:val="center"/>
                </w:tcPr>
                <w:p w14:paraId="673890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类别</w:t>
                  </w:r>
                </w:p>
              </w:tc>
              <w:tc>
                <w:tcPr>
                  <w:tcW w:w="866" w:type="dxa"/>
                  <w:tcBorders>
                    <w:top w:val="single" w:color="auto" w:sz="4" w:space="0"/>
                    <w:left w:val="single" w:color="auto" w:sz="4" w:space="0"/>
                    <w:right w:val="single" w:color="auto" w:sz="4" w:space="0"/>
                  </w:tcBorders>
                  <w:vAlign w:val="center"/>
                </w:tcPr>
                <w:p w14:paraId="47766A6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Cs w:val="21"/>
                      <w:highlight w:val="none"/>
                      <w:lang w:eastAsia="zh-CN"/>
                    </w:rPr>
                  </w:pPr>
                  <w:r>
                    <w:rPr>
                      <w:rFonts w:hint="eastAsia" w:ascii="Times New Roman" w:hAnsi="Times New Roman" w:cs="Times New Roman"/>
                      <w:b/>
                      <w:bCs/>
                      <w:smallCaps w:val="0"/>
                      <w:color w:val="auto"/>
                      <w:spacing w:val="0"/>
                      <w:szCs w:val="21"/>
                      <w:highlight w:val="none"/>
                      <w:lang w:val="en-US" w:eastAsia="zh-CN"/>
                    </w:rPr>
                    <w:t>污染源</w:t>
                  </w:r>
                </w:p>
              </w:tc>
              <w:tc>
                <w:tcPr>
                  <w:tcW w:w="3309" w:type="dxa"/>
                  <w:gridSpan w:val="2"/>
                  <w:tcBorders>
                    <w:top w:val="single" w:color="auto" w:sz="4" w:space="0"/>
                    <w:left w:val="single" w:color="auto" w:sz="4" w:space="0"/>
                    <w:bottom w:val="single" w:color="auto" w:sz="4" w:space="0"/>
                    <w:right w:val="single" w:color="auto" w:sz="4" w:space="0"/>
                  </w:tcBorders>
                  <w:vAlign w:val="center"/>
                </w:tcPr>
                <w:p w14:paraId="699C5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排放标准</w:t>
                  </w:r>
                </w:p>
              </w:tc>
              <w:tc>
                <w:tcPr>
                  <w:tcW w:w="2858" w:type="dxa"/>
                  <w:tcBorders>
                    <w:top w:val="single" w:color="auto" w:sz="4" w:space="0"/>
                    <w:left w:val="single" w:color="auto" w:sz="4" w:space="0"/>
                    <w:right w:val="single" w:color="auto" w:sz="4" w:space="0"/>
                  </w:tcBorders>
                  <w:vAlign w:val="center"/>
                </w:tcPr>
                <w:p w14:paraId="2E8C52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标准来源</w:t>
                  </w:r>
                </w:p>
              </w:tc>
            </w:tr>
            <w:tr w14:paraId="4CDE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630" w:type="dxa"/>
                  <w:vMerge w:val="restart"/>
                  <w:tcBorders>
                    <w:left w:val="single" w:color="auto" w:sz="4" w:space="0"/>
                    <w:right w:val="single" w:color="auto" w:sz="4" w:space="0"/>
                  </w:tcBorders>
                  <w:vAlign w:val="center"/>
                </w:tcPr>
                <w:p w14:paraId="622AF29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运营期</w:t>
                  </w:r>
                </w:p>
              </w:tc>
              <w:tc>
                <w:tcPr>
                  <w:tcW w:w="866" w:type="dxa"/>
                  <w:vMerge w:val="restart"/>
                  <w:tcBorders>
                    <w:left w:val="single" w:color="auto" w:sz="4" w:space="0"/>
                    <w:right w:val="single" w:color="auto" w:sz="4" w:space="0"/>
                  </w:tcBorders>
                  <w:vAlign w:val="center"/>
                </w:tcPr>
                <w:p w14:paraId="54689BF0">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拆包、投料、烘干、注塑废气</w:t>
                  </w:r>
                </w:p>
              </w:tc>
              <w:tc>
                <w:tcPr>
                  <w:tcW w:w="1717" w:type="dxa"/>
                  <w:tcBorders>
                    <w:top w:val="single" w:color="auto" w:sz="4" w:space="0"/>
                    <w:left w:val="single" w:color="auto" w:sz="4" w:space="0"/>
                    <w:right w:val="single" w:color="auto" w:sz="4" w:space="0"/>
                  </w:tcBorders>
                  <w:vAlign w:val="center"/>
                </w:tcPr>
                <w:p w14:paraId="409D6637">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非甲烷总烃</w:t>
                  </w:r>
                </w:p>
              </w:tc>
              <w:tc>
                <w:tcPr>
                  <w:tcW w:w="1592" w:type="dxa"/>
                  <w:tcBorders>
                    <w:top w:val="single" w:color="auto" w:sz="4" w:space="0"/>
                    <w:left w:val="single" w:color="auto" w:sz="4" w:space="0"/>
                    <w:bottom w:val="single" w:color="auto" w:sz="4" w:space="0"/>
                    <w:right w:val="single" w:color="auto" w:sz="4" w:space="0"/>
                  </w:tcBorders>
                  <w:vAlign w:val="center"/>
                </w:tcPr>
                <w:p w14:paraId="63D68265">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30</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tcBorders>
                    <w:left w:val="single" w:color="auto" w:sz="4" w:space="0"/>
                    <w:right w:val="single" w:color="auto" w:sz="4" w:space="0"/>
                  </w:tcBorders>
                  <w:vAlign w:val="center"/>
                </w:tcPr>
                <w:p w14:paraId="19634A7D">
                  <w:pPr>
                    <w:keepNext w:val="0"/>
                    <w:keepLines w:val="0"/>
                    <w:suppressLineNumbers w:val="0"/>
                    <w:adjustRightInd w:val="0"/>
                    <w:snapToGrid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default" w:cs="Times New Roman"/>
                      <w:smallCaps w:val="0"/>
                      <w:color w:val="auto"/>
                      <w:spacing w:val="0"/>
                      <w:szCs w:val="21"/>
                      <w:highlight w:val="none"/>
                      <w:lang w:val="en-US" w:eastAsia="zh-CN"/>
                    </w:rPr>
                    <w:t>《工业企业挥发性有机物排放控制标准》（DB13/2322-2025）表1（塑料制品制造）标准</w:t>
                  </w:r>
                </w:p>
              </w:tc>
            </w:tr>
            <w:tr w14:paraId="17A9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630" w:type="dxa"/>
                  <w:vMerge w:val="continue"/>
                  <w:tcBorders>
                    <w:left w:val="single" w:color="auto" w:sz="4" w:space="0"/>
                    <w:right w:val="single" w:color="auto" w:sz="4" w:space="0"/>
                  </w:tcBorders>
                  <w:vAlign w:val="center"/>
                </w:tcPr>
                <w:p w14:paraId="680F1631">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866" w:type="dxa"/>
                  <w:vMerge w:val="continue"/>
                  <w:tcBorders>
                    <w:left w:val="single" w:color="auto" w:sz="4" w:space="0"/>
                    <w:right w:val="single" w:color="auto" w:sz="4" w:space="0"/>
                  </w:tcBorders>
                  <w:vAlign w:val="center"/>
                </w:tcPr>
                <w:p w14:paraId="2F660458">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vAlign w:val="center"/>
                </w:tcPr>
                <w:p w14:paraId="2573394D">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单位产品非甲烷总烃排放量</w:t>
                  </w:r>
                </w:p>
              </w:tc>
              <w:tc>
                <w:tcPr>
                  <w:tcW w:w="1592" w:type="dxa"/>
                  <w:tcBorders>
                    <w:top w:val="single" w:color="auto" w:sz="4" w:space="0"/>
                    <w:left w:val="single" w:color="auto" w:sz="4" w:space="0"/>
                    <w:bottom w:val="single" w:color="auto" w:sz="4" w:space="0"/>
                    <w:right w:val="single" w:color="auto" w:sz="4" w:space="0"/>
                  </w:tcBorders>
                  <w:vAlign w:val="center"/>
                </w:tcPr>
                <w:p w14:paraId="797F1D18">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0.5kg/t产品</w:t>
                  </w:r>
                </w:p>
              </w:tc>
              <w:tc>
                <w:tcPr>
                  <w:tcW w:w="2858" w:type="dxa"/>
                  <w:vMerge w:val="restart"/>
                  <w:tcBorders>
                    <w:left w:val="single" w:color="auto" w:sz="4" w:space="0"/>
                    <w:right w:val="single" w:color="auto" w:sz="4" w:space="0"/>
                  </w:tcBorders>
                  <w:vAlign w:val="center"/>
                </w:tcPr>
                <w:p w14:paraId="4DE02300">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《合成树脂工业污染物排放标准》（GB31572-2015）（含2024年修改单）表5标准</w:t>
                  </w:r>
                </w:p>
              </w:tc>
            </w:tr>
            <w:tr w14:paraId="6FE6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630" w:type="dxa"/>
                  <w:vMerge w:val="continue"/>
                  <w:tcBorders>
                    <w:left w:val="single" w:color="auto" w:sz="4" w:space="0"/>
                    <w:right w:val="single" w:color="auto" w:sz="4" w:space="0"/>
                  </w:tcBorders>
                  <w:vAlign w:val="center"/>
                </w:tcPr>
                <w:p w14:paraId="7339BF3C">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866" w:type="dxa"/>
                  <w:vMerge w:val="continue"/>
                  <w:tcBorders>
                    <w:left w:val="single" w:color="auto" w:sz="4" w:space="0"/>
                    <w:right w:val="single" w:color="auto" w:sz="4" w:space="0"/>
                  </w:tcBorders>
                  <w:vAlign w:val="center"/>
                </w:tcPr>
                <w:p w14:paraId="65252B40">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shd w:val="clear" w:color="auto" w:fill="auto"/>
                  <w:vAlign w:val="center"/>
                </w:tcPr>
                <w:p w14:paraId="123232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1592" w:type="dxa"/>
                  <w:tcBorders>
                    <w:top w:val="single" w:color="auto" w:sz="4" w:space="0"/>
                    <w:left w:val="single" w:color="auto" w:sz="4" w:space="0"/>
                    <w:bottom w:val="single" w:color="auto" w:sz="4" w:space="0"/>
                    <w:right w:val="single" w:color="auto" w:sz="4" w:space="0"/>
                  </w:tcBorders>
                  <w:shd w:val="clear" w:color="auto" w:fill="auto"/>
                  <w:vAlign w:val="center"/>
                </w:tcPr>
                <w:p w14:paraId="6A63AF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20</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vMerge w:val="continue"/>
                  <w:tcBorders>
                    <w:left w:val="single" w:color="auto" w:sz="4" w:space="0"/>
                    <w:right w:val="single" w:color="auto" w:sz="4" w:space="0"/>
                  </w:tcBorders>
                  <w:vAlign w:val="center"/>
                </w:tcPr>
                <w:p w14:paraId="761EC452">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p>
              </w:tc>
            </w:tr>
            <w:tr w14:paraId="357A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630" w:type="dxa"/>
                  <w:vMerge w:val="continue"/>
                  <w:tcBorders>
                    <w:left w:val="single" w:color="auto" w:sz="4" w:space="0"/>
                    <w:right w:val="single" w:color="auto" w:sz="4" w:space="0"/>
                  </w:tcBorders>
                  <w:vAlign w:val="center"/>
                </w:tcPr>
                <w:p w14:paraId="08C05B65">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866" w:type="dxa"/>
                  <w:vMerge w:val="continue"/>
                  <w:tcBorders>
                    <w:left w:val="single" w:color="auto" w:sz="4" w:space="0"/>
                    <w:right w:val="single" w:color="auto" w:sz="4" w:space="0"/>
                  </w:tcBorders>
                  <w:vAlign w:val="center"/>
                </w:tcPr>
                <w:p w14:paraId="51010336">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vAlign w:val="center"/>
                </w:tcPr>
                <w:p w14:paraId="55F2F8D2">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氨</w:t>
                  </w:r>
                </w:p>
              </w:tc>
              <w:tc>
                <w:tcPr>
                  <w:tcW w:w="1592" w:type="dxa"/>
                  <w:tcBorders>
                    <w:top w:val="single" w:color="auto" w:sz="4" w:space="0"/>
                    <w:left w:val="single" w:color="auto" w:sz="4" w:space="0"/>
                    <w:bottom w:val="single" w:color="auto" w:sz="4" w:space="0"/>
                    <w:right w:val="single" w:color="auto" w:sz="4" w:space="0"/>
                  </w:tcBorders>
                  <w:vAlign w:val="center"/>
                </w:tcPr>
                <w:p w14:paraId="0600369E">
                  <w:pPr>
                    <w:keepNext w:val="0"/>
                    <w:keepLines w:val="0"/>
                    <w:suppressLineNumbers w:val="0"/>
                    <w:spacing w:before="0" w:beforeAutospacing="0" w:after="0" w:afterAutospacing="0"/>
                    <w:ind w:left="0" w:right="0"/>
                    <w:jc w:val="center"/>
                    <w:rPr>
                      <w:rFonts w:hint="eastAsia" w:ascii="Times New Roman" w:hAnsi="Times New Roman"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ascii="Times New Roman" w:hAnsi="Times New Roman" w:cs="Times New Roman"/>
                      <w:smallCaps w:val="0"/>
                      <w:color w:val="auto"/>
                      <w:spacing w:val="0"/>
                      <w:szCs w:val="21"/>
                      <w:highlight w:val="none"/>
                      <w:lang w:val="en-US" w:eastAsia="zh-CN"/>
                    </w:rPr>
                    <w:t>2</w:t>
                  </w:r>
                  <w:r>
                    <w:rPr>
                      <w:rFonts w:hint="eastAsia" w:cs="Times New Roman"/>
                      <w:smallCaps w:val="0"/>
                      <w:color w:val="auto"/>
                      <w:spacing w:val="0"/>
                      <w:szCs w:val="21"/>
                      <w:highlight w:val="none"/>
                      <w:lang w:val="en-US" w:eastAsia="zh-CN"/>
                    </w:rPr>
                    <w:t>0</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vMerge w:val="continue"/>
                  <w:tcBorders>
                    <w:left w:val="single" w:color="auto" w:sz="4" w:space="0"/>
                    <w:right w:val="single" w:color="auto" w:sz="4" w:space="0"/>
                  </w:tcBorders>
                  <w:vAlign w:val="center"/>
                </w:tcPr>
                <w:p w14:paraId="048D4B7C">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p>
              </w:tc>
            </w:tr>
            <w:tr w14:paraId="5657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630" w:type="dxa"/>
                  <w:vMerge w:val="continue"/>
                  <w:tcBorders>
                    <w:left w:val="single" w:color="auto" w:sz="4" w:space="0"/>
                    <w:right w:val="single" w:color="auto" w:sz="4" w:space="0"/>
                  </w:tcBorders>
                  <w:vAlign w:val="center"/>
                </w:tcPr>
                <w:p w14:paraId="191F68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866" w:type="dxa"/>
                  <w:vMerge w:val="continue"/>
                  <w:tcBorders>
                    <w:left w:val="single" w:color="auto" w:sz="4" w:space="0"/>
                    <w:right w:val="single" w:color="auto" w:sz="4" w:space="0"/>
                  </w:tcBorders>
                  <w:vAlign w:val="center"/>
                </w:tcPr>
                <w:p w14:paraId="3A7134C4">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left w:val="single" w:color="auto" w:sz="4" w:space="0"/>
                    <w:right w:val="single" w:color="auto" w:sz="4" w:space="0"/>
                  </w:tcBorders>
                  <w:vAlign w:val="center"/>
                </w:tcPr>
                <w:p w14:paraId="4C9F1AB0">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臭气浓度</w:t>
                  </w:r>
                </w:p>
              </w:tc>
              <w:tc>
                <w:tcPr>
                  <w:tcW w:w="1592" w:type="dxa"/>
                  <w:tcBorders>
                    <w:top w:val="single" w:color="auto" w:sz="4" w:space="0"/>
                    <w:left w:val="single" w:color="auto" w:sz="4" w:space="0"/>
                    <w:bottom w:val="single" w:color="auto" w:sz="4" w:space="0"/>
                    <w:right w:val="single" w:color="auto" w:sz="4" w:space="0"/>
                  </w:tcBorders>
                  <w:vAlign w:val="center"/>
                </w:tcPr>
                <w:p w14:paraId="110B48E0">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ascii="Times New Roman" w:hAnsi="Times New Roman" w:cs="Times New Roman"/>
                      <w:smallCaps w:val="0"/>
                      <w:color w:val="auto"/>
                      <w:spacing w:val="0"/>
                      <w:szCs w:val="21"/>
                      <w:highlight w:val="none"/>
                      <w:lang w:val="en-US" w:eastAsia="zh-CN"/>
                    </w:rPr>
                    <w:t>2000（无量纲）</w:t>
                  </w:r>
                </w:p>
              </w:tc>
              <w:tc>
                <w:tcPr>
                  <w:tcW w:w="2858" w:type="dxa"/>
                  <w:tcBorders>
                    <w:left w:val="single" w:color="auto" w:sz="4" w:space="0"/>
                    <w:right w:val="single" w:color="auto" w:sz="4" w:space="0"/>
                  </w:tcBorders>
                  <w:vAlign w:val="center"/>
                </w:tcPr>
                <w:p w14:paraId="27895D2B">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《恶臭污染物排放标准》（GB14554-93）表2标准</w:t>
                  </w:r>
                </w:p>
              </w:tc>
            </w:tr>
            <w:tr w14:paraId="0C54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630" w:type="dxa"/>
                  <w:vMerge w:val="continue"/>
                  <w:tcBorders>
                    <w:left w:val="single" w:color="auto" w:sz="4" w:space="0"/>
                    <w:right w:val="single" w:color="auto" w:sz="4" w:space="0"/>
                  </w:tcBorders>
                  <w:vAlign w:val="center"/>
                </w:tcPr>
                <w:p w14:paraId="17ABC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866" w:type="dxa"/>
                  <w:vMerge w:val="restart"/>
                  <w:tcBorders>
                    <w:left w:val="single" w:color="auto" w:sz="4" w:space="0"/>
                    <w:right w:val="single" w:color="auto" w:sz="4" w:space="0"/>
                  </w:tcBorders>
                  <w:vAlign w:val="center"/>
                </w:tcPr>
                <w:p w14:paraId="5C7E3A2F">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厂界无组织</w:t>
                  </w:r>
                </w:p>
              </w:tc>
              <w:tc>
                <w:tcPr>
                  <w:tcW w:w="1717" w:type="dxa"/>
                  <w:tcBorders>
                    <w:top w:val="single" w:color="auto" w:sz="4" w:space="0"/>
                    <w:left w:val="single" w:color="auto" w:sz="4" w:space="0"/>
                    <w:right w:val="single" w:color="auto" w:sz="4" w:space="0"/>
                  </w:tcBorders>
                  <w:vAlign w:val="center"/>
                </w:tcPr>
                <w:p w14:paraId="1F900759">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颗粒物</w:t>
                  </w:r>
                </w:p>
              </w:tc>
              <w:tc>
                <w:tcPr>
                  <w:tcW w:w="1592" w:type="dxa"/>
                  <w:tcBorders>
                    <w:top w:val="single" w:color="auto" w:sz="4" w:space="0"/>
                    <w:left w:val="single" w:color="auto" w:sz="4" w:space="0"/>
                    <w:bottom w:val="single" w:color="auto" w:sz="4" w:space="0"/>
                    <w:right w:val="single" w:color="auto" w:sz="4" w:space="0"/>
                  </w:tcBorders>
                  <w:vAlign w:val="center"/>
                </w:tcPr>
                <w:p w14:paraId="759F0BEC">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1.0</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tcBorders>
                    <w:left w:val="single" w:color="auto" w:sz="4" w:space="0"/>
                    <w:right w:val="single" w:color="auto" w:sz="4" w:space="0"/>
                  </w:tcBorders>
                  <w:vAlign w:val="center"/>
                </w:tcPr>
                <w:p w14:paraId="25FBDFD8">
                  <w:pPr>
                    <w:keepNext w:val="0"/>
                    <w:keepLines w:val="0"/>
                    <w:suppressLineNumbers w:val="0"/>
                    <w:adjustRightInd w:val="0"/>
                    <w:snapToGrid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eastAsia="zh-CN"/>
                    </w:rPr>
                    <w:t>《合成树脂工业污染物排放标准》（GB31572-2015）（含2024年修改单）表</w:t>
                  </w:r>
                  <w:r>
                    <w:rPr>
                      <w:rFonts w:hint="eastAsia" w:cs="Times New Roman"/>
                      <w:smallCaps w:val="0"/>
                      <w:color w:val="auto"/>
                      <w:spacing w:val="0"/>
                      <w:szCs w:val="21"/>
                      <w:highlight w:val="none"/>
                      <w:lang w:val="en-US" w:eastAsia="zh-CN"/>
                    </w:rPr>
                    <w:t>9</w:t>
                  </w:r>
                  <w:r>
                    <w:rPr>
                      <w:rFonts w:hint="eastAsia" w:cs="Times New Roman"/>
                      <w:smallCaps w:val="0"/>
                      <w:color w:val="auto"/>
                      <w:spacing w:val="0"/>
                      <w:szCs w:val="21"/>
                      <w:highlight w:val="none"/>
                      <w:lang w:eastAsia="zh-CN"/>
                    </w:rPr>
                    <w:t>标准</w:t>
                  </w:r>
                </w:p>
              </w:tc>
            </w:tr>
            <w:tr w14:paraId="1D0C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30" w:type="dxa"/>
                  <w:vMerge w:val="continue"/>
                  <w:tcBorders>
                    <w:left w:val="single" w:color="auto" w:sz="4" w:space="0"/>
                    <w:right w:val="single" w:color="auto" w:sz="4" w:space="0"/>
                  </w:tcBorders>
                  <w:vAlign w:val="center"/>
                </w:tcPr>
                <w:p w14:paraId="710BD6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866" w:type="dxa"/>
                  <w:vMerge w:val="continue"/>
                  <w:tcBorders>
                    <w:left w:val="single" w:color="auto" w:sz="4" w:space="0"/>
                    <w:right w:val="single" w:color="auto" w:sz="4" w:space="0"/>
                  </w:tcBorders>
                  <w:vAlign w:val="center"/>
                </w:tcPr>
                <w:p w14:paraId="0348E301">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vAlign w:val="center"/>
                </w:tcPr>
                <w:p w14:paraId="5A374857">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氨</w:t>
                  </w:r>
                </w:p>
              </w:tc>
              <w:tc>
                <w:tcPr>
                  <w:tcW w:w="1592" w:type="dxa"/>
                  <w:tcBorders>
                    <w:top w:val="single" w:color="auto" w:sz="4" w:space="0"/>
                    <w:left w:val="single" w:color="auto" w:sz="4" w:space="0"/>
                    <w:bottom w:val="single" w:color="auto" w:sz="4" w:space="0"/>
                    <w:right w:val="single" w:color="auto" w:sz="4" w:space="0"/>
                  </w:tcBorders>
                  <w:vAlign w:val="center"/>
                </w:tcPr>
                <w:p w14:paraId="6B21B46C">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1.5</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tcBorders>
                    <w:left w:val="single" w:color="auto" w:sz="4" w:space="0"/>
                    <w:right w:val="single" w:color="auto" w:sz="4" w:space="0"/>
                  </w:tcBorders>
                  <w:vAlign w:val="center"/>
                </w:tcPr>
                <w:p w14:paraId="37F96249">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《恶臭污染物排放标准》（GB14554-93）表1二级新扩改建标准</w:t>
                  </w:r>
                </w:p>
              </w:tc>
            </w:tr>
            <w:tr w14:paraId="7D92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30" w:type="dxa"/>
                  <w:vMerge w:val="continue"/>
                  <w:tcBorders>
                    <w:left w:val="single" w:color="auto" w:sz="4" w:space="0"/>
                    <w:right w:val="single" w:color="auto" w:sz="4" w:space="0"/>
                  </w:tcBorders>
                  <w:vAlign w:val="center"/>
                </w:tcPr>
                <w:p w14:paraId="4DADE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866" w:type="dxa"/>
                  <w:vMerge w:val="continue"/>
                  <w:tcBorders>
                    <w:left w:val="single" w:color="auto" w:sz="4" w:space="0"/>
                    <w:right w:val="single" w:color="auto" w:sz="4" w:space="0"/>
                  </w:tcBorders>
                  <w:vAlign w:val="center"/>
                </w:tcPr>
                <w:p w14:paraId="0D283F8C">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vAlign w:val="center"/>
                </w:tcPr>
                <w:p w14:paraId="21D5E763">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臭气浓度</w:t>
                  </w:r>
                </w:p>
              </w:tc>
              <w:tc>
                <w:tcPr>
                  <w:tcW w:w="1592" w:type="dxa"/>
                  <w:tcBorders>
                    <w:top w:val="single" w:color="auto" w:sz="4" w:space="0"/>
                    <w:left w:val="single" w:color="auto" w:sz="4" w:space="0"/>
                    <w:bottom w:val="single" w:color="auto" w:sz="4" w:space="0"/>
                    <w:right w:val="single" w:color="auto" w:sz="4" w:space="0"/>
                  </w:tcBorders>
                  <w:vAlign w:val="center"/>
                </w:tcPr>
                <w:p w14:paraId="06DA34AD">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ascii="Times New Roman" w:hAnsi="Times New Roman" w:cs="Times New Roman"/>
                      <w:smallCaps w:val="0"/>
                      <w:color w:val="auto"/>
                      <w:spacing w:val="0"/>
                      <w:szCs w:val="21"/>
                      <w:highlight w:val="none"/>
                      <w:lang w:val="en-US" w:eastAsia="zh-CN"/>
                    </w:rPr>
                    <w:t>20（无量纲）</w:t>
                  </w:r>
                </w:p>
              </w:tc>
              <w:tc>
                <w:tcPr>
                  <w:tcW w:w="2858" w:type="dxa"/>
                  <w:tcBorders>
                    <w:left w:val="single" w:color="auto" w:sz="4" w:space="0"/>
                    <w:right w:val="single" w:color="auto" w:sz="4" w:space="0"/>
                  </w:tcBorders>
                  <w:vAlign w:val="center"/>
                </w:tcPr>
                <w:p w14:paraId="1EF03440">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《恶臭污染物排放标准》（GB14554-93）表1二级新扩改建标准</w:t>
                  </w:r>
                </w:p>
              </w:tc>
            </w:tr>
            <w:tr w14:paraId="7518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30" w:type="dxa"/>
                  <w:vMerge w:val="continue"/>
                  <w:tcBorders>
                    <w:left w:val="single" w:color="auto" w:sz="4" w:space="0"/>
                    <w:right w:val="single" w:color="auto" w:sz="4" w:space="0"/>
                  </w:tcBorders>
                  <w:vAlign w:val="center"/>
                </w:tcPr>
                <w:p w14:paraId="094706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866" w:type="dxa"/>
                  <w:vMerge w:val="continue"/>
                  <w:tcBorders>
                    <w:left w:val="single" w:color="auto" w:sz="4" w:space="0"/>
                    <w:right w:val="single" w:color="auto" w:sz="4" w:space="0"/>
                  </w:tcBorders>
                  <w:vAlign w:val="center"/>
                </w:tcPr>
                <w:p w14:paraId="2EE00DC1">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p>
              </w:tc>
              <w:tc>
                <w:tcPr>
                  <w:tcW w:w="1717" w:type="dxa"/>
                  <w:tcBorders>
                    <w:top w:val="single" w:color="auto" w:sz="4" w:space="0"/>
                    <w:left w:val="single" w:color="auto" w:sz="4" w:space="0"/>
                    <w:right w:val="single" w:color="auto" w:sz="4" w:space="0"/>
                  </w:tcBorders>
                  <w:vAlign w:val="center"/>
                </w:tcPr>
                <w:p w14:paraId="1BAC2A59">
                  <w:pPr>
                    <w:keepNext w:val="0"/>
                    <w:keepLines w:val="0"/>
                    <w:suppressLineNumbers w:val="0"/>
                    <w:spacing w:before="0" w:beforeAutospacing="0" w:after="0" w:afterAutospacing="0"/>
                    <w:ind w:left="0" w:right="0"/>
                    <w:jc w:val="center"/>
                    <w:rPr>
                      <w:rFonts w:hint="eastAsia"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非甲烷总烃</w:t>
                  </w:r>
                </w:p>
              </w:tc>
              <w:tc>
                <w:tcPr>
                  <w:tcW w:w="1592" w:type="dxa"/>
                  <w:tcBorders>
                    <w:top w:val="single" w:color="auto" w:sz="4" w:space="0"/>
                    <w:left w:val="single" w:color="auto" w:sz="4" w:space="0"/>
                    <w:bottom w:val="single" w:color="auto" w:sz="4" w:space="0"/>
                    <w:right w:val="single" w:color="auto" w:sz="4" w:space="0"/>
                  </w:tcBorders>
                  <w:vAlign w:val="center"/>
                </w:tcPr>
                <w:p w14:paraId="1E68C740">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lang w:val="en-US" w:eastAsia="zh-CN"/>
                    </w:rPr>
                  </w:pPr>
                  <w:r>
                    <w:rPr>
                      <w:rFonts w:hint="default" w:ascii="Times New Roman" w:hAnsi="Times New Roman" w:cs="Times New Roman"/>
                      <w:smallCaps w:val="0"/>
                      <w:color w:val="auto"/>
                      <w:spacing w:val="0"/>
                      <w:szCs w:val="21"/>
                      <w:highlight w:val="none"/>
                      <w:lang w:val="en-US" w:eastAsia="zh-CN"/>
                    </w:rPr>
                    <w:t>≤</w:t>
                  </w:r>
                  <w:r>
                    <w:rPr>
                      <w:rFonts w:hint="eastAsia" w:cs="Times New Roman"/>
                      <w:smallCaps w:val="0"/>
                      <w:color w:val="auto"/>
                      <w:spacing w:val="0"/>
                      <w:szCs w:val="21"/>
                      <w:highlight w:val="none"/>
                      <w:lang w:val="en-US" w:eastAsia="zh-CN"/>
                    </w:rPr>
                    <w:t>2.0</w:t>
                  </w:r>
                  <w:r>
                    <w:rPr>
                      <w:rFonts w:hint="default" w:ascii="Times New Roman" w:hAnsi="Times New Roman" w:cs="Times New Roman"/>
                      <w:smallCaps w:val="0"/>
                      <w:color w:val="auto"/>
                      <w:spacing w:val="0"/>
                      <w:szCs w:val="21"/>
                      <w:highlight w:val="none"/>
                      <w:lang w:val="en-US" w:eastAsia="zh-CN"/>
                    </w:rPr>
                    <w:t>mg/m</w:t>
                  </w:r>
                  <w:r>
                    <w:rPr>
                      <w:rFonts w:hint="default" w:ascii="Times New Roman" w:hAnsi="Times New Roman" w:cs="Times New Roman"/>
                      <w:smallCaps w:val="0"/>
                      <w:color w:val="auto"/>
                      <w:spacing w:val="0"/>
                      <w:szCs w:val="21"/>
                      <w:highlight w:val="none"/>
                      <w:vertAlign w:val="superscript"/>
                      <w:lang w:val="en-US" w:eastAsia="zh-CN"/>
                    </w:rPr>
                    <w:t>3</w:t>
                  </w:r>
                </w:p>
              </w:tc>
              <w:tc>
                <w:tcPr>
                  <w:tcW w:w="2858" w:type="dxa"/>
                  <w:tcBorders>
                    <w:left w:val="single" w:color="auto" w:sz="4" w:space="0"/>
                    <w:right w:val="single" w:color="auto" w:sz="4" w:space="0"/>
                  </w:tcBorders>
                  <w:vAlign w:val="center"/>
                </w:tcPr>
                <w:p w14:paraId="59E0704D">
                  <w:pPr>
                    <w:keepNext w:val="0"/>
                    <w:keepLines w:val="0"/>
                    <w:suppressLineNumbers w:val="0"/>
                    <w:adjustRightInd w:val="0"/>
                    <w:snapToGrid w:val="0"/>
                    <w:spacing w:before="0" w:beforeAutospacing="0" w:after="0" w:afterAutospacing="0"/>
                    <w:ind w:left="0" w:right="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《工业企业挥发性有机物排放控制标准》（DB13/2322-20</w:t>
                  </w:r>
                  <w:r>
                    <w:rPr>
                      <w:rFonts w:hint="eastAsia" w:cs="Times New Roman"/>
                      <w:smallCaps w:val="0"/>
                      <w:color w:val="auto"/>
                      <w:spacing w:val="0"/>
                      <w:szCs w:val="21"/>
                      <w:highlight w:val="none"/>
                      <w:lang w:val="en-US" w:eastAsia="zh-CN"/>
                    </w:rPr>
                    <w:t>16</w:t>
                  </w:r>
                  <w:r>
                    <w:rPr>
                      <w:rFonts w:hint="eastAsia" w:cs="Times New Roman"/>
                      <w:smallCaps w:val="0"/>
                      <w:color w:val="auto"/>
                      <w:spacing w:val="0"/>
                      <w:szCs w:val="21"/>
                      <w:highlight w:val="none"/>
                      <w:lang w:eastAsia="zh-CN"/>
                    </w:rPr>
                    <w:t>）表2标准</w:t>
                  </w:r>
                </w:p>
              </w:tc>
            </w:tr>
          </w:tbl>
          <w:p w14:paraId="39D4D52D">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textAlignment w:val="auto"/>
              <w:rPr>
                <w:rFonts w:hint="default" w:cs="Times New Roman"/>
                <w:b w:val="0"/>
                <w:bCs/>
                <w:smallCaps w:val="0"/>
                <w:color w:val="auto"/>
                <w:spacing w:val="0"/>
                <w:sz w:val="21"/>
                <w:szCs w:val="21"/>
                <w:highlight w:val="none"/>
                <w:lang w:val="en-US" w:eastAsia="zh-CN"/>
              </w:rPr>
            </w:pPr>
            <w:r>
              <w:rPr>
                <w:rFonts w:hint="eastAsia" w:cs="Times New Roman"/>
                <w:b w:val="0"/>
                <w:bCs/>
                <w:smallCaps w:val="0"/>
                <w:color w:val="auto"/>
                <w:spacing w:val="0"/>
                <w:sz w:val="21"/>
                <w:szCs w:val="21"/>
                <w:highlight w:val="none"/>
                <w:lang w:val="en-US" w:eastAsia="zh-CN"/>
              </w:rPr>
              <w:t>注：因项目为租赁厂房，厂房外即厂界，则不执行《工业企业挥发性有机物排放控制标准》（DB13/2322-2025）表2标准厂房外非甲烷总烃。项目为现有企业应于2026年10月1日起执行《工业企业挥发性有机物排放控制标准》（DB13/2322-2025），本次环评按照取严执行。因项目收集的废气中非甲烷总烃初始排放速率＜2kg/h，故无需制定非甲烷总烃处理效率要求。</w:t>
            </w:r>
          </w:p>
          <w:p w14:paraId="78A225EA">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eastAsia" w:cs="Times New Roman"/>
                <w:b/>
                <w:smallCaps w:val="0"/>
                <w:color w:val="auto"/>
                <w:spacing w:val="0"/>
                <w:highlight w:val="none"/>
                <w:lang w:val="en-US" w:eastAsia="zh-CN"/>
              </w:rPr>
              <w:t>2</w:t>
            </w:r>
            <w:r>
              <w:rPr>
                <w:rFonts w:hint="default" w:ascii="Times New Roman" w:hAnsi="Times New Roman" w:cs="Times New Roman"/>
                <w:b/>
                <w:smallCaps w:val="0"/>
                <w:color w:val="auto"/>
                <w:spacing w:val="0"/>
                <w:highlight w:val="none"/>
              </w:rPr>
              <w:t>、</w:t>
            </w:r>
            <w:r>
              <w:rPr>
                <w:rFonts w:hint="eastAsia" w:ascii="Times New Roman" w:hAnsi="Times New Roman" w:cs="Times New Roman"/>
                <w:b/>
                <w:smallCaps w:val="0"/>
                <w:color w:val="auto"/>
                <w:spacing w:val="0"/>
                <w:highlight w:val="none"/>
                <w:lang w:val="en-US" w:eastAsia="zh-CN"/>
              </w:rPr>
              <w:t>废水</w:t>
            </w:r>
            <w:r>
              <w:rPr>
                <w:rFonts w:hint="default" w:ascii="Times New Roman" w:hAnsi="Times New Roman" w:cs="Times New Roman"/>
                <w:b/>
                <w:smallCaps w:val="0"/>
                <w:color w:val="auto"/>
                <w:spacing w:val="0"/>
                <w:highlight w:val="none"/>
              </w:rPr>
              <w:t>污染执行标准</w:t>
            </w:r>
          </w:p>
          <w:p w14:paraId="313A093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运营期：</w:t>
            </w:r>
            <w:r>
              <w:rPr>
                <w:rFonts w:hint="eastAsia" w:cs="Times New Roman"/>
                <w:smallCaps w:val="0"/>
                <w:color w:val="auto"/>
                <w:spacing w:val="0"/>
                <w:highlight w:val="none"/>
                <w:lang w:val="en-US" w:eastAsia="zh-CN"/>
              </w:rPr>
              <w:t>废水排放执行《合成树脂工业污染物排放标准》（GB31572-2015）表2间接排放标准，同时满足石家庄市栾城区污水处理中心（绿源污水处理厂）进水水质要求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具体见下表。</w:t>
            </w:r>
          </w:p>
          <w:p w14:paraId="5BB1A8CA">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表3-</w:t>
            </w:r>
            <w:r>
              <w:rPr>
                <w:rFonts w:hint="eastAsia" w:cs="Times New Roman"/>
                <w:smallCaps w:val="0"/>
                <w:color w:val="auto"/>
                <w:spacing w:val="0"/>
                <w:highlight w:val="none"/>
                <w:lang w:val="en-US" w:eastAsia="zh-CN"/>
              </w:rPr>
              <w:t>6</w:t>
            </w:r>
            <w:r>
              <w:rPr>
                <w:rFonts w:hint="default" w:ascii="Times New Roman" w:hAnsi="Times New Roman" w:cs="Times New Roman"/>
                <w:smallCaps w:val="0"/>
                <w:color w:val="auto"/>
                <w:spacing w:val="0"/>
                <w:highlight w:val="none"/>
              </w:rPr>
              <w:t xml:space="preserve">     </w:t>
            </w:r>
            <w:r>
              <w:rPr>
                <w:rFonts w:hint="eastAsia" w:ascii="Times New Roman" w:hAnsi="Times New Roman" w:cs="Times New Roman"/>
                <w:smallCaps w:val="0"/>
                <w:color w:val="auto"/>
                <w:spacing w:val="0"/>
                <w:highlight w:val="none"/>
                <w:lang w:val="en-US" w:eastAsia="zh-CN"/>
              </w:rPr>
              <w:t>废水</w:t>
            </w:r>
            <w:r>
              <w:rPr>
                <w:rFonts w:hint="default" w:ascii="Times New Roman" w:hAnsi="Times New Roman" w:cs="Times New Roman"/>
                <w:smallCaps w:val="0"/>
                <w:color w:val="auto"/>
                <w:spacing w:val="0"/>
                <w:highlight w:val="none"/>
              </w:rPr>
              <w:t>排放标准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26"/>
              <w:gridCol w:w="2002"/>
              <w:gridCol w:w="2002"/>
              <w:gridCol w:w="2003"/>
            </w:tblGrid>
            <w:tr w14:paraId="530A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restart"/>
                  <w:tcBorders>
                    <w:top w:val="single" w:color="auto" w:sz="4" w:space="0"/>
                    <w:left w:val="single" w:color="auto" w:sz="4" w:space="0"/>
                    <w:right w:val="single" w:color="auto" w:sz="4" w:space="0"/>
                  </w:tcBorders>
                  <w:vAlign w:val="center"/>
                </w:tcPr>
                <w:p w14:paraId="523F5B5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Cs w:val="21"/>
                      <w:highlight w:val="none"/>
                      <w:lang w:eastAsia="zh-CN"/>
                    </w:rPr>
                  </w:pPr>
                  <w:r>
                    <w:rPr>
                      <w:rFonts w:hint="eastAsia" w:ascii="Times New Roman" w:hAnsi="Times New Roman" w:cs="Times New Roman"/>
                      <w:b/>
                      <w:bCs/>
                      <w:smallCaps w:val="0"/>
                      <w:color w:val="auto"/>
                      <w:spacing w:val="0"/>
                      <w:szCs w:val="21"/>
                      <w:highlight w:val="none"/>
                      <w:lang w:val="en-US" w:eastAsia="zh-CN"/>
                    </w:rPr>
                    <w:t>类型</w:t>
                  </w:r>
                </w:p>
              </w:tc>
              <w:tc>
                <w:tcPr>
                  <w:tcW w:w="1026" w:type="dxa"/>
                  <w:vMerge w:val="restart"/>
                  <w:tcBorders>
                    <w:top w:val="single" w:color="auto" w:sz="4" w:space="0"/>
                    <w:left w:val="single" w:color="auto" w:sz="4" w:space="0"/>
                    <w:right w:val="single" w:color="auto" w:sz="4" w:space="0"/>
                  </w:tcBorders>
                  <w:vAlign w:val="center"/>
                </w:tcPr>
                <w:p w14:paraId="219DEF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color w:val="auto"/>
                      <w:spacing w:val="0"/>
                      <w:szCs w:val="21"/>
                      <w:highlight w:val="none"/>
                      <w:lang w:val="en-US" w:eastAsia="zh-CN"/>
                    </w:rPr>
                  </w:pPr>
                  <w:r>
                    <w:rPr>
                      <w:rFonts w:hint="eastAsia" w:ascii="Times New Roman" w:hAnsi="Times New Roman" w:eastAsia="宋体" w:cs="Times New Roman"/>
                      <w:smallCaps w:val="0"/>
                      <w:color w:val="auto"/>
                      <w:spacing w:val="0"/>
                      <w:szCs w:val="21"/>
                      <w:highlight w:val="none"/>
                      <w:lang w:val="en-US" w:eastAsia="zh-CN"/>
                    </w:rPr>
                    <w:t>污染物</w:t>
                  </w:r>
                </w:p>
              </w:tc>
              <w:tc>
                <w:tcPr>
                  <w:tcW w:w="6007" w:type="dxa"/>
                  <w:gridSpan w:val="3"/>
                  <w:tcBorders>
                    <w:top w:val="single" w:color="auto" w:sz="4" w:space="0"/>
                    <w:left w:val="single" w:color="auto" w:sz="4" w:space="0"/>
                    <w:bottom w:val="single" w:color="auto" w:sz="4" w:space="0"/>
                    <w:right w:val="single" w:color="auto" w:sz="4" w:space="0"/>
                  </w:tcBorders>
                  <w:vAlign w:val="center"/>
                </w:tcPr>
                <w:p w14:paraId="2406C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eastAsia" w:ascii="Times New Roman" w:hAnsi="Times New Roman" w:cs="Times New Roman"/>
                      <w:b/>
                      <w:bCs/>
                      <w:smallCaps w:val="0"/>
                      <w:color w:val="auto"/>
                      <w:spacing w:val="0"/>
                      <w:szCs w:val="21"/>
                      <w:highlight w:val="none"/>
                      <w:lang w:val="en-US" w:eastAsia="zh-CN"/>
                    </w:rPr>
                    <w:t>标准值</w:t>
                  </w:r>
                </w:p>
              </w:tc>
            </w:tr>
            <w:tr w14:paraId="2156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5" w:hRule="atLeast"/>
                <w:jc w:val="center"/>
              </w:trPr>
              <w:tc>
                <w:tcPr>
                  <w:tcW w:w="630" w:type="dxa"/>
                  <w:vMerge w:val="continue"/>
                  <w:tcBorders>
                    <w:left w:val="single" w:color="auto" w:sz="4" w:space="0"/>
                    <w:right w:val="single" w:color="auto" w:sz="4" w:space="0"/>
                  </w:tcBorders>
                  <w:vAlign w:val="center"/>
                </w:tcPr>
                <w:p w14:paraId="521DEBD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smallCaps w:val="0"/>
                      <w:color w:val="auto"/>
                      <w:spacing w:val="0"/>
                      <w:szCs w:val="21"/>
                      <w:highlight w:val="none"/>
                      <w:lang w:val="en-US" w:eastAsia="zh-CN"/>
                    </w:rPr>
                  </w:pPr>
                </w:p>
              </w:tc>
              <w:tc>
                <w:tcPr>
                  <w:tcW w:w="1026" w:type="dxa"/>
                  <w:vMerge w:val="continue"/>
                  <w:tcBorders>
                    <w:left w:val="single" w:color="auto" w:sz="4" w:space="0"/>
                    <w:right w:val="single" w:color="auto" w:sz="4" w:space="0"/>
                  </w:tcBorders>
                  <w:vAlign w:val="center"/>
                </w:tcPr>
                <w:p w14:paraId="7501C50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Cs w:val="21"/>
                      <w:highlight w:val="none"/>
                      <w:lang w:val="en-US" w:eastAsia="zh-CN"/>
                    </w:rPr>
                  </w:pPr>
                </w:p>
              </w:tc>
              <w:tc>
                <w:tcPr>
                  <w:tcW w:w="2002" w:type="dxa"/>
                  <w:tcBorders>
                    <w:top w:val="single" w:color="auto" w:sz="4" w:space="0"/>
                    <w:left w:val="single" w:color="auto" w:sz="4" w:space="0"/>
                    <w:bottom w:val="single" w:color="auto" w:sz="4" w:space="0"/>
                    <w:right w:val="single" w:color="auto" w:sz="4" w:space="0"/>
                  </w:tcBorders>
                  <w:vAlign w:val="center"/>
                </w:tcPr>
                <w:p w14:paraId="3AB64B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mallCaps w:val="0"/>
                      <w:color w:val="auto"/>
                      <w:spacing w:val="0"/>
                      <w:szCs w:val="21"/>
                      <w:highlight w:val="none"/>
                      <w:lang w:val="en-US" w:eastAsia="zh-CN"/>
                    </w:rPr>
                  </w:pPr>
                  <w:r>
                    <w:rPr>
                      <w:rFonts w:hint="eastAsia" w:cs="Times New Roman"/>
                      <w:b/>
                      <w:bCs/>
                      <w:smallCaps w:val="0"/>
                      <w:color w:val="auto"/>
                      <w:spacing w:val="0"/>
                      <w:szCs w:val="21"/>
                      <w:highlight w:val="none"/>
                      <w:lang w:val="en-US" w:eastAsia="zh-CN"/>
                    </w:rPr>
                    <w:t>《合成树脂工业污染物排放标准》（GB31572-2015）表2间接排放标准</w:t>
                  </w:r>
                </w:p>
              </w:tc>
              <w:tc>
                <w:tcPr>
                  <w:tcW w:w="2002" w:type="dxa"/>
                  <w:tcBorders>
                    <w:top w:val="single" w:color="auto" w:sz="4" w:space="0"/>
                    <w:left w:val="single" w:color="auto" w:sz="4" w:space="0"/>
                    <w:bottom w:val="single" w:color="auto" w:sz="4" w:space="0"/>
                    <w:right w:val="single" w:color="auto" w:sz="4" w:space="0"/>
                  </w:tcBorders>
                  <w:vAlign w:val="center"/>
                </w:tcPr>
                <w:p w14:paraId="12B92D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mallCaps w:val="0"/>
                      <w:color w:val="auto"/>
                      <w:spacing w:val="0"/>
                      <w:szCs w:val="21"/>
                      <w:highlight w:val="none"/>
                      <w:lang w:val="en-US" w:eastAsia="zh-CN"/>
                    </w:rPr>
                  </w:pPr>
                  <w:r>
                    <w:rPr>
                      <w:rFonts w:hint="eastAsia" w:cs="Times New Roman"/>
                      <w:b/>
                      <w:bCs/>
                      <w:smallCaps w:val="0"/>
                      <w:color w:val="auto"/>
                      <w:spacing w:val="0"/>
                      <w:szCs w:val="21"/>
                      <w:highlight w:val="none"/>
                      <w:lang w:val="en-US" w:eastAsia="zh-CN"/>
                    </w:rPr>
                    <w:t>石家庄市栾城区污水处理中心（绿源污水处理厂）进水水质要求</w:t>
                  </w:r>
                </w:p>
              </w:tc>
              <w:tc>
                <w:tcPr>
                  <w:tcW w:w="2003" w:type="dxa"/>
                  <w:tcBorders>
                    <w:top w:val="single" w:color="auto" w:sz="4" w:space="0"/>
                    <w:left w:val="single" w:color="auto" w:sz="4" w:space="0"/>
                    <w:right w:val="single" w:color="auto" w:sz="4" w:space="0"/>
                  </w:tcBorders>
                  <w:vAlign w:val="center"/>
                </w:tcPr>
                <w:p w14:paraId="067558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mallCaps w:val="0"/>
                      <w:color w:val="auto"/>
                      <w:spacing w:val="0"/>
                      <w:szCs w:val="21"/>
                      <w:highlight w:val="none"/>
                      <w:lang w:val="en-US" w:eastAsia="zh-CN"/>
                    </w:rPr>
                  </w:pPr>
                  <w:r>
                    <w:rPr>
                      <w:rFonts w:hint="eastAsia" w:ascii="Times New Roman" w:hAnsi="Times New Roman" w:cs="Times New Roman"/>
                      <w:b/>
                      <w:bCs/>
                      <w:smallCaps w:val="0"/>
                      <w:color w:val="auto"/>
                      <w:spacing w:val="0"/>
                      <w:szCs w:val="21"/>
                      <w:highlight w:val="none"/>
                      <w:lang w:val="en-US" w:eastAsia="zh-CN"/>
                    </w:rPr>
                    <w:t>本项目执行标准</w:t>
                  </w:r>
                </w:p>
              </w:tc>
            </w:tr>
            <w:tr w14:paraId="55D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restart"/>
                  <w:tcBorders>
                    <w:left w:val="single" w:color="auto" w:sz="4" w:space="0"/>
                    <w:right w:val="single" w:color="auto" w:sz="4" w:space="0"/>
                  </w:tcBorders>
                  <w:vAlign w:val="center"/>
                </w:tcPr>
                <w:p w14:paraId="4B2C571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mallCaps w:val="0"/>
                      <w:color w:val="auto"/>
                      <w:spacing w:val="0"/>
                      <w:szCs w:val="21"/>
                      <w:highlight w:val="none"/>
                      <w:lang w:eastAsia="zh-CN"/>
                    </w:rPr>
                  </w:pPr>
                  <w:r>
                    <w:rPr>
                      <w:rFonts w:hint="eastAsia" w:ascii="Times New Roman" w:hAnsi="Times New Roman" w:cs="Times New Roman"/>
                      <w:smallCaps w:val="0"/>
                      <w:color w:val="auto"/>
                      <w:spacing w:val="0"/>
                      <w:szCs w:val="21"/>
                      <w:highlight w:val="none"/>
                      <w:lang w:val="en-US" w:eastAsia="zh-CN"/>
                    </w:rPr>
                    <w:t>废水</w:t>
                  </w:r>
                </w:p>
              </w:tc>
              <w:tc>
                <w:tcPr>
                  <w:tcW w:w="1026" w:type="dxa"/>
                  <w:tcBorders>
                    <w:left w:val="single" w:color="auto" w:sz="4" w:space="0"/>
                    <w:right w:val="single" w:color="auto" w:sz="4" w:space="0"/>
                  </w:tcBorders>
                  <w:vAlign w:val="center"/>
                </w:tcPr>
                <w:p w14:paraId="7C55724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szCs w:val="21"/>
                      <w:highlight w:val="none"/>
                      <w:lang w:val="en-US" w:eastAsia="zh-CN"/>
                    </w:rPr>
                  </w:pPr>
                  <w:r>
                    <w:rPr>
                      <w:rFonts w:hint="eastAsia" w:ascii="Times New Roman" w:hAnsi="Times New Roman" w:eastAsia="宋体" w:cs="Times New Roman"/>
                      <w:smallCaps w:val="0"/>
                      <w:color w:val="auto"/>
                      <w:spacing w:val="0"/>
                      <w:szCs w:val="21"/>
                      <w:highlight w:val="none"/>
                      <w:lang w:val="en-US" w:eastAsia="zh-CN"/>
                    </w:rPr>
                    <w:t>pH</w:t>
                  </w:r>
                </w:p>
              </w:tc>
              <w:tc>
                <w:tcPr>
                  <w:tcW w:w="2002" w:type="dxa"/>
                  <w:tcBorders>
                    <w:top w:val="single" w:color="auto" w:sz="4" w:space="0"/>
                    <w:left w:val="single" w:color="auto" w:sz="4" w:space="0"/>
                    <w:right w:val="single" w:color="auto" w:sz="4" w:space="0"/>
                  </w:tcBorders>
                  <w:vAlign w:val="center"/>
                </w:tcPr>
                <w:p w14:paraId="7F5DDD4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szCs w:val="21"/>
                      <w:highlight w:val="none"/>
                      <w:lang w:val="en-US" w:eastAsia="zh-CN"/>
                    </w:rPr>
                  </w:pPr>
                  <w:r>
                    <w:rPr>
                      <w:rFonts w:hint="eastAsia" w:ascii="Times New Roman" w:hAnsi="Times New Roman" w:eastAsia="宋体" w:cs="Times New Roman"/>
                      <w:smallCaps w:val="0"/>
                      <w:color w:val="auto"/>
                      <w:spacing w:val="0"/>
                      <w:szCs w:val="21"/>
                      <w:highlight w:val="none"/>
                      <w:lang w:val="en-US" w:eastAsia="zh-CN"/>
                    </w:rPr>
                    <w:t>6~9</w:t>
                  </w:r>
                </w:p>
              </w:tc>
              <w:tc>
                <w:tcPr>
                  <w:tcW w:w="2002" w:type="dxa"/>
                  <w:tcBorders>
                    <w:top w:val="single" w:color="auto" w:sz="4" w:space="0"/>
                    <w:left w:val="single" w:color="auto" w:sz="4" w:space="0"/>
                    <w:bottom w:val="single" w:color="auto" w:sz="4" w:space="0"/>
                    <w:right w:val="single" w:color="auto" w:sz="4" w:space="0"/>
                  </w:tcBorders>
                  <w:vAlign w:val="center"/>
                </w:tcPr>
                <w:p w14:paraId="5D2A5BC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szCs w:val="21"/>
                      <w:highlight w:val="none"/>
                      <w:lang w:val="en-US" w:eastAsia="zh-CN"/>
                    </w:rPr>
                  </w:pPr>
                  <w:r>
                    <w:rPr>
                      <w:rFonts w:hint="eastAsia" w:ascii="Times New Roman" w:hAnsi="Times New Roman" w:eastAsia="宋体" w:cs="Times New Roman"/>
                      <w:smallCaps w:val="0"/>
                      <w:color w:val="auto"/>
                      <w:spacing w:val="0"/>
                      <w:szCs w:val="21"/>
                      <w:highlight w:val="none"/>
                      <w:lang w:val="en-US" w:eastAsia="zh-CN"/>
                    </w:rPr>
                    <w:t>6~9</w:t>
                  </w:r>
                </w:p>
              </w:tc>
              <w:tc>
                <w:tcPr>
                  <w:tcW w:w="2003" w:type="dxa"/>
                  <w:tcBorders>
                    <w:left w:val="single" w:color="auto" w:sz="4" w:space="0"/>
                    <w:right w:val="single" w:color="auto" w:sz="4" w:space="0"/>
                  </w:tcBorders>
                  <w:shd w:val="clear" w:color="auto" w:fill="auto"/>
                  <w:vAlign w:val="center"/>
                </w:tcPr>
                <w:p w14:paraId="198F75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Cs w:val="21"/>
                      <w:highlight w:val="none"/>
                      <w:lang w:val="en-US" w:eastAsia="zh-CN"/>
                    </w:rPr>
                    <w:t>6~9</w:t>
                  </w:r>
                </w:p>
              </w:tc>
            </w:tr>
            <w:tr w14:paraId="0219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23D297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097C19AB">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COD</w:t>
                  </w:r>
                </w:p>
              </w:tc>
              <w:tc>
                <w:tcPr>
                  <w:tcW w:w="2002" w:type="dxa"/>
                  <w:tcBorders>
                    <w:left w:val="single" w:color="auto" w:sz="4" w:space="0"/>
                    <w:right w:val="single" w:color="auto" w:sz="4" w:space="0"/>
                  </w:tcBorders>
                  <w:shd w:val="clear" w:color="auto" w:fill="auto"/>
                  <w:vAlign w:val="center"/>
                </w:tcPr>
                <w:p w14:paraId="32C5B8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450</w:t>
                  </w:r>
                </w:p>
              </w:tc>
              <w:tc>
                <w:tcPr>
                  <w:tcW w:w="2002" w:type="dxa"/>
                  <w:tcBorders>
                    <w:top w:val="single" w:color="auto" w:sz="4" w:space="0"/>
                    <w:left w:val="single" w:color="auto" w:sz="4" w:space="0"/>
                    <w:bottom w:val="single" w:color="auto" w:sz="4" w:space="0"/>
                    <w:right w:val="single" w:color="auto" w:sz="4" w:space="0"/>
                  </w:tcBorders>
                  <w:vAlign w:val="center"/>
                </w:tcPr>
                <w:p w14:paraId="455427A8">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450</w:t>
                  </w:r>
                </w:p>
              </w:tc>
              <w:tc>
                <w:tcPr>
                  <w:tcW w:w="2003" w:type="dxa"/>
                  <w:tcBorders>
                    <w:left w:val="single" w:color="auto" w:sz="4" w:space="0"/>
                    <w:right w:val="single" w:color="auto" w:sz="4" w:space="0"/>
                  </w:tcBorders>
                  <w:shd w:val="clear" w:color="auto" w:fill="auto"/>
                  <w:vAlign w:val="center"/>
                </w:tcPr>
                <w:p w14:paraId="632E15F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450</w:t>
                  </w:r>
                </w:p>
              </w:tc>
            </w:tr>
            <w:tr w14:paraId="5335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6EA3CA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46ED2CFB">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BOD</w:t>
                  </w:r>
                  <w:r>
                    <w:rPr>
                      <w:rFonts w:hint="eastAsia" w:cs="Times New Roman"/>
                      <w:smallCaps w:val="0"/>
                      <w:color w:val="auto"/>
                      <w:spacing w:val="0"/>
                      <w:szCs w:val="21"/>
                      <w:highlight w:val="none"/>
                      <w:vertAlign w:val="subscript"/>
                      <w:lang w:val="en-US" w:eastAsia="zh-CN"/>
                    </w:rPr>
                    <w:t>5</w:t>
                  </w:r>
                </w:p>
              </w:tc>
              <w:tc>
                <w:tcPr>
                  <w:tcW w:w="2002" w:type="dxa"/>
                  <w:tcBorders>
                    <w:left w:val="single" w:color="auto" w:sz="4" w:space="0"/>
                    <w:right w:val="single" w:color="auto" w:sz="4" w:space="0"/>
                  </w:tcBorders>
                  <w:shd w:val="clear" w:color="auto" w:fill="auto"/>
                  <w:vAlign w:val="center"/>
                </w:tcPr>
                <w:p w14:paraId="292FE2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160</w:t>
                  </w:r>
                </w:p>
              </w:tc>
              <w:tc>
                <w:tcPr>
                  <w:tcW w:w="2002" w:type="dxa"/>
                  <w:tcBorders>
                    <w:top w:val="single" w:color="auto" w:sz="4" w:space="0"/>
                    <w:left w:val="single" w:color="auto" w:sz="4" w:space="0"/>
                    <w:bottom w:val="single" w:color="auto" w:sz="4" w:space="0"/>
                    <w:right w:val="single" w:color="auto" w:sz="4" w:space="0"/>
                  </w:tcBorders>
                  <w:vAlign w:val="center"/>
                </w:tcPr>
                <w:p w14:paraId="09CE7040">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160</w:t>
                  </w:r>
                </w:p>
              </w:tc>
              <w:tc>
                <w:tcPr>
                  <w:tcW w:w="2003" w:type="dxa"/>
                  <w:tcBorders>
                    <w:left w:val="single" w:color="auto" w:sz="4" w:space="0"/>
                    <w:right w:val="single" w:color="auto" w:sz="4" w:space="0"/>
                  </w:tcBorders>
                  <w:shd w:val="clear" w:color="auto" w:fill="auto"/>
                  <w:vAlign w:val="center"/>
                </w:tcPr>
                <w:p w14:paraId="622833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160</w:t>
                  </w:r>
                </w:p>
              </w:tc>
            </w:tr>
            <w:tr w14:paraId="5FBE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3E8254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3B549D51">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SS</w:t>
                  </w:r>
                </w:p>
              </w:tc>
              <w:tc>
                <w:tcPr>
                  <w:tcW w:w="2002" w:type="dxa"/>
                  <w:tcBorders>
                    <w:left w:val="single" w:color="auto" w:sz="4" w:space="0"/>
                    <w:right w:val="single" w:color="auto" w:sz="4" w:space="0"/>
                  </w:tcBorders>
                  <w:shd w:val="clear" w:color="auto" w:fill="auto"/>
                  <w:vAlign w:val="center"/>
                </w:tcPr>
                <w:p w14:paraId="70F179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200</w:t>
                  </w:r>
                </w:p>
              </w:tc>
              <w:tc>
                <w:tcPr>
                  <w:tcW w:w="2002" w:type="dxa"/>
                  <w:tcBorders>
                    <w:top w:val="single" w:color="auto" w:sz="4" w:space="0"/>
                    <w:left w:val="single" w:color="auto" w:sz="4" w:space="0"/>
                    <w:bottom w:val="single" w:color="auto" w:sz="4" w:space="0"/>
                    <w:right w:val="single" w:color="auto" w:sz="4" w:space="0"/>
                  </w:tcBorders>
                  <w:vAlign w:val="center"/>
                </w:tcPr>
                <w:p w14:paraId="1388FA5B">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200</w:t>
                  </w:r>
                </w:p>
              </w:tc>
              <w:tc>
                <w:tcPr>
                  <w:tcW w:w="2003" w:type="dxa"/>
                  <w:tcBorders>
                    <w:left w:val="single" w:color="auto" w:sz="4" w:space="0"/>
                    <w:right w:val="single" w:color="auto" w:sz="4" w:space="0"/>
                  </w:tcBorders>
                  <w:shd w:val="clear" w:color="auto" w:fill="auto"/>
                  <w:vAlign w:val="center"/>
                </w:tcPr>
                <w:p w14:paraId="4CE60A6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200</w:t>
                  </w:r>
                </w:p>
              </w:tc>
            </w:tr>
            <w:tr w14:paraId="64B1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4DD147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29375055">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氨氮</w:t>
                  </w:r>
                </w:p>
              </w:tc>
              <w:tc>
                <w:tcPr>
                  <w:tcW w:w="2002" w:type="dxa"/>
                  <w:tcBorders>
                    <w:left w:val="single" w:color="auto" w:sz="4" w:space="0"/>
                    <w:right w:val="single" w:color="auto" w:sz="4" w:space="0"/>
                  </w:tcBorders>
                  <w:shd w:val="clear" w:color="auto" w:fill="auto"/>
                  <w:vAlign w:val="center"/>
                </w:tcPr>
                <w:p w14:paraId="453CC9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w:t>
                  </w:r>
                </w:p>
              </w:tc>
              <w:tc>
                <w:tcPr>
                  <w:tcW w:w="2002" w:type="dxa"/>
                  <w:tcBorders>
                    <w:top w:val="single" w:color="auto" w:sz="4" w:space="0"/>
                    <w:left w:val="single" w:color="auto" w:sz="4" w:space="0"/>
                    <w:bottom w:val="single" w:color="auto" w:sz="4" w:space="0"/>
                    <w:right w:val="single" w:color="auto" w:sz="4" w:space="0"/>
                  </w:tcBorders>
                  <w:vAlign w:val="center"/>
                </w:tcPr>
                <w:p w14:paraId="2B0214FE">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45</w:t>
                  </w:r>
                </w:p>
              </w:tc>
              <w:tc>
                <w:tcPr>
                  <w:tcW w:w="2003" w:type="dxa"/>
                  <w:tcBorders>
                    <w:left w:val="single" w:color="auto" w:sz="4" w:space="0"/>
                    <w:right w:val="single" w:color="auto" w:sz="4" w:space="0"/>
                  </w:tcBorders>
                  <w:shd w:val="clear" w:color="auto" w:fill="auto"/>
                  <w:vAlign w:val="center"/>
                </w:tcPr>
                <w:p w14:paraId="18A103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w:t>
                  </w:r>
                </w:p>
              </w:tc>
            </w:tr>
            <w:tr w14:paraId="0F94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6A5EF4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135AAFFC">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总氮</w:t>
                  </w:r>
                </w:p>
              </w:tc>
              <w:tc>
                <w:tcPr>
                  <w:tcW w:w="2002" w:type="dxa"/>
                  <w:tcBorders>
                    <w:left w:val="single" w:color="auto" w:sz="4" w:space="0"/>
                    <w:right w:val="single" w:color="auto" w:sz="4" w:space="0"/>
                  </w:tcBorders>
                  <w:shd w:val="clear" w:color="auto" w:fill="auto"/>
                  <w:vAlign w:val="center"/>
                </w:tcPr>
                <w:p w14:paraId="0C0F0B2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60</w:t>
                  </w:r>
                </w:p>
              </w:tc>
              <w:tc>
                <w:tcPr>
                  <w:tcW w:w="2002" w:type="dxa"/>
                  <w:tcBorders>
                    <w:top w:val="single" w:color="auto" w:sz="4" w:space="0"/>
                    <w:left w:val="single" w:color="auto" w:sz="4" w:space="0"/>
                    <w:bottom w:val="single" w:color="auto" w:sz="4" w:space="0"/>
                    <w:right w:val="single" w:color="auto" w:sz="4" w:space="0"/>
                  </w:tcBorders>
                  <w:vAlign w:val="center"/>
                </w:tcPr>
                <w:p w14:paraId="539084CB">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60</w:t>
                  </w:r>
                </w:p>
              </w:tc>
              <w:tc>
                <w:tcPr>
                  <w:tcW w:w="2003" w:type="dxa"/>
                  <w:tcBorders>
                    <w:left w:val="single" w:color="auto" w:sz="4" w:space="0"/>
                    <w:right w:val="single" w:color="auto" w:sz="4" w:space="0"/>
                  </w:tcBorders>
                  <w:shd w:val="clear" w:color="auto" w:fill="auto"/>
                  <w:vAlign w:val="center"/>
                </w:tcPr>
                <w:p w14:paraId="67D6C6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60</w:t>
                  </w:r>
                </w:p>
              </w:tc>
            </w:tr>
            <w:tr w14:paraId="5A13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30" w:type="dxa"/>
                  <w:vMerge w:val="continue"/>
                  <w:tcBorders>
                    <w:left w:val="single" w:color="auto" w:sz="4" w:space="0"/>
                    <w:right w:val="single" w:color="auto" w:sz="4" w:space="0"/>
                  </w:tcBorders>
                  <w:vAlign w:val="center"/>
                </w:tcPr>
                <w:p w14:paraId="1135B5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026" w:type="dxa"/>
                  <w:tcBorders>
                    <w:left w:val="single" w:color="auto" w:sz="4" w:space="0"/>
                    <w:right w:val="single" w:color="auto" w:sz="4" w:space="0"/>
                  </w:tcBorders>
                  <w:vAlign w:val="center"/>
                </w:tcPr>
                <w:p w14:paraId="271D7DC0">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总磷</w:t>
                  </w:r>
                </w:p>
              </w:tc>
              <w:tc>
                <w:tcPr>
                  <w:tcW w:w="2002" w:type="dxa"/>
                  <w:tcBorders>
                    <w:left w:val="single" w:color="auto" w:sz="4" w:space="0"/>
                    <w:bottom w:val="single" w:color="auto" w:sz="4" w:space="0"/>
                    <w:right w:val="single" w:color="auto" w:sz="4" w:space="0"/>
                  </w:tcBorders>
                  <w:shd w:val="clear" w:color="auto" w:fill="auto"/>
                  <w:vAlign w:val="center"/>
                </w:tcPr>
                <w:p w14:paraId="1356FE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5</w:t>
                  </w:r>
                </w:p>
              </w:tc>
              <w:tc>
                <w:tcPr>
                  <w:tcW w:w="2002" w:type="dxa"/>
                  <w:tcBorders>
                    <w:top w:val="single" w:color="auto" w:sz="4" w:space="0"/>
                    <w:left w:val="single" w:color="auto" w:sz="4" w:space="0"/>
                    <w:bottom w:val="single" w:color="auto" w:sz="4" w:space="0"/>
                    <w:right w:val="single" w:color="auto" w:sz="4" w:space="0"/>
                  </w:tcBorders>
                  <w:vAlign w:val="center"/>
                </w:tcPr>
                <w:p w14:paraId="75A3B02F">
                  <w:pPr>
                    <w:keepNext w:val="0"/>
                    <w:keepLines w:val="0"/>
                    <w:suppressLineNumbers w:val="0"/>
                    <w:spacing w:before="0" w:beforeAutospacing="0" w:after="0" w:afterAutospacing="0"/>
                    <w:ind w:left="0" w:right="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val="en-US" w:eastAsia="zh-CN"/>
                    </w:rPr>
                    <w:t>5</w:t>
                  </w:r>
                </w:p>
              </w:tc>
              <w:tc>
                <w:tcPr>
                  <w:tcW w:w="2003" w:type="dxa"/>
                  <w:tcBorders>
                    <w:left w:val="single" w:color="auto" w:sz="4" w:space="0"/>
                    <w:right w:val="single" w:color="auto" w:sz="4" w:space="0"/>
                  </w:tcBorders>
                  <w:shd w:val="clear" w:color="auto" w:fill="auto"/>
                  <w:vAlign w:val="center"/>
                </w:tcPr>
                <w:p w14:paraId="3A77A7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5</w:t>
                  </w:r>
                </w:p>
              </w:tc>
            </w:tr>
          </w:tbl>
          <w:p w14:paraId="00E08642">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textAlignment w:val="auto"/>
              <w:rPr>
                <w:rFonts w:hint="default" w:cs="Times New Roman"/>
                <w:b w:val="0"/>
                <w:bCs/>
                <w:smallCaps w:val="0"/>
                <w:color w:val="auto"/>
                <w:spacing w:val="0"/>
                <w:sz w:val="21"/>
                <w:szCs w:val="21"/>
                <w:highlight w:val="none"/>
                <w:lang w:val="en-US" w:eastAsia="zh-CN"/>
              </w:rPr>
            </w:pPr>
            <w:r>
              <w:rPr>
                <w:rFonts w:hint="eastAsia" w:cs="Times New Roman"/>
                <w:b w:val="0"/>
                <w:bCs/>
                <w:smallCaps w:val="0"/>
                <w:color w:val="auto"/>
                <w:spacing w:val="0"/>
                <w:sz w:val="21"/>
                <w:szCs w:val="21"/>
                <w:highlight w:val="none"/>
                <w:lang w:val="en-US" w:eastAsia="zh-CN"/>
              </w:rPr>
              <w:t>注：项目废水排入污水管网至石家庄市栾城区污水处理中心（绿源污水处理厂）处理，属于间接排放，除pH有标准，其余因子均按照污水处理厂进水水质要求执行。</w:t>
            </w:r>
          </w:p>
          <w:p w14:paraId="741E8192">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eastAsia" w:cs="Times New Roman"/>
                <w:b/>
                <w:smallCaps w:val="0"/>
                <w:color w:val="auto"/>
                <w:spacing w:val="0"/>
                <w:highlight w:val="none"/>
                <w:lang w:val="en-US" w:eastAsia="zh-CN"/>
              </w:rPr>
              <w:t>3</w:t>
            </w:r>
            <w:r>
              <w:rPr>
                <w:rFonts w:hint="default" w:ascii="Times New Roman" w:hAnsi="Times New Roman" w:cs="Times New Roman"/>
                <w:b/>
                <w:smallCaps w:val="0"/>
                <w:color w:val="auto"/>
                <w:spacing w:val="0"/>
                <w:highlight w:val="none"/>
              </w:rPr>
              <w:t>、噪声污染执行标准</w:t>
            </w:r>
          </w:p>
          <w:p w14:paraId="30F3F7A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施工期：噪声排放执行《建筑施工场界环境噪声排放标准》(GB12523-2011)标准的要求。</w:t>
            </w:r>
          </w:p>
          <w:p w14:paraId="35E3A2B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运营期：厂界噪声排放执行《工业企业厂界环境噪声排放标准》（GB12348-2008）</w:t>
            </w:r>
            <w:r>
              <w:rPr>
                <w:rFonts w:hint="eastAsia" w:cs="Times New Roman"/>
                <w:smallCaps w:val="0"/>
                <w:color w:val="auto"/>
                <w:spacing w:val="0"/>
                <w:highlight w:val="none"/>
                <w:lang w:val="en-US" w:eastAsia="zh-CN"/>
              </w:rPr>
              <w:t>3类</w:t>
            </w:r>
            <w:r>
              <w:rPr>
                <w:rFonts w:hint="default" w:ascii="Times New Roman" w:hAnsi="Times New Roman" w:cs="Times New Roman"/>
                <w:smallCaps w:val="0"/>
                <w:color w:val="auto"/>
                <w:spacing w:val="0"/>
                <w:highlight w:val="none"/>
              </w:rPr>
              <w:t>标准</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具体见下表。</w:t>
            </w:r>
          </w:p>
          <w:p w14:paraId="3C61ED08">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表3-</w:t>
            </w:r>
            <w:r>
              <w:rPr>
                <w:rFonts w:hint="eastAsia" w:cs="Times New Roman"/>
                <w:smallCaps w:val="0"/>
                <w:color w:val="auto"/>
                <w:spacing w:val="0"/>
                <w:highlight w:val="none"/>
                <w:lang w:val="en-US" w:eastAsia="zh-CN"/>
              </w:rPr>
              <w:t>7</w:t>
            </w:r>
            <w:r>
              <w:rPr>
                <w:rFonts w:hint="default" w:ascii="Times New Roman" w:hAnsi="Times New Roman" w:cs="Times New Roman"/>
                <w:smallCaps w:val="0"/>
                <w:color w:val="auto"/>
                <w:spacing w:val="0"/>
                <w:highlight w:val="none"/>
              </w:rPr>
              <w:t xml:space="preserve">     噪声排放标准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54"/>
              <w:gridCol w:w="2350"/>
              <w:gridCol w:w="2869"/>
            </w:tblGrid>
            <w:tr w14:paraId="7212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0" w:type="dxa"/>
                  <w:tcBorders>
                    <w:top w:val="single" w:color="auto" w:sz="4" w:space="0"/>
                    <w:left w:val="single" w:color="auto" w:sz="4" w:space="0"/>
                    <w:right w:val="single" w:color="auto" w:sz="4" w:space="0"/>
                  </w:tcBorders>
                  <w:vAlign w:val="center"/>
                </w:tcPr>
                <w:p w14:paraId="457AE4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类别</w:t>
                  </w:r>
                </w:p>
              </w:tc>
              <w:tc>
                <w:tcPr>
                  <w:tcW w:w="1654" w:type="dxa"/>
                  <w:tcBorders>
                    <w:top w:val="single" w:color="auto" w:sz="4" w:space="0"/>
                    <w:left w:val="single" w:color="auto" w:sz="4" w:space="0"/>
                    <w:right w:val="single" w:color="auto" w:sz="4" w:space="0"/>
                  </w:tcBorders>
                  <w:vAlign w:val="center"/>
                </w:tcPr>
                <w:p w14:paraId="7A665E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方位</w:t>
                  </w:r>
                </w:p>
              </w:tc>
              <w:tc>
                <w:tcPr>
                  <w:tcW w:w="2350" w:type="dxa"/>
                  <w:tcBorders>
                    <w:top w:val="single" w:color="auto" w:sz="4" w:space="0"/>
                    <w:left w:val="single" w:color="auto" w:sz="4" w:space="0"/>
                    <w:bottom w:val="single" w:color="auto" w:sz="4" w:space="0"/>
                    <w:right w:val="single" w:color="auto" w:sz="4" w:space="0"/>
                  </w:tcBorders>
                  <w:vAlign w:val="center"/>
                </w:tcPr>
                <w:p w14:paraId="4A09C8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排放标准</w:t>
                  </w:r>
                </w:p>
              </w:tc>
              <w:tc>
                <w:tcPr>
                  <w:tcW w:w="2869" w:type="dxa"/>
                  <w:tcBorders>
                    <w:top w:val="single" w:color="auto" w:sz="4" w:space="0"/>
                    <w:left w:val="single" w:color="auto" w:sz="4" w:space="0"/>
                    <w:right w:val="single" w:color="auto" w:sz="4" w:space="0"/>
                  </w:tcBorders>
                  <w:vAlign w:val="center"/>
                </w:tcPr>
                <w:p w14:paraId="075153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b/>
                      <w:bCs/>
                      <w:smallCaps w:val="0"/>
                      <w:color w:val="auto"/>
                      <w:spacing w:val="0"/>
                      <w:szCs w:val="21"/>
                      <w:highlight w:val="none"/>
                    </w:rPr>
                    <w:t>标准来源</w:t>
                  </w:r>
                </w:p>
              </w:tc>
            </w:tr>
            <w:tr w14:paraId="09C6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790" w:type="dxa"/>
                  <w:vMerge w:val="restart"/>
                  <w:tcBorders>
                    <w:top w:val="single" w:color="auto" w:sz="4" w:space="0"/>
                    <w:left w:val="single" w:color="auto" w:sz="4" w:space="0"/>
                    <w:right w:val="single" w:color="auto" w:sz="4" w:space="0"/>
                  </w:tcBorders>
                  <w:vAlign w:val="center"/>
                </w:tcPr>
                <w:p w14:paraId="0AD6A2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施工期</w:t>
                  </w:r>
                </w:p>
              </w:tc>
              <w:tc>
                <w:tcPr>
                  <w:tcW w:w="1654" w:type="dxa"/>
                  <w:vMerge w:val="restart"/>
                  <w:tcBorders>
                    <w:top w:val="single" w:color="auto" w:sz="4" w:space="0"/>
                    <w:left w:val="single" w:color="auto" w:sz="4" w:space="0"/>
                    <w:right w:val="single" w:color="auto" w:sz="4" w:space="0"/>
                  </w:tcBorders>
                  <w:vAlign w:val="center"/>
                </w:tcPr>
                <w:p w14:paraId="6D36E283">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场界</w:t>
                  </w:r>
                </w:p>
              </w:tc>
              <w:tc>
                <w:tcPr>
                  <w:tcW w:w="2350" w:type="dxa"/>
                  <w:tcBorders>
                    <w:top w:val="single" w:color="auto" w:sz="4" w:space="0"/>
                    <w:left w:val="single" w:color="auto" w:sz="4" w:space="0"/>
                    <w:bottom w:val="single" w:color="auto" w:sz="4" w:space="0"/>
                    <w:right w:val="single" w:color="auto" w:sz="4" w:space="0"/>
                  </w:tcBorders>
                  <w:vAlign w:val="center"/>
                </w:tcPr>
                <w:p w14:paraId="59E69CE9">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昼间：70dB(A)</w:t>
                  </w:r>
                </w:p>
              </w:tc>
              <w:tc>
                <w:tcPr>
                  <w:tcW w:w="2869" w:type="dxa"/>
                  <w:vMerge w:val="restart"/>
                  <w:tcBorders>
                    <w:top w:val="single" w:color="auto" w:sz="4" w:space="0"/>
                    <w:left w:val="single" w:color="auto" w:sz="4" w:space="0"/>
                    <w:right w:val="single" w:color="auto" w:sz="4" w:space="0"/>
                  </w:tcBorders>
                  <w:vAlign w:val="center"/>
                </w:tcPr>
                <w:p w14:paraId="7BC543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《建筑施工场界环境噪声排放标准》(GB12523-2011)</w:t>
                  </w:r>
                </w:p>
              </w:tc>
            </w:tr>
            <w:tr w14:paraId="7473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790" w:type="dxa"/>
                  <w:vMerge w:val="continue"/>
                  <w:tcBorders>
                    <w:left w:val="single" w:color="auto" w:sz="4" w:space="0"/>
                    <w:right w:val="single" w:color="auto" w:sz="4" w:space="0"/>
                  </w:tcBorders>
                  <w:vAlign w:val="center"/>
                </w:tcPr>
                <w:p w14:paraId="35FF25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654" w:type="dxa"/>
                  <w:vMerge w:val="continue"/>
                  <w:tcBorders>
                    <w:left w:val="single" w:color="auto" w:sz="4" w:space="0"/>
                    <w:right w:val="single" w:color="auto" w:sz="4" w:space="0"/>
                  </w:tcBorders>
                  <w:vAlign w:val="center"/>
                </w:tcPr>
                <w:p w14:paraId="170AABF7">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1EE3D2AE">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夜间：55dB(A)</w:t>
                  </w:r>
                </w:p>
              </w:tc>
              <w:tc>
                <w:tcPr>
                  <w:tcW w:w="2869" w:type="dxa"/>
                  <w:vMerge w:val="continue"/>
                  <w:tcBorders>
                    <w:left w:val="single" w:color="auto" w:sz="4" w:space="0"/>
                    <w:right w:val="single" w:color="auto" w:sz="4" w:space="0"/>
                  </w:tcBorders>
                  <w:vAlign w:val="center"/>
                </w:tcPr>
                <w:p w14:paraId="7F1904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r>
            <w:tr w14:paraId="33B3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790" w:type="dxa"/>
                  <w:vMerge w:val="restart"/>
                  <w:tcBorders>
                    <w:left w:val="single" w:color="auto" w:sz="4" w:space="0"/>
                    <w:right w:val="single" w:color="auto" w:sz="4" w:space="0"/>
                  </w:tcBorders>
                  <w:vAlign w:val="center"/>
                </w:tcPr>
                <w:p w14:paraId="1B28C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运营期</w:t>
                  </w:r>
                </w:p>
              </w:tc>
              <w:tc>
                <w:tcPr>
                  <w:tcW w:w="1654" w:type="dxa"/>
                  <w:vMerge w:val="restart"/>
                  <w:tcBorders>
                    <w:left w:val="single" w:color="auto" w:sz="4" w:space="0"/>
                    <w:right w:val="single" w:color="auto" w:sz="4" w:space="0"/>
                  </w:tcBorders>
                  <w:vAlign w:val="center"/>
                </w:tcPr>
                <w:p w14:paraId="1FFA9982">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厂界</w:t>
                  </w:r>
                </w:p>
              </w:tc>
              <w:tc>
                <w:tcPr>
                  <w:tcW w:w="2350" w:type="dxa"/>
                  <w:tcBorders>
                    <w:top w:val="single" w:color="auto" w:sz="4" w:space="0"/>
                    <w:left w:val="single" w:color="auto" w:sz="4" w:space="0"/>
                    <w:bottom w:val="single" w:color="auto" w:sz="4" w:space="0"/>
                    <w:right w:val="single" w:color="auto" w:sz="4" w:space="0"/>
                  </w:tcBorders>
                  <w:vAlign w:val="center"/>
                </w:tcPr>
                <w:p w14:paraId="1F9F9A0F">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昼间：</w:t>
                  </w:r>
                  <w:r>
                    <w:rPr>
                      <w:rFonts w:hint="eastAsia" w:cs="Times New Roman"/>
                      <w:smallCaps w:val="0"/>
                      <w:color w:val="auto"/>
                      <w:spacing w:val="0"/>
                      <w:szCs w:val="21"/>
                      <w:highlight w:val="none"/>
                      <w:lang w:val="en-US" w:eastAsia="zh-CN"/>
                    </w:rPr>
                    <w:t>65</w:t>
                  </w:r>
                  <w:r>
                    <w:rPr>
                      <w:rFonts w:hint="default" w:ascii="Times New Roman" w:hAnsi="Times New Roman" w:cs="Times New Roman"/>
                      <w:smallCaps w:val="0"/>
                      <w:color w:val="auto"/>
                      <w:spacing w:val="0"/>
                      <w:szCs w:val="21"/>
                      <w:highlight w:val="none"/>
                    </w:rPr>
                    <w:t>dB(A)</w:t>
                  </w:r>
                </w:p>
              </w:tc>
              <w:tc>
                <w:tcPr>
                  <w:tcW w:w="2869" w:type="dxa"/>
                  <w:vMerge w:val="restart"/>
                  <w:tcBorders>
                    <w:left w:val="single" w:color="auto" w:sz="4" w:space="0"/>
                    <w:right w:val="single" w:color="auto" w:sz="4" w:space="0"/>
                  </w:tcBorders>
                  <w:vAlign w:val="center"/>
                </w:tcPr>
                <w:p w14:paraId="099FC6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0"/>
                      <w:highlight w:val="none"/>
                    </w:rPr>
                    <w:t>《工业企业厂界环境噪声排放标准》（GB12348-2008）</w:t>
                  </w:r>
                  <w:r>
                    <w:rPr>
                      <w:rFonts w:hint="eastAsia" w:cs="Times New Roman"/>
                      <w:smallCaps w:val="0"/>
                      <w:color w:val="auto"/>
                      <w:spacing w:val="0"/>
                      <w:szCs w:val="20"/>
                      <w:highlight w:val="none"/>
                      <w:lang w:val="en-US" w:eastAsia="zh-CN"/>
                    </w:rPr>
                    <w:t>3类</w:t>
                  </w:r>
                  <w:r>
                    <w:rPr>
                      <w:rFonts w:hint="default" w:ascii="Times New Roman" w:hAnsi="Times New Roman" w:cs="Times New Roman"/>
                      <w:smallCaps w:val="0"/>
                      <w:color w:val="auto"/>
                      <w:spacing w:val="0"/>
                      <w:szCs w:val="20"/>
                      <w:highlight w:val="none"/>
                    </w:rPr>
                    <w:t>标准</w:t>
                  </w:r>
                </w:p>
              </w:tc>
            </w:tr>
            <w:tr w14:paraId="556A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790" w:type="dxa"/>
                  <w:vMerge w:val="continue"/>
                  <w:tcBorders>
                    <w:left w:val="single" w:color="auto" w:sz="4" w:space="0"/>
                    <w:right w:val="single" w:color="auto" w:sz="4" w:space="0"/>
                  </w:tcBorders>
                  <w:vAlign w:val="center"/>
                </w:tcPr>
                <w:p w14:paraId="4B173A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1654" w:type="dxa"/>
                  <w:vMerge w:val="continue"/>
                  <w:tcBorders>
                    <w:left w:val="single" w:color="auto" w:sz="4" w:space="0"/>
                    <w:right w:val="single" w:color="auto" w:sz="4" w:space="0"/>
                  </w:tcBorders>
                  <w:vAlign w:val="center"/>
                </w:tcPr>
                <w:p w14:paraId="3B61A3DF">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1FBEC05E">
                  <w:pPr>
                    <w:keepNext w:val="0"/>
                    <w:keepLines w:val="0"/>
                    <w:suppressLineNumbers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r>
                    <w:rPr>
                      <w:rFonts w:hint="default" w:ascii="Times New Roman" w:hAnsi="Times New Roman" w:cs="Times New Roman"/>
                      <w:smallCaps w:val="0"/>
                      <w:color w:val="auto"/>
                      <w:spacing w:val="0"/>
                      <w:szCs w:val="21"/>
                      <w:highlight w:val="none"/>
                    </w:rPr>
                    <w:t>夜间：</w:t>
                  </w:r>
                  <w:r>
                    <w:rPr>
                      <w:rFonts w:hint="eastAsia" w:cs="Times New Roman"/>
                      <w:smallCaps w:val="0"/>
                      <w:color w:val="auto"/>
                      <w:spacing w:val="0"/>
                      <w:szCs w:val="21"/>
                      <w:highlight w:val="none"/>
                      <w:lang w:val="en-US" w:eastAsia="zh-CN"/>
                    </w:rPr>
                    <w:t>55</w:t>
                  </w:r>
                  <w:r>
                    <w:rPr>
                      <w:rFonts w:hint="default" w:ascii="Times New Roman" w:hAnsi="Times New Roman" w:cs="Times New Roman"/>
                      <w:smallCaps w:val="0"/>
                      <w:color w:val="auto"/>
                      <w:spacing w:val="0"/>
                      <w:szCs w:val="21"/>
                      <w:highlight w:val="none"/>
                    </w:rPr>
                    <w:t>dB(A)</w:t>
                  </w:r>
                </w:p>
              </w:tc>
              <w:tc>
                <w:tcPr>
                  <w:tcW w:w="2869" w:type="dxa"/>
                  <w:vMerge w:val="continue"/>
                  <w:tcBorders>
                    <w:left w:val="single" w:color="auto" w:sz="4" w:space="0"/>
                    <w:right w:val="single" w:color="auto" w:sz="4" w:space="0"/>
                  </w:tcBorders>
                  <w:vAlign w:val="center"/>
                </w:tcPr>
                <w:p w14:paraId="19879F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szCs w:val="21"/>
                      <w:highlight w:val="none"/>
                    </w:rPr>
                  </w:pPr>
                </w:p>
              </w:tc>
            </w:tr>
          </w:tbl>
          <w:p w14:paraId="10BFA5FC">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lang w:val="en-US" w:eastAsia="zh-CN"/>
              </w:rPr>
              <w:t>4</w:t>
            </w:r>
            <w:r>
              <w:rPr>
                <w:rFonts w:hint="default" w:ascii="Times New Roman" w:hAnsi="Times New Roman" w:cs="Times New Roman"/>
                <w:b/>
                <w:smallCaps w:val="0"/>
                <w:color w:val="auto"/>
                <w:spacing w:val="0"/>
                <w:highlight w:val="none"/>
              </w:rPr>
              <w:t>、固体废物排放标准</w:t>
            </w:r>
          </w:p>
          <w:p w14:paraId="52370EB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一般固体废弃物执行《一般工业固体废物贮存和填埋污染控制标准》（GB18599-2020）</w:t>
            </w:r>
            <w:r>
              <w:rPr>
                <w:rFonts w:hint="eastAsia" w:cs="Times New Roman"/>
                <w:smallCaps w:val="0"/>
                <w:color w:val="auto"/>
                <w:spacing w:val="0"/>
                <w:highlight w:val="none"/>
                <w:lang w:eastAsia="zh-CN"/>
              </w:rPr>
              <w:t>；危险废物执行《危险废物贮存污染控制标准》（GB18597-2023）；生活垃圾处置参照《中华人民共和国固体废物污染环境防治法》（2020年修订版）中第四章“生活垃圾”的规定</w:t>
            </w:r>
            <w:r>
              <w:rPr>
                <w:rFonts w:hint="default" w:ascii="Times New Roman" w:hAnsi="Times New Roman" w:cs="Times New Roman"/>
                <w:smallCaps w:val="0"/>
                <w:color w:val="auto"/>
                <w:spacing w:val="0"/>
                <w:szCs w:val="20"/>
                <w:highlight w:val="none"/>
                <w:lang w:val="zh-CN"/>
              </w:rPr>
              <w:t>。</w:t>
            </w:r>
          </w:p>
        </w:tc>
      </w:tr>
      <w:tr w14:paraId="580EB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72" w:type="pct"/>
            <w:vAlign w:val="center"/>
          </w:tcPr>
          <w:p w14:paraId="3977EB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总量</w:t>
            </w:r>
          </w:p>
          <w:p w14:paraId="1F9205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 w:val="24"/>
                <w:szCs w:val="21"/>
                <w:highlight w:val="none"/>
              </w:rPr>
            </w:pPr>
            <w:r>
              <w:rPr>
                <w:rFonts w:hint="default" w:ascii="Times New Roman" w:hAnsi="Times New Roman" w:cs="Times New Roman"/>
                <w:smallCaps w:val="0"/>
                <w:color w:val="auto"/>
                <w:spacing w:val="0"/>
                <w:kern w:val="0"/>
                <w:sz w:val="24"/>
                <w:szCs w:val="21"/>
                <w:highlight w:val="none"/>
              </w:rPr>
              <w:t>控制</w:t>
            </w:r>
          </w:p>
          <w:p w14:paraId="7C8897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mallCaps w:val="0"/>
                <w:color w:val="auto"/>
                <w:spacing w:val="0"/>
                <w:kern w:val="0"/>
                <w:szCs w:val="21"/>
                <w:highlight w:val="none"/>
              </w:rPr>
            </w:pPr>
            <w:r>
              <w:rPr>
                <w:rFonts w:hint="default" w:ascii="Times New Roman" w:hAnsi="Times New Roman" w:cs="Times New Roman"/>
                <w:smallCaps w:val="0"/>
                <w:color w:val="auto"/>
                <w:spacing w:val="0"/>
                <w:kern w:val="0"/>
                <w:sz w:val="24"/>
                <w:szCs w:val="21"/>
                <w:highlight w:val="none"/>
              </w:rPr>
              <w:t>指标</w:t>
            </w:r>
          </w:p>
        </w:tc>
        <w:tc>
          <w:tcPr>
            <w:tcW w:w="4627" w:type="pct"/>
            <w:vAlign w:val="center"/>
          </w:tcPr>
          <w:p w14:paraId="2A7689F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smallCaps w:val="0"/>
                <w:color w:val="auto"/>
                <w:spacing w:val="0"/>
                <w:highlight w:val="none"/>
              </w:rPr>
              <w:t>根据《“十四五”主要污染物总量减排潜力测算工作指南》</w:t>
            </w:r>
            <w:r>
              <w:rPr>
                <w:rFonts w:hint="eastAsia"/>
                <w:smallCaps w:val="0"/>
                <w:color w:val="auto"/>
                <w:spacing w:val="0"/>
                <w:highlight w:val="none"/>
                <w:lang w:eastAsia="zh-CN"/>
              </w:rPr>
              <w:t>、《河北省主要污染物排污权确权管理暂行办法》（冀环办字函〔2024〕256号）</w:t>
            </w:r>
            <w:r>
              <w:rPr>
                <w:rFonts w:hint="eastAsia"/>
                <w:smallCaps w:val="0"/>
                <w:color w:val="auto"/>
                <w:spacing w:val="0"/>
                <w:highlight w:val="none"/>
              </w:rPr>
              <w:t>相关规定，项目污染物排放总量控制指标为COD、氨氮、SO</w:t>
            </w:r>
            <w:r>
              <w:rPr>
                <w:rFonts w:hint="eastAsia"/>
                <w:smallCaps w:val="0"/>
                <w:color w:val="auto"/>
                <w:spacing w:val="0"/>
                <w:highlight w:val="none"/>
                <w:vertAlign w:val="subscript"/>
              </w:rPr>
              <w:t>2</w:t>
            </w:r>
            <w:r>
              <w:rPr>
                <w:rFonts w:hint="eastAsia"/>
                <w:smallCaps w:val="0"/>
                <w:color w:val="auto"/>
                <w:spacing w:val="0"/>
                <w:highlight w:val="none"/>
              </w:rPr>
              <w:t>、氮氧化物、挥发性有机物、颗粒物</w:t>
            </w:r>
            <w:r>
              <w:rPr>
                <w:rFonts w:hint="default" w:ascii="Times New Roman" w:hAnsi="Times New Roman" w:cs="Times New Roman"/>
                <w:smallCaps w:val="0"/>
                <w:color w:val="auto"/>
                <w:spacing w:val="0"/>
                <w:highlight w:val="none"/>
              </w:rPr>
              <w:t>。</w:t>
            </w:r>
          </w:p>
          <w:p w14:paraId="4F4C5CC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废水污染物</w:t>
            </w:r>
          </w:p>
          <w:p w14:paraId="1AF114A9">
            <w:pPr>
              <w:pStyle w:val="172"/>
              <w:keepNext w:val="0"/>
              <w:keepLines w:val="0"/>
              <w:suppressLineNumbers w:val="0"/>
              <w:spacing w:before="0" w:beforeAutospacing="0" w:after="0" w:afterAutospacing="0"/>
              <w:ind w:left="0" w:right="0" w:firstLine="480"/>
              <w:rPr>
                <w:rFonts w:hint="default"/>
                <w:color w:val="auto"/>
                <w:sz w:val="24"/>
                <w:highlight w:val="none"/>
              </w:rPr>
            </w:pPr>
            <w:r>
              <w:rPr>
                <w:rFonts w:hint="eastAsia"/>
                <w:color w:val="auto"/>
                <w:sz w:val="24"/>
                <w:highlight w:val="none"/>
                <w:lang w:eastAsia="zh-CN"/>
              </w:rPr>
              <w:t>项目废水主要为职工生活污水，生活污水经集成式生物化粪池处理后经园区污水管网排入绿源污水处理有限公司进一步处理，</w:t>
            </w:r>
            <w:r>
              <w:rPr>
                <w:rFonts w:hint="eastAsia"/>
                <w:color w:val="auto"/>
                <w:sz w:val="24"/>
                <w:highlight w:val="none"/>
                <w:lang w:val="en-US" w:eastAsia="zh-CN"/>
              </w:rPr>
              <w:t>处理后的部分回用于厂区内部使用，其余排入洨河，出水执行《子牙河流域水污染物排放标准》（DB13/2796-2018）表1标准中的“重点控制区排放限值”，</w:t>
            </w:r>
            <w:r>
              <w:rPr>
                <w:rFonts w:hint="default" w:ascii="Times New Roman" w:hAnsi="Times New Roman" w:cs="Times New Roman"/>
                <w:color w:val="auto"/>
                <w:sz w:val="24"/>
                <w:highlight w:val="none"/>
                <w:lang w:val="en-US" w:eastAsia="zh-CN"/>
              </w:rPr>
              <w:t>即</w:t>
            </w:r>
            <w:r>
              <w:rPr>
                <w:rFonts w:hint="default" w:ascii="Times New Roman" w:hAnsi="Times New Roman" w:cs="Times New Roman"/>
                <w:color w:val="auto"/>
                <w:sz w:val="24"/>
                <w:highlight w:val="none"/>
                <w:lang w:val="zh-CN"/>
              </w:rPr>
              <w:t>COD</w:t>
            </w:r>
            <w:r>
              <w:rPr>
                <w:rFonts w:hint="default" w:ascii="Times New Roman" w:hAnsi="Times New Roman" w:cs="Times New Roman"/>
                <w:color w:val="auto"/>
                <w:sz w:val="24"/>
                <w:highlight w:val="none"/>
                <w:lang w:val="en-US" w:eastAsia="zh-CN"/>
              </w:rPr>
              <w:t>≤40mg/L</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zh-CN"/>
              </w:rPr>
              <w:t>NH</w:t>
            </w:r>
            <w:r>
              <w:rPr>
                <w:rFonts w:hint="default" w:ascii="Times New Roman" w:hAnsi="Times New Roman" w:cs="Times New Roman"/>
                <w:color w:val="auto"/>
                <w:sz w:val="24"/>
                <w:highlight w:val="none"/>
                <w:vertAlign w:val="subscript"/>
                <w:lang w:val="zh-CN"/>
              </w:rPr>
              <w:t>3</w:t>
            </w:r>
            <w:r>
              <w:rPr>
                <w:rFonts w:hint="default" w:ascii="Times New Roman" w:hAnsi="Times New Roman" w:cs="Times New Roman"/>
                <w:color w:val="auto"/>
                <w:sz w:val="24"/>
                <w:highlight w:val="none"/>
                <w:lang w:val="zh-CN"/>
              </w:rPr>
              <w:t>-N</w:t>
            </w:r>
            <w:r>
              <w:rPr>
                <w:rFonts w:hint="default" w:ascii="Times New Roman" w:hAnsi="Times New Roman" w:cs="Times New Roman"/>
                <w:color w:val="auto"/>
                <w:sz w:val="24"/>
                <w:highlight w:val="none"/>
                <w:lang w:val="en-US" w:eastAsia="zh-CN"/>
              </w:rPr>
              <w:t>≤2.0mg/L</w:t>
            </w:r>
            <w:r>
              <w:rPr>
                <w:rFonts w:hint="default"/>
                <w:color w:val="auto"/>
                <w:sz w:val="24"/>
                <w:szCs w:val="22"/>
                <w:highlight w:val="none"/>
                <w:lang w:val="zh-CN"/>
              </w:rPr>
              <w:t>，</w:t>
            </w:r>
            <w:r>
              <w:rPr>
                <w:rFonts w:hint="default"/>
                <w:color w:val="auto"/>
                <w:sz w:val="24"/>
                <w:szCs w:val="22"/>
                <w:highlight w:val="none"/>
              </w:rPr>
              <w:t>故</w:t>
            </w:r>
            <w:r>
              <w:rPr>
                <w:rFonts w:hint="default"/>
                <w:color w:val="auto"/>
                <w:sz w:val="24"/>
                <w:highlight w:val="none"/>
              </w:rPr>
              <w:t>涉及废水污染物</w:t>
            </w:r>
            <w:r>
              <w:rPr>
                <w:rFonts w:hint="default"/>
                <w:color w:val="auto"/>
                <w:sz w:val="24"/>
                <w:highlight w:val="none"/>
                <w:lang w:val="zh-CN"/>
              </w:rPr>
              <w:t>COD</w:t>
            </w:r>
            <w:r>
              <w:rPr>
                <w:rFonts w:hint="default"/>
                <w:color w:val="auto"/>
                <w:sz w:val="24"/>
                <w:highlight w:val="none"/>
              </w:rPr>
              <w:t>、</w:t>
            </w:r>
            <w:r>
              <w:rPr>
                <w:rFonts w:hint="default"/>
                <w:color w:val="auto"/>
                <w:sz w:val="24"/>
                <w:highlight w:val="none"/>
                <w:lang w:val="zh-CN"/>
              </w:rPr>
              <w:t>NH</w:t>
            </w:r>
            <w:r>
              <w:rPr>
                <w:rFonts w:hint="default"/>
                <w:color w:val="auto"/>
                <w:sz w:val="24"/>
                <w:highlight w:val="none"/>
                <w:vertAlign w:val="subscript"/>
                <w:lang w:val="zh-CN"/>
              </w:rPr>
              <w:t>3</w:t>
            </w:r>
            <w:r>
              <w:rPr>
                <w:rFonts w:hint="default"/>
                <w:color w:val="auto"/>
                <w:sz w:val="24"/>
                <w:highlight w:val="none"/>
                <w:lang w:val="zh-CN"/>
              </w:rPr>
              <w:t>-N</w:t>
            </w:r>
            <w:r>
              <w:rPr>
                <w:rFonts w:hint="default"/>
                <w:color w:val="auto"/>
                <w:sz w:val="24"/>
                <w:highlight w:val="none"/>
              </w:rPr>
              <w:t>的排放。</w:t>
            </w:r>
          </w:p>
          <w:p w14:paraId="326B9FF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废气污染物</w:t>
            </w:r>
          </w:p>
          <w:p w14:paraId="1AEE51C8">
            <w:pPr>
              <w:keepNext w:val="0"/>
              <w:keepLines w:val="0"/>
              <w:suppressLineNumbers w:val="0"/>
              <w:autoSpaceDE w:val="0"/>
              <w:autoSpaceDN w:val="0"/>
              <w:adjustRightInd w:val="0"/>
              <w:spacing w:before="0" w:beforeAutospacing="0" w:after="0" w:afterAutospacing="0" w:line="500" w:lineRule="exact"/>
              <w:ind w:left="0" w:right="0" w:firstLine="480" w:firstLineChars="200"/>
              <w:rPr>
                <w:rFonts w:hint="default"/>
                <w:color w:val="auto"/>
                <w:sz w:val="24"/>
                <w:szCs w:val="20"/>
                <w:highlight w:val="none"/>
              </w:rPr>
            </w:pPr>
            <w:r>
              <w:rPr>
                <w:rFonts w:hint="eastAsia"/>
                <w:color w:val="auto"/>
                <w:sz w:val="24"/>
                <w:szCs w:val="20"/>
                <w:highlight w:val="none"/>
                <w:lang w:eastAsia="zh-CN"/>
              </w:rPr>
              <w:t>项目生产采用电加热</w:t>
            </w:r>
            <w:r>
              <w:rPr>
                <w:rFonts w:hint="eastAsia"/>
                <w:color w:val="auto"/>
                <w:sz w:val="24"/>
                <w:szCs w:val="20"/>
                <w:highlight w:val="none"/>
              </w:rPr>
              <w:t>，职工日常办公供暖由空调提供，</w:t>
            </w:r>
            <w:r>
              <w:rPr>
                <w:rFonts w:hint="eastAsia"/>
                <w:color w:val="auto"/>
                <w:sz w:val="24"/>
                <w:szCs w:val="20"/>
                <w:highlight w:val="none"/>
                <w:lang w:val="zh-CN"/>
              </w:rPr>
              <w:t>不设燃煤燃气等供热设施，</w:t>
            </w:r>
            <w:r>
              <w:rPr>
                <w:rFonts w:hint="default"/>
                <w:color w:val="auto"/>
                <w:sz w:val="24"/>
                <w:szCs w:val="20"/>
                <w:highlight w:val="none"/>
              </w:rPr>
              <w:t>故不涉及废气污染物SO</w:t>
            </w:r>
            <w:r>
              <w:rPr>
                <w:rFonts w:hint="default"/>
                <w:color w:val="auto"/>
                <w:sz w:val="24"/>
                <w:szCs w:val="20"/>
                <w:highlight w:val="none"/>
                <w:vertAlign w:val="subscript"/>
              </w:rPr>
              <w:t>2</w:t>
            </w:r>
            <w:r>
              <w:rPr>
                <w:rFonts w:hint="default"/>
                <w:color w:val="auto"/>
                <w:sz w:val="24"/>
                <w:szCs w:val="20"/>
                <w:highlight w:val="none"/>
              </w:rPr>
              <w:t>、NO</w:t>
            </w:r>
            <w:r>
              <w:rPr>
                <w:rFonts w:hint="default"/>
                <w:color w:val="auto"/>
                <w:sz w:val="24"/>
                <w:szCs w:val="20"/>
                <w:highlight w:val="none"/>
                <w:vertAlign w:val="subscript"/>
              </w:rPr>
              <w:t>X</w:t>
            </w:r>
            <w:r>
              <w:rPr>
                <w:rFonts w:hint="default"/>
                <w:color w:val="auto"/>
                <w:sz w:val="24"/>
                <w:szCs w:val="20"/>
                <w:highlight w:val="none"/>
              </w:rPr>
              <w:t>的排放。因此，项目废气污染物SO</w:t>
            </w:r>
            <w:r>
              <w:rPr>
                <w:rFonts w:hint="default"/>
                <w:color w:val="auto"/>
                <w:sz w:val="24"/>
                <w:szCs w:val="20"/>
                <w:highlight w:val="none"/>
                <w:vertAlign w:val="subscript"/>
              </w:rPr>
              <w:t>2</w:t>
            </w:r>
            <w:r>
              <w:rPr>
                <w:rFonts w:hint="default"/>
                <w:color w:val="auto"/>
                <w:sz w:val="24"/>
                <w:szCs w:val="20"/>
                <w:highlight w:val="none"/>
              </w:rPr>
              <w:t>、NO</w:t>
            </w:r>
            <w:r>
              <w:rPr>
                <w:rFonts w:hint="default"/>
                <w:color w:val="auto"/>
                <w:sz w:val="24"/>
                <w:szCs w:val="20"/>
                <w:highlight w:val="none"/>
                <w:vertAlign w:val="subscript"/>
              </w:rPr>
              <w:t>X</w:t>
            </w:r>
            <w:r>
              <w:rPr>
                <w:rFonts w:hint="default"/>
                <w:color w:val="auto"/>
                <w:sz w:val="24"/>
                <w:szCs w:val="20"/>
                <w:highlight w:val="none"/>
              </w:rPr>
              <w:t>核算排放量均为0t/a。</w:t>
            </w:r>
          </w:p>
          <w:p w14:paraId="12B56562">
            <w:pPr>
              <w:keepNext w:val="0"/>
              <w:keepLines w:val="0"/>
              <w:suppressLineNumbers w:val="0"/>
              <w:autoSpaceDE w:val="0"/>
              <w:autoSpaceDN w:val="0"/>
              <w:adjustRightInd w:val="0"/>
              <w:spacing w:before="0" w:beforeAutospacing="0" w:after="0" w:afterAutospacing="0" w:line="500" w:lineRule="exact"/>
              <w:ind w:left="0" w:right="0" w:firstLine="480" w:firstLineChars="200"/>
              <w:rPr>
                <w:rFonts w:hint="default"/>
                <w:color w:val="auto"/>
                <w:sz w:val="24"/>
                <w:szCs w:val="20"/>
                <w:highlight w:val="none"/>
              </w:rPr>
            </w:pPr>
            <w:r>
              <w:rPr>
                <w:rFonts w:hint="eastAsia"/>
                <w:color w:val="auto"/>
                <w:sz w:val="24"/>
                <w:szCs w:val="20"/>
                <w:highlight w:val="none"/>
              </w:rPr>
              <w:t>项目涉及</w:t>
            </w:r>
            <w:r>
              <w:rPr>
                <w:rFonts w:hint="eastAsia"/>
                <w:color w:val="auto"/>
                <w:sz w:val="24"/>
                <w:szCs w:val="20"/>
                <w:highlight w:val="none"/>
                <w:lang w:val="en-US" w:eastAsia="zh-CN"/>
              </w:rPr>
              <w:t>挥发性有机物、颗粒物、</w:t>
            </w:r>
            <w:r>
              <w:rPr>
                <w:rFonts w:hint="default"/>
                <w:color w:val="auto"/>
                <w:sz w:val="24"/>
                <w:szCs w:val="20"/>
                <w:highlight w:val="none"/>
                <w:lang w:val="zh-CN"/>
              </w:rPr>
              <w:t>COD</w:t>
            </w:r>
            <w:r>
              <w:rPr>
                <w:rFonts w:hint="default"/>
                <w:color w:val="auto"/>
                <w:sz w:val="24"/>
                <w:szCs w:val="20"/>
                <w:highlight w:val="none"/>
              </w:rPr>
              <w:t>、</w:t>
            </w:r>
            <w:r>
              <w:rPr>
                <w:rFonts w:hint="default"/>
                <w:color w:val="auto"/>
                <w:sz w:val="24"/>
                <w:szCs w:val="20"/>
                <w:highlight w:val="none"/>
                <w:lang w:val="zh-CN"/>
              </w:rPr>
              <w:t>NH</w:t>
            </w:r>
            <w:r>
              <w:rPr>
                <w:rFonts w:hint="default"/>
                <w:color w:val="auto"/>
                <w:sz w:val="24"/>
                <w:szCs w:val="20"/>
                <w:highlight w:val="none"/>
                <w:vertAlign w:val="subscript"/>
                <w:lang w:val="zh-CN"/>
              </w:rPr>
              <w:t>3</w:t>
            </w:r>
            <w:r>
              <w:rPr>
                <w:rFonts w:hint="default"/>
                <w:color w:val="auto"/>
                <w:sz w:val="24"/>
                <w:szCs w:val="20"/>
                <w:highlight w:val="none"/>
                <w:lang w:val="zh-CN"/>
              </w:rPr>
              <w:t>-N</w:t>
            </w:r>
            <w:r>
              <w:rPr>
                <w:rFonts w:hint="eastAsia"/>
                <w:color w:val="auto"/>
                <w:sz w:val="24"/>
                <w:szCs w:val="20"/>
                <w:highlight w:val="none"/>
              </w:rPr>
              <w:t>排放。核算见下：</w:t>
            </w:r>
          </w:p>
          <w:p w14:paraId="2CD05756">
            <w:pPr>
              <w:keepNext w:val="0"/>
              <w:keepLines w:val="0"/>
              <w:suppressLineNumbers w:val="0"/>
              <w:adjustRightInd w:val="0"/>
              <w:snapToGrid w:val="0"/>
              <w:spacing w:before="0" w:beforeAutospacing="0" w:after="0" w:afterAutospacing="0"/>
              <w:ind w:left="0" w:right="0"/>
              <w:jc w:val="center"/>
              <w:rPr>
                <w:rFonts w:hint="default"/>
                <w:b/>
                <w:color w:val="auto"/>
                <w:sz w:val="24"/>
                <w:szCs w:val="20"/>
                <w:highlight w:val="none"/>
                <w:lang w:val="zh-CN"/>
              </w:rPr>
            </w:pPr>
            <w:r>
              <w:rPr>
                <w:rFonts w:hint="default"/>
                <w:b/>
                <w:color w:val="auto"/>
                <w:sz w:val="24"/>
                <w:szCs w:val="20"/>
                <w:highlight w:val="none"/>
                <w:lang w:val="zh-CN"/>
              </w:rPr>
              <w:t>表</w:t>
            </w:r>
            <w:r>
              <w:rPr>
                <w:rFonts w:hint="default"/>
                <w:b/>
                <w:color w:val="auto"/>
                <w:sz w:val="24"/>
                <w:szCs w:val="20"/>
                <w:highlight w:val="none"/>
              </w:rPr>
              <w:t>3</w:t>
            </w:r>
            <w:r>
              <w:rPr>
                <w:rFonts w:hint="eastAsia"/>
                <w:b/>
                <w:color w:val="auto"/>
                <w:sz w:val="24"/>
                <w:szCs w:val="20"/>
                <w:highlight w:val="none"/>
              </w:rPr>
              <w:t>-8</w:t>
            </w:r>
            <w:r>
              <w:rPr>
                <w:rFonts w:hint="default"/>
                <w:b/>
                <w:color w:val="auto"/>
                <w:sz w:val="24"/>
                <w:szCs w:val="20"/>
                <w:highlight w:val="none"/>
                <w:lang w:val="zh-CN"/>
              </w:rPr>
              <w:t xml:space="preserve"> </w:t>
            </w:r>
            <w:r>
              <w:rPr>
                <w:rFonts w:hint="default"/>
                <w:b/>
                <w:color w:val="auto"/>
                <w:sz w:val="24"/>
                <w:szCs w:val="20"/>
                <w:highlight w:val="none"/>
              </w:rPr>
              <w:t xml:space="preserve"> </w:t>
            </w:r>
            <w:r>
              <w:rPr>
                <w:rFonts w:hint="default"/>
                <w:b/>
                <w:color w:val="auto"/>
                <w:sz w:val="24"/>
                <w:szCs w:val="20"/>
                <w:highlight w:val="none"/>
                <w:lang w:val="zh-CN"/>
              </w:rPr>
              <w:t>污染物总量控制指标计算</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2"/>
              <w:gridCol w:w="1015"/>
              <w:gridCol w:w="2583"/>
              <w:gridCol w:w="1282"/>
              <w:gridCol w:w="950"/>
              <w:gridCol w:w="875"/>
            </w:tblGrid>
            <w:tr w14:paraId="4B0A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620C3FC8">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项目</w:t>
                  </w:r>
                </w:p>
              </w:tc>
              <w:tc>
                <w:tcPr>
                  <w:tcW w:w="662" w:type="pct"/>
                  <w:tcBorders>
                    <w:top w:val="single" w:color="auto" w:sz="4" w:space="0"/>
                    <w:left w:val="single" w:color="auto" w:sz="4" w:space="0"/>
                    <w:bottom w:val="single" w:color="auto" w:sz="4" w:space="0"/>
                    <w:right w:val="single" w:color="auto" w:sz="4" w:space="0"/>
                  </w:tcBorders>
                  <w:noWrap w:val="0"/>
                  <w:vAlign w:val="center"/>
                </w:tcPr>
                <w:p w14:paraId="50A56C4E">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lang w:val="en-US" w:eastAsia="zh-CN"/>
                    </w:rPr>
                    <w:t>排放标准/</w:t>
                  </w:r>
                  <w:r>
                    <w:rPr>
                      <w:rFonts w:hint="default"/>
                      <w:b/>
                      <w:bCs/>
                      <w:color w:val="auto"/>
                      <w:szCs w:val="21"/>
                      <w:highlight w:val="none"/>
                    </w:rPr>
                    <w:t>浓度</w:t>
                  </w:r>
                  <w:r>
                    <w:rPr>
                      <w:rFonts w:hint="eastAsia"/>
                      <w:b/>
                      <w:bCs/>
                      <w:color w:val="auto"/>
                      <w:szCs w:val="21"/>
                      <w:highlight w:val="none"/>
                      <w:lang w:eastAsia="zh-CN"/>
                    </w:rPr>
                    <w:t>（</w:t>
                  </w:r>
                  <w:r>
                    <w:rPr>
                      <w:rFonts w:hint="eastAsia"/>
                      <w:b/>
                      <w:bCs/>
                      <w:color w:val="auto"/>
                      <w:szCs w:val="21"/>
                      <w:highlight w:val="none"/>
                      <w:lang w:val="en-US" w:eastAsia="zh-CN"/>
                    </w:rPr>
                    <w:t>mg/L</w:t>
                  </w:r>
                  <w:r>
                    <w:rPr>
                      <w:rFonts w:hint="eastAsia"/>
                      <w:b/>
                      <w:bCs/>
                      <w:color w:val="auto"/>
                      <w:szCs w:val="21"/>
                      <w:highlight w:val="none"/>
                      <w:lang w:eastAsia="zh-CN"/>
                    </w:rPr>
                    <w:t>）</w:t>
                  </w:r>
                  <w:r>
                    <w:rPr>
                      <w:rFonts w:hint="eastAsia"/>
                      <w:b/>
                      <w:bCs/>
                      <w:color w:val="auto"/>
                      <w:szCs w:val="21"/>
                      <w:highlight w:val="none"/>
                      <w:lang w:val="en-US" w:eastAsia="zh-CN"/>
                    </w:rPr>
                    <w:t>/</w:t>
                  </w:r>
                  <w:r>
                    <w:rPr>
                      <w:rFonts w:hint="default"/>
                      <w:b/>
                      <w:bCs/>
                      <w:color w:val="auto"/>
                      <w:szCs w:val="21"/>
                      <w:highlight w:val="none"/>
                    </w:rPr>
                    <w:t>（mg/m</w:t>
                  </w:r>
                  <w:r>
                    <w:rPr>
                      <w:rFonts w:hint="default"/>
                      <w:b/>
                      <w:bCs/>
                      <w:color w:val="auto"/>
                      <w:szCs w:val="21"/>
                      <w:highlight w:val="none"/>
                      <w:vertAlign w:val="superscript"/>
                    </w:rPr>
                    <w:t>3</w:t>
                  </w:r>
                  <w:r>
                    <w:rPr>
                      <w:rFonts w:hint="default"/>
                      <w:b/>
                      <w:bCs/>
                      <w:color w:val="auto"/>
                      <w:szCs w:val="21"/>
                      <w:highlight w:val="none"/>
                    </w:rPr>
                    <w:t>）</w:t>
                  </w:r>
                </w:p>
              </w:tc>
              <w:tc>
                <w:tcPr>
                  <w:tcW w:w="1686" w:type="pct"/>
                  <w:tcBorders>
                    <w:top w:val="single" w:color="auto" w:sz="4" w:space="0"/>
                    <w:left w:val="single" w:color="auto" w:sz="4" w:space="0"/>
                    <w:bottom w:val="single" w:color="auto" w:sz="4" w:space="0"/>
                    <w:right w:val="single" w:color="auto" w:sz="4" w:space="0"/>
                  </w:tcBorders>
                  <w:noWrap w:val="0"/>
                  <w:vAlign w:val="center"/>
                </w:tcPr>
                <w:p w14:paraId="5760BED1">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标准来源</w:t>
                  </w:r>
                </w:p>
              </w:tc>
              <w:tc>
                <w:tcPr>
                  <w:tcW w:w="837" w:type="pct"/>
                  <w:tcBorders>
                    <w:top w:val="single" w:color="auto" w:sz="4" w:space="0"/>
                    <w:left w:val="single" w:color="auto" w:sz="4" w:space="0"/>
                    <w:bottom w:val="single" w:color="auto" w:sz="4" w:space="0"/>
                    <w:right w:val="single" w:color="auto" w:sz="4" w:space="0"/>
                  </w:tcBorders>
                  <w:noWrap w:val="0"/>
                  <w:vAlign w:val="center"/>
                </w:tcPr>
                <w:p w14:paraId="15750C93">
                  <w:pPr>
                    <w:keepNext w:val="0"/>
                    <w:keepLines w:val="0"/>
                    <w:suppressLineNumbers w:val="0"/>
                    <w:spacing w:before="0" w:beforeAutospacing="0" w:after="0" w:afterAutospacing="0"/>
                    <w:ind w:left="0" w:right="0"/>
                    <w:jc w:val="center"/>
                    <w:rPr>
                      <w:rFonts w:hint="default" w:eastAsia="宋体"/>
                      <w:b/>
                      <w:bCs/>
                      <w:color w:val="auto"/>
                      <w:szCs w:val="21"/>
                      <w:highlight w:val="none"/>
                      <w:lang w:val="en-US" w:eastAsia="zh-CN"/>
                    </w:rPr>
                  </w:pPr>
                  <w:r>
                    <w:rPr>
                      <w:rFonts w:hint="eastAsia"/>
                      <w:b/>
                      <w:bCs/>
                      <w:color w:val="auto"/>
                      <w:szCs w:val="21"/>
                      <w:highlight w:val="none"/>
                      <w:lang w:val="en-US" w:eastAsia="zh-CN"/>
                    </w:rPr>
                    <w:t>废水量（m</w:t>
                  </w:r>
                  <w:r>
                    <w:rPr>
                      <w:rFonts w:hint="eastAsia"/>
                      <w:b/>
                      <w:bCs/>
                      <w:color w:val="auto"/>
                      <w:szCs w:val="21"/>
                      <w:highlight w:val="none"/>
                      <w:vertAlign w:val="superscript"/>
                      <w:lang w:val="en-US" w:eastAsia="zh-CN"/>
                    </w:rPr>
                    <w:t>3</w:t>
                  </w:r>
                  <w:r>
                    <w:rPr>
                      <w:rFonts w:hint="eastAsia"/>
                      <w:b/>
                      <w:bCs/>
                      <w:color w:val="auto"/>
                      <w:szCs w:val="21"/>
                      <w:highlight w:val="none"/>
                      <w:lang w:val="en-US" w:eastAsia="zh-CN"/>
                    </w:rPr>
                    <w:t>/d）/</w:t>
                  </w:r>
                  <w:r>
                    <w:rPr>
                      <w:rFonts w:hint="default"/>
                      <w:b/>
                      <w:bCs/>
                      <w:color w:val="auto"/>
                      <w:szCs w:val="21"/>
                      <w:highlight w:val="none"/>
                    </w:rPr>
                    <w:t>废气量（m</w:t>
                  </w:r>
                  <w:r>
                    <w:rPr>
                      <w:rFonts w:hint="default"/>
                      <w:b/>
                      <w:bCs/>
                      <w:color w:val="auto"/>
                      <w:szCs w:val="21"/>
                      <w:highlight w:val="none"/>
                      <w:vertAlign w:val="superscript"/>
                    </w:rPr>
                    <w:t>3</w:t>
                  </w:r>
                  <w:r>
                    <w:rPr>
                      <w:rFonts w:hint="default"/>
                      <w:b/>
                      <w:bCs/>
                      <w:color w:val="auto"/>
                      <w:szCs w:val="21"/>
                      <w:highlight w:val="none"/>
                    </w:rPr>
                    <w:t>/h）</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196921D">
                  <w:pPr>
                    <w:keepNext w:val="0"/>
                    <w:keepLines w:val="0"/>
                    <w:suppressLineNumbers w:val="0"/>
                    <w:spacing w:before="0" w:beforeAutospacing="0" w:after="0" w:afterAutospacing="0"/>
                    <w:ind w:left="0" w:right="0"/>
                    <w:jc w:val="center"/>
                    <w:rPr>
                      <w:rFonts w:hint="eastAsia" w:eastAsia="宋体"/>
                      <w:b/>
                      <w:bCs/>
                      <w:color w:val="auto"/>
                      <w:szCs w:val="21"/>
                      <w:highlight w:val="none"/>
                      <w:lang w:val="en-US" w:eastAsia="zh-CN"/>
                    </w:rPr>
                  </w:pPr>
                  <w:r>
                    <w:rPr>
                      <w:rFonts w:hint="default"/>
                      <w:b/>
                      <w:bCs/>
                      <w:color w:val="auto"/>
                      <w:szCs w:val="21"/>
                      <w:highlight w:val="none"/>
                    </w:rPr>
                    <w:t>运行时间</w:t>
                  </w:r>
                  <w:r>
                    <w:rPr>
                      <w:rFonts w:hint="eastAsia"/>
                      <w:b/>
                      <w:bCs/>
                      <w:color w:val="auto"/>
                      <w:szCs w:val="21"/>
                      <w:highlight w:val="none"/>
                      <w:lang w:val="en-US" w:eastAsia="zh-CN"/>
                    </w:rPr>
                    <w:t>（d/a）/</w:t>
                  </w:r>
                  <w:r>
                    <w:rPr>
                      <w:rFonts w:hint="default"/>
                      <w:b/>
                      <w:bCs/>
                      <w:color w:val="auto"/>
                      <w:szCs w:val="21"/>
                      <w:highlight w:val="none"/>
                    </w:rPr>
                    <w:t>（h/a）</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2E12B14">
                  <w:pPr>
                    <w:keepNext w:val="0"/>
                    <w:keepLines w:val="0"/>
                    <w:suppressLineNumbers w:val="0"/>
                    <w:spacing w:before="0" w:beforeAutospacing="0" w:after="0" w:afterAutospacing="0"/>
                    <w:ind w:left="0" w:right="0"/>
                    <w:jc w:val="center"/>
                    <w:rPr>
                      <w:rFonts w:hint="eastAsia"/>
                      <w:b/>
                      <w:bCs/>
                      <w:color w:val="auto"/>
                      <w:szCs w:val="21"/>
                      <w:highlight w:val="none"/>
                    </w:rPr>
                  </w:pPr>
                  <w:r>
                    <w:rPr>
                      <w:rFonts w:hint="default"/>
                      <w:b/>
                      <w:bCs/>
                      <w:color w:val="auto"/>
                      <w:szCs w:val="21"/>
                      <w:highlight w:val="none"/>
                    </w:rPr>
                    <w:t>污染物年排放量（t/a）</w:t>
                  </w:r>
                </w:p>
              </w:tc>
            </w:tr>
            <w:tr w14:paraId="3391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right w:val="single" w:color="auto" w:sz="4" w:space="0"/>
                  </w:tcBorders>
                  <w:noWrap w:val="0"/>
                  <w:vAlign w:val="center"/>
                </w:tcPr>
                <w:p w14:paraId="06B55AB7">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COD</w:t>
                  </w:r>
                </w:p>
              </w:tc>
              <w:tc>
                <w:tcPr>
                  <w:tcW w:w="662" w:type="pct"/>
                  <w:tcBorders>
                    <w:top w:val="single" w:color="auto" w:sz="4" w:space="0"/>
                    <w:left w:val="single" w:color="auto" w:sz="4" w:space="0"/>
                    <w:right w:val="single" w:color="auto" w:sz="4" w:space="0"/>
                  </w:tcBorders>
                  <w:noWrap w:val="0"/>
                  <w:vAlign w:val="center"/>
                </w:tcPr>
                <w:p w14:paraId="5641A69F">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1686" w:type="pct"/>
                  <w:vMerge w:val="restart"/>
                  <w:tcBorders>
                    <w:top w:val="single" w:color="auto" w:sz="4" w:space="0"/>
                    <w:left w:val="single" w:color="auto" w:sz="4" w:space="0"/>
                    <w:right w:val="single" w:color="auto" w:sz="4" w:space="0"/>
                  </w:tcBorders>
                  <w:noWrap w:val="0"/>
                  <w:vAlign w:val="center"/>
                </w:tcPr>
                <w:p w14:paraId="5817FD98">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eastAsia="宋体"/>
                      <w:color w:val="auto"/>
                      <w:szCs w:val="21"/>
                      <w:highlight w:val="none"/>
                      <w:lang w:eastAsia="zh-CN"/>
                    </w:rPr>
                    <w:t>《子牙河流域水污染物排放标准》（DB13/2796-2018）表1标准中的“重点控制区排放限值”</w:t>
                  </w:r>
                </w:p>
              </w:tc>
              <w:tc>
                <w:tcPr>
                  <w:tcW w:w="837" w:type="pct"/>
                  <w:tcBorders>
                    <w:top w:val="single" w:color="auto" w:sz="4" w:space="0"/>
                    <w:left w:val="single" w:color="auto" w:sz="4" w:space="0"/>
                    <w:bottom w:val="single" w:color="auto" w:sz="4" w:space="0"/>
                    <w:right w:val="single" w:color="auto" w:sz="4" w:space="0"/>
                  </w:tcBorders>
                  <w:noWrap w:val="0"/>
                  <w:vAlign w:val="center"/>
                </w:tcPr>
                <w:p w14:paraId="7D45507B">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0.64</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68D9C4D">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79989C0">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0.00768≈0.008</w:t>
                  </w:r>
                </w:p>
              </w:tc>
            </w:tr>
            <w:tr w14:paraId="7B5C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right w:val="single" w:color="auto" w:sz="4" w:space="0"/>
                  </w:tcBorders>
                  <w:noWrap w:val="0"/>
                  <w:vAlign w:val="center"/>
                </w:tcPr>
                <w:p w14:paraId="6BC3EF85">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氨氮</w:t>
                  </w:r>
                </w:p>
              </w:tc>
              <w:tc>
                <w:tcPr>
                  <w:tcW w:w="662" w:type="pct"/>
                  <w:tcBorders>
                    <w:top w:val="single" w:color="auto" w:sz="4" w:space="0"/>
                    <w:left w:val="single" w:color="auto" w:sz="4" w:space="0"/>
                    <w:right w:val="single" w:color="auto" w:sz="4" w:space="0"/>
                  </w:tcBorders>
                  <w:noWrap w:val="0"/>
                  <w:vAlign w:val="center"/>
                </w:tcPr>
                <w:p w14:paraId="618D49D1">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2.0</w:t>
                  </w:r>
                </w:p>
              </w:tc>
              <w:tc>
                <w:tcPr>
                  <w:tcW w:w="1686" w:type="pct"/>
                  <w:vMerge w:val="continue"/>
                  <w:tcBorders>
                    <w:left w:val="single" w:color="auto" w:sz="4" w:space="0"/>
                    <w:right w:val="single" w:color="auto" w:sz="4" w:space="0"/>
                  </w:tcBorders>
                  <w:noWrap w:val="0"/>
                  <w:vAlign w:val="center"/>
                </w:tcPr>
                <w:p w14:paraId="0E4228FC">
                  <w:pPr>
                    <w:keepNext w:val="0"/>
                    <w:keepLines w:val="0"/>
                    <w:suppressLineNumbers w:val="0"/>
                    <w:spacing w:before="0" w:beforeAutospacing="0" w:after="0" w:afterAutospacing="0"/>
                    <w:ind w:left="0" w:right="0"/>
                    <w:jc w:val="center"/>
                    <w:rPr>
                      <w:rFonts w:hint="eastAsia"/>
                      <w:color w:val="auto"/>
                      <w:szCs w:val="21"/>
                      <w:highlight w:val="none"/>
                    </w:rPr>
                  </w:pPr>
                </w:p>
              </w:tc>
              <w:tc>
                <w:tcPr>
                  <w:tcW w:w="837" w:type="pct"/>
                  <w:tcBorders>
                    <w:top w:val="single" w:color="auto" w:sz="4" w:space="0"/>
                    <w:left w:val="single" w:color="auto" w:sz="4" w:space="0"/>
                    <w:bottom w:val="single" w:color="auto" w:sz="4" w:space="0"/>
                    <w:right w:val="single" w:color="auto" w:sz="4" w:space="0"/>
                  </w:tcBorders>
                  <w:noWrap w:val="0"/>
                  <w:vAlign w:val="center"/>
                </w:tcPr>
                <w:p w14:paraId="1A043446">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0.64</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0E65CE40">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2BBAF89">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0.000384≈0</w:t>
                  </w:r>
                </w:p>
              </w:tc>
            </w:tr>
            <w:tr w14:paraId="3343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right w:val="single" w:color="auto" w:sz="4" w:space="0"/>
                  </w:tcBorders>
                  <w:shd w:val="clear" w:color="auto" w:fill="auto"/>
                  <w:noWrap w:val="0"/>
                  <w:vAlign w:val="center"/>
                </w:tcPr>
                <w:p w14:paraId="744D31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非甲烷总烃</w:t>
                  </w:r>
                </w:p>
              </w:tc>
              <w:tc>
                <w:tcPr>
                  <w:tcW w:w="662" w:type="pct"/>
                  <w:tcBorders>
                    <w:top w:val="single" w:color="auto" w:sz="4" w:space="0"/>
                    <w:left w:val="single" w:color="auto" w:sz="4" w:space="0"/>
                    <w:right w:val="single" w:color="auto" w:sz="4" w:space="0"/>
                  </w:tcBorders>
                  <w:shd w:val="clear" w:color="auto" w:fill="auto"/>
                  <w:noWrap w:val="0"/>
                  <w:vAlign w:val="center"/>
                </w:tcPr>
                <w:p w14:paraId="32492D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2.377</w:t>
                  </w:r>
                </w:p>
              </w:tc>
              <w:tc>
                <w:tcPr>
                  <w:tcW w:w="2583" w:type="dxa"/>
                  <w:tcBorders>
                    <w:top w:val="single" w:color="auto" w:sz="4" w:space="0"/>
                    <w:left w:val="single" w:color="auto" w:sz="4" w:space="0"/>
                    <w:right w:val="single" w:color="auto" w:sz="4" w:space="0"/>
                  </w:tcBorders>
                  <w:shd w:val="clear" w:color="auto" w:fill="auto"/>
                  <w:noWrap w:val="0"/>
                  <w:vAlign w:val="center"/>
                </w:tcPr>
                <w:p w14:paraId="0A5CA2A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s="Times New Roman"/>
                      <w:smallCaps w:val="0"/>
                      <w:color w:val="auto"/>
                      <w:spacing w:val="0"/>
                      <w:szCs w:val="21"/>
                      <w:highlight w:val="none"/>
                      <w:lang w:val="en-US" w:eastAsia="zh-CN"/>
                    </w:rPr>
                    <w:t>《工业企业挥发性有机物排放控制标准》（DB13/2322-2025）表1（塑料制品制造）标准</w:t>
                  </w:r>
                </w:p>
              </w:tc>
              <w:tc>
                <w:tcPr>
                  <w:tcW w:w="83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8799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40D82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4800</w:t>
                  </w:r>
                </w:p>
              </w:tc>
              <w:tc>
                <w:tcPr>
                  <w:tcW w:w="5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E416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0.114096</w:t>
                  </w:r>
                  <w:r>
                    <w:rPr>
                      <w:rFonts w:hint="eastAsia"/>
                      <w:color w:val="auto"/>
                      <w:szCs w:val="21"/>
                      <w:highlight w:val="none"/>
                      <w:lang w:val="en-US" w:eastAsia="zh-CN"/>
                    </w:rPr>
                    <w:t>≈</w:t>
                  </w:r>
                  <w:r>
                    <w:rPr>
                      <w:rFonts w:hint="eastAsia" w:cs="Times New Roman"/>
                      <w:color w:val="auto"/>
                      <w:kern w:val="2"/>
                      <w:sz w:val="21"/>
                      <w:szCs w:val="21"/>
                      <w:highlight w:val="none"/>
                      <w:lang w:val="en-US" w:eastAsia="zh-CN" w:bidi="ar-SA"/>
                    </w:rPr>
                    <w:t>0.114</w:t>
                  </w:r>
                </w:p>
              </w:tc>
            </w:tr>
            <w:tr w14:paraId="7A43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right w:val="single" w:color="auto" w:sz="4" w:space="0"/>
                  </w:tcBorders>
                  <w:shd w:val="clear" w:color="auto" w:fill="auto"/>
                  <w:noWrap w:val="0"/>
                  <w:vAlign w:val="center"/>
                </w:tcPr>
                <w:p w14:paraId="16D8271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颗粒物</w:t>
                  </w:r>
                </w:p>
              </w:tc>
              <w:tc>
                <w:tcPr>
                  <w:tcW w:w="662" w:type="pct"/>
                  <w:tcBorders>
                    <w:top w:val="single" w:color="auto" w:sz="4" w:space="0"/>
                    <w:left w:val="single" w:color="auto" w:sz="4" w:space="0"/>
                    <w:right w:val="single" w:color="auto" w:sz="4" w:space="0"/>
                  </w:tcBorders>
                  <w:shd w:val="clear" w:color="auto" w:fill="auto"/>
                  <w:noWrap w:val="0"/>
                  <w:vAlign w:val="center"/>
                </w:tcPr>
                <w:p w14:paraId="38226B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4.688</w:t>
                  </w:r>
                </w:p>
              </w:tc>
              <w:tc>
                <w:tcPr>
                  <w:tcW w:w="2583" w:type="dxa"/>
                  <w:tcBorders>
                    <w:top w:val="single" w:color="auto" w:sz="4" w:space="0"/>
                    <w:left w:val="single" w:color="auto" w:sz="4" w:space="0"/>
                    <w:right w:val="single" w:color="auto" w:sz="4" w:space="0"/>
                  </w:tcBorders>
                  <w:shd w:val="clear" w:color="auto" w:fill="auto"/>
                  <w:noWrap w:val="0"/>
                  <w:vAlign w:val="center"/>
                </w:tcPr>
                <w:p w14:paraId="1EC106B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szCs w:val="21"/>
                      <w:highlight w:val="none"/>
                      <w:lang w:eastAsia="zh-CN"/>
                    </w:rPr>
                    <w:t>《合成树脂工业污染物排放标准》（GB31572-2015）（含2024年修改单）表5标准</w:t>
                  </w:r>
                </w:p>
              </w:tc>
              <w:tc>
                <w:tcPr>
                  <w:tcW w:w="83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EC31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90DED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4800</w:t>
                  </w:r>
                </w:p>
              </w:tc>
              <w:tc>
                <w:tcPr>
                  <w:tcW w:w="57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294B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0.225024</w:t>
                  </w:r>
                  <w:r>
                    <w:rPr>
                      <w:rFonts w:hint="eastAsia"/>
                      <w:color w:val="auto"/>
                      <w:szCs w:val="21"/>
                      <w:highlight w:val="none"/>
                      <w:lang w:val="en-US" w:eastAsia="zh-CN"/>
                    </w:rPr>
                    <w:t>≈</w:t>
                  </w:r>
                  <w:r>
                    <w:rPr>
                      <w:rFonts w:hint="eastAsia" w:cs="Times New Roman"/>
                      <w:color w:val="auto"/>
                      <w:kern w:val="2"/>
                      <w:sz w:val="21"/>
                      <w:szCs w:val="21"/>
                      <w:highlight w:val="none"/>
                      <w:lang w:val="en-US" w:eastAsia="zh-CN" w:bidi="ar-SA"/>
                    </w:rPr>
                    <w:t>0.225</w:t>
                  </w:r>
                </w:p>
              </w:tc>
            </w:tr>
            <w:tr w14:paraId="0091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290996DB">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核算公式</w:t>
                  </w:r>
                </w:p>
              </w:tc>
              <w:tc>
                <w:tcPr>
                  <w:tcW w:w="4378" w:type="pct"/>
                  <w:gridSpan w:val="5"/>
                  <w:tcBorders>
                    <w:top w:val="single" w:color="auto" w:sz="4" w:space="0"/>
                    <w:left w:val="single" w:color="auto" w:sz="4" w:space="0"/>
                    <w:bottom w:val="single" w:color="auto" w:sz="4" w:space="0"/>
                    <w:right w:val="single" w:color="auto" w:sz="4" w:space="0"/>
                  </w:tcBorders>
                  <w:noWrap w:val="0"/>
                  <w:vAlign w:val="center"/>
                </w:tcPr>
                <w:p w14:paraId="49EE3034">
                  <w:pPr>
                    <w:keepNext w:val="0"/>
                    <w:keepLines w:val="0"/>
                    <w:suppressLineNumbers w:val="0"/>
                    <w:spacing w:before="0" w:beforeAutospacing="0" w:after="0" w:afterAutospacing="0"/>
                    <w:ind w:left="0" w:right="0"/>
                    <w:jc w:val="center"/>
                    <w:rPr>
                      <w:rFonts w:hint="eastAsia" w:eastAsia="宋体"/>
                      <w:color w:val="auto"/>
                      <w:szCs w:val="21"/>
                      <w:highlight w:val="none"/>
                      <w:vertAlign w:val="superscript"/>
                      <w:lang w:eastAsia="zh-CN"/>
                    </w:rPr>
                  </w:pPr>
                  <w:r>
                    <w:rPr>
                      <w:rFonts w:hint="default"/>
                      <w:color w:val="auto"/>
                      <w:szCs w:val="21"/>
                      <w:highlight w:val="none"/>
                    </w:rPr>
                    <w:t>污染物排放量（t/a）=污染物浓度（mg/</w:t>
                  </w:r>
                  <w:r>
                    <w:rPr>
                      <w:rFonts w:hint="eastAsia"/>
                      <w:color w:val="auto"/>
                      <w:szCs w:val="21"/>
                      <w:highlight w:val="none"/>
                      <w:lang w:val="en-US" w:eastAsia="zh-CN"/>
                    </w:rPr>
                    <w:t>L</w:t>
                  </w:r>
                  <w:r>
                    <w:rPr>
                      <w:rFonts w:hint="default"/>
                      <w:color w:val="auto"/>
                      <w:szCs w:val="21"/>
                      <w:highlight w:val="none"/>
                    </w:rPr>
                    <w:t>）×废</w:t>
                  </w:r>
                  <w:r>
                    <w:rPr>
                      <w:rFonts w:hint="eastAsia"/>
                      <w:color w:val="auto"/>
                      <w:szCs w:val="21"/>
                      <w:highlight w:val="none"/>
                      <w:lang w:val="en-US" w:eastAsia="zh-CN"/>
                    </w:rPr>
                    <w:t>水</w:t>
                  </w:r>
                  <w:r>
                    <w:rPr>
                      <w:rFonts w:hint="default"/>
                      <w:color w:val="auto"/>
                      <w:szCs w:val="21"/>
                      <w:highlight w:val="none"/>
                    </w:rPr>
                    <w:t>量（m</w:t>
                  </w:r>
                  <w:r>
                    <w:rPr>
                      <w:rFonts w:hint="default"/>
                      <w:color w:val="auto"/>
                      <w:szCs w:val="21"/>
                      <w:highlight w:val="none"/>
                      <w:vertAlign w:val="superscript"/>
                    </w:rPr>
                    <w:t>3</w:t>
                  </w:r>
                  <w:r>
                    <w:rPr>
                      <w:rFonts w:hint="default"/>
                      <w:color w:val="auto"/>
                      <w:szCs w:val="21"/>
                      <w:highlight w:val="none"/>
                    </w:rPr>
                    <w:t>/</w:t>
                  </w:r>
                  <w:r>
                    <w:rPr>
                      <w:rFonts w:hint="eastAsia"/>
                      <w:color w:val="auto"/>
                      <w:szCs w:val="21"/>
                      <w:highlight w:val="none"/>
                      <w:lang w:val="en-US" w:eastAsia="zh-CN"/>
                    </w:rPr>
                    <w:t>d</w:t>
                  </w:r>
                  <w:r>
                    <w:rPr>
                      <w:rFonts w:hint="default"/>
                      <w:color w:val="auto"/>
                      <w:szCs w:val="21"/>
                      <w:highlight w:val="none"/>
                    </w:rPr>
                    <w:t>）×运行时间（</w:t>
                  </w:r>
                  <w:r>
                    <w:rPr>
                      <w:rFonts w:hint="eastAsia"/>
                      <w:color w:val="auto"/>
                      <w:szCs w:val="21"/>
                      <w:highlight w:val="none"/>
                      <w:lang w:val="en-US" w:eastAsia="zh-CN"/>
                    </w:rPr>
                    <w:t>d</w:t>
                  </w:r>
                  <w:r>
                    <w:rPr>
                      <w:rFonts w:hint="default"/>
                      <w:color w:val="auto"/>
                      <w:szCs w:val="21"/>
                      <w:highlight w:val="none"/>
                    </w:rPr>
                    <w:t>/a）/10</w:t>
                  </w:r>
                  <w:r>
                    <w:rPr>
                      <w:rFonts w:hint="eastAsia"/>
                      <w:color w:val="auto"/>
                      <w:szCs w:val="21"/>
                      <w:highlight w:val="none"/>
                      <w:vertAlign w:val="superscript"/>
                      <w:lang w:val="en-US" w:eastAsia="zh-CN"/>
                    </w:rPr>
                    <w:t>6</w:t>
                  </w:r>
                </w:p>
                <w:p w14:paraId="6F59237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污染物排放量（t/a）=污染物浓度（mg/m</w:t>
                  </w:r>
                  <w:r>
                    <w:rPr>
                      <w:rFonts w:hint="default"/>
                      <w:color w:val="auto"/>
                      <w:szCs w:val="21"/>
                      <w:highlight w:val="none"/>
                      <w:vertAlign w:val="superscript"/>
                    </w:rPr>
                    <w:t>3</w:t>
                  </w:r>
                  <w:r>
                    <w:rPr>
                      <w:rFonts w:hint="default"/>
                      <w:color w:val="auto"/>
                      <w:szCs w:val="21"/>
                      <w:highlight w:val="none"/>
                    </w:rPr>
                    <w:t>）×废气量（m</w:t>
                  </w:r>
                  <w:r>
                    <w:rPr>
                      <w:rFonts w:hint="default"/>
                      <w:color w:val="auto"/>
                      <w:szCs w:val="21"/>
                      <w:highlight w:val="none"/>
                      <w:vertAlign w:val="superscript"/>
                    </w:rPr>
                    <w:t>3</w:t>
                  </w:r>
                  <w:r>
                    <w:rPr>
                      <w:rFonts w:hint="default"/>
                      <w:color w:val="auto"/>
                      <w:szCs w:val="21"/>
                      <w:highlight w:val="none"/>
                    </w:rPr>
                    <w:t>/h）×运行时间（h/a）/10</w:t>
                  </w:r>
                  <w:r>
                    <w:rPr>
                      <w:rFonts w:hint="default"/>
                      <w:color w:val="auto"/>
                      <w:szCs w:val="21"/>
                      <w:highlight w:val="none"/>
                      <w:vertAlign w:val="superscript"/>
                    </w:rPr>
                    <w:t>9</w:t>
                  </w:r>
                </w:p>
              </w:tc>
            </w:tr>
            <w:tr w14:paraId="1961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6CFCEAAA">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核算结果</w:t>
                  </w:r>
                </w:p>
              </w:tc>
              <w:tc>
                <w:tcPr>
                  <w:tcW w:w="4378" w:type="pct"/>
                  <w:gridSpan w:val="5"/>
                  <w:tcBorders>
                    <w:top w:val="single" w:color="auto" w:sz="4" w:space="0"/>
                    <w:left w:val="single" w:color="auto" w:sz="4" w:space="0"/>
                    <w:bottom w:val="single" w:color="auto" w:sz="4" w:space="0"/>
                    <w:right w:val="single" w:color="auto" w:sz="4" w:space="0"/>
                  </w:tcBorders>
                  <w:noWrap w:val="0"/>
                  <w:vAlign w:val="center"/>
                </w:tcPr>
                <w:p w14:paraId="6A163A8A">
                  <w:pPr>
                    <w:keepNext w:val="0"/>
                    <w:keepLines w:val="0"/>
                    <w:suppressLineNumbers w:val="0"/>
                    <w:spacing w:before="0" w:beforeAutospacing="0" w:after="0" w:afterAutospacing="0"/>
                    <w:ind w:left="0" w:right="0"/>
                    <w:jc w:val="center"/>
                    <w:rPr>
                      <w:rFonts w:hint="eastAsia"/>
                      <w:color w:val="auto"/>
                      <w:szCs w:val="21"/>
                      <w:highlight w:val="none"/>
                    </w:rPr>
                  </w:pPr>
                  <w:r>
                    <w:rPr>
                      <w:rFonts w:hint="default"/>
                      <w:color w:val="auto"/>
                      <w:szCs w:val="21"/>
                      <w:highlight w:val="none"/>
                    </w:rPr>
                    <w:t>由公式核算可知，污染物总量指标为：COD：</w:t>
                  </w:r>
                  <w:r>
                    <w:rPr>
                      <w:rFonts w:hint="eastAsia"/>
                      <w:color w:val="auto"/>
                      <w:szCs w:val="21"/>
                      <w:highlight w:val="none"/>
                      <w:lang w:val="en-US" w:eastAsia="zh-CN"/>
                    </w:rPr>
                    <w:t>0.008</w:t>
                  </w:r>
                  <w:r>
                    <w:rPr>
                      <w:rFonts w:hint="default"/>
                      <w:color w:val="auto"/>
                      <w:szCs w:val="21"/>
                      <w:highlight w:val="none"/>
                    </w:rPr>
                    <w:t>t/a、氨氮：</w:t>
                  </w:r>
                  <w:r>
                    <w:rPr>
                      <w:rFonts w:hint="eastAsia"/>
                      <w:color w:val="auto"/>
                      <w:szCs w:val="21"/>
                      <w:highlight w:val="none"/>
                      <w:lang w:val="en-US" w:eastAsia="zh-CN"/>
                    </w:rPr>
                    <w:t>0.000</w:t>
                  </w:r>
                  <w:r>
                    <w:rPr>
                      <w:rFonts w:hint="default"/>
                      <w:color w:val="auto"/>
                      <w:szCs w:val="21"/>
                      <w:highlight w:val="none"/>
                    </w:rPr>
                    <w:t>t/a</w:t>
                  </w:r>
                  <w:r>
                    <w:rPr>
                      <w:rFonts w:hint="eastAsia"/>
                      <w:color w:val="auto"/>
                      <w:szCs w:val="21"/>
                      <w:highlight w:val="none"/>
                    </w:rPr>
                    <w:t>、</w:t>
                  </w:r>
                  <w:r>
                    <w:rPr>
                      <w:rFonts w:hint="default"/>
                      <w:color w:val="auto"/>
                      <w:szCs w:val="21"/>
                      <w:highlight w:val="none"/>
                    </w:rPr>
                    <w:t>SO</w:t>
                  </w:r>
                  <w:r>
                    <w:rPr>
                      <w:rFonts w:hint="default"/>
                      <w:color w:val="auto"/>
                      <w:szCs w:val="21"/>
                      <w:highlight w:val="none"/>
                      <w:vertAlign w:val="subscript"/>
                    </w:rPr>
                    <w:t>2</w:t>
                  </w:r>
                  <w:r>
                    <w:rPr>
                      <w:rFonts w:hint="default"/>
                      <w:color w:val="auto"/>
                      <w:szCs w:val="21"/>
                      <w:highlight w:val="none"/>
                    </w:rPr>
                    <w:t>：0t/a、NOx：0t/a</w:t>
                  </w:r>
                  <w:r>
                    <w:rPr>
                      <w:rFonts w:hint="eastAsia"/>
                      <w:color w:val="auto"/>
                      <w:szCs w:val="21"/>
                      <w:highlight w:val="none"/>
                      <w:lang w:eastAsia="zh-CN"/>
                    </w:rPr>
                    <w:t>、</w:t>
                  </w:r>
                  <w:r>
                    <w:rPr>
                      <w:rFonts w:hint="eastAsia"/>
                      <w:color w:val="auto"/>
                      <w:szCs w:val="21"/>
                      <w:highlight w:val="none"/>
                      <w:lang w:val="en-US" w:eastAsia="zh-CN"/>
                    </w:rPr>
                    <w:t>挥发性有机物：0.114t/a</w:t>
                  </w:r>
                  <w:r>
                    <w:rPr>
                      <w:rFonts w:hint="eastAsia"/>
                      <w:color w:val="auto"/>
                      <w:szCs w:val="21"/>
                      <w:highlight w:val="none"/>
                    </w:rPr>
                    <w:t>、颗粒物：</w:t>
                  </w:r>
                  <w:r>
                    <w:rPr>
                      <w:rFonts w:hint="eastAsia"/>
                      <w:color w:val="auto"/>
                      <w:szCs w:val="21"/>
                      <w:highlight w:val="none"/>
                      <w:lang w:val="en-US" w:eastAsia="zh-CN"/>
                    </w:rPr>
                    <w:t>0.225</w:t>
                  </w:r>
                  <w:r>
                    <w:rPr>
                      <w:rFonts w:hint="default"/>
                      <w:color w:val="auto"/>
                      <w:szCs w:val="21"/>
                      <w:highlight w:val="none"/>
                    </w:rPr>
                    <w:t>t/a</w:t>
                  </w:r>
                  <w:r>
                    <w:rPr>
                      <w:rFonts w:hint="eastAsia"/>
                      <w:color w:val="auto"/>
                      <w:szCs w:val="21"/>
                      <w:highlight w:val="none"/>
                    </w:rPr>
                    <w:t>。</w:t>
                  </w:r>
                </w:p>
              </w:tc>
            </w:tr>
          </w:tbl>
          <w:p w14:paraId="75EB5A4E">
            <w:pPr>
              <w:keepNext w:val="0"/>
              <w:keepLines w:val="0"/>
              <w:suppressLineNumbers w:val="0"/>
              <w:spacing w:before="0" w:beforeAutospacing="0" w:after="0" w:afterAutospacing="0" w:line="500" w:lineRule="exact"/>
              <w:ind w:left="0" w:right="0" w:firstLine="480" w:firstLineChars="200"/>
              <w:rPr>
                <w:rFonts w:hint="default"/>
                <w:bCs/>
                <w:color w:val="auto"/>
                <w:kern w:val="0"/>
                <w:sz w:val="24"/>
                <w:szCs w:val="20"/>
                <w:highlight w:val="none"/>
              </w:rPr>
            </w:pPr>
            <w:r>
              <w:rPr>
                <w:rFonts w:hint="default"/>
                <w:bCs/>
                <w:color w:val="auto"/>
                <w:kern w:val="0"/>
                <w:sz w:val="24"/>
                <w:szCs w:val="20"/>
                <w:highlight w:val="none"/>
              </w:rPr>
              <w:t>根据分析结果，项目实施后上述各污染因子的总量控制值为：COD：</w:t>
            </w:r>
            <w:r>
              <w:rPr>
                <w:rFonts w:hint="eastAsia"/>
                <w:bCs/>
                <w:color w:val="auto"/>
                <w:kern w:val="0"/>
                <w:sz w:val="24"/>
                <w:szCs w:val="20"/>
                <w:highlight w:val="none"/>
                <w:lang w:val="en-US" w:eastAsia="zh-CN"/>
              </w:rPr>
              <w:t>0.008</w:t>
            </w:r>
            <w:r>
              <w:rPr>
                <w:rFonts w:hint="default"/>
                <w:bCs/>
                <w:color w:val="auto"/>
                <w:kern w:val="0"/>
                <w:sz w:val="24"/>
                <w:szCs w:val="20"/>
                <w:highlight w:val="none"/>
              </w:rPr>
              <w:t>t/a、氨氮：0t/a</w:t>
            </w:r>
            <w:r>
              <w:rPr>
                <w:rFonts w:hint="eastAsia"/>
                <w:color w:val="auto"/>
                <w:sz w:val="24"/>
                <w:szCs w:val="20"/>
                <w:highlight w:val="none"/>
              </w:rPr>
              <w:t>、</w:t>
            </w:r>
            <w:r>
              <w:rPr>
                <w:rFonts w:hint="default"/>
                <w:bCs/>
                <w:color w:val="auto"/>
                <w:kern w:val="0"/>
                <w:sz w:val="24"/>
                <w:szCs w:val="20"/>
                <w:highlight w:val="none"/>
              </w:rPr>
              <w:t>SO</w:t>
            </w:r>
            <w:r>
              <w:rPr>
                <w:rFonts w:hint="default"/>
                <w:bCs/>
                <w:color w:val="auto"/>
                <w:kern w:val="0"/>
                <w:sz w:val="24"/>
                <w:szCs w:val="20"/>
                <w:highlight w:val="none"/>
                <w:vertAlign w:val="subscript"/>
              </w:rPr>
              <w:t>2</w:t>
            </w:r>
            <w:r>
              <w:rPr>
                <w:rFonts w:hint="default"/>
                <w:bCs/>
                <w:color w:val="auto"/>
                <w:kern w:val="0"/>
                <w:sz w:val="24"/>
                <w:szCs w:val="20"/>
                <w:highlight w:val="none"/>
              </w:rPr>
              <w:t>：0t/a、NOx：0t/a</w:t>
            </w:r>
            <w:r>
              <w:rPr>
                <w:rFonts w:hint="eastAsia"/>
                <w:bCs/>
                <w:color w:val="auto"/>
                <w:kern w:val="0"/>
                <w:sz w:val="24"/>
                <w:szCs w:val="20"/>
                <w:highlight w:val="none"/>
              </w:rPr>
              <w:t>、挥发性有机物：</w:t>
            </w:r>
            <w:r>
              <w:rPr>
                <w:rFonts w:hint="eastAsia"/>
                <w:bCs/>
                <w:color w:val="auto"/>
                <w:kern w:val="0"/>
                <w:sz w:val="24"/>
                <w:szCs w:val="20"/>
                <w:highlight w:val="none"/>
                <w:lang w:val="en-US" w:eastAsia="zh-CN"/>
              </w:rPr>
              <w:t>0.114</w:t>
            </w:r>
            <w:r>
              <w:rPr>
                <w:rFonts w:hint="eastAsia"/>
                <w:bCs/>
                <w:color w:val="auto"/>
                <w:kern w:val="0"/>
                <w:sz w:val="24"/>
                <w:szCs w:val="20"/>
                <w:highlight w:val="none"/>
              </w:rPr>
              <w:t>t/a</w:t>
            </w:r>
            <w:r>
              <w:rPr>
                <w:rFonts w:hint="eastAsia"/>
                <w:color w:val="auto"/>
                <w:sz w:val="24"/>
                <w:szCs w:val="20"/>
                <w:highlight w:val="none"/>
              </w:rPr>
              <w:t>、颗粒物：</w:t>
            </w:r>
            <w:r>
              <w:rPr>
                <w:rFonts w:hint="eastAsia"/>
                <w:color w:val="auto"/>
                <w:sz w:val="24"/>
                <w:szCs w:val="20"/>
                <w:highlight w:val="none"/>
                <w:lang w:val="en-US" w:eastAsia="zh-CN"/>
              </w:rPr>
              <w:t>0.225</w:t>
            </w:r>
            <w:r>
              <w:rPr>
                <w:rFonts w:hint="default"/>
                <w:color w:val="auto"/>
                <w:sz w:val="24"/>
                <w:szCs w:val="20"/>
                <w:highlight w:val="none"/>
              </w:rPr>
              <w:t>t/a</w:t>
            </w:r>
            <w:r>
              <w:rPr>
                <w:rFonts w:hint="eastAsia"/>
                <w:color w:val="auto"/>
                <w:sz w:val="24"/>
                <w:szCs w:val="20"/>
                <w:highlight w:val="none"/>
              </w:rPr>
              <w:t>。</w:t>
            </w:r>
          </w:p>
          <w:p w14:paraId="4424A348">
            <w:pPr>
              <w:keepNext w:val="0"/>
              <w:keepLines w:val="0"/>
              <w:suppressLineNumbers w:val="0"/>
              <w:spacing w:before="0" w:beforeAutospacing="0" w:after="0" w:afterAutospacing="0" w:line="500" w:lineRule="exact"/>
              <w:ind w:left="0" w:right="0" w:firstLine="480" w:firstLineChars="200"/>
              <w:rPr>
                <w:rFonts w:hint="default"/>
                <w:color w:val="auto"/>
                <w:sz w:val="24"/>
                <w:szCs w:val="20"/>
                <w:highlight w:val="none"/>
              </w:rPr>
            </w:pPr>
            <w:r>
              <w:rPr>
                <w:rFonts w:hint="eastAsia"/>
                <w:bCs/>
                <w:color w:val="auto"/>
                <w:kern w:val="0"/>
                <w:sz w:val="24"/>
                <w:szCs w:val="20"/>
                <w:highlight w:val="none"/>
              </w:rPr>
              <w:t>（3）</w:t>
            </w:r>
            <w:r>
              <w:rPr>
                <w:rFonts w:hint="eastAsia"/>
                <w:color w:val="auto"/>
                <w:sz w:val="24"/>
                <w:szCs w:val="20"/>
                <w:highlight w:val="none"/>
              </w:rPr>
              <w:t>小结</w:t>
            </w:r>
          </w:p>
          <w:p w14:paraId="5C5FB8C0">
            <w:pPr>
              <w:keepNext w:val="0"/>
              <w:keepLines w:val="0"/>
              <w:suppressLineNumbers w:val="0"/>
              <w:spacing w:before="0" w:beforeAutospacing="0" w:after="0" w:afterAutospacing="0" w:line="500" w:lineRule="exact"/>
              <w:ind w:left="0" w:right="0" w:firstLine="480" w:firstLineChars="200"/>
              <w:rPr>
                <w:rFonts w:hint="eastAsia"/>
                <w:color w:val="auto"/>
                <w:sz w:val="24"/>
                <w:szCs w:val="20"/>
                <w:highlight w:val="none"/>
              </w:rPr>
            </w:pPr>
            <w:r>
              <w:rPr>
                <w:rFonts w:hint="default"/>
                <w:color w:val="auto"/>
                <w:sz w:val="24"/>
                <w:szCs w:val="20"/>
                <w:highlight w:val="none"/>
                <w:lang w:val="zh-CN"/>
              </w:rPr>
              <w:t>因此</w:t>
            </w:r>
            <w:r>
              <w:rPr>
                <w:rFonts w:hint="default"/>
                <w:color w:val="auto"/>
                <w:sz w:val="24"/>
                <w:szCs w:val="20"/>
                <w:highlight w:val="none"/>
              </w:rPr>
              <w:t>，</w:t>
            </w:r>
            <w:r>
              <w:rPr>
                <w:rFonts w:hint="eastAsia"/>
                <w:color w:val="auto"/>
                <w:sz w:val="24"/>
                <w:szCs w:val="20"/>
                <w:highlight w:val="none"/>
              </w:rPr>
              <w:t>项目完成后，</w:t>
            </w:r>
            <w:r>
              <w:rPr>
                <w:rFonts w:hint="default"/>
                <w:color w:val="auto"/>
                <w:sz w:val="24"/>
                <w:szCs w:val="20"/>
                <w:highlight w:val="none"/>
                <w:lang w:val="zh-CN"/>
              </w:rPr>
              <w:t>项目</w:t>
            </w:r>
            <w:r>
              <w:rPr>
                <w:rFonts w:hint="eastAsia"/>
                <w:color w:val="auto"/>
                <w:sz w:val="24"/>
                <w:szCs w:val="20"/>
                <w:highlight w:val="none"/>
                <w:lang w:val="en-US" w:eastAsia="zh-CN"/>
              </w:rPr>
              <w:t>全厂</w:t>
            </w:r>
            <w:r>
              <w:rPr>
                <w:rFonts w:hint="default"/>
                <w:color w:val="auto"/>
                <w:sz w:val="24"/>
                <w:szCs w:val="20"/>
                <w:highlight w:val="none"/>
                <w:lang w:val="zh-CN"/>
              </w:rPr>
              <w:t>污染物排放总量控制指标为</w:t>
            </w:r>
            <w:r>
              <w:rPr>
                <w:rFonts w:hint="default"/>
                <w:color w:val="auto"/>
                <w:sz w:val="24"/>
                <w:szCs w:val="20"/>
                <w:highlight w:val="none"/>
              </w:rPr>
              <w:t>：</w:t>
            </w:r>
            <w:r>
              <w:rPr>
                <w:rFonts w:hint="default"/>
                <w:bCs/>
                <w:color w:val="auto"/>
                <w:kern w:val="0"/>
                <w:sz w:val="24"/>
                <w:szCs w:val="20"/>
                <w:highlight w:val="none"/>
              </w:rPr>
              <w:t>COD：</w:t>
            </w:r>
            <w:r>
              <w:rPr>
                <w:rFonts w:hint="eastAsia"/>
                <w:bCs/>
                <w:color w:val="auto"/>
                <w:kern w:val="0"/>
                <w:sz w:val="24"/>
                <w:szCs w:val="20"/>
                <w:highlight w:val="none"/>
                <w:lang w:val="en-US" w:eastAsia="zh-CN"/>
              </w:rPr>
              <w:t>0.008</w:t>
            </w:r>
            <w:r>
              <w:rPr>
                <w:rFonts w:hint="default"/>
                <w:bCs/>
                <w:color w:val="auto"/>
                <w:kern w:val="0"/>
                <w:sz w:val="24"/>
                <w:szCs w:val="20"/>
                <w:highlight w:val="none"/>
              </w:rPr>
              <w:t>t/a、氨氮：0t/a</w:t>
            </w:r>
            <w:r>
              <w:rPr>
                <w:rFonts w:hint="eastAsia"/>
                <w:color w:val="auto"/>
                <w:sz w:val="24"/>
                <w:szCs w:val="20"/>
                <w:highlight w:val="none"/>
              </w:rPr>
              <w:t>、</w:t>
            </w:r>
            <w:r>
              <w:rPr>
                <w:rFonts w:hint="default"/>
                <w:bCs/>
                <w:color w:val="auto"/>
                <w:kern w:val="0"/>
                <w:sz w:val="24"/>
                <w:szCs w:val="20"/>
                <w:highlight w:val="none"/>
              </w:rPr>
              <w:t>SO</w:t>
            </w:r>
            <w:r>
              <w:rPr>
                <w:rFonts w:hint="default"/>
                <w:bCs/>
                <w:color w:val="auto"/>
                <w:kern w:val="0"/>
                <w:sz w:val="24"/>
                <w:szCs w:val="20"/>
                <w:highlight w:val="none"/>
                <w:vertAlign w:val="subscript"/>
              </w:rPr>
              <w:t>2</w:t>
            </w:r>
            <w:r>
              <w:rPr>
                <w:rFonts w:hint="default"/>
                <w:bCs/>
                <w:color w:val="auto"/>
                <w:kern w:val="0"/>
                <w:sz w:val="24"/>
                <w:szCs w:val="20"/>
                <w:highlight w:val="none"/>
              </w:rPr>
              <w:t>：0t/a、NOx：0t/a</w:t>
            </w:r>
            <w:r>
              <w:rPr>
                <w:rFonts w:hint="eastAsia"/>
                <w:bCs/>
                <w:color w:val="auto"/>
                <w:kern w:val="0"/>
                <w:sz w:val="24"/>
                <w:szCs w:val="20"/>
                <w:highlight w:val="none"/>
              </w:rPr>
              <w:t>、挥发性有机物：</w:t>
            </w:r>
            <w:r>
              <w:rPr>
                <w:rFonts w:hint="eastAsia"/>
                <w:bCs/>
                <w:color w:val="auto"/>
                <w:kern w:val="0"/>
                <w:sz w:val="24"/>
                <w:szCs w:val="20"/>
                <w:highlight w:val="none"/>
                <w:lang w:val="en-US" w:eastAsia="zh-CN"/>
              </w:rPr>
              <w:t>0.114</w:t>
            </w:r>
            <w:r>
              <w:rPr>
                <w:rFonts w:hint="eastAsia"/>
                <w:bCs/>
                <w:color w:val="auto"/>
                <w:kern w:val="0"/>
                <w:sz w:val="24"/>
                <w:szCs w:val="20"/>
                <w:highlight w:val="none"/>
              </w:rPr>
              <w:t>t/a</w:t>
            </w:r>
            <w:r>
              <w:rPr>
                <w:rFonts w:hint="eastAsia"/>
                <w:color w:val="auto"/>
                <w:sz w:val="24"/>
                <w:szCs w:val="20"/>
                <w:highlight w:val="none"/>
              </w:rPr>
              <w:t>、颗粒物：</w:t>
            </w:r>
            <w:r>
              <w:rPr>
                <w:rFonts w:hint="eastAsia"/>
                <w:color w:val="auto"/>
                <w:sz w:val="24"/>
                <w:szCs w:val="20"/>
                <w:highlight w:val="none"/>
                <w:lang w:val="en-US" w:eastAsia="zh-CN"/>
              </w:rPr>
              <w:t>0.225</w:t>
            </w:r>
            <w:r>
              <w:rPr>
                <w:rFonts w:hint="default"/>
                <w:color w:val="auto"/>
                <w:sz w:val="24"/>
                <w:szCs w:val="20"/>
                <w:highlight w:val="none"/>
              </w:rPr>
              <w:t>t/a</w:t>
            </w:r>
            <w:r>
              <w:rPr>
                <w:rFonts w:hint="eastAsia"/>
                <w:color w:val="auto"/>
                <w:sz w:val="24"/>
                <w:szCs w:val="20"/>
                <w:highlight w:val="none"/>
              </w:rPr>
              <w:t>。</w:t>
            </w:r>
          </w:p>
          <w:p w14:paraId="75B91BA9">
            <w:pPr>
              <w:keepNext w:val="0"/>
              <w:keepLines w:val="0"/>
              <w:suppressLineNumbers w:val="0"/>
              <w:adjustRightInd w:val="0"/>
              <w:snapToGrid w:val="0"/>
              <w:spacing w:before="0" w:beforeAutospacing="0" w:after="0" w:afterAutospacing="0"/>
              <w:ind w:left="0" w:right="0"/>
              <w:jc w:val="center"/>
              <w:rPr>
                <w:rFonts w:hint="default" w:eastAsia="宋体"/>
                <w:b/>
                <w:color w:val="auto"/>
                <w:sz w:val="24"/>
                <w:szCs w:val="20"/>
                <w:highlight w:val="none"/>
                <w:lang w:val="en-US" w:eastAsia="zh-CN"/>
              </w:rPr>
            </w:pPr>
            <w:r>
              <w:rPr>
                <w:rFonts w:hint="default"/>
                <w:b/>
                <w:color w:val="auto"/>
                <w:sz w:val="24"/>
                <w:szCs w:val="20"/>
                <w:highlight w:val="none"/>
                <w:lang w:val="zh-CN"/>
              </w:rPr>
              <w:t>表</w:t>
            </w:r>
            <w:r>
              <w:rPr>
                <w:rFonts w:hint="default"/>
                <w:b/>
                <w:color w:val="auto"/>
                <w:sz w:val="24"/>
                <w:szCs w:val="20"/>
                <w:highlight w:val="none"/>
              </w:rPr>
              <w:t>3</w:t>
            </w:r>
            <w:r>
              <w:rPr>
                <w:rFonts w:hint="eastAsia"/>
                <w:b/>
                <w:color w:val="auto"/>
                <w:sz w:val="24"/>
                <w:szCs w:val="20"/>
                <w:highlight w:val="none"/>
              </w:rPr>
              <w:t>-</w:t>
            </w:r>
            <w:r>
              <w:rPr>
                <w:rFonts w:hint="eastAsia"/>
                <w:b/>
                <w:color w:val="auto"/>
                <w:sz w:val="24"/>
                <w:szCs w:val="20"/>
                <w:highlight w:val="none"/>
                <w:lang w:val="en-US" w:eastAsia="zh-CN"/>
              </w:rPr>
              <w:t>9</w:t>
            </w:r>
            <w:r>
              <w:rPr>
                <w:rFonts w:hint="default"/>
                <w:b/>
                <w:color w:val="auto"/>
                <w:sz w:val="24"/>
                <w:szCs w:val="20"/>
                <w:highlight w:val="none"/>
                <w:lang w:val="zh-CN"/>
              </w:rPr>
              <w:t xml:space="preserve"> </w:t>
            </w:r>
            <w:r>
              <w:rPr>
                <w:rFonts w:hint="default"/>
                <w:b/>
                <w:color w:val="auto"/>
                <w:sz w:val="24"/>
                <w:szCs w:val="20"/>
                <w:highlight w:val="none"/>
              </w:rPr>
              <w:t xml:space="preserve"> </w:t>
            </w:r>
            <w:r>
              <w:rPr>
                <w:rFonts w:hint="default"/>
                <w:b/>
                <w:color w:val="auto"/>
                <w:sz w:val="24"/>
                <w:szCs w:val="20"/>
                <w:highlight w:val="none"/>
                <w:lang w:val="zh-CN"/>
              </w:rPr>
              <w:t>总量控制指</w:t>
            </w:r>
            <w:r>
              <w:rPr>
                <w:rFonts w:hint="eastAsia"/>
                <w:b/>
                <w:color w:val="auto"/>
                <w:sz w:val="24"/>
                <w:szCs w:val="20"/>
                <w:highlight w:val="none"/>
                <w:lang w:val="en-US" w:eastAsia="zh-CN"/>
              </w:rPr>
              <w:t>变化一览表 单位t/a</w:t>
            </w:r>
          </w:p>
          <w:tbl>
            <w:tblPr>
              <w:tblStyle w:val="4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85"/>
              <w:gridCol w:w="1086"/>
              <w:gridCol w:w="887"/>
              <w:gridCol w:w="985"/>
              <w:gridCol w:w="1086"/>
              <w:gridCol w:w="859"/>
              <w:gridCol w:w="980"/>
            </w:tblGrid>
            <w:tr w14:paraId="5F83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7" w:type="pct"/>
                  <w:tcMar>
                    <w:left w:w="28" w:type="dxa"/>
                    <w:right w:w="28" w:type="dxa"/>
                  </w:tcMar>
                  <w:vAlign w:val="center"/>
                </w:tcPr>
                <w:p w14:paraId="71A7AE25">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污染源</w:t>
                  </w:r>
                </w:p>
              </w:tc>
              <w:tc>
                <w:tcPr>
                  <w:tcW w:w="578" w:type="pct"/>
                  <w:tcMar>
                    <w:left w:w="28" w:type="dxa"/>
                    <w:right w:w="28" w:type="dxa"/>
                  </w:tcMar>
                  <w:vAlign w:val="center"/>
                </w:tcPr>
                <w:p w14:paraId="57A8CCFE">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污染物</w:t>
                  </w:r>
                </w:p>
              </w:tc>
              <w:tc>
                <w:tcPr>
                  <w:tcW w:w="709" w:type="pct"/>
                  <w:tcMar>
                    <w:left w:w="28" w:type="dxa"/>
                    <w:right w:w="28" w:type="dxa"/>
                  </w:tcMar>
                  <w:vAlign w:val="center"/>
                </w:tcPr>
                <w:p w14:paraId="0E9FCB81">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现有工程总量控制指标</w:t>
                  </w:r>
                </w:p>
              </w:tc>
              <w:tc>
                <w:tcPr>
                  <w:tcW w:w="579" w:type="pct"/>
                  <w:tcMar>
                    <w:left w:w="28" w:type="dxa"/>
                    <w:right w:w="28" w:type="dxa"/>
                  </w:tcMar>
                  <w:vAlign w:val="center"/>
                </w:tcPr>
                <w:p w14:paraId="64E88363">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现有工程总量确认</w:t>
                  </w:r>
                </w:p>
              </w:tc>
              <w:tc>
                <w:tcPr>
                  <w:tcW w:w="643" w:type="pct"/>
                  <w:tcMar>
                    <w:left w:w="28" w:type="dxa"/>
                    <w:right w:w="28" w:type="dxa"/>
                  </w:tcMar>
                  <w:vAlign w:val="center"/>
                </w:tcPr>
                <w:p w14:paraId="31F4237A">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本项目总量控制指标</w:t>
                  </w:r>
                </w:p>
              </w:tc>
              <w:tc>
                <w:tcPr>
                  <w:tcW w:w="709" w:type="pct"/>
                  <w:tcMar>
                    <w:left w:w="28" w:type="dxa"/>
                    <w:right w:w="28" w:type="dxa"/>
                  </w:tcMar>
                  <w:vAlign w:val="center"/>
                </w:tcPr>
                <w:p w14:paraId="17C9F6EF">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以新带老总量</w:t>
                  </w:r>
                </w:p>
              </w:tc>
              <w:tc>
                <w:tcPr>
                  <w:tcW w:w="561" w:type="pct"/>
                  <w:tcMar>
                    <w:left w:w="28" w:type="dxa"/>
                    <w:right w:w="28" w:type="dxa"/>
                  </w:tcMar>
                  <w:vAlign w:val="center"/>
                </w:tcPr>
                <w:p w14:paraId="4F106C6E">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本项目建成后总量控制指标</w:t>
                  </w:r>
                </w:p>
              </w:tc>
              <w:tc>
                <w:tcPr>
                  <w:tcW w:w="640" w:type="pct"/>
                  <w:tcMar>
                    <w:left w:w="28" w:type="dxa"/>
                    <w:right w:w="28" w:type="dxa"/>
                  </w:tcMar>
                  <w:vAlign w:val="center"/>
                </w:tcPr>
                <w:p w14:paraId="435D7780">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变化量</w:t>
                  </w:r>
                </w:p>
              </w:tc>
            </w:tr>
            <w:tr w14:paraId="0249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7" w:type="pct"/>
                  <w:vMerge w:val="restart"/>
                  <w:shd w:val="clear" w:color="auto" w:fill="auto"/>
                  <w:tcMar>
                    <w:left w:w="28" w:type="dxa"/>
                    <w:right w:w="28" w:type="dxa"/>
                  </w:tcMar>
                  <w:vAlign w:val="center"/>
                </w:tcPr>
                <w:p w14:paraId="7FA4125F">
                  <w:pPr>
                    <w:pStyle w:val="131"/>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Calibri" w:eastAsia="宋体" w:cs="Times New Roman"/>
                      <w:snapToGrid w:val="0"/>
                      <w:color w:val="auto"/>
                      <w:kern w:val="21"/>
                      <w:sz w:val="21"/>
                      <w:szCs w:val="21"/>
                      <w:highlight w:val="none"/>
                      <w:lang w:val="en-US" w:eastAsia="zh-CN" w:bidi="ar-SA"/>
                    </w:rPr>
                  </w:pPr>
                  <w:r>
                    <w:rPr>
                      <w:rFonts w:hint="default" w:ascii="Times New Roman" w:hAnsi="Calibri"/>
                      <w:snapToGrid w:val="0"/>
                      <w:color w:val="auto"/>
                      <w:kern w:val="21"/>
                      <w:szCs w:val="21"/>
                      <w:highlight w:val="none"/>
                      <w:lang w:val="en-US" w:eastAsia="zh-CN"/>
                    </w:rPr>
                    <w:t>废气</w:t>
                  </w:r>
                </w:p>
              </w:tc>
              <w:tc>
                <w:tcPr>
                  <w:tcW w:w="578" w:type="pct"/>
                  <w:shd w:val="clear" w:color="auto" w:fill="auto"/>
                  <w:tcMar>
                    <w:left w:w="28" w:type="dxa"/>
                    <w:right w:w="28" w:type="dxa"/>
                  </w:tcMar>
                  <w:vAlign w:val="center"/>
                </w:tcPr>
                <w:p w14:paraId="1F72012C">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smallCaps w:val="0"/>
                      <w:color w:val="auto"/>
                      <w:spacing w:val="0"/>
                      <w:kern w:val="0"/>
                      <w:sz w:val="21"/>
                      <w:szCs w:val="21"/>
                      <w:highlight w:val="none"/>
                      <w:lang w:val="en-US" w:eastAsia="zh-CN" w:bidi="ar-SA"/>
                    </w:rPr>
                  </w:pPr>
                  <w:r>
                    <w:rPr>
                      <w:rFonts w:hint="eastAsia"/>
                      <w:bCs/>
                      <w:color w:val="auto"/>
                      <w:szCs w:val="21"/>
                      <w:highlight w:val="none"/>
                      <w:lang w:val="en-US" w:eastAsia="zh-CN"/>
                    </w:rPr>
                    <w:t>颗粒物</w:t>
                  </w:r>
                </w:p>
              </w:tc>
              <w:tc>
                <w:tcPr>
                  <w:tcW w:w="709" w:type="pct"/>
                  <w:shd w:val="clear" w:color="auto" w:fill="auto"/>
                  <w:tcMar>
                    <w:left w:w="28" w:type="dxa"/>
                    <w:right w:w="28" w:type="dxa"/>
                  </w:tcMar>
                  <w:vAlign w:val="center"/>
                </w:tcPr>
                <w:p w14:paraId="4EABA074">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w:t>
                  </w:r>
                </w:p>
              </w:tc>
              <w:tc>
                <w:tcPr>
                  <w:tcW w:w="579" w:type="pct"/>
                  <w:shd w:val="clear" w:color="auto" w:fill="auto"/>
                  <w:tcMar>
                    <w:left w:w="28" w:type="dxa"/>
                    <w:right w:w="28" w:type="dxa"/>
                  </w:tcMar>
                  <w:vAlign w:val="center"/>
                </w:tcPr>
                <w:p w14:paraId="7A8D60F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w:t>
                  </w:r>
                </w:p>
              </w:tc>
              <w:tc>
                <w:tcPr>
                  <w:tcW w:w="643" w:type="pct"/>
                  <w:shd w:val="clear" w:color="auto" w:fill="auto"/>
                  <w:tcMar>
                    <w:left w:w="28" w:type="dxa"/>
                    <w:right w:w="28" w:type="dxa"/>
                  </w:tcMar>
                  <w:vAlign w:val="center"/>
                </w:tcPr>
                <w:p w14:paraId="080BD59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0.225</w:t>
                  </w:r>
                </w:p>
              </w:tc>
              <w:tc>
                <w:tcPr>
                  <w:tcW w:w="709" w:type="pct"/>
                  <w:shd w:val="clear" w:color="auto" w:fill="auto"/>
                  <w:tcMar>
                    <w:left w:w="28" w:type="dxa"/>
                    <w:right w:w="28" w:type="dxa"/>
                  </w:tcMar>
                  <w:vAlign w:val="center"/>
                </w:tcPr>
                <w:p w14:paraId="7C7621A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w:t>
                  </w:r>
                </w:p>
              </w:tc>
              <w:tc>
                <w:tcPr>
                  <w:tcW w:w="561" w:type="pct"/>
                  <w:shd w:val="clear" w:color="auto" w:fill="auto"/>
                  <w:tcMar>
                    <w:left w:w="28" w:type="dxa"/>
                    <w:right w:w="28" w:type="dxa"/>
                  </w:tcMar>
                  <w:vAlign w:val="center"/>
                </w:tcPr>
                <w:p w14:paraId="2A2BFE6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0.225</w:t>
                  </w:r>
                </w:p>
              </w:tc>
              <w:tc>
                <w:tcPr>
                  <w:tcW w:w="640" w:type="pct"/>
                  <w:shd w:val="clear" w:color="auto" w:fill="auto"/>
                  <w:tcMar>
                    <w:left w:w="28" w:type="dxa"/>
                    <w:right w:w="28" w:type="dxa"/>
                  </w:tcMar>
                  <w:vAlign w:val="center"/>
                </w:tcPr>
                <w:p w14:paraId="32E83E6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+0.225</w:t>
                  </w:r>
                </w:p>
              </w:tc>
            </w:tr>
            <w:tr w14:paraId="03A5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pct"/>
                  <w:vMerge w:val="continue"/>
                  <w:tcMar>
                    <w:left w:w="28" w:type="dxa"/>
                    <w:right w:w="28" w:type="dxa"/>
                  </w:tcMar>
                  <w:vAlign w:val="center"/>
                </w:tcPr>
                <w:p w14:paraId="1253233E">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78" w:type="pct"/>
                  <w:shd w:val="clear" w:color="auto" w:fill="auto"/>
                  <w:tcMar>
                    <w:left w:w="28" w:type="dxa"/>
                    <w:right w:w="28" w:type="dxa"/>
                  </w:tcMar>
                  <w:vAlign w:val="center"/>
                </w:tcPr>
                <w:p w14:paraId="2A495C75">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bCs/>
                      <w:color w:val="auto"/>
                      <w:szCs w:val="21"/>
                      <w:highlight w:val="none"/>
                      <w:lang w:val="en-US" w:eastAsia="zh-CN"/>
                    </w:rPr>
                    <w:t>非甲烷总烃</w:t>
                  </w:r>
                </w:p>
              </w:tc>
              <w:tc>
                <w:tcPr>
                  <w:tcW w:w="709" w:type="pct"/>
                  <w:shd w:val="clear" w:color="auto" w:fill="auto"/>
                  <w:tcMar>
                    <w:left w:w="28" w:type="dxa"/>
                    <w:right w:w="28" w:type="dxa"/>
                  </w:tcMar>
                  <w:vAlign w:val="center"/>
                </w:tcPr>
                <w:p w14:paraId="3C3679F8">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579" w:type="pct"/>
                  <w:shd w:val="clear" w:color="auto" w:fill="auto"/>
                  <w:tcMar>
                    <w:left w:w="28" w:type="dxa"/>
                    <w:right w:w="28" w:type="dxa"/>
                  </w:tcMar>
                  <w:vAlign w:val="center"/>
                </w:tcPr>
                <w:p w14:paraId="358CDCA4">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643" w:type="pct"/>
                  <w:shd w:val="clear" w:color="auto" w:fill="auto"/>
                  <w:tcMar>
                    <w:left w:w="28" w:type="dxa"/>
                    <w:right w:w="28" w:type="dxa"/>
                  </w:tcMar>
                  <w:vAlign w:val="center"/>
                </w:tcPr>
                <w:p w14:paraId="603E3CB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0.114</w:t>
                  </w:r>
                </w:p>
              </w:tc>
              <w:tc>
                <w:tcPr>
                  <w:tcW w:w="709" w:type="pct"/>
                  <w:shd w:val="clear" w:color="auto" w:fill="auto"/>
                  <w:tcMar>
                    <w:left w:w="28" w:type="dxa"/>
                    <w:right w:w="28" w:type="dxa"/>
                  </w:tcMar>
                  <w:vAlign w:val="center"/>
                </w:tcPr>
                <w:p w14:paraId="21FE45F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561" w:type="pct"/>
                  <w:shd w:val="clear" w:color="auto" w:fill="auto"/>
                  <w:tcMar>
                    <w:left w:w="28" w:type="dxa"/>
                    <w:right w:w="28" w:type="dxa"/>
                  </w:tcMar>
                  <w:vAlign w:val="center"/>
                </w:tcPr>
                <w:p w14:paraId="5F65657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0.114</w:t>
                  </w:r>
                </w:p>
              </w:tc>
              <w:tc>
                <w:tcPr>
                  <w:tcW w:w="640" w:type="pct"/>
                  <w:tcMar>
                    <w:left w:w="28" w:type="dxa"/>
                    <w:right w:w="28" w:type="dxa"/>
                  </w:tcMar>
                  <w:vAlign w:val="center"/>
                </w:tcPr>
                <w:p w14:paraId="53A67C1B">
                  <w:pPr>
                    <w:keepNext w:val="0"/>
                    <w:keepLines w:val="0"/>
                    <w:suppressLineNumbers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+0.114</w:t>
                  </w:r>
                </w:p>
              </w:tc>
            </w:tr>
            <w:tr w14:paraId="7213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7" w:type="pct"/>
                  <w:vMerge w:val="restart"/>
                  <w:shd w:val="clear" w:color="auto" w:fill="auto"/>
                  <w:tcMar>
                    <w:left w:w="28" w:type="dxa"/>
                    <w:right w:w="28" w:type="dxa"/>
                  </w:tcMar>
                  <w:vAlign w:val="center"/>
                </w:tcPr>
                <w:p w14:paraId="24FBF128">
                  <w:pPr>
                    <w:pStyle w:val="131"/>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Calibri" w:eastAsia="宋体" w:cs="Times New Roman"/>
                      <w:snapToGrid w:val="0"/>
                      <w:color w:val="auto"/>
                      <w:kern w:val="21"/>
                      <w:sz w:val="21"/>
                      <w:szCs w:val="21"/>
                      <w:highlight w:val="none"/>
                      <w:lang w:val="en-US" w:eastAsia="zh-CN" w:bidi="ar-SA"/>
                    </w:rPr>
                  </w:pPr>
                  <w:r>
                    <w:rPr>
                      <w:rFonts w:hint="eastAsia" w:ascii="Times New Roman" w:hAnsi="Calibri"/>
                      <w:snapToGrid w:val="0"/>
                      <w:color w:val="auto"/>
                      <w:kern w:val="21"/>
                      <w:szCs w:val="21"/>
                      <w:highlight w:val="none"/>
                      <w:lang w:val="en-US" w:eastAsia="zh-CN"/>
                    </w:rPr>
                    <w:t>废水</w:t>
                  </w:r>
                </w:p>
              </w:tc>
              <w:tc>
                <w:tcPr>
                  <w:tcW w:w="578" w:type="pct"/>
                  <w:shd w:val="clear" w:color="auto" w:fill="auto"/>
                  <w:tcMar>
                    <w:left w:w="28" w:type="dxa"/>
                    <w:right w:w="28" w:type="dxa"/>
                  </w:tcMar>
                  <w:vAlign w:val="center"/>
                </w:tcPr>
                <w:p w14:paraId="685D1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化学需氧量</w:t>
                  </w:r>
                </w:p>
              </w:tc>
              <w:tc>
                <w:tcPr>
                  <w:tcW w:w="709" w:type="pct"/>
                  <w:shd w:val="clear" w:color="auto" w:fill="auto"/>
                  <w:tcMar>
                    <w:left w:w="28" w:type="dxa"/>
                    <w:right w:w="28" w:type="dxa"/>
                  </w:tcMar>
                  <w:vAlign w:val="center"/>
                </w:tcPr>
                <w:p w14:paraId="0D569A1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0.046</w:t>
                  </w:r>
                </w:p>
              </w:tc>
              <w:tc>
                <w:tcPr>
                  <w:tcW w:w="579" w:type="pct"/>
                  <w:shd w:val="clear" w:color="auto" w:fill="auto"/>
                  <w:tcMar>
                    <w:left w:w="28" w:type="dxa"/>
                    <w:right w:w="28" w:type="dxa"/>
                  </w:tcMar>
                  <w:vAlign w:val="center"/>
                </w:tcPr>
                <w:p w14:paraId="338744F8">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0.046</w:t>
                  </w:r>
                </w:p>
              </w:tc>
              <w:tc>
                <w:tcPr>
                  <w:tcW w:w="643" w:type="pct"/>
                  <w:shd w:val="clear" w:color="auto" w:fill="auto"/>
                  <w:tcMar>
                    <w:left w:w="28" w:type="dxa"/>
                    <w:right w:w="28" w:type="dxa"/>
                  </w:tcMar>
                  <w:vAlign w:val="center"/>
                </w:tcPr>
                <w:p w14:paraId="58E0BDF8">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0.008</w:t>
                  </w:r>
                </w:p>
              </w:tc>
              <w:tc>
                <w:tcPr>
                  <w:tcW w:w="709" w:type="pct"/>
                  <w:shd w:val="clear" w:color="auto" w:fill="auto"/>
                  <w:tcMar>
                    <w:left w:w="28" w:type="dxa"/>
                    <w:right w:w="28" w:type="dxa"/>
                  </w:tcMar>
                  <w:vAlign w:val="center"/>
                </w:tcPr>
                <w:p w14:paraId="322A459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0.046</w:t>
                  </w:r>
                </w:p>
              </w:tc>
              <w:tc>
                <w:tcPr>
                  <w:tcW w:w="561" w:type="pct"/>
                  <w:shd w:val="clear" w:color="auto" w:fill="auto"/>
                  <w:tcMar>
                    <w:left w:w="28" w:type="dxa"/>
                    <w:right w:w="28" w:type="dxa"/>
                  </w:tcMar>
                  <w:vAlign w:val="center"/>
                </w:tcPr>
                <w:p w14:paraId="2EF19245">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0.008</w:t>
                  </w:r>
                </w:p>
              </w:tc>
              <w:tc>
                <w:tcPr>
                  <w:tcW w:w="640" w:type="pct"/>
                  <w:shd w:val="clear" w:color="auto" w:fill="auto"/>
                  <w:tcMar>
                    <w:left w:w="28" w:type="dxa"/>
                    <w:right w:w="28" w:type="dxa"/>
                  </w:tcMar>
                  <w:vAlign w:val="center"/>
                </w:tcPr>
                <w:p w14:paraId="6EF42C1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-0.038</w:t>
                  </w:r>
                </w:p>
              </w:tc>
            </w:tr>
            <w:tr w14:paraId="316B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7" w:type="pct"/>
                  <w:vMerge w:val="continue"/>
                  <w:tcMar>
                    <w:left w:w="28" w:type="dxa"/>
                    <w:right w:w="28" w:type="dxa"/>
                  </w:tcMar>
                  <w:vAlign w:val="center"/>
                </w:tcPr>
                <w:p w14:paraId="1EE3EDC7">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78" w:type="pct"/>
                  <w:shd w:val="clear" w:color="auto" w:fill="auto"/>
                  <w:tcMar>
                    <w:left w:w="28" w:type="dxa"/>
                    <w:right w:w="28" w:type="dxa"/>
                  </w:tcMar>
                  <w:vAlign w:val="center"/>
                </w:tcPr>
                <w:p w14:paraId="6ECAA6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氨氮</w:t>
                  </w:r>
                </w:p>
              </w:tc>
              <w:tc>
                <w:tcPr>
                  <w:tcW w:w="709" w:type="pct"/>
                  <w:shd w:val="clear" w:color="auto" w:fill="auto"/>
                  <w:tcMar>
                    <w:left w:w="28" w:type="dxa"/>
                    <w:right w:w="28" w:type="dxa"/>
                  </w:tcMar>
                  <w:vAlign w:val="center"/>
                </w:tcPr>
                <w:p w14:paraId="0AADF37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0.005</w:t>
                  </w:r>
                </w:p>
              </w:tc>
              <w:tc>
                <w:tcPr>
                  <w:tcW w:w="579" w:type="pct"/>
                  <w:shd w:val="clear" w:color="auto" w:fill="auto"/>
                  <w:tcMar>
                    <w:left w:w="28" w:type="dxa"/>
                    <w:right w:w="28" w:type="dxa"/>
                  </w:tcMar>
                  <w:vAlign w:val="center"/>
                </w:tcPr>
                <w:p w14:paraId="7214D96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0.005</w:t>
                  </w:r>
                </w:p>
              </w:tc>
              <w:tc>
                <w:tcPr>
                  <w:tcW w:w="643" w:type="pct"/>
                  <w:shd w:val="clear" w:color="auto" w:fill="auto"/>
                  <w:tcMar>
                    <w:left w:w="28" w:type="dxa"/>
                    <w:right w:w="28" w:type="dxa"/>
                  </w:tcMar>
                  <w:vAlign w:val="center"/>
                </w:tcPr>
                <w:p w14:paraId="546A964A">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09" w:type="pct"/>
                  <w:shd w:val="clear" w:color="auto" w:fill="auto"/>
                  <w:tcMar>
                    <w:left w:w="28" w:type="dxa"/>
                    <w:right w:w="28" w:type="dxa"/>
                  </w:tcMar>
                  <w:vAlign w:val="center"/>
                </w:tcPr>
                <w:p w14:paraId="0BE4467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0.005</w:t>
                  </w:r>
                </w:p>
              </w:tc>
              <w:tc>
                <w:tcPr>
                  <w:tcW w:w="561" w:type="pct"/>
                  <w:shd w:val="clear" w:color="auto" w:fill="auto"/>
                  <w:tcMar>
                    <w:left w:w="28" w:type="dxa"/>
                    <w:right w:w="28" w:type="dxa"/>
                  </w:tcMar>
                  <w:vAlign w:val="center"/>
                </w:tcPr>
                <w:p w14:paraId="48F6766D">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640" w:type="pct"/>
                  <w:shd w:val="clear" w:color="auto" w:fill="auto"/>
                  <w:tcMar>
                    <w:left w:w="28" w:type="dxa"/>
                    <w:right w:w="28" w:type="dxa"/>
                  </w:tcMar>
                  <w:vAlign w:val="center"/>
                </w:tcPr>
                <w:p w14:paraId="42A0D93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r>
          </w:tbl>
          <w:p w14:paraId="4AB3B088">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3F22F75E">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01DAFF9B">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3BB60BC5">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2FB42641">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2FB9BC38">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138BC0F8">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665E5A00">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7ECC2F14">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71405AF6">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0BAC835F">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54EB09DC">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00F6DFD2">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347216CC">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6F051B52">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552E87D3">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2B4FB495">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53F4DF1E">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18EC4B9B">
            <w:pPr>
              <w:keepNext w:val="0"/>
              <w:keepLines w:val="0"/>
              <w:suppressLineNumbers w:val="0"/>
              <w:spacing w:before="0" w:beforeAutospacing="0" w:after="0" w:afterAutospacing="0" w:line="500" w:lineRule="exact"/>
              <w:ind w:left="0" w:right="0" w:firstLine="420" w:firstLineChars="200"/>
              <w:rPr>
                <w:rFonts w:hint="eastAsia" w:cs="Times New Roman"/>
                <w:smallCaps w:val="0"/>
                <w:color w:val="auto"/>
                <w:spacing w:val="0"/>
                <w:szCs w:val="20"/>
                <w:highlight w:val="none"/>
                <w:lang w:val="en-US" w:eastAsia="zh-CN"/>
              </w:rPr>
            </w:pPr>
          </w:p>
          <w:p w14:paraId="061EAF71">
            <w:pPr>
              <w:keepNext w:val="0"/>
              <w:keepLines w:val="0"/>
              <w:suppressLineNumbers w:val="0"/>
              <w:spacing w:before="0" w:beforeAutospacing="0" w:after="0" w:afterAutospacing="0" w:line="500" w:lineRule="exact"/>
              <w:ind w:left="0" w:right="0"/>
              <w:rPr>
                <w:rFonts w:hint="eastAsia" w:ascii="Times New Roman" w:hAnsi="Times New Roman" w:eastAsia="宋体" w:cs="Times New Roman"/>
                <w:smallCaps w:val="0"/>
                <w:color w:val="auto"/>
                <w:spacing w:val="0"/>
                <w:szCs w:val="20"/>
                <w:highlight w:val="none"/>
                <w:lang w:val="en-US" w:eastAsia="zh-CN"/>
              </w:rPr>
            </w:pPr>
          </w:p>
        </w:tc>
      </w:tr>
    </w:tbl>
    <w:p w14:paraId="0CD6EF1A">
      <w:pPr>
        <w:pStyle w:val="41"/>
        <w:pageBreakBefore/>
        <w:jc w:val="center"/>
        <w:outlineLvl w:val="0"/>
        <w:rPr>
          <w:rFonts w:hint="default" w:ascii="Times New Roman" w:hAnsi="Times New Roman" w:eastAsia="黑体" w:cs="Times New Roman"/>
          <w:smallCaps w:val="0"/>
          <w:snapToGrid w:val="0"/>
          <w:color w:val="auto"/>
          <w:spacing w:val="0"/>
          <w:sz w:val="30"/>
          <w:szCs w:val="30"/>
          <w:highlight w:val="none"/>
        </w:rPr>
      </w:pPr>
      <w:bookmarkStart w:id="9" w:name="_Toc10441"/>
      <w:r>
        <w:rPr>
          <w:rFonts w:hint="default" w:ascii="Times New Roman" w:hAnsi="Times New Roman" w:eastAsia="黑体" w:cs="Times New Roman"/>
          <w:smallCaps w:val="0"/>
          <w:snapToGrid w:val="0"/>
          <w:color w:val="auto"/>
          <w:spacing w:val="0"/>
          <w:sz w:val="30"/>
          <w:szCs w:val="30"/>
          <w:highlight w:val="none"/>
        </w:rPr>
        <w:t>四、主要环境影响和保护措施</w:t>
      </w:r>
      <w:bookmarkEnd w:id="9"/>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7"/>
      </w:tblGrid>
      <w:tr w14:paraId="49D2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2777BA3B">
            <w:pPr>
              <w:pStyle w:val="4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mallCaps w:val="0"/>
                <w:color w:val="auto"/>
                <w:spacing w:val="0"/>
                <w:kern w:val="2"/>
                <w:szCs w:val="21"/>
                <w:highlight w:val="none"/>
              </w:rPr>
            </w:pPr>
            <w:r>
              <w:rPr>
                <w:rFonts w:hint="default" w:ascii="Times New Roman" w:hAnsi="Times New Roman" w:eastAsia="宋体" w:cs="Times New Roman"/>
                <w:smallCaps w:val="0"/>
                <w:color w:val="auto"/>
                <w:spacing w:val="0"/>
                <w:kern w:val="2"/>
                <w:szCs w:val="21"/>
                <w:highlight w:val="none"/>
              </w:rPr>
              <w:t>施工</w:t>
            </w:r>
          </w:p>
          <w:p w14:paraId="01873D40">
            <w:pPr>
              <w:pStyle w:val="4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mallCaps w:val="0"/>
                <w:color w:val="auto"/>
                <w:spacing w:val="0"/>
                <w:kern w:val="2"/>
                <w:szCs w:val="21"/>
                <w:highlight w:val="none"/>
              </w:rPr>
            </w:pPr>
            <w:r>
              <w:rPr>
                <w:rFonts w:hint="default" w:ascii="Times New Roman" w:hAnsi="Times New Roman" w:eastAsia="宋体" w:cs="Times New Roman"/>
                <w:smallCaps w:val="0"/>
                <w:color w:val="auto"/>
                <w:spacing w:val="0"/>
                <w:kern w:val="2"/>
                <w:szCs w:val="21"/>
                <w:highlight w:val="none"/>
              </w:rPr>
              <w:t>期环</w:t>
            </w:r>
          </w:p>
          <w:p w14:paraId="4F6D156B">
            <w:pPr>
              <w:pStyle w:val="4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mallCaps w:val="0"/>
                <w:color w:val="auto"/>
                <w:spacing w:val="0"/>
                <w:kern w:val="2"/>
                <w:szCs w:val="21"/>
                <w:highlight w:val="none"/>
              </w:rPr>
            </w:pPr>
            <w:r>
              <w:rPr>
                <w:rFonts w:hint="default" w:ascii="Times New Roman" w:hAnsi="Times New Roman" w:eastAsia="宋体" w:cs="Times New Roman"/>
                <w:smallCaps w:val="0"/>
                <w:color w:val="auto"/>
                <w:spacing w:val="0"/>
                <w:kern w:val="2"/>
                <w:szCs w:val="21"/>
                <w:highlight w:val="none"/>
              </w:rPr>
              <w:t>境保</w:t>
            </w:r>
          </w:p>
          <w:p w14:paraId="6B6D1F75">
            <w:pPr>
              <w:pStyle w:val="4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mallCaps w:val="0"/>
                <w:color w:val="auto"/>
                <w:spacing w:val="0"/>
                <w:kern w:val="2"/>
                <w:szCs w:val="21"/>
                <w:highlight w:val="none"/>
              </w:rPr>
            </w:pPr>
            <w:r>
              <w:rPr>
                <w:rFonts w:hint="default" w:ascii="Times New Roman" w:hAnsi="Times New Roman" w:eastAsia="宋体" w:cs="Times New Roman"/>
                <w:smallCaps w:val="0"/>
                <w:color w:val="auto"/>
                <w:spacing w:val="0"/>
                <w:kern w:val="2"/>
                <w:szCs w:val="21"/>
                <w:highlight w:val="none"/>
              </w:rPr>
              <w:t>护措施</w:t>
            </w:r>
          </w:p>
        </w:tc>
        <w:tc>
          <w:tcPr>
            <w:tcW w:w="4732" w:type="pct"/>
          </w:tcPr>
          <w:p w14:paraId="4E19C52E">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2"/>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1、施工期大气环境影响和保护措施</w:t>
            </w:r>
          </w:p>
          <w:p w14:paraId="71BB6503">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lang w:val="en-US" w:eastAsia="zh-CN"/>
              </w:rPr>
              <w:t>项目利用现有厂房，施工期主要为</w:t>
            </w:r>
            <w:r>
              <w:rPr>
                <w:rFonts w:hint="eastAsia" w:cs="Times New Roman"/>
                <w:smallCaps w:val="0"/>
                <w:color w:val="auto"/>
                <w:spacing w:val="0"/>
                <w:highlight w:val="none"/>
                <w:lang w:val="en-US" w:eastAsia="zh-CN"/>
              </w:rPr>
              <w:t>厂房装修及</w:t>
            </w:r>
            <w:r>
              <w:rPr>
                <w:rFonts w:hint="default" w:ascii="Times New Roman" w:hAnsi="Times New Roman" w:eastAsia="宋体" w:cs="Times New Roman"/>
                <w:smallCaps w:val="0"/>
                <w:color w:val="auto"/>
                <w:spacing w:val="0"/>
                <w:highlight w:val="none"/>
                <w:lang w:val="en-US" w:eastAsia="zh-CN"/>
              </w:rPr>
              <w:t>设备安装</w:t>
            </w:r>
            <w:r>
              <w:rPr>
                <w:rFonts w:hint="eastAsia" w:cs="Times New Roman"/>
                <w:smallCaps w:val="0"/>
                <w:color w:val="auto"/>
                <w:spacing w:val="0"/>
                <w:highlight w:val="none"/>
                <w:lang w:val="en-US" w:eastAsia="zh-CN"/>
              </w:rPr>
              <w:t>、拆除，无废气产生</w:t>
            </w:r>
            <w:r>
              <w:rPr>
                <w:rFonts w:hint="default" w:ascii="Times New Roman" w:hAnsi="Times New Roman" w:eastAsia="宋体" w:cs="Times New Roman"/>
                <w:smallCaps w:val="0"/>
                <w:color w:val="auto"/>
                <w:spacing w:val="0"/>
                <w:highlight w:val="none"/>
              </w:rPr>
              <w:t>。</w:t>
            </w:r>
          </w:p>
          <w:p w14:paraId="3A7721B7">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2"/>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2、施工期噪声环境影响和保护措施</w:t>
            </w:r>
          </w:p>
          <w:p w14:paraId="741954FA">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施工期产生的噪声源主要为</w:t>
            </w:r>
            <w:r>
              <w:rPr>
                <w:rFonts w:hint="default" w:ascii="Times New Roman" w:hAnsi="Times New Roman" w:cs="Times New Roman"/>
                <w:smallCaps w:val="0"/>
                <w:color w:val="auto"/>
                <w:spacing w:val="0"/>
                <w:highlight w:val="none"/>
                <w:lang w:val="en-US" w:eastAsia="zh-CN"/>
              </w:rPr>
              <w:t>设备</w:t>
            </w:r>
            <w:r>
              <w:rPr>
                <w:rFonts w:hint="default" w:ascii="Times New Roman" w:hAnsi="Times New Roman" w:eastAsia="宋体" w:cs="Times New Roman"/>
                <w:smallCaps w:val="0"/>
                <w:color w:val="auto"/>
                <w:spacing w:val="0"/>
                <w:highlight w:val="none"/>
              </w:rPr>
              <w:t>运输车辆等机械产生的噪声，其特点是间歇或阵发性的，并具备流动性的特征。为减少施工噪声对敏感点的影响，结合施工进展，采取如下防治措施：</w:t>
            </w:r>
          </w:p>
          <w:p w14:paraId="2B774BA4">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（1）施工单位应合理安排施工时间，做到文明施工，除工程必需外，严禁在中午12</w:t>
            </w:r>
            <w:r>
              <w:rPr>
                <w:rFonts w:hint="eastAsia"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rPr>
              <w:t>00~14</w:t>
            </w:r>
            <w:r>
              <w:rPr>
                <w:rFonts w:hint="eastAsia"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rPr>
              <w:t>00、夜间22</w:t>
            </w:r>
            <w:r>
              <w:rPr>
                <w:rFonts w:hint="eastAsia"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rPr>
              <w:t>00~6</w:t>
            </w:r>
            <w:r>
              <w:rPr>
                <w:rFonts w:hint="eastAsia"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rPr>
              <w:t>00期间进行施工；</w:t>
            </w:r>
          </w:p>
          <w:p w14:paraId="6BC8F63A">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（2）项目施工布置时将噪声源强较高的施工设备远离周边敏感点；</w:t>
            </w:r>
          </w:p>
          <w:p w14:paraId="6837DC80">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（3）运输车辆要选择合适的时间及路线进行运输，尽量避开居民点和环境敏感点，车辆进出现场时应减速、禁鸣；</w:t>
            </w:r>
          </w:p>
          <w:p w14:paraId="73B8E960">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（4）</w:t>
            </w:r>
            <w:r>
              <w:rPr>
                <w:rFonts w:hint="default" w:ascii="Times New Roman" w:hAnsi="Times New Roman" w:eastAsia="宋体" w:cs="Times New Roman"/>
                <w:smallCaps w:val="0"/>
                <w:color w:val="auto"/>
                <w:spacing w:val="0"/>
                <w:highlight w:val="none"/>
                <w:lang w:val="en-US" w:eastAsia="zh-CN"/>
              </w:rPr>
              <w:t>项目在现有厂区内建设，厂区设有围墙，符合围挡的要求</w:t>
            </w:r>
            <w:r>
              <w:rPr>
                <w:rFonts w:hint="default" w:ascii="Times New Roman" w:hAnsi="Times New Roman" w:eastAsia="宋体" w:cs="Times New Roman"/>
                <w:smallCaps w:val="0"/>
                <w:color w:val="auto"/>
                <w:spacing w:val="0"/>
                <w:highlight w:val="none"/>
              </w:rPr>
              <w:t>。</w:t>
            </w:r>
          </w:p>
          <w:p w14:paraId="43745737">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通过采取以上措施，施工噪声对周边敏感点影响程度较小</w:t>
            </w:r>
            <w:r>
              <w:rPr>
                <w:rFonts w:hint="default" w:ascii="Times New Roman" w:hAnsi="Times New Roman" w:eastAsia="宋体"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lang w:val="en-US" w:eastAsia="zh-CN"/>
              </w:rPr>
              <w:t>满足《建筑施工场界环境噪声排放标准》(GB12523-2011)标准的要求</w:t>
            </w:r>
            <w:r>
              <w:rPr>
                <w:rFonts w:hint="default" w:ascii="Times New Roman" w:hAnsi="Times New Roman" w:eastAsia="宋体" w:cs="Times New Roman"/>
                <w:smallCaps w:val="0"/>
                <w:color w:val="auto"/>
                <w:spacing w:val="0"/>
                <w:highlight w:val="none"/>
              </w:rPr>
              <w:t>。</w:t>
            </w:r>
          </w:p>
          <w:p w14:paraId="5F5CDBB9">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2"/>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3、施工期水环境影响分析</w:t>
            </w:r>
          </w:p>
          <w:p w14:paraId="491EA56E">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项目施工期废水主要为施工人员生活污水和施工废水。施工废水经临时沉淀池沉淀后全部用于厂区泼洒抑尘，施工人员生活污水</w:t>
            </w:r>
            <w:r>
              <w:rPr>
                <w:rFonts w:hint="eastAsia" w:cs="Times New Roman"/>
                <w:smallCaps w:val="0"/>
                <w:color w:val="auto"/>
                <w:spacing w:val="0"/>
                <w:highlight w:val="none"/>
                <w:lang w:val="en-US" w:eastAsia="zh-CN"/>
              </w:rPr>
              <w:t>依托现有</w:t>
            </w:r>
            <w:r>
              <w:rPr>
                <w:rFonts w:hint="eastAsia" w:cs="Times New Roman"/>
                <w:smallCaps w:val="0"/>
                <w:color w:val="auto"/>
                <w:spacing w:val="0"/>
                <w:highlight w:val="none"/>
                <w:lang w:eastAsia="zh-CN"/>
              </w:rPr>
              <w:t>集成式生物化粪池处理后经园区污水管网排入绿源污水处理有限公司进一步处理</w:t>
            </w:r>
            <w:r>
              <w:rPr>
                <w:rFonts w:hint="default" w:ascii="Times New Roman" w:hAnsi="Times New Roman" w:eastAsia="宋体" w:cs="Times New Roman"/>
                <w:smallCaps w:val="0"/>
                <w:color w:val="auto"/>
                <w:spacing w:val="0"/>
                <w:highlight w:val="none"/>
              </w:rPr>
              <w:t>，不会对当地水环境产生影响。</w:t>
            </w:r>
          </w:p>
          <w:p w14:paraId="0C569502">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2"/>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4、施工期固废环境影响和保护措施</w:t>
            </w:r>
          </w:p>
          <w:p w14:paraId="69151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left"/>
              <w:textAlignment w:val="auto"/>
              <w:rPr>
                <w:rFonts w:hint="default" w:ascii="Times New Roman" w:hAnsi="Times New Roman" w:eastAsia="宋体" w:cs="Times New Roman"/>
                <w:smallCaps w:val="0"/>
                <w:color w:val="auto"/>
                <w:spacing w:val="0"/>
                <w:sz w:val="24"/>
                <w:szCs w:val="24"/>
                <w:highlight w:val="none"/>
              </w:rPr>
            </w:pPr>
            <w:r>
              <w:rPr>
                <w:rFonts w:hint="default" w:ascii="Times New Roman" w:hAnsi="Times New Roman" w:eastAsia="宋体" w:cs="Times New Roman"/>
                <w:smallCaps w:val="0"/>
                <w:color w:val="auto"/>
                <w:spacing w:val="0"/>
                <w:sz w:val="24"/>
                <w:szCs w:val="24"/>
                <w:highlight w:val="none"/>
              </w:rPr>
              <w:t>施工期固体废弃物主要是设备安装过程中产生的设备包装物</w:t>
            </w:r>
            <w:r>
              <w:rPr>
                <w:rFonts w:hint="default" w:ascii="Times New Roman" w:hAnsi="Times New Roman" w:eastAsia="宋体" w:cs="Times New Roman"/>
                <w:smallCaps w:val="0"/>
                <w:color w:val="auto"/>
                <w:spacing w:val="0"/>
                <w:sz w:val="24"/>
                <w:szCs w:val="24"/>
                <w:highlight w:val="none"/>
                <w:lang w:eastAsia="zh-CN"/>
              </w:rPr>
              <w:t>、</w:t>
            </w:r>
            <w:r>
              <w:rPr>
                <w:rFonts w:hint="default" w:ascii="Times New Roman" w:hAnsi="Times New Roman" w:eastAsia="宋体" w:cs="Times New Roman"/>
                <w:smallCaps w:val="0"/>
                <w:color w:val="auto"/>
                <w:spacing w:val="0"/>
                <w:sz w:val="24"/>
                <w:szCs w:val="24"/>
                <w:highlight w:val="none"/>
              </w:rPr>
              <w:t>施工人员的生活垃圾，均属一般固体废物。</w:t>
            </w:r>
          </w:p>
          <w:p w14:paraId="2EBEA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left"/>
              <w:textAlignment w:val="auto"/>
              <w:rPr>
                <w:rFonts w:hint="default" w:ascii="Times New Roman" w:hAnsi="Times New Roman" w:eastAsia="宋体" w:cs="Times New Roman"/>
                <w:smallCaps w:val="0"/>
                <w:color w:val="auto"/>
                <w:spacing w:val="0"/>
                <w:sz w:val="24"/>
                <w:szCs w:val="24"/>
                <w:highlight w:val="none"/>
              </w:rPr>
            </w:pPr>
            <w:r>
              <w:rPr>
                <w:rFonts w:hint="default" w:ascii="Times New Roman" w:hAnsi="Times New Roman" w:eastAsia="宋体" w:cs="Times New Roman"/>
                <w:smallCaps w:val="0"/>
                <w:color w:val="auto"/>
                <w:spacing w:val="0"/>
                <w:sz w:val="24"/>
                <w:szCs w:val="24"/>
                <w:highlight w:val="none"/>
              </w:rPr>
              <w:t>上述固体废物应及时收集，不能随意抛弃、转移和扩散，设备安装过程中产生的设备包装物；</w:t>
            </w:r>
            <w:r>
              <w:rPr>
                <w:rFonts w:hint="default" w:ascii="Times New Roman" w:hAnsi="Times New Roman" w:eastAsia="宋体" w:cs="Times New Roman"/>
                <w:smallCaps w:val="0"/>
                <w:color w:val="auto"/>
                <w:spacing w:val="0"/>
                <w:sz w:val="24"/>
                <w:szCs w:val="24"/>
                <w:highlight w:val="none"/>
                <w:lang w:eastAsia="zh-CN"/>
              </w:rPr>
              <w:t>生活垃圾由环卫部门统一处理</w:t>
            </w:r>
            <w:r>
              <w:rPr>
                <w:rFonts w:hint="default" w:ascii="Times New Roman" w:hAnsi="Times New Roman" w:eastAsia="宋体" w:cs="Times New Roman"/>
                <w:smallCaps w:val="0"/>
                <w:color w:val="auto"/>
                <w:spacing w:val="0"/>
                <w:sz w:val="24"/>
                <w:szCs w:val="24"/>
                <w:highlight w:val="none"/>
              </w:rPr>
              <w:t>。</w:t>
            </w:r>
          </w:p>
          <w:p w14:paraId="2DC37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left"/>
              <w:textAlignment w:val="auto"/>
              <w:rPr>
                <w:rFonts w:hint="default" w:ascii="Times New Roman" w:hAnsi="Times New Roman" w:eastAsia="宋体" w:cs="Times New Roman"/>
                <w:smallCaps w:val="0"/>
                <w:snapToGrid w:val="0"/>
                <w:color w:val="auto"/>
                <w:spacing w:val="0"/>
                <w:kern w:val="2"/>
                <w:sz w:val="24"/>
                <w:szCs w:val="24"/>
                <w:highlight w:val="none"/>
                <w:lang w:val="en-US" w:eastAsia="zh-CN" w:bidi="ar-SA"/>
              </w:rPr>
            </w:pPr>
            <w:r>
              <w:rPr>
                <w:rFonts w:hint="default" w:ascii="Times New Roman" w:hAnsi="Times New Roman" w:eastAsia="宋体" w:cs="Times New Roman"/>
                <w:smallCaps w:val="0"/>
                <w:color w:val="auto"/>
                <w:spacing w:val="0"/>
                <w:sz w:val="24"/>
                <w:szCs w:val="24"/>
                <w:highlight w:val="none"/>
              </w:rPr>
              <w:t>采取以上措施后，施工期固废可得到妥善处置，对周围环境影响较小</w:t>
            </w:r>
            <w:r>
              <w:rPr>
                <w:rFonts w:hint="default" w:ascii="Times New Roman" w:hAnsi="Times New Roman" w:eastAsia="宋体" w:cs="Times New Roman"/>
                <w:smallCaps w:val="0"/>
                <w:snapToGrid w:val="0"/>
                <w:color w:val="auto"/>
                <w:spacing w:val="0"/>
                <w:kern w:val="2"/>
                <w:sz w:val="24"/>
                <w:szCs w:val="24"/>
                <w:highlight w:val="none"/>
                <w:lang w:val="en-US" w:eastAsia="zh-CN" w:bidi="ar-SA"/>
              </w:rPr>
              <w:t>。</w:t>
            </w:r>
          </w:p>
          <w:p w14:paraId="43340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b/>
                <w:bCs/>
                <w:smallCaps w:val="0"/>
                <w:color w:val="auto"/>
                <w:spacing w:val="0"/>
                <w:kern w:val="0"/>
                <w:sz w:val="24"/>
                <w:szCs w:val="20"/>
                <w:highlight w:val="none"/>
                <w:lang w:bidi="ar"/>
              </w:rPr>
            </w:pPr>
            <w:r>
              <w:rPr>
                <w:rFonts w:hint="default" w:ascii="Times New Roman" w:hAnsi="Times New Roman" w:eastAsia="宋体" w:cs="Times New Roman"/>
                <w:b/>
                <w:bCs/>
                <w:smallCaps w:val="0"/>
                <w:color w:val="auto"/>
                <w:spacing w:val="0"/>
                <w:kern w:val="0"/>
                <w:sz w:val="24"/>
                <w:szCs w:val="20"/>
                <w:highlight w:val="none"/>
                <w:lang w:bidi="ar"/>
              </w:rPr>
              <w:t>5、生态影响防治措施</w:t>
            </w:r>
          </w:p>
          <w:p w14:paraId="3156C8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smallCaps w:val="0"/>
                <w:color w:val="auto"/>
                <w:spacing w:val="0"/>
                <w:sz w:val="24"/>
                <w:szCs w:val="20"/>
                <w:highlight w:val="none"/>
              </w:rPr>
            </w:pPr>
            <w:r>
              <w:rPr>
                <w:rFonts w:hint="default" w:ascii="Times New Roman" w:hAnsi="Times New Roman" w:eastAsia="宋体" w:cs="Times New Roman"/>
                <w:smallCaps w:val="0"/>
                <w:color w:val="auto"/>
                <w:spacing w:val="0"/>
                <w:sz w:val="24"/>
                <w:szCs w:val="20"/>
                <w:highlight w:val="none"/>
                <w:lang w:val="en-US" w:eastAsia="zh-CN"/>
              </w:rPr>
              <w:t>本项目位于</w:t>
            </w:r>
            <w:r>
              <w:rPr>
                <w:rFonts w:hint="eastAsia" w:cs="Times New Roman"/>
                <w:smallCaps w:val="0"/>
                <w:color w:val="auto"/>
                <w:spacing w:val="0"/>
                <w:sz w:val="24"/>
                <w:szCs w:val="20"/>
                <w:highlight w:val="none"/>
                <w:lang w:val="en-US" w:eastAsia="zh-CN"/>
              </w:rPr>
              <w:t>河北省石家庄市栾城区窦妪村装备制造产业园区奥翔街6-1号（院内3号房）</w:t>
            </w:r>
            <w:r>
              <w:rPr>
                <w:rFonts w:hint="default" w:ascii="Times New Roman" w:hAnsi="Times New Roman" w:eastAsia="宋体" w:cs="Times New Roman"/>
                <w:smallCaps w:val="0"/>
                <w:color w:val="auto"/>
                <w:spacing w:val="0"/>
                <w:sz w:val="24"/>
                <w:szCs w:val="20"/>
                <w:highlight w:val="none"/>
                <w:lang w:val="en-US" w:eastAsia="zh-CN"/>
              </w:rPr>
              <w:t>，周围无生态保护目标</w:t>
            </w:r>
            <w:r>
              <w:rPr>
                <w:rFonts w:hint="default" w:ascii="Times New Roman" w:hAnsi="Times New Roman" w:eastAsia="宋体" w:cs="Times New Roman"/>
                <w:smallCaps w:val="0"/>
                <w:color w:val="auto"/>
                <w:spacing w:val="0"/>
                <w:sz w:val="24"/>
                <w:szCs w:val="20"/>
                <w:highlight w:val="none"/>
              </w:rPr>
              <w:t>。</w:t>
            </w:r>
          </w:p>
          <w:p w14:paraId="4597711A">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eastAsia" w:ascii="Times New Roman" w:hAnsi="Times New Roman" w:eastAsia="宋体" w:cs="Times New Roman"/>
                <w:smallCaps w:val="0"/>
                <w:color w:val="auto"/>
                <w:spacing w:val="0"/>
                <w:highlight w:val="none"/>
                <w:lang w:eastAsia="zh-CN"/>
              </w:rPr>
            </w:pPr>
            <w:r>
              <w:rPr>
                <w:rFonts w:hint="default" w:ascii="Times New Roman" w:hAnsi="Times New Roman" w:eastAsia="宋体" w:cs="Times New Roman"/>
                <w:smallCaps w:val="0"/>
                <w:color w:val="auto"/>
                <w:spacing w:val="0"/>
                <w:sz w:val="24"/>
                <w:highlight w:val="none"/>
                <w:lang w:val="en-US" w:eastAsia="zh-CN"/>
              </w:rPr>
              <w:t>综上所述，</w:t>
            </w:r>
            <w:r>
              <w:rPr>
                <w:rFonts w:hint="default" w:ascii="Times New Roman" w:hAnsi="Times New Roman" w:eastAsia="宋体" w:cs="Times New Roman"/>
                <w:smallCaps w:val="0"/>
                <w:color w:val="auto"/>
                <w:spacing w:val="0"/>
                <w:sz w:val="24"/>
                <w:highlight w:val="none"/>
              </w:rPr>
              <w:t>施工期对周围环境的影响是局部的、暂时的，随着工程施工结束而消失</w:t>
            </w:r>
            <w:r>
              <w:rPr>
                <w:rFonts w:hint="default" w:ascii="Times New Roman" w:hAnsi="Times New Roman" w:cs="Times New Roman"/>
                <w:smallCaps w:val="0"/>
                <w:color w:val="auto"/>
                <w:spacing w:val="0"/>
                <w:sz w:val="24"/>
                <w:highlight w:val="none"/>
                <w:lang w:eastAsia="zh-CN"/>
              </w:rPr>
              <w:t>。</w:t>
            </w:r>
          </w:p>
        </w:tc>
      </w:tr>
      <w:tr w14:paraId="2120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shd w:val="clear" w:color="auto" w:fill="auto"/>
            <w:vAlign w:val="center"/>
          </w:tcPr>
          <w:p w14:paraId="283490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pPr>
            <w:r>
              <w:rPr>
                <w:rFonts w:hint="default" w:ascii="Times New Roman" w:hAnsi="Times New Roman" w:eastAsia="宋体" w:cs="Times New Roman"/>
                <w:bCs/>
                <w:smallCaps w:val="0"/>
                <w:color w:val="auto"/>
                <w:spacing w:val="0"/>
                <w:sz w:val="24"/>
                <w:szCs w:val="21"/>
                <w:highlight w:val="none"/>
              </w:rPr>
              <w:t>运营</w:t>
            </w:r>
          </w:p>
          <w:p w14:paraId="2F948C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pPr>
            <w:r>
              <w:rPr>
                <w:rFonts w:hint="default" w:ascii="Times New Roman" w:hAnsi="Times New Roman" w:eastAsia="宋体" w:cs="Times New Roman"/>
                <w:bCs/>
                <w:smallCaps w:val="0"/>
                <w:color w:val="auto"/>
                <w:spacing w:val="0"/>
                <w:sz w:val="24"/>
                <w:szCs w:val="21"/>
                <w:highlight w:val="none"/>
              </w:rPr>
              <w:t>期环</w:t>
            </w:r>
          </w:p>
          <w:p w14:paraId="33B74D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pPr>
            <w:r>
              <w:rPr>
                <w:rFonts w:hint="default" w:ascii="Times New Roman" w:hAnsi="Times New Roman" w:eastAsia="宋体" w:cs="Times New Roman"/>
                <w:bCs/>
                <w:smallCaps w:val="0"/>
                <w:color w:val="auto"/>
                <w:spacing w:val="0"/>
                <w:sz w:val="24"/>
                <w:szCs w:val="21"/>
                <w:highlight w:val="none"/>
              </w:rPr>
              <w:t>境影</w:t>
            </w:r>
          </w:p>
          <w:p w14:paraId="3DA1D1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pPr>
            <w:r>
              <w:rPr>
                <w:rFonts w:hint="default" w:ascii="Times New Roman" w:hAnsi="Times New Roman" w:eastAsia="宋体" w:cs="Times New Roman"/>
                <w:bCs/>
                <w:smallCaps w:val="0"/>
                <w:color w:val="auto"/>
                <w:spacing w:val="0"/>
                <w:sz w:val="24"/>
                <w:szCs w:val="21"/>
                <w:highlight w:val="none"/>
              </w:rPr>
              <w:t>响和</w:t>
            </w:r>
          </w:p>
          <w:p w14:paraId="3B6DB6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2"/>
                <w:sz w:val="24"/>
                <w:szCs w:val="21"/>
                <w:highlight w:val="none"/>
                <w:lang w:val="en-US" w:eastAsia="zh-CN" w:bidi="ar-SA"/>
              </w:rPr>
            </w:pPr>
            <w:r>
              <w:rPr>
                <w:rFonts w:hint="default" w:ascii="Times New Roman" w:hAnsi="Times New Roman" w:eastAsia="宋体" w:cs="Times New Roman"/>
                <w:bCs/>
                <w:smallCaps w:val="0"/>
                <w:color w:val="auto"/>
                <w:spacing w:val="0"/>
                <w:sz w:val="24"/>
                <w:szCs w:val="21"/>
                <w:highlight w:val="none"/>
              </w:rPr>
              <w:t>保护措施</w:t>
            </w:r>
          </w:p>
        </w:tc>
        <w:tc>
          <w:tcPr>
            <w:tcW w:w="4732" w:type="pct"/>
            <w:shd w:val="clear" w:color="auto" w:fill="auto"/>
            <w:vAlign w:val="top"/>
          </w:tcPr>
          <w:p w14:paraId="0E75F512">
            <w:pPr>
              <w:pStyle w:val="172"/>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1、废气</w:t>
            </w:r>
          </w:p>
          <w:p w14:paraId="296B412A">
            <w:pPr>
              <w:keepNext w:val="0"/>
              <w:keepLines w:val="0"/>
              <w:suppressLineNumbers w:val="0"/>
              <w:adjustRightInd w:val="0"/>
              <w:spacing w:before="0" w:beforeAutospacing="0" w:after="0" w:afterAutospacing="0" w:line="440" w:lineRule="exact"/>
              <w:ind w:left="0" w:right="0" w:firstLine="480" w:firstLineChars="200"/>
              <w:rPr>
                <w:rFonts w:hint="default"/>
                <w:color w:val="auto"/>
                <w:sz w:val="24"/>
                <w:szCs w:val="20"/>
                <w:highlight w:val="none"/>
                <w:lang w:val="zh-CN"/>
              </w:rPr>
            </w:pPr>
            <w:r>
              <w:rPr>
                <w:rFonts w:hint="default"/>
                <w:color w:val="auto"/>
                <w:sz w:val="24"/>
                <w:szCs w:val="20"/>
                <w:highlight w:val="none"/>
                <w:lang w:val="zh-CN"/>
              </w:rPr>
              <w:t>（</w:t>
            </w:r>
            <w:r>
              <w:rPr>
                <w:rFonts w:hint="default"/>
                <w:color w:val="auto"/>
                <w:sz w:val="24"/>
                <w:szCs w:val="20"/>
                <w:highlight w:val="none"/>
              </w:rPr>
              <w:t>1</w:t>
            </w:r>
            <w:r>
              <w:rPr>
                <w:rFonts w:hint="default"/>
                <w:color w:val="auto"/>
                <w:sz w:val="24"/>
                <w:szCs w:val="20"/>
                <w:highlight w:val="none"/>
                <w:lang w:val="zh-CN"/>
              </w:rPr>
              <w:t>）废气污染源及治理措施</w:t>
            </w:r>
          </w:p>
          <w:p w14:paraId="104BE6F3">
            <w:pPr>
              <w:pStyle w:val="5"/>
              <w:keepNext w:val="0"/>
              <w:keepLines w:val="0"/>
              <w:suppressLineNumbers w:val="0"/>
              <w:adjustRightInd w:val="0"/>
              <w:spacing w:before="0" w:beforeAutospacing="0" w:after="0" w:afterAutospacing="0" w:line="440" w:lineRule="exact"/>
              <w:ind w:left="0" w:right="0"/>
              <w:rPr>
                <w:rFonts w:hint="default" w:eastAsia="宋体"/>
                <w:color w:val="auto"/>
                <w:sz w:val="24"/>
                <w:szCs w:val="20"/>
                <w:highlight w:val="none"/>
                <w:lang w:val="en-US" w:eastAsia="zh-CN"/>
              </w:rPr>
            </w:pPr>
            <w:r>
              <w:rPr>
                <w:rFonts w:hint="eastAsia"/>
                <w:color w:val="auto"/>
                <w:sz w:val="24"/>
                <w:szCs w:val="20"/>
                <w:highlight w:val="none"/>
                <w:lang w:val="en-US" w:eastAsia="zh-CN"/>
              </w:rPr>
              <w:t>项目废气主要为拆包、投料、烘干、注塑废气及未被收集废气。拆包、投料、烘干、注塑废气经集气罩收集后由布袋除尘器+两级活性炭吸附装置TA002处理，通过1根15m高排气筒（DA002）排放。</w:t>
            </w:r>
          </w:p>
          <w:p w14:paraId="3A268E34">
            <w:pPr>
              <w:pStyle w:val="5"/>
              <w:keepNext w:val="0"/>
              <w:keepLines w:val="0"/>
              <w:suppressLineNumbers w:val="0"/>
              <w:adjustRightInd w:val="0"/>
              <w:snapToGrid w:val="0"/>
              <w:spacing w:before="0" w:beforeAutospacing="0" w:after="0" w:afterAutospacing="0" w:line="440" w:lineRule="exact"/>
              <w:ind w:left="0" w:right="0" w:firstLine="480"/>
              <w:rPr>
                <w:rFonts w:hint="eastAsia" w:eastAsia="宋体"/>
                <w:color w:val="auto"/>
                <w:kern w:val="21"/>
                <w:sz w:val="24"/>
                <w:szCs w:val="20"/>
                <w:highlight w:val="none"/>
                <w:lang w:eastAsia="zh-CN"/>
              </w:rPr>
            </w:pPr>
            <w:r>
              <w:rPr>
                <w:rFonts w:hint="eastAsia"/>
                <w:color w:val="auto"/>
                <w:kern w:val="21"/>
                <w:sz w:val="24"/>
                <w:szCs w:val="20"/>
                <w:highlight w:val="none"/>
                <w:lang w:val="en-US" w:eastAsia="zh-CN"/>
              </w:rPr>
              <w:t>①</w:t>
            </w:r>
            <w:r>
              <w:rPr>
                <w:rFonts w:hint="eastAsia"/>
                <w:color w:val="auto"/>
                <w:sz w:val="24"/>
                <w:szCs w:val="20"/>
                <w:highlight w:val="none"/>
                <w:lang w:val="en-US" w:eastAsia="zh-CN"/>
              </w:rPr>
              <w:t>拆包、投料、烘干、注塑废气</w:t>
            </w:r>
            <w:r>
              <w:rPr>
                <w:rFonts w:hint="eastAsia"/>
                <w:color w:val="auto"/>
                <w:kern w:val="21"/>
                <w:sz w:val="24"/>
                <w:szCs w:val="21"/>
                <w:highlight w:val="none"/>
                <w:lang w:eastAsia="zh-CN"/>
              </w:rPr>
              <w:t>。</w:t>
            </w:r>
          </w:p>
          <w:p w14:paraId="36FEFDCB">
            <w:pPr>
              <w:pStyle w:val="5"/>
              <w:keepNext w:val="0"/>
              <w:keepLines w:val="0"/>
              <w:suppressLineNumbers w:val="0"/>
              <w:adjustRightInd w:val="0"/>
              <w:snapToGrid w:val="0"/>
              <w:spacing w:before="0" w:beforeAutospacing="0" w:after="0" w:afterAutospacing="0" w:line="440" w:lineRule="exact"/>
              <w:ind w:left="0" w:right="0" w:firstLine="480"/>
              <w:rPr>
                <w:rFonts w:hint="default"/>
                <w:color w:val="auto"/>
                <w:sz w:val="24"/>
                <w:szCs w:val="20"/>
                <w:highlight w:val="none"/>
                <w:lang w:val="en-US" w:eastAsia="zh-CN"/>
              </w:rPr>
            </w:pPr>
            <w:r>
              <w:rPr>
                <w:rFonts w:hint="eastAsia"/>
                <w:color w:val="auto"/>
                <w:sz w:val="24"/>
                <w:szCs w:val="20"/>
                <w:highlight w:val="none"/>
                <w:lang w:val="en-US" w:eastAsia="zh-CN"/>
              </w:rPr>
              <w:t>拆包、投料、注塑废气参照《排放源统计调查产排污核算方法和系数手册》（环境部公告 2021年 第24号）中292塑料制品行业系数手册，树脂、助剂混料-混合-挤出颗粒物产生量为6.00千克/吨-产品，项目汽车塑料配件160万件（约100t），则颗粒物产生量为0.6t/a。</w:t>
            </w:r>
          </w:p>
          <w:p w14:paraId="77EE61C4">
            <w:pPr>
              <w:pStyle w:val="5"/>
              <w:keepNext w:val="0"/>
              <w:keepLines w:val="0"/>
              <w:suppressLineNumbers w:val="0"/>
              <w:adjustRightInd w:val="0"/>
              <w:snapToGrid w:val="0"/>
              <w:spacing w:before="0" w:beforeAutospacing="0" w:after="0" w:afterAutospacing="0" w:line="440" w:lineRule="exact"/>
              <w:ind w:left="0" w:right="0" w:firstLine="480"/>
              <w:rPr>
                <w:rFonts w:hint="default"/>
                <w:color w:val="auto"/>
                <w:sz w:val="24"/>
                <w:szCs w:val="20"/>
                <w:highlight w:val="none"/>
                <w:lang w:val="en-US" w:eastAsia="zh-CN"/>
              </w:rPr>
            </w:pPr>
            <w:r>
              <w:rPr>
                <w:rFonts w:hint="eastAsia"/>
                <w:color w:val="auto"/>
                <w:sz w:val="24"/>
                <w:szCs w:val="20"/>
                <w:highlight w:val="none"/>
                <w:lang w:val="en-US" w:eastAsia="zh-CN"/>
              </w:rPr>
              <w:t>烘干、注塑废气类比现有工程检测报告可知，现有原辅材料消耗量热塑性聚氨酯为80t/a、尼龙粒子为55t/a、色母粒子为2t/a，合计树脂消耗量为137t/a，氨产生量为0.81t/a，非甲烷总烃产生量为0.984t/a，由此可知氨产污系数为5.912kg/t-原料，非甲烷总烃产污系数为7.182kg/t-原料，本项目尼龙粒子消耗量为70.613t/a，则氨排放量为0.417t/a，非甲烷总烃排放量为0.507t/a。</w:t>
            </w:r>
          </w:p>
          <w:p w14:paraId="310479E2">
            <w:pPr>
              <w:pStyle w:val="5"/>
              <w:keepNext w:val="0"/>
              <w:keepLines w:val="0"/>
              <w:suppressLineNumbers w:val="0"/>
              <w:adjustRightInd w:val="0"/>
              <w:snapToGrid w:val="0"/>
              <w:spacing w:before="0" w:beforeAutospacing="0" w:after="0" w:afterAutospacing="0" w:line="440" w:lineRule="exact"/>
              <w:ind w:left="0" w:right="0" w:firstLine="480"/>
              <w:rPr>
                <w:rFonts w:hint="default"/>
                <w:color w:val="auto"/>
                <w:sz w:val="24"/>
                <w:szCs w:val="20"/>
                <w:highlight w:val="none"/>
                <w:lang w:val="en-US" w:eastAsia="zh-CN"/>
              </w:rPr>
            </w:pPr>
            <w:r>
              <w:rPr>
                <w:rFonts w:hint="eastAsia"/>
                <w:color w:val="auto"/>
                <w:sz w:val="24"/>
                <w:szCs w:val="20"/>
                <w:highlight w:val="none"/>
                <w:lang w:val="en-US" w:eastAsia="zh-CN"/>
              </w:rPr>
              <w:t>综上所述，拆包、投料、烘干、注塑废气中颗粒物产生量为0.6t/a，非甲烷总烃产生量为0.507t/a，氨产生量为0.417t/a。</w:t>
            </w:r>
          </w:p>
          <w:p w14:paraId="1A7A5D32">
            <w:pPr>
              <w:pStyle w:val="5"/>
              <w:keepNext w:val="0"/>
              <w:keepLines w:val="0"/>
              <w:suppressLineNumbers w:val="0"/>
              <w:adjustRightInd w:val="0"/>
              <w:snapToGrid w:val="0"/>
              <w:spacing w:before="0" w:beforeAutospacing="0" w:after="0" w:afterAutospacing="0" w:line="440" w:lineRule="exact"/>
              <w:ind w:left="0" w:right="0" w:firstLine="480"/>
              <w:rPr>
                <w:rFonts w:hint="default" w:eastAsia="宋体"/>
                <w:color w:val="auto"/>
                <w:sz w:val="24"/>
                <w:szCs w:val="20"/>
                <w:highlight w:val="none"/>
                <w:lang w:val="en-US" w:eastAsia="zh-CN"/>
              </w:rPr>
            </w:pPr>
            <w:r>
              <w:rPr>
                <w:rFonts w:hint="eastAsia"/>
                <w:color w:val="auto"/>
                <w:sz w:val="24"/>
                <w:szCs w:val="20"/>
                <w:highlight w:val="none"/>
                <w:lang w:val="en-US" w:eastAsia="zh-CN"/>
              </w:rPr>
              <w:t>参照《广东省石油化工行业VOCs排放量计算方法》（试行）表2.4-1不同情况下污染物治理设施的捕集效率中负压排放捕集效率为75%，则本项目集气罩的收集效率为75%，项目拆包、投料、烘干、注塑废气采用集气罩。根据《吸附法工业有机废气治理工程技术规范》，吸附装置的净化效率不得低于90%，项目购置的两级活性炭去除效率可满足90%，因本项目进口浓度较低，非甲烷总烃去除效率按80%计，氨去除效率为60%。布袋除尘器设计去除效率为99.5%，因项目进口浓度低，去除效率按50%计算。</w:t>
            </w:r>
          </w:p>
          <w:p w14:paraId="2717FDDE">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依据《局部排风设施控制风速检测与评估技术规范》（AQ/T4274-2016）、《排风罩的分类及技术条件》（GB/T16758-2008），项目风量确定如下：</w:t>
            </w:r>
          </w:p>
          <w:p w14:paraId="29EBD0FF">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Q=Fv</w:t>
            </w:r>
          </w:p>
          <w:p w14:paraId="75384C9E">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式中：</w:t>
            </w:r>
          </w:p>
          <w:p w14:paraId="189AA645">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Q-排风罩的排风量，单位为m³/s；</w:t>
            </w:r>
          </w:p>
          <w:p w14:paraId="727A64CD">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F-排风罩罩口面积，单位为㎡；</w:t>
            </w:r>
          </w:p>
          <w:p w14:paraId="542107E6">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default"/>
                <w:color w:val="auto"/>
                <w:sz w:val="24"/>
                <w:szCs w:val="20"/>
                <w:highlight w:val="none"/>
              </w:rPr>
              <w:t>V-排风罩罩口风速，单位为m/s；</w:t>
            </w:r>
          </w:p>
          <w:p w14:paraId="06CA4B79">
            <w:pPr>
              <w:pStyle w:val="5"/>
              <w:keepNext w:val="0"/>
              <w:keepLines w:val="0"/>
              <w:suppressLineNumbers w:val="0"/>
              <w:adjustRightInd w:val="0"/>
              <w:spacing w:before="0" w:beforeAutospacing="0" w:after="0" w:afterAutospacing="0" w:line="440" w:lineRule="exact"/>
              <w:ind w:left="0" w:right="0"/>
              <w:rPr>
                <w:rFonts w:hint="default"/>
                <w:color w:val="auto"/>
                <w:sz w:val="24"/>
                <w:szCs w:val="20"/>
                <w:highlight w:val="none"/>
              </w:rPr>
            </w:pPr>
            <w:r>
              <w:rPr>
                <w:rFonts w:hint="eastAsia"/>
                <w:color w:val="auto"/>
                <w:sz w:val="24"/>
                <w:szCs w:val="20"/>
                <w:highlight w:val="none"/>
                <w:lang w:val="en-US" w:eastAsia="zh-CN"/>
              </w:rPr>
              <w:t>项目均采用集气罩，拆包、投料废气与烘干废气使用同一个集气罩，项目拆包、投料、烘干设置2个集气罩，注塑机设置4个集气罩，集气罩长宽为0.6×0.6m</w:t>
            </w:r>
            <w:r>
              <w:rPr>
                <w:rFonts w:hint="eastAsia"/>
                <w:color w:val="auto"/>
                <w:sz w:val="24"/>
                <w:szCs w:val="20"/>
                <w:highlight w:val="none"/>
              </w:rPr>
              <w:t>，</w:t>
            </w:r>
            <w:r>
              <w:rPr>
                <w:rFonts w:hint="default"/>
                <w:color w:val="auto"/>
                <w:sz w:val="24"/>
                <w:szCs w:val="20"/>
                <w:highlight w:val="none"/>
              </w:rPr>
              <w:t>根据规范要求，风速按1.2m/s设计，经计算，项目</w:t>
            </w:r>
            <w:r>
              <w:rPr>
                <w:rFonts w:hint="eastAsia"/>
                <w:color w:val="auto"/>
                <w:sz w:val="24"/>
                <w:szCs w:val="20"/>
                <w:highlight w:val="none"/>
                <w:lang w:val="en-US" w:eastAsia="zh-CN"/>
              </w:rPr>
              <w:t>废气量</w:t>
            </w:r>
            <w:r>
              <w:rPr>
                <w:rFonts w:hint="default"/>
                <w:color w:val="auto"/>
                <w:sz w:val="24"/>
                <w:szCs w:val="20"/>
                <w:highlight w:val="none"/>
              </w:rPr>
              <w:t>约</w:t>
            </w:r>
            <w:r>
              <w:rPr>
                <w:rFonts w:hint="eastAsia"/>
                <w:color w:val="auto"/>
                <w:sz w:val="24"/>
                <w:szCs w:val="20"/>
                <w:highlight w:val="none"/>
                <w:lang w:val="en-US" w:eastAsia="zh-CN"/>
              </w:rPr>
              <w:t>为10000</w:t>
            </w:r>
            <w:r>
              <w:rPr>
                <w:rFonts w:hint="default"/>
                <w:color w:val="auto"/>
                <w:sz w:val="24"/>
                <w:szCs w:val="20"/>
                <w:highlight w:val="none"/>
              </w:rPr>
              <w:t>m³/h，可满足废气收集需求。</w:t>
            </w:r>
          </w:p>
          <w:p w14:paraId="201F8603">
            <w:pPr>
              <w:pStyle w:val="5"/>
              <w:keepNext w:val="0"/>
              <w:keepLines w:val="0"/>
              <w:suppressLineNumbers w:val="0"/>
              <w:adjustRightInd w:val="0"/>
              <w:spacing w:before="0" w:beforeAutospacing="0" w:after="0" w:afterAutospacing="0" w:line="440" w:lineRule="exact"/>
              <w:ind w:left="0" w:right="0"/>
              <w:rPr>
                <w:rFonts w:hint="default"/>
                <w:color w:val="auto"/>
                <w:kern w:val="21"/>
                <w:sz w:val="24"/>
                <w:szCs w:val="20"/>
                <w:highlight w:val="none"/>
                <w:lang w:val="en-US" w:eastAsia="zh-CN"/>
              </w:rPr>
            </w:pPr>
            <w:r>
              <w:rPr>
                <w:rFonts w:hint="eastAsia"/>
                <w:color w:val="auto"/>
                <w:sz w:val="24"/>
                <w:szCs w:val="20"/>
                <w:highlight w:val="none"/>
              </w:rPr>
              <w:t>综上所述，</w:t>
            </w:r>
            <w:r>
              <w:rPr>
                <w:rFonts w:hint="eastAsia"/>
                <w:color w:val="auto"/>
                <w:sz w:val="24"/>
                <w:szCs w:val="20"/>
                <w:highlight w:val="none"/>
                <w:lang w:val="en-US" w:eastAsia="zh-CN"/>
              </w:rPr>
              <w:t>拆包、投料、烘干、注塑废气</w:t>
            </w:r>
            <w:r>
              <w:rPr>
                <w:rFonts w:hint="eastAsia"/>
                <w:color w:val="auto"/>
                <w:sz w:val="24"/>
                <w:szCs w:val="20"/>
                <w:highlight w:val="none"/>
              </w:rPr>
              <w:t>中</w:t>
            </w:r>
            <w:r>
              <w:rPr>
                <w:rFonts w:hint="eastAsia"/>
                <w:color w:val="auto"/>
                <w:sz w:val="24"/>
                <w:szCs w:val="20"/>
                <w:highlight w:val="none"/>
                <w:lang w:val="en-US" w:eastAsia="zh-CN"/>
              </w:rPr>
              <w:t>颗粒物</w:t>
            </w:r>
            <w:r>
              <w:rPr>
                <w:rFonts w:hint="eastAsia"/>
                <w:color w:val="auto"/>
                <w:sz w:val="24"/>
                <w:szCs w:val="20"/>
                <w:highlight w:val="none"/>
              </w:rPr>
              <w:t>产生量为</w:t>
            </w:r>
            <w:r>
              <w:rPr>
                <w:rFonts w:hint="eastAsia"/>
                <w:color w:val="auto"/>
                <w:sz w:val="24"/>
                <w:szCs w:val="20"/>
                <w:highlight w:val="none"/>
                <w:lang w:val="en-US" w:eastAsia="zh-CN"/>
              </w:rPr>
              <w:t>0.6</w:t>
            </w:r>
            <w:r>
              <w:rPr>
                <w:rFonts w:hint="eastAsia"/>
                <w:color w:val="auto"/>
                <w:sz w:val="24"/>
                <w:szCs w:val="20"/>
                <w:highlight w:val="none"/>
              </w:rPr>
              <w:t>t/a，收集量为</w:t>
            </w:r>
            <w:r>
              <w:rPr>
                <w:rFonts w:hint="eastAsia"/>
                <w:color w:val="auto"/>
                <w:sz w:val="24"/>
                <w:szCs w:val="20"/>
                <w:highlight w:val="none"/>
                <w:lang w:val="en-US" w:eastAsia="zh-CN"/>
              </w:rPr>
              <w:t>0.45</w:t>
            </w:r>
            <w:r>
              <w:rPr>
                <w:rFonts w:hint="eastAsia"/>
                <w:color w:val="auto"/>
                <w:sz w:val="24"/>
                <w:szCs w:val="20"/>
                <w:highlight w:val="none"/>
              </w:rPr>
              <w:t>t/a，收集速率为</w:t>
            </w:r>
            <w:r>
              <w:rPr>
                <w:rFonts w:hint="eastAsia"/>
                <w:color w:val="auto"/>
                <w:sz w:val="24"/>
                <w:szCs w:val="20"/>
                <w:highlight w:val="none"/>
                <w:lang w:val="en-US" w:eastAsia="zh-CN"/>
              </w:rPr>
              <w:t>0.094</w:t>
            </w:r>
            <w:r>
              <w:rPr>
                <w:rFonts w:hint="eastAsia"/>
                <w:color w:val="auto"/>
                <w:sz w:val="24"/>
                <w:szCs w:val="20"/>
                <w:highlight w:val="none"/>
              </w:rPr>
              <w:t>kg/h，收集浓度为</w:t>
            </w:r>
            <w:r>
              <w:rPr>
                <w:rFonts w:hint="eastAsia"/>
                <w:color w:val="auto"/>
                <w:sz w:val="24"/>
                <w:szCs w:val="20"/>
                <w:highlight w:val="none"/>
                <w:lang w:val="en-US" w:eastAsia="zh-CN"/>
              </w:rPr>
              <w:t>9.375</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rPr>
              <w:t>排放量为</w:t>
            </w:r>
            <w:r>
              <w:rPr>
                <w:rFonts w:hint="eastAsia"/>
                <w:color w:val="auto"/>
                <w:sz w:val="24"/>
                <w:szCs w:val="20"/>
                <w:highlight w:val="none"/>
                <w:lang w:val="en-US" w:eastAsia="zh-CN"/>
              </w:rPr>
              <w:t>0.225</w:t>
            </w:r>
            <w:r>
              <w:rPr>
                <w:rFonts w:hint="eastAsia"/>
                <w:color w:val="auto"/>
                <w:sz w:val="24"/>
                <w:szCs w:val="20"/>
                <w:highlight w:val="none"/>
              </w:rPr>
              <w:t>t/a，</w:t>
            </w:r>
            <w:r>
              <w:rPr>
                <w:rFonts w:hint="default"/>
                <w:color w:val="auto"/>
                <w:sz w:val="24"/>
                <w:szCs w:val="20"/>
                <w:highlight w:val="none"/>
              </w:rPr>
              <w:t>排放速率为</w:t>
            </w:r>
            <w:r>
              <w:rPr>
                <w:rFonts w:hint="eastAsia"/>
                <w:color w:val="auto"/>
                <w:sz w:val="24"/>
                <w:szCs w:val="20"/>
                <w:highlight w:val="none"/>
                <w:lang w:val="en-US" w:eastAsia="zh-CN"/>
              </w:rPr>
              <w:t>0.047</w:t>
            </w:r>
            <w:r>
              <w:rPr>
                <w:rFonts w:hint="default"/>
                <w:color w:val="auto"/>
                <w:sz w:val="24"/>
                <w:szCs w:val="20"/>
                <w:highlight w:val="none"/>
              </w:rPr>
              <w:t>kg/h</w:t>
            </w:r>
            <w:r>
              <w:rPr>
                <w:rFonts w:hint="eastAsia"/>
                <w:color w:val="auto"/>
                <w:sz w:val="24"/>
                <w:szCs w:val="20"/>
                <w:highlight w:val="none"/>
              </w:rPr>
              <w:t>，</w:t>
            </w:r>
            <w:r>
              <w:rPr>
                <w:rFonts w:hint="default"/>
                <w:color w:val="auto"/>
                <w:sz w:val="24"/>
                <w:szCs w:val="20"/>
                <w:highlight w:val="none"/>
              </w:rPr>
              <w:t>排放浓度为</w:t>
            </w:r>
            <w:r>
              <w:rPr>
                <w:rFonts w:hint="eastAsia"/>
                <w:color w:val="auto"/>
                <w:sz w:val="24"/>
                <w:szCs w:val="20"/>
                <w:highlight w:val="none"/>
                <w:lang w:val="en-US" w:eastAsia="zh-CN"/>
              </w:rPr>
              <w:t>4.688</w:t>
            </w:r>
            <w:r>
              <w:rPr>
                <w:rFonts w:hint="default"/>
                <w:color w:val="auto"/>
                <w:sz w:val="24"/>
                <w:szCs w:val="20"/>
                <w:highlight w:val="none"/>
              </w:rPr>
              <w:t>mg/m</w:t>
            </w:r>
            <w:r>
              <w:rPr>
                <w:rFonts w:hint="default"/>
                <w:color w:val="auto"/>
                <w:sz w:val="24"/>
                <w:szCs w:val="20"/>
                <w:highlight w:val="none"/>
                <w:vertAlign w:val="superscript"/>
              </w:rPr>
              <w:t>3</w:t>
            </w:r>
            <w:r>
              <w:rPr>
                <w:rFonts w:hint="eastAsia"/>
                <w:color w:val="auto"/>
                <w:sz w:val="24"/>
                <w:szCs w:val="20"/>
                <w:highlight w:val="none"/>
                <w:lang w:eastAsia="zh-CN"/>
              </w:rPr>
              <w:t>；</w:t>
            </w:r>
            <w:r>
              <w:rPr>
                <w:rFonts w:hint="eastAsia"/>
                <w:color w:val="auto"/>
                <w:sz w:val="24"/>
                <w:szCs w:val="20"/>
                <w:highlight w:val="none"/>
                <w:lang w:val="en-US" w:eastAsia="zh-CN"/>
              </w:rPr>
              <w:t>氨</w:t>
            </w:r>
            <w:r>
              <w:rPr>
                <w:rFonts w:hint="eastAsia"/>
                <w:color w:val="auto"/>
                <w:sz w:val="24"/>
                <w:szCs w:val="20"/>
                <w:highlight w:val="none"/>
              </w:rPr>
              <w:t>产生量为</w:t>
            </w:r>
            <w:r>
              <w:rPr>
                <w:rFonts w:hint="eastAsia"/>
                <w:color w:val="auto"/>
                <w:sz w:val="24"/>
                <w:szCs w:val="20"/>
                <w:highlight w:val="none"/>
                <w:lang w:val="en-US" w:eastAsia="zh-CN"/>
              </w:rPr>
              <w:t>0.417</w:t>
            </w:r>
            <w:r>
              <w:rPr>
                <w:rFonts w:hint="eastAsia"/>
                <w:color w:val="auto"/>
                <w:sz w:val="24"/>
                <w:szCs w:val="20"/>
                <w:highlight w:val="none"/>
              </w:rPr>
              <w:t>t/a，收集量为</w:t>
            </w:r>
            <w:r>
              <w:rPr>
                <w:rFonts w:hint="eastAsia"/>
                <w:color w:val="auto"/>
                <w:sz w:val="24"/>
                <w:szCs w:val="20"/>
                <w:highlight w:val="none"/>
                <w:lang w:val="en-US" w:eastAsia="zh-CN"/>
              </w:rPr>
              <w:t>0.313</w:t>
            </w:r>
            <w:r>
              <w:rPr>
                <w:rFonts w:hint="eastAsia"/>
                <w:color w:val="auto"/>
                <w:sz w:val="24"/>
                <w:szCs w:val="20"/>
                <w:highlight w:val="none"/>
              </w:rPr>
              <w:t>t/a，收集速率为</w:t>
            </w:r>
            <w:r>
              <w:rPr>
                <w:rFonts w:hint="eastAsia"/>
                <w:color w:val="auto"/>
                <w:sz w:val="24"/>
                <w:szCs w:val="20"/>
                <w:highlight w:val="none"/>
                <w:lang w:val="en-US" w:eastAsia="zh-CN"/>
              </w:rPr>
              <w:t>0.065</w:t>
            </w:r>
            <w:r>
              <w:rPr>
                <w:rFonts w:hint="eastAsia"/>
                <w:color w:val="auto"/>
                <w:sz w:val="24"/>
                <w:szCs w:val="20"/>
                <w:highlight w:val="none"/>
              </w:rPr>
              <w:t>kg/h，收集浓度为</w:t>
            </w:r>
            <w:r>
              <w:rPr>
                <w:rFonts w:hint="eastAsia"/>
                <w:color w:val="auto"/>
                <w:sz w:val="24"/>
                <w:szCs w:val="20"/>
                <w:highlight w:val="none"/>
                <w:lang w:val="en-US" w:eastAsia="zh-CN"/>
              </w:rPr>
              <w:t>6.516</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rPr>
              <w:t>排放量为</w:t>
            </w:r>
            <w:r>
              <w:rPr>
                <w:rFonts w:hint="eastAsia"/>
                <w:color w:val="auto"/>
                <w:sz w:val="24"/>
                <w:szCs w:val="20"/>
                <w:highlight w:val="none"/>
                <w:lang w:val="en-US" w:eastAsia="zh-CN"/>
              </w:rPr>
              <w:t>0.125</w:t>
            </w:r>
            <w:r>
              <w:rPr>
                <w:rFonts w:hint="eastAsia"/>
                <w:color w:val="auto"/>
                <w:sz w:val="24"/>
                <w:szCs w:val="20"/>
                <w:highlight w:val="none"/>
              </w:rPr>
              <w:t>t/a，</w:t>
            </w:r>
            <w:r>
              <w:rPr>
                <w:rFonts w:hint="default"/>
                <w:color w:val="auto"/>
                <w:sz w:val="24"/>
                <w:szCs w:val="20"/>
                <w:highlight w:val="none"/>
              </w:rPr>
              <w:t>排放速率为</w:t>
            </w:r>
            <w:r>
              <w:rPr>
                <w:rFonts w:hint="eastAsia"/>
                <w:color w:val="auto"/>
                <w:sz w:val="24"/>
                <w:szCs w:val="20"/>
                <w:highlight w:val="none"/>
                <w:lang w:val="en-US" w:eastAsia="zh-CN"/>
              </w:rPr>
              <w:t>0.026</w:t>
            </w:r>
            <w:r>
              <w:rPr>
                <w:rFonts w:hint="default"/>
                <w:color w:val="auto"/>
                <w:sz w:val="24"/>
                <w:szCs w:val="20"/>
                <w:highlight w:val="none"/>
              </w:rPr>
              <w:t>kg/h</w:t>
            </w:r>
            <w:r>
              <w:rPr>
                <w:rFonts w:hint="eastAsia"/>
                <w:color w:val="auto"/>
                <w:sz w:val="24"/>
                <w:szCs w:val="20"/>
                <w:highlight w:val="none"/>
              </w:rPr>
              <w:t>，</w:t>
            </w:r>
            <w:r>
              <w:rPr>
                <w:rFonts w:hint="default"/>
                <w:color w:val="auto"/>
                <w:sz w:val="24"/>
                <w:szCs w:val="20"/>
                <w:highlight w:val="none"/>
              </w:rPr>
              <w:t>排放浓度为</w:t>
            </w:r>
            <w:r>
              <w:rPr>
                <w:rFonts w:hint="eastAsia"/>
                <w:color w:val="auto"/>
                <w:sz w:val="24"/>
                <w:szCs w:val="20"/>
                <w:highlight w:val="none"/>
                <w:lang w:val="en-US" w:eastAsia="zh-CN"/>
              </w:rPr>
              <w:t>2.606</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单位产品非甲烷总烃排放量为0.76kg/吨产品，满足</w:t>
            </w:r>
            <w:r>
              <w:rPr>
                <w:rFonts w:hint="default"/>
                <w:color w:val="auto"/>
                <w:sz w:val="24"/>
                <w:szCs w:val="20"/>
                <w:highlight w:val="none"/>
              </w:rPr>
              <w:t>《合成树脂工业污染物排放标准》（GB31572-2015）（含2024年修改单）表5标准</w:t>
            </w:r>
            <w:r>
              <w:rPr>
                <w:rFonts w:hint="eastAsia"/>
                <w:color w:val="auto"/>
                <w:sz w:val="24"/>
                <w:szCs w:val="20"/>
                <w:highlight w:val="none"/>
                <w:lang w:eastAsia="zh-CN"/>
              </w:rPr>
              <w:t>；</w:t>
            </w:r>
            <w:r>
              <w:rPr>
                <w:rFonts w:hint="eastAsia"/>
                <w:color w:val="auto"/>
                <w:sz w:val="24"/>
                <w:szCs w:val="20"/>
                <w:highlight w:val="none"/>
                <w:lang w:val="en-US" w:eastAsia="zh-CN"/>
              </w:rPr>
              <w:t>非甲烷总烃</w:t>
            </w:r>
            <w:r>
              <w:rPr>
                <w:rFonts w:hint="eastAsia"/>
                <w:color w:val="auto"/>
                <w:sz w:val="24"/>
                <w:szCs w:val="20"/>
                <w:highlight w:val="none"/>
              </w:rPr>
              <w:t>产生量为</w:t>
            </w:r>
            <w:r>
              <w:rPr>
                <w:rFonts w:hint="eastAsia"/>
                <w:color w:val="auto"/>
                <w:sz w:val="24"/>
                <w:szCs w:val="20"/>
                <w:highlight w:val="none"/>
                <w:lang w:val="en-US" w:eastAsia="zh-CN"/>
              </w:rPr>
              <w:t>0.507</w:t>
            </w:r>
            <w:r>
              <w:rPr>
                <w:rFonts w:hint="eastAsia"/>
                <w:color w:val="auto"/>
                <w:sz w:val="24"/>
                <w:szCs w:val="20"/>
                <w:highlight w:val="none"/>
              </w:rPr>
              <w:t>t/a，收集量为</w:t>
            </w:r>
            <w:r>
              <w:rPr>
                <w:rFonts w:hint="eastAsia"/>
                <w:color w:val="auto"/>
                <w:sz w:val="24"/>
                <w:szCs w:val="20"/>
                <w:highlight w:val="none"/>
                <w:lang w:val="en-US" w:eastAsia="zh-CN"/>
              </w:rPr>
              <w:t>0.380</w:t>
            </w:r>
            <w:r>
              <w:rPr>
                <w:rFonts w:hint="eastAsia"/>
                <w:color w:val="auto"/>
                <w:sz w:val="24"/>
                <w:szCs w:val="20"/>
                <w:highlight w:val="none"/>
              </w:rPr>
              <w:t>t/a，收集速率为</w:t>
            </w:r>
            <w:r>
              <w:rPr>
                <w:rFonts w:hint="eastAsia"/>
                <w:color w:val="auto"/>
                <w:sz w:val="24"/>
                <w:szCs w:val="20"/>
                <w:highlight w:val="none"/>
                <w:lang w:val="en-US" w:eastAsia="zh-CN"/>
              </w:rPr>
              <w:t>0.079</w:t>
            </w:r>
            <w:r>
              <w:rPr>
                <w:rFonts w:hint="eastAsia"/>
                <w:color w:val="auto"/>
                <w:sz w:val="24"/>
                <w:szCs w:val="20"/>
                <w:highlight w:val="none"/>
              </w:rPr>
              <w:t>kg/h，收集浓度为</w:t>
            </w:r>
            <w:r>
              <w:rPr>
                <w:rFonts w:hint="eastAsia"/>
                <w:color w:val="auto"/>
                <w:sz w:val="24"/>
                <w:szCs w:val="20"/>
                <w:highlight w:val="none"/>
                <w:lang w:val="en-US" w:eastAsia="zh-CN"/>
              </w:rPr>
              <w:t>7.922</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rPr>
              <w:t>排放量为</w:t>
            </w:r>
            <w:r>
              <w:rPr>
                <w:rFonts w:hint="eastAsia"/>
                <w:color w:val="auto"/>
                <w:sz w:val="24"/>
                <w:szCs w:val="20"/>
                <w:highlight w:val="none"/>
                <w:lang w:val="en-US" w:eastAsia="zh-CN"/>
              </w:rPr>
              <w:t>0.076</w:t>
            </w:r>
            <w:r>
              <w:rPr>
                <w:rFonts w:hint="eastAsia"/>
                <w:color w:val="auto"/>
                <w:sz w:val="24"/>
                <w:szCs w:val="20"/>
                <w:highlight w:val="none"/>
              </w:rPr>
              <w:t>t/a，</w:t>
            </w:r>
            <w:r>
              <w:rPr>
                <w:rFonts w:hint="default"/>
                <w:color w:val="auto"/>
                <w:sz w:val="24"/>
                <w:szCs w:val="20"/>
                <w:highlight w:val="none"/>
              </w:rPr>
              <w:t>排放速率为</w:t>
            </w:r>
            <w:r>
              <w:rPr>
                <w:rFonts w:hint="eastAsia"/>
                <w:color w:val="auto"/>
                <w:sz w:val="24"/>
                <w:szCs w:val="20"/>
                <w:highlight w:val="none"/>
                <w:lang w:val="en-US" w:eastAsia="zh-CN"/>
              </w:rPr>
              <w:t>0.016</w:t>
            </w:r>
            <w:r>
              <w:rPr>
                <w:rFonts w:hint="default"/>
                <w:color w:val="auto"/>
                <w:sz w:val="24"/>
                <w:szCs w:val="20"/>
                <w:highlight w:val="none"/>
              </w:rPr>
              <w:t>kg/h</w:t>
            </w:r>
            <w:r>
              <w:rPr>
                <w:rFonts w:hint="eastAsia"/>
                <w:color w:val="auto"/>
                <w:sz w:val="24"/>
                <w:szCs w:val="20"/>
                <w:highlight w:val="none"/>
              </w:rPr>
              <w:t>，</w:t>
            </w:r>
            <w:r>
              <w:rPr>
                <w:rFonts w:hint="default"/>
                <w:color w:val="auto"/>
                <w:sz w:val="24"/>
                <w:szCs w:val="20"/>
                <w:highlight w:val="none"/>
              </w:rPr>
              <w:t>排放浓度为</w:t>
            </w:r>
            <w:r>
              <w:rPr>
                <w:rFonts w:hint="eastAsia"/>
                <w:color w:val="auto"/>
                <w:sz w:val="24"/>
                <w:szCs w:val="20"/>
                <w:highlight w:val="none"/>
                <w:lang w:val="en-US" w:eastAsia="zh-CN"/>
              </w:rPr>
              <w:t>1.584</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排放满足《工业企业挥发性有机物排放控制标准》（DB13/2322-2025）表1（塑料制品制造）标准；</w:t>
            </w:r>
            <w:r>
              <w:rPr>
                <w:rFonts w:hint="eastAsia"/>
                <w:color w:val="auto"/>
                <w:kern w:val="21"/>
                <w:sz w:val="24"/>
                <w:szCs w:val="20"/>
                <w:highlight w:val="none"/>
                <w:lang w:val="en-US" w:eastAsia="zh-CN"/>
              </w:rPr>
              <w:t>项目臭气浓度类比《大名县泽田节水管道有限公司年产8000吨供水管材管件项目竣工环境保护验收报告》监测数据（检测报告：NO.KZHJ字2024第02063号），类比项目采用注塑工艺，且产品大于本项目，类比可行，有组织臭气浓度为977（无量纲），满足《恶臭污染物排放标准》（GB14554-93）表2标准。</w:t>
            </w:r>
          </w:p>
          <w:p w14:paraId="2144807E">
            <w:pPr>
              <w:pStyle w:val="4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smallCaps w:val="0"/>
                <w:color w:val="auto"/>
                <w:kern w:val="2"/>
                <w:sz w:val="24"/>
                <w:szCs w:val="24"/>
                <w:highlight w:val="none"/>
                <w:lang w:val="en-US" w:eastAsia="zh-CN" w:bidi="ar-SA"/>
              </w:rPr>
            </w:pPr>
            <w:r>
              <w:rPr>
                <w:rFonts w:hint="default" w:ascii="Times New Roman" w:hAnsi="Times New Roman" w:eastAsia="宋体" w:cs="Times New Roman"/>
                <w:b/>
                <w:smallCaps w:val="0"/>
                <w:color w:val="auto"/>
                <w:kern w:val="2"/>
                <w:sz w:val="24"/>
                <w:szCs w:val="24"/>
                <w:highlight w:val="none"/>
                <w:lang w:val="en-US" w:eastAsia="zh-CN" w:bidi="ar-SA"/>
              </w:rPr>
              <w:t>表</w:t>
            </w:r>
            <w:r>
              <w:rPr>
                <w:rFonts w:hint="eastAsia" w:ascii="Times New Roman" w:hAnsi="Times New Roman" w:eastAsia="宋体" w:cs="Times New Roman"/>
                <w:b/>
                <w:smallCaps w:val="0"/>
                <w:color w:val="auto"/>
                <w:kern w:val="2"/>
                <w:sz w:val="24"/>
                <w:szCs w:val="24"/>
                <w:highlight w:val="none"/>
                <w:lang w:val="en-US" w:eastAsia="zh-CN" w:bidi="ar-SA"/>
              </w:rPr>
              <w:t>4-1</w:t>
            </w:r>
            <w:r>
              <w:rPr>
                <w:rFonts w:hint="default" w:ascii="Times New Roman" w:hAnsi="Times New Roman" w:eastAsia="宋体" w:cs="Times New Roman"/>
                <w:b/>
                <w:smallCaps w:val="0"/>
                <w:color w:val="auto"/>
                <w:kern w:val="2"/>
                <w:sz w:val="24"/>
                <w:szCs w:val="24"/>
                <w:highlight w:val="none"/>
                <w:lang w:val="en-US" w:eastAsia="zh-CN" w:bidi="ar-SA"/>
              </w:rPr>
              <w:t xml:space="preserve">   </w:t>
            </w:r>
            <w:r>
              <w:rPr>
                <w:rFonts w:hint="eastAsia" w:ascii="Times New Roman" w:hAnsi="Times New Roman" w:eastAsia="宋体" w:cs="Times New Roman"/>
                <w:b/>
                <w:smallCaps w:val="0"/>
                <w:color w:val="auto"/>
                <w:kern w:val="2"/>
                <w:sz w:val="24"/>
                <w:szCs w:val="24"/>
                <w:highlight w:val="none"/>
                <w:lang w:val="en-US" w:eastAsia="zh-CN" w:bidi="ar-SA"/>
              </w:rPr>
              <w:t>类比项目与本项目对比表</w:t>
            </w:r>
          </w:p>
          <w:tbl>
            <w:tblPr>
              <w:tblStyle w:val="4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812"/>
              <w:gridCol w:w="2542"/>
              <w:gridCol w:w="2316"/>
              <w:gridCol w:w="1168"/>
            </w:tblGrid>
            <w:tr w14:paraId="19954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812" w:type="dxa"/>
                  <w:noWrap w:val="0"/>
                  <w:vAlign w:val="center"/>
                </w:tcPr>
                <w:p w14:paraId="04131A71">
                  <w:pPr>
                    <w:keepNext w:val="0"/>
                    <w:keepLines w:val="0"/>
                    <w:suppressLineNumbers w:val="0"/>
                    <w:spacing w:before="0" w:beforeAutospacing="0" w:after="0" w:afterAutospacing="0"/>
                    <w:ind w:left="0" w:right="0"/>
                    <w:jc w:val="center"/>
                    <w:rPr>
                      <w:rFonts w:hint="eastAsia"/>
                      <w:bCs/>
                      <w:smallCaps w:val="0"/>
                      <w:color w:val="auto"/>
                      <w:szCs w:val="20"/>
                      <w:highlight w:val="none"/>
                    </w:rPr>
                  </w:pPr>
                  <w:r>
                    <w:rPr>
                      <w:rFonts w:hint="eastAsia"/>
                      <w:bCs/>
                      <w:smallCaps w:val="0"/>
                      <w:color w:val="auto"/>
                      <w:szCs w:val="20"/>
                      <w:highlight w:val="none"/>
                    </w:rPr>
                    <w:t>项目</w:t>
                  </w:r>
                </w:p>
              </w:tc>
              <w:tc>
                <w:tcPr>
                  <w:tcW w:w="2542" w:type="dxa"/>
                  <w:noWrap w:val="0"/>
                  <w:vAlign w:val="center"/>
                </w:tcPr>
                <w:p w14:paraId="42D7D9DE">
                  <w:pPr>
                    <w:keepNext w:val="0"/>
                    <w:keepLines w:val="0"/>
                    <w:suppressLineNumbers w:val="0"/>
                    <w:spacing w:before="0" w:beforeAutospacing="0" w:after="0" w:afterAutospacing="0"/>
                    <w:ind w:left="0" w:right="0"/>
                    <w:jc w:val="center"/>
                    <w:rPr>
                      <w:rFonts w:hint="eastAsia"/>
                      <w:bCs/>
                      <w:smallCaps w:val="0"/>
                      <w:color w:val="auto"/>
                      <w:szCs w:val="20"/>
                      <w:highlight w:val="none"/>
                    </w:rPr>
                  </w:pPr>
                  <w:r>
                    <w:rPr>
                      <w:rFonts w:hint="eastAsia"/>
                      <w:bCs/>
                      <w:smallCaps w:val="0"/>
                      <w:color w:val="auto"/>
                      <w:szCs w:val="20"/>
                      <w:highlight w:val="none"/>
                      <w:lang w:eastAsia="zh-CN"/>
                    </w:rPr>
                    <w:t>大名县泽田节水管道有限公司年产8000吨供水管材管件项目</w:t>
                  </w:r>
                </w:p>
              </w:tc>
              <w:tc>
                <w:tcPr>
                  <w:tcW w:w="2316" w:type="dxa"/>
                  <w:noWrap w:val="0"/>
                  <w:vAlign w:val="center"/>
                </w:tcPr>
                <w:p w14:paraId="7B296FA4">
                  <w:pPr>
                    <w:keepNext w:val="0"/>
                    <w:keepLines w:val="0"/>
                    <w:suppressLineNumbers w:val="0"/>
                    <w:spacing w:before="0" w:beforeAutospacing="0" w:after="0" w:afterAutospacing="0"/>
                    <w:ind w:left="0" w:right="0"/>
                    <w:jc w:val="center"/>
                    <w:rPr>
                      <w:rFonts w:hint="eastAsia"/>
                      <w:bCs/>
                      <w:smallCaps w:val="0"/>
                      <w:color w:val="auto"/>
                      <w:szCs w:val="20"/>
                      <w:highlight w:val="none"/>
                    </w:rPr>
                  </w:pPr>
                  <w:r>
                    <w:rPr>
                      <w:rFonts w:hint="eastAsia"/>
                      <w:bCs/>
                      <w:smallCaps w:val="0"/>
                      <w:color w:val="auto"/>
                      <w:szCs w:val="20"/>
                      <w:highlight w:val="none"/>
                    </w:rPr>
                    <w:t>本项目</w:t>
                  </w:r>
                </w:p>
              </w:tc>
              <w:tc>
                <w:tcPr>
                  <w:tcW w:w="1168" w:type="dxa"/>
                  <w:noWrap w:val="0"/>
                  <w:vAlign w:val="center"/>
                </w:tcPr>
                <w:p w14:paraId="53FB9544">
                  <w:pPr>
                    <w:keepNext w:val="0"/>
                    <w:keepLines w:val="0"/>
                    <w:suppressLineNumbers w:val="0"/>
                    <w:spacing w:before="0" w:beforeAutospacing="0" w:after="0" w:afterAutospacing="0"/>
                    <w:ind w:left="0" w:right="0"/>
                    <w:jc w:val="center"/>
                    <w:rPr>
                      <w:rFonts w:hint="eastAsia"/>
                      <w:bCs/>
                      <w:smallCaps w:val="0"/>
                      <w:color w:val="auto"/>
                      <w:szCs w:val="20"/>
                      <w:highlight w:val="none"/>
                    </w:rPr>
                  </w:pPr>
                  <w:r>
                    <w:rPr>
                      <w:rFonts w:hint="eastAsia"/>
                      <w:bCs/>
                      <w:smallCaps w:val="0"/>
                      <w:color w:val="auto"/>
                      <w:szCs w:val="20"/>
                      <w:highlight w:val="none"/>
                    </w:rPr>
                    <w:t>可比性</w:t>
                  </w:r>
                </w:p>
              </w:tc>
            </w:tr>
            <w:tr w14:paraId="27B42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21" w:hRule="atLeast"/>
                <w:jc w:val="center"/>
              </w:trPr>
              <w:tc>
                <w:tcPr>
                  <w:tcW w:w="1812" w:type="dxa"/>
                  <w:noWrap w:val="0"/>
                  <w:vAlign w:val="center"/>
                </w:tcPr>
                <w:p w14:paraId="2E62A582">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smallCaps w:val="0"/>
                      <w:color w:val="auto"/>
                      <w:szCs w:val="20"/>
                      <w:highlight w:val="none"/>
                      <w:lang w:val="en-US" w:eastAsia="zh-CN"/>
                    </w:rPr>
                    <w:t>产品产量</w:t>
                  </w:r>
                </w:p>
              </w:tc>
              <w:tc>
                <w:tcPr>
                  <w:tcW w:w="2542" w:type="dxa"/>
                  <w:noWrap w:val="0"/>
                  <w:vAlign w:val="center"/>
                </w:tcPr>
                <w:p w14:paraId="08CAE210">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smallCaps w:val="0"/>
                      <w:color w:val="auto"/>
                      <w:szCs w:val="20"/>
                      <w:highlight w:val="none"/>
                      <w:lang w:val="en-US" w:eastAsia="zh-CN"/>
                    </w:rPr>
                    <w:t>8000吨供水管材管件</w:t>
                  </w:r>
                </w:p>
              </w:tc>
              <w:tc>
                <w:tcPr>
                  <w:tcW w:w="2316" w:type="dxa"/>
                  <w:noWrap w:val="0"/>
                  <w:vAlign w:val="center"/>
                </w:tcPr>
                <w:p w14:paraId="5DE547F2">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smallCaps w:val="0"/>
                      <w:color w:val="auto"/>
                      <w:szCs w:val="20"/>
                      <w:highlight w:val="none"/>
                      <w:lang w:val="en-US" w:eastAsia="zh-CN"/>
                    </w:rPr>
                    <w:t>汽车塑料配件160万件（约100t）</w:t>
                  </w:r>
                </w:p>
              </w:tc>
              <w:tc>
                <w:tcPr>
                  <w:tcW w:w="1168" w:type="dxa"/>
                  <w:noWrap w:val="0"/>
                  <w:vAlign w:val="center"/>
                </w:tcPr>
                <w:p w14:paraId="5B6007DE">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lang w:val="en-US" w:eastAsia="zh-CN"/>
                    </w:rPr>
                    <w:t>少于类比对象</w:t>
                  </w:r>
                </w:p>
              </w:tc>
            </w:tr>
            <w:tr w14:paraId="30C7B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21" w:hRule="atLeast"/>
                <w:jc w:val="center"/>
              </w:trPr>
              <w:tc>
                <w:tcPr>
                  <w:tcW w:w="1812" w:type="dxa"/>
                  <w:noWrap w:val="0"/>
                  <w:vAlign w:val="center"/>
                </w:tcPr>
                <w:p w14:paraId="0F5EDE97">
                  <w:pPr>
                    <w:keepNext w:val="0"/>
                    <w:keepLines w:val="0"/>
                    <w:suppressLineNumbers w:val="0"/>
                    <w:spacing w:before="0" w:beforeAutospacing="0" w:after="0" w:afterAutospacing="0"/>
                    <w:ind w:left="0" w:right="0"/>
                    <w:jc w:val="center"/>
                    <w:rPr>
                      <w:rFonts w:hint="eastAsia" w:eastAsia="宋体"/>
                      <w:smallCaps w:val="0"/>
                      <w:color w:val="auto"/>
                      <w:szCs w:val="20"/>
                      <w:highlight w:val="none"/>
                      <w:lang w:eastAsia="zh-CN"/>
                    </w:rPr>
                  </w:pPr>
                  <w:r>
                    <w:rPr>
                      <w:rFonts w:hint="eastAsia"/>
                      <w:smallCaps w:val="0"/>
                      <w:color w:val="auto"/>
                      <w:szCs w:val="20"/>
                      <w:highlight w:val="none"/>
                      <w:lang w:val="en-US" w:eastAsia="zh-CN"/>
                    </w:rPr>
                    <w:t>工艺</w:t>
                  </w:r>
                </w:p>
              </w:tc>
              <w:tc>
                <w:tcPr>
                  <w:tcW w:w="2542" w:type="dxa"/>
                  <w:noWrap w:val="0"/>
                  <w:vAlign w:val="center"/>
                </w:tcPr>
                <w:p w14:paraId="25FC1E94">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smallCaps w:val="0"/>
                      <w:color w:val="auto"/>
                      <w:szCs w:val="20"/>
                      <w:highlight w:val="none"/>
                      <w:lang w:val="en-US" w:eastAsia="zh-CN"/>
                    </w:rPr>
                    <w:t>挤出、注塑、激光打码、造粒</w:t>
                  </w:r>
                </w:p>
              </w:tc>
              <w:tc>
                <w:tcPr>
                  <w:tcW w:w="2316" w:type="dxa"/>
                  <w:noWrap w:val="0"/>
                  <w:vAlign w:val="center"/>
                </w:tcPr>
                <w:p w14:paraId="5B20ADA5">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eastAsia="宋体"/>
                      <w:smallCaps w:val="0"/>
                      <w:color w:val="auto"/>
                      <w:szCs w:val="20"/>
                      <w:highlight w:val="none"/>
                      <w:lang w:val="en-US" w:eastAsia="zh-CN"/>
                    </w:rPr>
                    <w:t>投料、烘干、注塑</w:t>
                  </w:r>
                </w:p>
              </w:tc>
              <w:tc>
                <w:tcPr>
                  <w:tcW w:w="1168" w:type="dxa"/>
                  <w:noWrap w:val="0"/>
                  <w:vAlign w:val="center"/>
                </w:tcPr>
                <w:p w14:paraId="73CD2BDB">
                  <w:pPr>
                    <w:keepNext w:val="0"/>
                    <w:keepLines w:val="0"/>
                    <w:suppressLineNumbers w:val="0"/>
                    <w:spacing w:before="0" w:beforeAutospacing="0" w:after="0" w:afterAutospacing="0"/>
                    <w:ind w:left="0" w:right="0"/>
                    <w:jc w:val="center"/>
                    <w:rPr>
                      <w:rFonts w:hint="eastAsia" w:eastAsia="宋体"/>
                      <w:smallCaps w:val="0"/>
                      <w:color w:val="auto"/>
                      <w:szCs w:val="20"/>
                      <w:highlight w:val="none"/>
                      <w:lang w:val="en-US" w:eastAsia="zh-CN"/>
                    </w:rPr>
                  </w:pPr>
                  <w:r>
                    <w:rPr>
                      <w:rFonts w:hint="eastAsia"/>
                      <w:smallCaps w:val="0"/>
                      <w:color w:val="auto"/>
                      <w:szCs w:val="20"/>
                      <w:highlight w:val="none"/>
                      <w:lang w:val="en-US" w:eastAsia="zh-CN"/>
                    </w:rPr>
                    <w:t>少于类比对象</w:t>
                  </w:r>
                </w:p>
              </w:tc>
            </w:tr>
            <w:tr w14:paraId="15722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21" w:hRule="atLeast"/>
                <w:jc w:val="center"/>
              </w:trPr>
              <w:tc>
                <w:tcPr>
                  <w:tcW w:w="1812" w:type="dxa"/>
                  <w:noWrap w:val="0"/>
                  <w:vAlign w:val="center"/>
                </w:tcPr>
                <w:p w14:paraId="470ABB28">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rPr>
                    <w:t>废气治理方式</w:t>
                  </w:r>
                </w:p>
              </w:tc>
              <w:tc>
                <w:tcPr>
                  <w:tcW w:w="2542" w:type="dxa"/>
                  <w:noWrap w:val="0"/>
                  <w:vAlign w:val="center"/>
                </w:tcPr>
                <w:p w14:paraId="1EB6F301">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lang w:val="en-US" w:eastAsia="zh-CN"/>
                    </w:rPr>
                    <w:t>活性炭吸附+催化燃烧设备</w:t>
                  </w:r>
                </w:p>
              </w:tc>
              <w:tc>
                <w:tcPr>
                  <w:tcW w:w="2316" w:type="dxa"/>
                  <w:noWrap w:val="0"/>
                  <w:vAlign w:val="center"/>
                </w:tcPr>
                <w:p w14:paraId="00A4000F">
                  <w:pPr>
                    <w:keepNext w:val="0"/>
                    <w:keepLines w:val="0"/>
                    <w:suppressLineNumbers w:val="0"/>
                    <w:spacing w:before="0" w:beforeAutospacing="0" w:after="0" w:afterAutospacing="0"/>
                    <w:ind w:left="0" w:right="0"/>
                    <w:jc w:val="center"/>
                    <w:rPr>
                      <w:rFonts w:hint="eastAsia" w:eastAsia="宋体"/>
                      <w:smallCaps w:val="0"/>
                      <w:color w:val="auto"/>
                      <w:szCs w:val="20"/>
                      <w:highlight w:val="none"/>
                      <w:lang w:val="en-US" w:eastAsia="zh-CN"/>
                    </w:rPr>
                  </w:pPr>
                  <w:r>
                    <w:rPr>
                      <w:rFonts w:hint="eastAsia"/>
                      <w:smallCaps w:val="0"/>
                      <w:color w:val="auto"/>
                      <w:szCs w:val="20"/>
                      <w:highlight w:val="none"/>
                      <w:lang w:val="en-US" w:eastAsia="zh-CN"/>
                    </w:rPr>
                    <w:t>两级活性炭</w:t>
                  </w:r>
                </w:p>
              </w:tc>
              <w:tc>
                <w:tcPr>
                  <w:tcW w:w="1168" w:type="dxa"/>
                  <w:noWrap w:val="0"/>
                  <w:vAlign w:val="center"/>
                </w:tcPr>
                <w:p w14:paraId="414685B7">
                  <w:pPr>
                    <w:keepNext w:val="0"/>
                    <w:keepLines w:val="0"/>
                    <w:suppressLineNumbers w:val="0"/>
                    <w:spacing w:before="0" w:beforeAutospacing="0" w:after="0" w:afterAutospacing="0"/>
                    <w:ind w:left="0" w:right="0"/>
                    <w:jc w:val="center"/>
                    <w:rPr>
                      <w:rFonts w:hint="default" w:eastAsia="宋体"/>
                      <w:smallCaps w:val="0"/>
                      <w:color w:val="auto"/>
                      <w:szCs w:val="20"/>
                      <w:highlight w:val="none"/>
                      <w:lang w:val="en-US" w:eastAsia="zh-CN"/>
                    </w:rPr>
                  </w:pPr>
                  <w:r>
                    <w:rPr>
                      <w:rFonts w:hint="eastAsia" w:eastAsia="宋体"/>
                      <w:smallCaps w:val="0"/>
                      <w:color w:val="auto"/>
                      <w:szCs w:val="20"/>
                      <w:highlight w:val="none"/>
                      <w:lang w:val="en-US" w:eastAsia="zh-CN"/>
                    </w:rPr>
                    <w:t>劣于类比净化设施，但由于原料量为本项目80倍，故类比可行</w:t>
                  </w:r>
                </w:p>
              </w:tc>
            </w:tr>
            <w:tr w14:paraId="38AD1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21" w:hRule="atLeast"/>
                <w:jc w:val="center"/>
              </w:trPr>
              <w:tc>
                <w:tcPr>
                  <w:tcW w:w="1812" w:type="dxa"/>
                  <w:noWrap w:val="0"/>
                  <w:vAlign w:val="center"/>
                </w:tcPr>
                <w:p w14:paraId="017EEDA8">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rPr>
                    <w:t>废气排放方式</w:t>
                  </w:r>
                </w:p>
              </w:tc>
              <w:tc>
                <w:tcPr>
                  <w:tcW w:w="2542" w:type="dxa"/>
                  <w:noWrap w:val="0"/>
                  <w:vAlign w:val="center"/>
                </w:tcPr>
                <w:p w14:paraId="3188C21E">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lang w:val="en-US" w:eastAsia="zh-CN"/>
                    </w:rPr>
                    <w:t>有</w:t>
                  </w:r>
                  <w:r>
                    <w:rPr>
                      <w:rFonts w:hint="eastAsia"/>
                      <w:smallCaps w:val="0"/>
                      <w:color w:val="auto"/>
                      <w:szCs w:val="20"/>
                      <w:highlight w:val="none"/>
                    </w:rPr>
                    <w:t>组织排放</w:t>
                  </w:r>
                </w:p>
              </w:tc>
              <w:tc>
                <w:tcPr>
                  <w:tcW w:w="2316" w:type="dxa"/>
                  <w:noWrap w:val="0"/>
                  <w:vAlign w:val="center"/>
                </w:tcPr>
                <w:p w14:paraId="35EB9B9D">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lang w:val="en-US" w:eastAsia="zh-CN"/>
                    </w:rPr>
                    <w:t>有</w:t>
                  </w:r>
                  <w:r>
                    <w:rPr>
                      <w:rFonts w:hint="eastAsia"/>
                      <w:smallCaps w:val="0"/>
                      <w:color w:val="auto"/>
                      <w:szCs w:val="20"/>
                      <w:highlight w:val="none"/>
                    </w:rPr>
                    <w:t>组织排放</w:t>
                  </w:r>
                </w:p>
              </w:tc>
              <w:tc>
                <w:tcPr>
                  <w:tcW w:w="1168" w:type="dxa"/>
                  <w:noWrap w:val="0"/>
                  <w:vAlign w:val="center"/>
                </w:tcPr>
                <w:p w14:paraId="72F81A96">
                  <w:pPr>
                    <w:keepNext w:val="0"/>
                    <w:keepLines w:val="0"/>
                    <w:suppressLineNumbers w:val="0"/>
                    <w:spacing w:before="0" w:beforeAutospacing="0" w:after="0" w:afterAutospacing="0"/>
                    <w:ind w:left="0" w:right="0"/>
                    <w:jc w:val="center"/>
                    <w:rPr>
                      <w:rFonts w:hint="default"/>
                      <w:smallCaps w:val="0"/>
                      <w:color w:val="auto"/>
                      <w:szCs w:val="20"/>
                      <w:highlight w:val="none"/>
                    </w:rPr>
                  </w:pPr>
                  <w:r>
                    <w:rPr>
                      <w:rFonts w:hint="eastAsia"/>
                      <w:smallCaps w:val="0"/>
                      <w:color w:val="auto"/>
                      <w:szCs w:val="20"/>
                      <w:highlight w:val="none"/>
                    </w:rPr>
                    <w:t>相同</w:t>
                  </w:r>
                </w:p>
              </w:tc>
            </w:tr>
          </w:tbl>
          <w:p w14:paraId="578808A2">
            <w:pPr>
              <w:pStyle w:val="5"/>
              <w:keepNext w:val="0"/>
              <w:keepLines w:val="0"/>
              <w:suppressLineNumbers w:val="0"/>
              <w:adjustRightInd w:val="0"/>
              <w:snapToGrid w:val="0"/>
              <w:spacing w:before="0" w:beforeAutospacing="0" w:after="0" w:afterAutospacing="0" w:line="440" w:lineRule="exact"/>
              <w:ind w:left="0" w:right="0"/>
              <w:rPr>
                <w:rFonts w:hint="eastAsia"/>
                <w:color w:val="auto"/>
                <w:kern w:val="21"/>
                <w:sz w:val="24"/>
                <w:szCs w:val="20"/>
                <w:highlight w:val="none"/>
                <w:lang w:val="en-US" w:eastAsia="zh-CN"/>
              </w:rPr>
            </w:pPr>
            <w:r>
              <w:rPr>
                <w:rFonts w:hint="eastAsia"/>
                <w:color w:val="auto"/>
                <w:kern w:val="21"/>
                <w:sz w:val="24"/>
                <w:szCs w:val="20"/>
                <w:highlight w:val="none"/>
                <w:lang w:val="en-US" w:eastAsia="zh-CN"/>
              </w:rPr>
              <w:t>②无组织废气</w:t>
            </w:r>
          </w:p>
          <w:p w14:paraId="1897F044">
            <w:pPr>
              <w:pStyle w:val="5"/>
              <w:keepNext w:val="0"/>
              <w:keepLines w:val="0"/>
              <w:suppressLineNumbers w:val="0"/>
              <w:adjustRightInd w:val="0"/>
              <w:snapToGrid w:val="0"/>
              <w:spacing w:before="0" w:beforeAutospacing="0" w:after="0" w:afterAutospacing="0" w:line="440" w:lineRule="exact"/>
              <w:ind w:left="0" w:right="0"/>
              <w:rPr>
                <w:rFonts w:hint="eastAsia"/>
                <w:color w:val="auto"/>
                <w:kern w:val="21"/>
                <w:sz w:val="24"/>
                <w:szCs w:val="20"/>
                <w:highlight w:val="none"/>
                <w:lang w:val="en-US" w:eastAsia="zh-CN"/>
              </w:rPr>
            </w:pPr>
            <w:r>
              <w:rPr>
                <w:rFonts w:hint="eastAsia"/>
                <w:color w:val="auto"/>
                <w:kern w:val="21"/>
                <w:sz w:val="24"/>
                <w:szCs w:val="20"/>
                <w:highlight w:val="none"/>
                <w:lang w:val="en-US" w:eastAsia="zh-CN"/>
              </w:rPr>
              <w:t>项目无组织废气主要为未被收集的废气。本项目原辅材料均在密闭库房内暂存，在贮存、输送、使用过程中保持密闭。本项目原料非即用状态袋装密封。加强拆包、投料、烘干、注塑废气集气罩收集。项目尼龙粒子采用原包料，采用密闭的包装袋进行转移；项目在开停工、检维修时，在退料阶段将残存物料退净，并用相应的密闭容器盛装，项目退料时两级活性炭吸附装置需开启。</w:t>
            </w:r>
          </w:p>
          <w:p w14:paraId="721FC9B3">
            <w:pPr>
              <w:pStyle w:val="5"/>
              <w:keepNext w:val="0"/>
              <w:keepLines w:val="0"/>
              <w:suppressLineNumbers w:val="0"/>
              <w:adjustRightInd w:val="0"/>
              <w:snapToGrid w:val="0"/>
              <w:spacing w:before="0" w:beforeAutospacing="0" w:after="0" w:afterAutospacing="0" w:line="440" w:lineRule="exact"/>
              <w:ind w:left="0" w:right="0"/>
              <w:rPr>
                <w:rFonts w:hint="eastAsia" w:eastAsia="宋体"/>
                <w:color w:val="auto"/>
                <w:kern w:val="21"/>
                <w:sz w:val="24"/>
                <w:szCs w:val="20"/>
                <w:highlight w:val="none"/>
                <w:lang w:val="en-US" w:eastAsia="zh-CN"/>
              </w:rPr>
            </w:pPr>
            <w:r>
              <w:rPr>
                <w:rFonts w:hint="eastAsia"/>
                <w:color w:val="auto"/>
                <w:kern w:val="21"/>
                <w:sz w:val="24"/>
                <w:szCs w:val="20"/>
                <w:highlight w:val="none"/>
                <w:lang w:val="en-US" w:eastAsia="zh-CN"/>
              </w:rPr>
              <w:t>项目未被收集的颗粒物为0.15t/a，根据《排放源统计调查产排污核算方法和系数手册》中“工业源固体物料堆场颗粒物核算系数手册”中产排污系数，经车间密闭(车间有门窗按照半敞开式计)后降尘60%，无组织颗粒物排放量为0.09t/a，排放速率为0.012kg/h，根据AERSCREEN模式预测结果，颗粒物排放浓度为0.031</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东厂界排放浓度为0.023</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南厂界排放浓度为0.031</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西厂界排放浓度为0.029</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北厂界排放浓度为0.029</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，排放满足《合成树脂工业污染物排放标准》（GB31572-2015）（含2024年修改单）表9标准</w:t>
            </w:r>
            <w:r>
              <w:rPr>
                <w:rFonts w:hint="eastAsia"/>
                <w:color w:val="auto"/>
                <w:sz w:val="24"/>
                <w:szCs w:val="20"/>
                <w:highlight w:val="none"/>
                <w:lang w:eastAsia="zh-CN"/>
              </w:rPr>
              <w:t>；</w:t>
            </w:r>
          </w:p>
          <w:p w14:paraId="5E0FEABF">
            <w:pPr>
              <w:pStyle w:val="5"/>
              <w:keepNext w:val="0"/>
              <w:keepLines w:val="0"/>
              <w:suppressLineNumbers w:val="0"/>
              <w:adjustRightInd w:val="0"/>
              <w:snapToGrid w:val="0"/>
              <w:spacing w:before="0" w:beforeAutospacing="0" w:after="0" w:afterAutospacing="0" w:line="440" w:lineRule="exact"/>
              <w:ind w:left="0" w:right="0"/>
              <w:rPr>
                <w:rFonts w:hint="eastAsia"/>
                <w:color w:val="auto"/>
                <w:sz w:val="24"/>
                <w:szCs w:val="20"/>
                <w:highlight w:val="none"/>
                <w:lang w:eastAsia="zh-CN"/>
              </w:rPr>
            </w:pPr>
            <w:r>
              <w:rPr>
                <w:rFonts w:hint="eastAsia"/>
                <w:color w:val="auto"/>
                <w:kern w:val="21"/>
                <w:sz w:val="24"/>
                <w:szCs w:val="20"/>
                <w:highlight w:val="none"/>
                <w:lang w:val="en-US" w:eastAsia="zh-CN"/>
              </w:rPr>
              <w:t>项目未被收集的非甲烷总烃为0.127t/a。无组织非甲烷总烃排放量为0.127/a，排放速率为0.026kg/h，根据AERSCREEN模式预测结果，非甲烷总烃排放浓度为0.043</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东厂界排放浓度为0.032</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南厂界排放浓度为0.042</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西厂界排放浓度为0.039</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北厂界排放浓度为0.040</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，排放满足《工业企业挥发性有机物排放控制标准》</w:t>
            </w:r>
            <w:r>
              <w:rPr>
                <w:rFonts w:hint="eastAsia"/>
                <w:color w:val="auto"/>
                <w:sz w:val="24"/>
                <w:szCs w:val="20"/>
                <w:highlight w:val="none"/>
                <w:lang w:eastAsia="zh-CN"/>
              </w:rPr>
              <w:t>（DB13/2322-2016）表2标准；</w:t>
            </w:r>
          </w:p>
          <w:p w14:paraId="446FC62B">
            <w:pPr>
              <w:pStyle w:val="5"/>
              <w:keepNext w:val="0"/>
              <w:keepLines w:val="0"/>
              <w:suppressLineNumbers w:val="0"/>
              <w:adjustRightInd w:val="0"/>
              <w:snapToGrid w:val="0"/>
              <w:spacing w:before="0" w:beforeAutospacing="0" w:after="0" w:afterAutospacing="0" w:line="440" w:lineRule="exact"/>
              <w:ind w:left="0" w:right="0"/>
              <w:rPr>
                <w:rFonts w:hint="eastAsia"/>
                <w:color w:val="auto"/>
                <w:sz w:val="24"/>
                <w:szCs w:val="20"/>
                <w:highlight w:val="none"/>
                <w:lang w:eastAsia="zh-CN"/>
              </w:rPr>
            </w:pPr>
            <w:r>
              <w:rPr>
                <w:rFonts w:hint="eastAsia"/>
                <w:color w:val="auto"/>
                <w:sz w:val="24"/>
                <w:szCs w:val="20"/>
                <w:highlight w:val="none"/>
                <w:lang w:val="en-US" w:eastAsia="zh-CN"/>
              </w:rPr>
              <w:t>项目未被收集的氨为0.104t/a。无组织氨排放量为0.104t/a，排放速率为0.022kg/h，</w:t>
            </w:r>
            <w:r>
              <w:rPr>
                <w:rFonts w:hint="eastAsia"/>
                <w:color w:val="auto"/>
                <w:kern w:val="21"/>
                <w:sz w:val="24"/>
                <w:szCs w:val="20"/>
                <w:highlight w:val="none"/>
                <w:lang w:val="en-US" w:eastAsia="zh-CN"/>
              </w:rPr>
              <w:t>根据AERSCREEN模式预测结果，</w:t>
            </w:r>
            <w:r>
              <w:rPr>
                <w:rFonts w:hint="eastAsia"/>
                <w:color w:val="auto"/>
                <w:sz w:val="24"/>
                <w:szCs w:val="20"/>
                <w:highlight w:val="none"/>
                <w:lang w:val="en-US" w:eastAsia="zh-CN"/>
              </w:rPr>
              <w:t>氨</w:t>
            </w:r>
            <w:r>
              <w:rPr>
                <w:rFonts w:hint="eastAsia"/>
                <w:color w:val="auto"/>
                <w:kern w:val="21"/>
                <w:sz w:val="24"/>
                <w:szCs w:val="20"/>
                <w:highlight w:val="none"/>
                <w:lang w:val="en-US" w:eastAsia="zh-CN"/>
              </w:rPr>
              <w:t>排放浓度为0.036</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东厂界排放浓度为0.027</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南厂界排放浓度为0.036</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西厂界排放浓度为0.033</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北厂界排放浓度为0.034</w:t>
            </w:r>
            <w:r>
              <w:rPr>
                <w:rFonts w:hint="default"/>
                <w:color w:val="auto"/>
                <w:sz w:val="24"/>
                <w:szCs w:val="20"/>
                <w:highlight w:val="none"/>
              </w:rPr>
              <w:t>mg/m</w:t>
            </w:r>
            <w:r>
              <w:rPr>
                <w:rFonts w:hint="default"/>
                <w:color w:val="auto"/>
                <w:sz w:val="24"/>
                <w:szCs w:val="20"/>
                <w:highlight w:val="none"/>
                <w:vertAlign w:val="superscript"/>
              </w:rPr>
              <w:t>3</w:t>
            </w:r>
            <w:r>
              <w:rPr>
                <w:rFonts w:hint="default"/>
                <w:color w:val="auto"/>
                <w:sz w:val="24"/>
                <w:szCs w:val="20"/>
                <w:highlight w:val="none"/>
              </w:rPr>
              <w:t>，</w:t>
            </w:r>
            <w:r>
              <w:rPr>
                <w:rFonts w:hint="eastAsia"/>
                <w:color w:val="auto"/>
                <w:sz w:val="24"/>
                <w:szCs w:val="20"/>
                <w:highlight w:val="none"/>
                <w:lang w:val="en-US" w:eastAsia="zh-CN"/>
              </w:rPr>
              <w:t>排放满足</w:t>
            </w:r>
            <w:r>
              <w:rPr>
                <w:rFonts w:hint="eastAsia"/>
                <w:color w:val="auto"/>
                <w:sz w:val="24"/>
                <w:szCs w:val="20"/>
                <w:highlight w:val="none"/>
                <w:lang w:eastAsia="zh-CN"/>
              </w:rPr>
              <w:t>《恶臭污染物排放标准》（GB14554-93）表1二级新扩改建标准；</w:t>
            </w:r>
          </w:p>
          <w:p w14:paraId="78C784DF">
            <w:pPr>
              <w:pStyle w:val="5"/>
              <w:keepNext w:val="0"/>
              <w:keepLines w:val="0"/>
              <w:suppressLineNumbers w:val="0"/>
              <w:adjustRightInd w:val="0"/>
              <w:snapToGrid w:val="0"/>
              <w:spacing w:before="0" w:beforeAutospacing="0" w:after="0" w:afterAutospacing="0" w:line="440" w:lineRule="exact"/>
              <w:ind w:left="0" w:right="0"/>
              <w:rPr>
                <w:rFonts w:hint="default" w:eastAsia="宋体"/>
                <w:color w:val="auto"/>
                <w:kern w:val="21"/>
                <w:sz w:val="24"/>
                <w:szCs w:val="20"/>
                <w:highlight w:val="none"/>
                <w:lang w:val="en-US" w:eastAsia="zh-CN"/>
              </w:rPr>
            </w:pPr>
            <w:r>
              <w:rPr>
                <w:rFonts w:hint="eastAsia"/>
                <w:color w:val="auto"/>
                <w:sz w:val="24"/>
                <w:szCs w:val="20"/>
                <w:highlight w:val="none"/>
                <w:lang w:val="en-US" w:eastAsia="zh-CN"/>
              </w:rPr>
              <w:t>项目类比</w:t>
            </w:r>
            <w:r>
              <w:rPr>
                <w:rFonts w:hint="eastAsia"/>
                <w:color w:val="auto"/>
                <w:kern w:val="21"/>
                <w:sz w:val="24"/>
                <w:szCs w:val="20"/>
                <w:highlight w:val="none"/>
                <w:lang w:val="en-US" w:eastAsia="zh-CN"/>
              </w:rPr>
              <w:t>《大名县泽田节水管道有限公司年产8000吨供水管材管件项目竣工环境保护验收报告》监测数据（检测报告：NO.KZHJ字2024第02063号）</w:t>
            </w:r>
            <w:r>
              <w:rPr>
                <w:rFonts w:hint="eastAsia"/>
                <w:color w:val="auto"/>
                <w:sz w:val="24"/>
                <w:szCs w:val="20"/>
                <w:highlight w:val="none"/>
                <w:lang w:val="en-US" w:eastAsia="zh-CN"/>
              </w:rPr>
              <w:t>，厂界臭气浓度最大为15（无量纲），排放满足《恶臭污染物排放标准》（GB14554-93）表1二级新扩改建标准。</w:t>
            </w:r>
          </w:p>
          <w:p w14:paraId="13A78FEC">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color w:val="auto"/>
                <w:sz w:val="24"/>
                <w:szCs w:val="20"/>
                <w:highlight w:val="none"/>
              </w:rPr>
            </w:pPr>
            <w:r>
              <w:rPr>
                <w:rFonts w:hint="default"/>
                <w:color w:val="auto"/>
                <w:sz w:val="24"/>
                <w:szCs w:val="20"/>
                <w:highlight w:val="none"/>
              </w:rPr>
              <w:t>（2）废气产排污情况</w:t>
            </w:r>
          </w:p>
          <w:p w14:paraId="78826960">
            <w:pPr>
              <w:pStyle w:val="172"/>
              <w:keepNext w:val="0"/>
              <w:keepLines w:val="0"/>
              <w:suppressLineNumbers w:val="0"/>
              <w:spacing w:before="0" w:beforeAutospacing="0" w:after="0" w:afterAutospacing="0"/>
              <w:ind w:left="0" w:right="0" w:firstLine="482"/>
              <w:jc w:val="both"/>
              <w:rPr>
                <w:rFonts w:hint="default" w:ascii="Times New Roman" w:hAnsi="Times New Roman" w:cs="Times New Roman"/>
                <w:b/>
                <w:smallCaps w:val="0"/>
                <w:color w:val="auto"/>
                <w:spacing w:val="0"/>
                <w:highlight w:val="none"/>
              </w:rPr>
            </w:pPr>
            <w:r>
              <w:rPr>
                <w:rFonts w:hint="default" w:ascii="Times New Roman" w:hAnsi="Times New Roman" w:cs="Times New Roman"/>
                <w:color w:val="auto"/>
                <w:highlight w:val="none"/>
              </w:rPr>
              <w:t>废气产排污情况汇总见表4-</w:t>
            </w:r>
            <w:r>
              <w:rPr>
                <w:rFonts w:hint="eastAsia" w:cs="Times New Roman"/>
                <w:color w:val="auto"/>
                <w:highlight w:val="none"/>
                <w:lang w:val="en-US" w:eastAsia="zh-CN"/>
              </w:rPr>
              <w:t>1</w:t>
            </w:r>
            <w:r>
              <w:rPr>
                <w:rFonts w:hint="eastAsia" w:ascii="Times New Roman" w:hAnsi="Times New Roman" w:cs="Times New Roman"/>
                <w:color w:val="auto"/>
                <w:highlight w:val="none"/>
              </w:rPr>
              <w:t>。</w:t>
            </w:r>
          </w:p>
          <w:p w14:paraId="7756285A">
            <w:pPr>
              <w:keepNext w:val="0"/>
              <w:keepLines w:val="0"/>
              <w:suppressLineNumbers w:val="0"/>
              <w:bidi w:val="0"/>
              <w:spacing w:before="0" w:beforeAutospacing="0" w:after="0" w:afterAutospacing="0"/>
              <w:ind w:left="0" w:right="0"/>
              <w:jc w:val="left"/>
              <w:rPr>
                <w:rFonts w:hint="eastAsia"/>
                <w:color w:val="auto"/>
                <w:szCs w:val="20"/>
                <w:highlight w:val="none"/>
                <w:lang w:val="en-US" w:eastAsia="zh-CN"/>
              </w:rPr>
            </w:pPr>
          </w:p>
          <w:p w14:paraId="1F5F6A52">
            <w:pPr>
              <w:keepNext w:val="0"/>
              <w:keepLines w:val="0"/>
              <w:suppressLineNumbers w:val="0"/>
              <w:bidi w:val="0"/>
              <w:spacing w:before="0" w:beforeAutospacing="0" w:after="0" w:afterAutospacing="0"/>
              <w:ind w:left="0" w:right="0"/>
              <w:jc w:val="left"/>
              <w:rPr>
                <w:rFonts w:hint="eastAsia"/>
                <w:color w:val="auto"/>
                <w:szCs w:val="20"/>
                <w:highlight w:val="none"/>
                <w:lang w:val="en-US" w:eastAsia="zh-CN"/>
              </w:rPr>
            </w:pPr>
          </w:p>
          <w:p w14:paraId="03876899">
            <w:pPr>
              <w:keepNext w:val="0"/>
              <w:keepLines w:val="0"/>
              <w:suppressLineNumbers w:val="0"/>
              <w:bidi w:val="0"/>
              <w:spacing w:before="0" w:beforeAutospacing="0" w:after="0" w:afterAutospacing="0"/>
              <w:ind w:left="0" w:right="0"/>
              <w:jc w:val="left"/>
              <w:rPr>
                <w:rFonts w:hint="eastAsia"/>
                <w:color w:val="auto"/>
                <w:szCs w:val="20"/>
                <w:highlight w:val="none"/>
                <w:lang w:val="en-US" w:eastAsia="zh-CN"/>
              </w:rPr>
            </w:pPr>
          </w:p>
          <w:p w14:paraId="6CCEEFF6">
            <w:pPr>
              <w:keepNext w:val="0"/>
              <w:keepLines w:val="0"/>
              <w:suppressLineNumbers w:val="0"/>
              <w:bidi w:val="0"/>
              <w:spacing w:before="0" w:beforeAutospacing="0" w:after="0" w:afterAutospacing="0"/>
              <w:ind w:left="0" w:right="0"/>
              <w:jc w:val="left"/>
              <w:rPr>
                <w:rFonts w:hint="eastAsia"/>
                <w:color w:val="auto"/>
                <w:szCs w:val="20"/>
                <w:highlight w:val="none"/>
                <w:lang w:val="en-US" w:eastAsia="zh-CN"/>
              </w:rPr>
            </w:pPr>
          </w:p>
          <w:p w14:paraId="30A56EE2">
            <w:pPr>
              <w:keepNext w:val="0"/>
              <w:keepLines w:val="0"/>
              <w:suppressLineNumbers w:val="0"/>
              <w:bidi w:val="0"/>
              <w:spacing w:before="0" w:beforeAutospacing="0" w:after="0" w:afterAutospacing="0"/>
              <w:ind w:left="0" w:right="0"/>
              <w:jc w:val="left"/>
              <w:rPr>
                <w:rFonts w:hint="eastAsia"/>
                <w:color w:val="auto"/>
                <w:szCs w:val="20"/>
                <w:highlight w:val="none"/>
                <w:lang w:val="en-US" w:eastAsia="zh-CN"/>
              </w:rPr>
            </w:pPr>
          </w:p>
          <w:p w14:paraId="0468B1E5">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0FD65BBE">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090D328">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5404A689">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615956EA">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23EFDC20">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21904FB9">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23D35DB">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A103F3B">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0BA1A45A">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9CFCE5F">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3D01B69B">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2907740C">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6FCC700">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6C2C892">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E7CC14E">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0547D12B">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0FE32AC">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6CDD97C">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57373F99">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29CC879">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3B0EA962">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0C885D7C">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3DCE2444">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7EF32CEC">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CA42C6F">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B94141E">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181F290">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39AED67D">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0D9D2687">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372A3E02">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42200B64">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6FBCF553">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40FFB3C9">
            <w:pPr>
              <w:keepNext w:val="0"/>
              <w:keepLines w:val="0"/>
              <w:suppressLineNumbers w:val="0"/>
              <w:bidi w:val="0"/>
              <w:spacing w:before="0" w:beforeAutospacing="0" w:after="0" w:afterAutospacing="0"/>
              <w:ind w:left="0" w:leftChars="0" w:right="0" w:rightChars="0"/>
              <w:jc w:val="left"/>
              <w:rPr>
                <w:rFonts w:hint="eastAsia" w:cs="Times New Roman"/>
                <w:color w:val="auto"/>
                <w:kern w:val="2"/>
                <w:sz w:val="21"/>
                <w:szCs w:val="20"/>
                <w:highlight w:val="none"/>
                <w:lang w:val="en-US" w:eastAsia="zh-CN" w:bidi="ar-SA"/>
              </w:rPr>
            </w:pPr>
          </w:p>
          <w:p w14:paraId="1B8B4D9A">
            <w:pPr>
              <w:keepNext w:val="0"/>
              <w:keepLines w:val="0"/>
              <w:suppressLineNumbers w:val="0"/>
              <w:bidi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0"/>
                <w:highlight w:val="none"/>
                <w:lang w:val="en-US" w:eastAsia="zh-CN" w:bidi="ar-SA"/>
              </w:rPr>
            </w:pPr>
          </w:p>
        </w:tc>
      </w:tr>
    </w:tbl>
    <w:p w14:paraId="16C85386">
      <w:pPr>
        <w:keepNext w:val="0"/>
        <w:keepLines w:val="0"/>
        <w:suppressLineNumbers w:val="0"/>
        <w:adjustRightInd w:val="0"/>
        <w:snapToGrid w:val="0"/>
        <w:spacing w:before="0" w:beforeAutospacing="0" w:after="0" w:afterAutospacing="0"/>
        <w:ind w:left="0" w:right="0"/>
        <w:jc w:val="center"/>
        <w:outlineLvl w:val="9"/>
        <w:rPr>
          <w:rFonts w:hint="default" w:ascii="Times New Roman" w:hAnsi="Times New Roman" w:eastAsia="宋体" w:cs="Times New Roman"/>
          <w:bCs/>
          <w:smallCaps w:val="0"/>
          <w:color w:val="auto"/>
          <w:spacing w:val="0"/>
          <w:sz w:val="24"/>
          <w:szCs w:val="21"/>
          <w:highlight w:val="none"/>
        </w:rPr>
        <w:sectPr>
          <w:pgSz w:w="11907" w:h="16840"/>
          <w:pgMar w:top="1440" w:right="1800" w:bottom="1440" w:left="1800" w:header="851" w:footer="992" w:gutter="0"/>
          <w:cols w:space="720" w:num="1"/>
          <w:docGrid w:type="linesAndChars" w:linePitch="319" w:charSpace="0"/>
        </w:sectPr>
      </w:pPr>
      <w:r>
        <w:rPr>
          <w:rFonts w:hint="default" w:ascii="Times New Roman" w:hAnsi="Times New Roman" w:eastAsia="宋体" w:cs="Times New Roman"/>
          <w:bCs/>
          <w:smallCaps w:val="0"/>
          <w:color w:val="auto"/>
          <w:spacing w:val="0"/>
          <w:sz w:val="24"/>
          <w:szCs w:val="21"/>
          <w:highlight w:val="none"/>
        </w:rPr>
        <w:br w:type="page"/>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452"/>
      </w:tblGrid>
      <w:tr w14:paraId="01EA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tcPr>
          <w:p w14:paraId="1DAA0C44">
            <w:pPr>
              <w:keepNext w:val="0"/>
              <w:keepLines w:val="0"/>
              <w:suppressLineNumbers w:val="0"/>
              <w:spacing w:before="0" w:beforeAutospacing="0" w:after="0" w:afterAutospacing="0"/>
              <w:ind w:left="0" w:right="0"/>
              <w:rPr>
                <w:rFonts w:hint="default" w:ascii="Times New Roman" w:hAnsi="Times New Roman" w:eastAsia="宋体" w:cs="Times New Roman"/>
                <w:bCs/>
                <w:smallCaps w:val="0"/>
                <w:color w:val="auto"/>
                <w:spacing w:val="0"/>
                <w:sz w:val="24"/>
                <w:szCs w:val="21"/>
                <w:highlight w:val="none"/>
                <w:vertAlign w:val="baseline"/>
              </w:rPr>
            </w:pPr>
          </w:p>
        </w:tc>
        <w:tc>
          <w:tcPr>
            <w:tcW w:w="13452" w:type="dxa"/>
          </w:tcPr>
          <w:p w14:paraId="7B92D532">
            <w:pPr>
              <w:pStyle w:val="187"/>
              <w:keepNext w:val="0"/>
              <w:keepLines w:val="0"/>
              <w:suppressLineNumbers w:val="0"/>
              <w:tabs>
                <w:tab w:val="left" w:pos="6521"/>
              </w:tabs>
              <w:spacing w:before="0" w:beforeAutospacing="0" w:after="0" w:afterAutospacing="0" w:line="440" w:lineRule="exact"/>
              <w:ind w:left="0" w:right="0"/>
              <w:rPr>
                <w:rFonts w:hint="default"/>
                <w:color w:val="auto"/>
                <w:highlight w:val="none"/>
              </w:rPr>
            </w:pPr>
            <w:r>
              <w:rPr>
                <w:rFonts w:hint="default"/>
                <w:color w:val="auto"/>
                <w:highlight w:val="none"/>
              </w:rPr>
              <w:t>表4-</w:t>
            </w:r>
            <w:r>
              <w:rPr>
                <w:rFonts w:hint="eastAsia"/>
                <w:color w:val="auto"/>
                <w:highlight w:val="none"/>
                <w:lang w:val="en-US" w:eastAsia="zh-CN"/>
              </w:rPr>
              <w:t>1</w:t>
            </w:r>
            <w:r>
              <w:rPr>
                <w:rFonts w:hint="default"/>
                <w:color w:val="auto"/>
                <w:highlight w:val="none"/>
              </w:rPr>
              <w:t xml:space="preserve">    废气污染物排放源情况一览表</w:t>
            </w:r>
          </w:p>
          <w:tbl>
            <w:tblPr>
              <w:tblStyle w:val="47"/>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4"/>
              <w:gridCol w:w="408"/>
              <w:gridCol w:w="442"/>
              <w:gridCol w:w="478"/>
              <w:gridCol w:w="361"/>
              <w:gridCol w:w="446"/>
              <w:gridCol w:w="446"/>
              <w:gridCol w:w="520"/>
              <w:gridCol w:w="489"/>
              <w:gridCol w:w="361"/>
              <w:gridCol w:w="552"/>
              <w:gridCol w:w="442"/>
              <w:gridCol w:w="442"/>
              <w:gridCol w:w="520"/>
              <w:gridCol w:w="320"/>
              <w:gridCol w:w="2852"/>
              <w:gridCol w:w="226"/>
              <w:gridCol w:w="303"/>
              <w:gridCol w:w="399"/>
              <w:gridCol w:w="576"/>
              <w:gridCol w:w="739"/>
              <w:gridCol w:w="1170"/>
            </w:tblGrid>
            <w:tr w14:paraId="1AC5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dxa"/>
                  <w:vMerge w:val="restart"/>
                  <w:noWrap/>
                  <w:vAlign w:val="center"/>
                </w:tcPr>
                <w:p w14:paraId="79646A70">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产排污环节</w:t>
                  </w:r>
                </w:p>
              </w:tc>
              <w:tc>
                <w:tcPr>
                  <w:tcW w:w="423" w:type="dxa"/>
                  <w:vMerge w:val="restart"/>
                  <w:noWrap/>
                  <w:vAlign w:val="center"/>
                </w:tcPr>
                <w:p w14:paraId="04A43C6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污染物种类</w:t>
                  </w:r>
                </w:p>
              </w:tc>
              <w:tc>
                <w:tcPr>
                  <w:tcW w:w="459" w:type="dxa"/>
                  <w:vMerge w:val="restart"/>
                  <w:noWrap/>
                  <w:vAlign w:val="center"/>
                </w:tcPr>
                <w:p w14:paraId="0766967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产生量t/a</w:t>
                  </w:r>
                </w:p>
              </w:tc>
              <w:tc>
                <w:tcPr>
                  <w:tcW w:w="3793" w:type="dxa"/>
                  <w:gridSpan w:val="8"/>
                  <w:noWrap/>
                  <w:vAlign w:val="center"/>
                </w:tcPr>
                <w:p w14:paraId="0C96CFE6">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污染防治措施</w:t>
                  </w:r>
                </w:p>
              </w:tc>
              <w:tc>
                <w:tcPr>
                  <w:tcW w:w="459" w:type="dxa"/>
                  <w:vMerge w:val="restart"/>
                  <w:noWrap/>
                  <w:vAlign w:val="center"/>
                </w:tcPr>
                <w:p w14:paraId="60B9280A">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排放量</w:t>
                  </w:r>
                </w:p>
                <w:p w14:paraId="55AAF79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t/a</w:t>
                  </w:r>
                </w:p>
              </w:tc>
              <w:tc>
                <w:tcPr>
                  <w:tcW w:w="459" w:type="dxa"/>
                  <w:vMerge w:val="restart"/>
                  <w:noWrap/>
                  <w:vAlign w:val="center"/>
                </w:tcPr>
                <w:p w14:paraId="452363B4">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排放速率kg/h</w:t>
                  </w:r>
                </w:p>
              </w:tc>
              <w:tc>
                <w:tcPr>
                  <w:tcW w:w="540" w:type="dxa"/>
                  <w:vMerge w:val="restart"/>
                  <w:noWrap/>
                  <w:vAlign w:val="center"/>
                </w:tcPr>
                <w:p w14:paraId="512CF46B">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排放浓度mg/m</w:t>
                  </w:r>
                  <w:r>
                    <w:rPr>
                      <w:rFonts w:hint="default"/>
                      <w:color w:val="auto"/>
                      <w:szCs w:val="21"/>
                      <w:highlight w:val="none"/>
                      <w:vertAlign w:val="superscript"/>
                    </w:rPr>
                    <w:t>3</w:t>
                  </w:r>
                </w:p>
              </w:tc>
              <w:tc>
                <w:tcPr>
                  <w:tcW w:w="332" w:type="dxa"/>
                  <w:vMerge w:val="restart"/>
                  <w:noWrap/>
                  <w:vAlign w:val="center"/>
                </w:tcPr>
                <w:p w14:paraId="3675672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排放形式</w:t>
                  </w:r>
                </w:p>
              </w:tc>
              <w:tc>
                <w:tcPr>
                  <w:tcW w:w="2962" w:type="dxa"/>
                  <w:vMerge w:val="restart"/>
                  <w:noWrap/>
                  <w:vAlign w:val="center"/>
                </w:tcPr>
                <w:p w14:paraId="33F385BD">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排放标准</w:t>
                  </w:r>
                </w:p>
              </w:tc>
              <w:tc>
                <w:tcPr>
                  <w:tcW w:w="3539" w:type="dxa"/>
                  <w:gridSpan w:val="6"/>
                  <w:noWrap/>
                  <w:vAlign w:val="center"/>
                </w:tcPr>
                <w:p w14:paraId="75BB9186">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排放口基本情况</w:t>
                  </w:r>
                </w:p>
              </w:tc>
            </w:tr>
            <w:tr w14:paraId="6E2B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dxa"/>
                  <w:vMerge w:val="continue"/>
                  <w:noWrap/>
                  <w:vAlign w:val="center"/>
                </w:tcPr>
                <w:p w14:paraId="27552376">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423" w:type="dxa"/>
                  <w:vMerge w:val="continue"/>
                  <w:noWrap/>
                  <w:vAlign w:val="center"/>
                </w:tcPr>
                <w:p w14:paraId="2F4C1B8C">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459" w:type="dxa"/>
                  <w:vMerge w:val="continue"/>
                  <w:noWrap/>
                  <w:vAlign w:val="center"/>
                </w:tcPr>
                <w:p w14:paraId="0C721CF2">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496" w:type="dxa"/>
                  <w:shd w:val="clear" w:color="auto" w:fill="auto"/>
                  <w:noWrap/>
                  <w:vAlign w:val="center"/>
                </w:tcPr>
                <w:p w14:paraId="710B0A24">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名称</w:t>
                  </w:r>
                </w:p>
              </w:tc>
              <w:tc>
                <w:tcPr>
                  <w:tcW w:w="375" w:type="dxa"/>
                  <w:shd w:val="clear" w:color="auto" w:fill="auto"/>
                  <w:noWrap/>
                  <w:vAlign w:val="center"/>
                </w:tcPr>
                <w:p w14:paraId="60D6258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收集效率%</w:t>
                  </w:r>
                </w:p>
              </w:tc>
              <w:tc>
                <w:tcPr>
                  <w:tcW w:w="463" w:type="dxa"/>
                  <w:shd w:val="clear" w:color="auto" w:fill="auto"/>
                  <w:noWrap/>
                  <w:vAlign w:val="center"/>
                </w:tcPr>
                <w:p w14:paraId="76CCFA1A">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收集量t/a</w:t>
                  </w:r>
                </w:p>
              </w:tc>
              <w:tc>
                <w:tcPr>
                  <w:tcW w:w="463" w:type="dxa"/>
                  <w:shd w:val="clear" w:color="auto" w:fill="auto"/>
                  <w:noWrap/>
                  <w:vAlign w:val="center"/>
                </w:tcPr>
                <w:p w14:paraId="19A8172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收集</w:t>
                  </w:r>
                  <w:r>
                    <w:rPr>
                      <w:rFonts w:hint="default"/>
                      <w:color w:val="auto"/>
                      <w:szCs w:val="21"/>
                      <w:highlight w:val="none"/>
                    </w:rPr>
                    <w:t>速率kg/h</w:t>
                  </w:r>
                </w:p>
              </w:tc>
              <w:tc>
                <w:tcPr>
                  <w:tcW w:w="540" w:type="dxa"/>
                  <w:shd w:val="clear" w:color="auto" w:fill="auto"/>
                  <w:noWrap/>
                  <w:vAlign w:val="center"/>
                </w:tcPr>
                <w:p w14:paraId="745B96D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收集</w:t>
                  </w:r>
                  <w:r>
                    <w:rPr>
                      <w:rFonts w:hint="default"/>
                      <w:color w:val="auto"/>
                      <w:szCs w:val="21"/>
                      <w:highlight w:val="none"/>
                    </w:rPr>
                    <w:t>浓度</w:t>
                  </w:r>
                </w:p>
                <w:p w14:paraId="37421B8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mg/m</w:t>
                  </w:r>
                  <w:r>
                    <w:rPr>
                      <w:rFonts w:hint="default"/>
                      <w:color w:val="auto"/>
                      <w:szCs w:val="21"/>
                      <w:highlight w:val="none"/>
                      <w:vertAlign w:val="superscript"/>
                    </w:rPr>
                    <w:t>3</w:t>
                  </w:r>
                </w:p>
              </w:tc>
              <w:tc>
                <w:tcPr>
                  <w:tcW w:w="508" w:type="dxa"/>
                  <w:noWrap/>
                  <w:vAlign w:val="center"/>
                </w:tcPr>
                <w:p w14:paraId="549B279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处理能力m</w:t>
                  </w:r>
                  <w:r>
                    <w:rPr>
                      <w:rFonts w:hint="default"/>
                      <w:color w:val="auto"/>
                      <w:szCs w:val="21"/>
                      <w:highlight w:val="none"/>
                      <w:vertAlign w:val="superscript"/>
                    </w:rPr>
                    <w:t>3</w:t>
                  </w:r>
                  <w:r>
                    <w:rPr>
                      <w:rFonts w:hint="default"/>
                      <w:color w:val="auto"/>
                      <w:szCs w:val="21"/>
                      <w:highlight w:val="none"/>
                    </w:rPr>
                    <w:t>/h</w:t>
                  </w:r>
                </w:p>
              </w:tc>
              <w:tc>
                <w:tcPr>
                  <w:tcW w:w="375" w:type="dxa"/>
                  <w:noWrap/>
                  <w:vAlign w:val="center"/>
                </w:tcPr>
                <w:p w14:paraId="5ACF2D30">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去除率%</w:t>
                  </w:r>
                </w:p>
              </w:tc>
              <w:tc>
                <w:tcPr>
                  <w:tcW w:w="573" w:type="dxa"/>
                  <w:noWrap/>
                  <w:vAlign w:val="center"/>
                </w:tcPr>
                <w:p w14:paraId="7150BBC1">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是否为可行技术</w:t>
                  </w:r>
                </w:p>
              </w:tc>
              <w:tc>
                <w:tcPr>
                  <w:tcW w:w="459" w:type="dxa"/>
                  <w:vMerge w:val="continue"/>
                  <w:noWrap/>
                  <w:vAlign w:val="center"/>
                </w:tcPr>
                <w:p w14:paraId="3618AA3A">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459" w:type="dxa"/>
                  <w:vMerge w:val="continue"/>
                  <w:noWrap/>
                  <w:vAlign w:val="center"/>
                </w:tcPr>
                <w:p w14:paraId="55C63204">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540" w:type="dxa"/>
                  <w:vMerge w:val="continue"/>
                  <w:noWrap/>
                  <w:vAlign w:val="center"/>
                </w:tcPr>
                <w:p w14:paraId="2AEB4EB0">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332" w:type="dxa"/>
                  <w:vMerge w:val="continue"/>
                  <w:noWrap/>
                  <w:vAlign w:val="center"/>
                </w:tcPr>
                <w:p w14:paraId="419EB1FA">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2962" w:type="dxa"/>
                  <w:vMerge w:val="continue"/>
                  <w:noWrap/>
                  <w:vAlign w:val="center"/>
                </w:tcPr>
                <w:p w14:paraId="1B1D2B80">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p>
              </w:tc>
              <w:tc>
                <w:tcPr>
                  <w:tcW w:w="234" w:type="dxa"/>
                  <w:noWrap/>
                  <w:vAlign w:val="center"/>
                </w:tcPr>
                <w:p w14:paraId="4E0E3F4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高度m</w:t>
                  </w:r>
                </w:p>
              </w:tc>
              <w:tc>
                <w:tcPr>
                  <w:tcW w:w="314" w:type="dxa"/>
                  <w:noWrap/>
                  <w:vAlign w:val="center"/>
                </w:tcPr>
                <w:p w14:paraId="4AF902A5">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内径m</w:t>
                  </w:r>
                </w:p>
              </w:tc>
              <w:tc>
                <w:tcPr>
                  <w:tcW w:w="414" w:type="dxa"/>
                  <w:noWrap/>
                  <w:vAlign w:val="center"/>
                </w:tcPr>
                <w:p w14:paraId="3A2E4ABE">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温度℃</w:t>
                  </w:r>
                </w:p>
              </w:tc>
              <w:tc>
                <w:tcPr>
                  <w:tcW w:w="597" w:type="dxa"/>
                  <w:noWrap/>
                  <w:vAlign w:val="center"/>
                </w:tcPr>
                <w:p w14:paraId="303029A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编号</w:t>
                  </w:r>
                </w:p>
              </w:tc>
              <w:tc>
                <w:tcPr>
                  <w:tcW w:w="766" w:type="dxa"/>
                  <w:noWrap/>
                  <w:vAlign w:val="center"/>
                </w:tcPr>
                <w:p w14:paraId="51E21181">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类型</w:t>
                  </w:r>
                </w:p>
              </w:tc>
              <w:tc>
                <w:tcPr>
                  <w:tcW w:w="1214" w:type="dxa"/>
                  <w:noWrap/>
                  <w:vAlign w:val="center"/>
                </w:tcPr>
                <w:p w14:paraId="0F95D78C">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color w:val="auto"/>
                      <w:szCs w:val="21"/>
                      <w:highlight w:val="none"/>
                    </w:rPr>
                  </w:pPr>
                  <w:r>
                    <w:rPr>
                      <w:rFonts w:hint="default"/>
                      <w:color w:val="auto"/>
                      <w:szCs w:val="21"/>
                      <w:highlight w:val="none"/>
                    </w:rPr>
                    <w:t>地理坐标</w:t>
                  </w:r>
                </w:p>
              </w:tc>
            </w:tr>
            <w:tr w14:paraId="27E1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762" w:type="dxa"/>
                  <w:vMerge w:val="restart"/>
                  <w:noWrap/>
                  <w:vAlign w:val="center"/>
                </w:tcPr>
                <w:p w14:paraId="32A5DD01">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拆包、投料、烘干、注塑废气</w:t>
                  </w:r>
                </w:p>
              </w:tc>
              <w:tc>
                <w:tcPr>
                  <w:tcW w:w="423" w:type="dxa"/>
                  <w:noWrap/>
                  <w:vAlign w:val="center"/>
                </w:tcPr>
                <w:p w14:paraId="43126B8B">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颗粒物</w:t>
                  </w:r>
                </w:p>
              </w:tc>
              <w:tc>
                <w:tcPr>
                  <w:tcW w:w="459" w:type="dxa"/>
                  <w:noWrap/>
                  <w:vAlign w:val="center"/>
                </w:tcPr>
                <w:p w14:paraId="7FF0252F">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0.6</w:t>
                  </w:r>
                </w:p>
              </w:tc>
              <w:tc>
                <w:tcPr>
                  <w:tcW w:w="496" w:type="dxa"/>
                  <w:vMerge w:val="restart"/>
                  <w:noWrap/>
                  <w:vAlign w:val="center"/>
                </w:tcPr>
                <w:p w14:paraId="0EC7BB52">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布袋除尘器+两级活性炭吸附装置</w:t>
                  </w:r>
                </w:p>
              </w:tc>
              <w:tc>
                <w:tcPr>
                  <w:tcW w:w="375" w:type="dxa"/>
                  <w:vMerge w:val="restart"/>
                  <w:noWrap/>
                  <w:vAlign w:val="center"/>
                </w:tcPr>
                <w:p w14:paraId="522F0424">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75</w:t>
                  </w:r>
                </w:p>
              </w:tc>
              <w:tc>
                <w:tcPr>
                  <w:tcW w:w="463" w:type="dxa"/>
                  <w:shd w:val="clear" w:color="auto" w:fill="auto"/>
                  <w:noWrap/>
                  <w:vAlign w:val="center"/>
                </w:tcPr>
                <w:p w14:paraId="189B05DB">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0.45</w:t>
                  </w:r>
                </w:p>
              </w:tc>
              <w:tc>
                <w:tcPr>
                  <w:tcW w:w="463" w:type="dxa"/>
                  <w:noWrap/>
                  <w:vAlign w:val="center"/>
                </w:tcPr>
                <w:p w14:paraId="3868FC8A">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0.094</w:t>
                  </w:r>
                </w:p>
              </w:tc>
              <w:tc>
                <w:tcPr>
                  <w:tcW w:w="540" w:type="dxa"/>
                  <w:noWrap/>
                  <w:vAlign w:val="center"/>
                </w:tcPr>
                <w:p w14:paraId="77260CF5">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9.375</w:t>
                  </w:r>
                </w:p>
              </w:tc>
              <w:tc>
                <w:tcPr>
                  <w:tcW w:w="508" w:type="dxa"/>
                  <w:vMerge w:val="restart"/>
                  <w:noWrap/>
                  <w:vAlign w:val="center"/>
                </w:tcPr>
                <w:p w14:paraId="48179F98">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10000</w:t>
                  </w:r>
                </w:p>
              </w:tc>
              <w:tc>
                <w:tcPr>
                  <w:tcW w:w="375" w:type="dxa"/>
                  <w:noWrap/>
                  <w:vAlign w:val="center"/>
                </w:tcPr>
                <w:p w14:paraId="6950F547">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50</w:t>
                  </w:r>
                </w:p>
              </w:tc>
              <w:tc>
                <w:tcPr>
                  <w:tcW w:w="573" w:type="dxa"/>
                  <w:vMerge w:val="restart"/>
                  <w:noWrap/>
                  <w:vAlign w:val="center"/>
                </w:tcPr>
                <w:p w14:paraId="3400122A">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rPr>
                    <w:t>是</w:t>
                  </w:r>
                </w:p>
              </w:tc>
              <w:tc>
                <w:tcPr>
                  <w:tcW w:w="459" w:type="dxa"/>
                  <w:shd w:val="clear" w:color="auto" w:fill="auto"/>
                  <w:noWrap/>
                  <w:vAlign w:val="center"/>
                </w:tcPr>
                <w:p w14:paraId="5F450851">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0.225</w:t>
                  </w:r>
                </w:p>
              </w:tc>
              <w:tc>
                <w:tcPr>
                  <w:tcW w:w="459" w:type="dxa"/>
                  <w:shd w:val="clear" w:color="auto" w:fill="auto"/>
                  <w:noWrap/>
                  <w:vAlign w:val="center"/>
                </w:tcPr>
                <w:p w14:paraId="7E1AAD1C">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0.047</w:t>
                  </w:r>
                </w:p>
              </w:tc>
              <w:tc>
                <w:tcPr>
                  <w:tcW w:w="540" w:type="dxa"/>
                  <w:shd w:val="clear" w:color="auto" w:fill="auto"/>
                  <w:noWrap/>
                  <w:vAlign w:val="center"/>
                </w:tcPr>
                <w:p w14:paraId="3DDFD29E">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4.688</w:t>
                  </w:r>
                </w:p>
              </w:tc>
              <w:tc>
                <w:tcPr>
                  <w:tcW w:w="332" w:type="dxa"/>
                  <w:vMerge w:val="restart"/>
                  <w:noWrap/>
                  <w:vAlign w:val="center"/>
                </w:tcPr>
                <w:p w14:paraId="709E98DF">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rPr>
                    <w:t>有组织</w:t>
                  </w:r>
                </w:p>
              </w:tc>
              <w:tc>
                <w:tcPr>
                  <w:tcW w:w="2962" w:type="dxa"/>
                  <w:vMerge w:val="restart"/>
                  <w:noWrap/>
                  <w:vAlign w:val="center"/>
                </w:tcPr>
                <w:p w14:paraId="0108BAA4">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eastAsia" w:cs="Times New Roman"/>
                      <w:smallCaps w:val="0"/>
                      <w:color w:val="auto"/>
                      <w:spacing w:val="0"/>
                      <w:szCs w:val="21"/>
                      <w:highlight w:val="none"/>
                      <w:lang w:eastAsia="zh-CN"/>
                    </w:rPr>
                    <w:t>《合成树脂工业污染物排放标准》（GB31572-2015）（含2024年修改单）表5标准</w:t>
                  </w:r>
                </w:p>
              </w:tc>
              <w:tc>
                <w:tcPr>
                  <w:tcW w:w="234" w:type="dxa"/>
                  <w:vMerge w:val="restart"/>
                  <w:noWrap/>
                  <w:vAlign w:val="center"/>
                </w:tcPr>
                <w:p w14:paraId="2FBAD35E">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15</w:t>
                  </w:r>
                </w:p>
              </w:tc>
              <w:tc>
                <w:tcPr>
                  <w:tcW w:w="314" w:type="dxa"/>
                  <w:vMerge w:val="restart"/>
                  <w:noWrap/>
                  <w:vAlign w:val="center"/>
                </w:tcPr>
                <w:p w14:paraId="33B85703">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0.5</w:t>
                  </w:r>
                </w:p>
              </w:tc>
              <w:tc>
                <w:tcPr>
                  <w:tcW w:w="414" w:type="dxa"/>
                  <w:vMerge w:val="restart"/>
                  <w:noWrap/>
                  <w:vAlign w:val="center"/>
                </w:tcPr>
                <w:p w14:paraId="6F290E13">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25</w:t>
                  </w:r>
                </w:p>
              </w:tc>
              <w:tc>
                <w:tcPr>
                  <w:tcW w:w="597" w:type="dxa"/>
                  <w:vMerge w:val="restart"/>
                  <w:noWrap/>
                  <w:vAlign w:val="center"/>
                </w:tcPr>
                <w:p w14:paraId="0628A10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eastAsia="zh-CN"/>
                    </w:rPr>
                    <w:t>DA002</w:t>
                  </w:r>
                </w:p>
              </w:tc>
              <w:tc>
                <w:tcPr>
                  <w:tcW w:w="766" w:type="dxa"/>
                  <w:vMerge w:val="restart"/>
                  <w:noWrap/>
                  <w:vAlign w:val="center"/>
                </w:tcPr>
                <w:p w14:paraId="125D73F1">
                  <w:pPr>
                    <w:keepNext w:val="0"/>
                    <w:keepLines w:val="0"/>
                    <w:suppressLineNumbers w:val="0"/>
                    <w:autoSpaceDE w:val="0"/>
                    <w:autoSpaceDN w:val="0"/>
                    <w:adjustRightInd w:val="0"/>
                    <w:spacing w:before="0" w:beforeAutospacing="0" w:after="0" w:afterAutospacing="0" w:line="320" w:lineRule="exact"/>
                    <w:ind w:left="0" w:right="0"/>
                    <w:jc w:val="center"/>
                    <w:rPr>
                      <w:rFonts w:hint="default"/>
                      <w:snapToGrid w:val="0"/>
                      <w:color w:val="auto"/>
                      <w:szCs w:val="21"/>
                      <w:highlight w:val="none"/>
                    </w:rPr>
                  </w:pPr>
                  <w:r>
                    <w:rPr>
                      <w:rFonts w:hint="default"/>
                      <w:snapToGrid w:val="0"/>
                      <w:color w:val="auto"/>
                      <w:szCs w:val="21"/>
                      <w:highlight w:val="none"/>
                    </w:rPr>
                    <w:t>一般排放口</w:t>
                  </w:r>
                </w:p>
              </w:tc>
              <w:tc>
                <w:tcPr>
                  <w:tcW w:w="1214" w:type="dxa"/>
                  <w:vMerge w:val="restart"/>
                  <w:noWrap/>
                  <w:vAlign w:val="center"/>
                </w:tcPr>
                <w:p w14:paraId="0B6D862B">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lang w:val="en-US" w:eastAsia="zh-CN"/>
                    </w:rPr>
                    <w:t>E</w:t>
                  </w:r>
                  <w:r>
                    <w:rPr>
                      <w:rFonts w:hint="default"/>
                      <w:bCs/>
                      <w:color w:val="auto"/>
                      <w:szCs w:val="21"/>
                      <w:highlight w:val="none"/>
                    </w:rPr>
                    <w:t>114°30′50.02517″</w:t>
                  </w:r>
                </w:p>
                <w:p w14:paraId="2CF166A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N</w:t>
                  </w:r>
                  <w:r>
                    <w:rPr>
                      <w:rFonts w:hint="default"/>
                      <w:bCs/>
                      <w:color w:val="auto"/>
                      <w:szCs w:val="21"/>
                      <w:highlight w:val="none"/>
                    </w:rPr>
                    <w:t>37°54′26.72509″</w:t>
                  </w:r>
                </w:p>
              </w:tc>
            </w:tr>
            <w:tr w14:paraId="483A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762" w:type="dxa"/>
                  <w:vMerge w:val="continue"/>
                  <w:noWrap/>
                  <w:vAlign w:val="center"/>
                </w:tcPr>
                <w:p w14:paraId="1C4F33EF">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val="en-US" w:eastAsia="zh-CN"/>
                    </w:rPr>
                  </w:pPr>
                </w:p>
              </w:tc>
              <w:tc>
                <w:tcPr>
                  <w:tcW w:w="423" w:type="dxa"/>
                  <w:noWrap/>
                  <w:vAlign w:val="center"/>
                </w:tcPr>
                <w:p w14:paraId="5C483C10">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氨</w:t>
                  </w:r>
                </w:p>
              </w:tc>
              <w:tc>
                <w:tcPr>
                  <w:tcW w:w="459" w:type="dxa"/>
                  <w:noWrap/>
                  <w:vAlign w:val="center"/>
                </w:tcPr>
                <w:p w14:paraId="10CB9DCA">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0.417</w:t>
                  </w:r>
                </w:p>
              </w:tc>
              <w:tc>
                <w:tcPr>
                  <w:tcW w:w="496" w:type="dxa"/>
                  <w:vMerge w:val="continue"/>
                  <w:noWrap/>
                  <w:vAlign w:val="center"/>
                </w:tcPr>
                <w:p w14:paraId="4FD7BD65">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vMerge w:val="continue"/>
                  <w:noWrap/>
                  <w:vAlign w:val="center"/>
                </w:tcPr>
                <w:p w14:paraId="67F92762">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63" w:type="dxa"/>
                  <w:shd w:val="clear" w:color="auto" w:fill="auto"/>
                  <w:noWrap/>
                  <w:vAlign w:val="center"/>
                </w:tcPr>
                <w:p w14:paraId="78EC2D4E">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0.313</w:t>
                  </w:r>
                </w:p>
              </w:tc>
              <w:tc>
                <w:tcPr>
                  <w:tcW w:w="463" w:type="dxa"/>
                  <w:noWrap/>
                  <w:vAlign w:val="center"/>
                </w:tcPr>
                <w:p w14:paraId="1E2884B9">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0.065</w:t>
                  </w:r>
                </w:p>
              </w:tc>
              <w:tc>
                <w:tcPr>
                  <w:tcW w:w="540" w:type="dxa"/>
                  <w:noWrap/>
                  <w:vAlign w:val="center"/>
                </w:tcPr>
                <w:p w14:paraId="40619DC3">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6.516</w:t>
                  </w:r>
                </w:p>
              </w:tc>
              <w:tc>
                <w:tcPr>
                  <w:tcW w:w="508" w:type="dxa"/>
                  <w:vMerge w:val="continue"/>
                  <w:noWrap/>
                  <w:vAlign w:val="center"/>
                </w:tcPr>
                <w:p w14:paraId="70DF8D7F">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noWrap/>
                  <w:vAlign w:val="center"/>
                </w:tcPr>
                <w:p w14:paraId="6861F51B">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60</w:t>
                  </w:r>
                </w:p>
              </w:tc>
              <w:tc>
                <w:tcPr>
                  <w:tcW w:w="573" w:type="dxa"/>
                  <w:vMerge w:val="continue"/>
                  <w:noWrap/>
                  <w:vAlign w:val="center"/>
                </w:tcPr>
                <w:p w14:paraId="0779C251">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459" w:type="dxa"/>
                  <w:shd w:val="clear" w:color="auto" w:fill="auto"/>
                  <w:noWrap/>
                  <w:vAlign w:val="center"/>
                </w:tcPr>
                <w:p w14:paraId="4798DFC8">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0.125</w:t>
                  </w:r>
                </w:p>
              </w:tc>
              <w:tc>
                <w:tcPr>
                  <w:tcW w:w="459" w:type="dxa"/>
                  <w:shd w:val="clear" w:color="auto" w:fill="auto"/>
                  <w:noWrap/>
                  <w:vAlign w:val="center"/>
                </w:tcPr>
                <w:p w14:paraId="043D8B6E">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0.026</w:t>
                  </w:r>
                </w:p>
              </w:tc>
              <w:tc>
                <w:tcPr>
                  <w:tcW w:w="540" w:type="dxa"/>
                  <w:shd w:val="clear" w:color="auto" w:fill="auto"/>
                  <w:noWrap/>
                  <w:vAlign w:val="center"/>
                </w:tcPr>
                <w:p w14:paraId="0692737C">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2.606</w:t>
                  </w:r>
                </w:p>
              </w:tc>
              <w:tc>
                <w:tcPr>
                  <w:tcW w:w="332" w:type="dxa"/>
                  <w:vMerge w:val="continue"/>
                  <w:noWrap/>
                  <w:vAlign w:val="center"/>
                </w:tcPr>
                <w:p w14:paraId="4AF90E2D">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2962" w:type="dxa"/>
                  <w:vMerge w:val="continue"/>
                  <w:noWrap/>
                  <w:vAlign w:val="center"/>
                </w:tcPr>
                <w:p w14:paraId="119F18E1">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p>
              </w:tc>
              <w:tc>
                <w:tcPr>
                  <w:tcW w:w="234" w:type="dxa"/>
                  <w:vMerge w:val="continue"/>
                  <w:noWrap/>
                  <w:vAlign w:val="center"/>
                </w:tcPr>
                <w:p w14:paraId="13277453">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2D5AF643">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66E663C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7BBED52B">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c>
                <w:tcPr>
                  <w:tcW w:w="766" w:type="dxa"/>
                  <w:vMerge w:val="continue"/>
                  <w:noWrap/>
                  <w:vAlign w:val="center"/>
                </w:tcPr>
                <w:p w14:paraId="6F740DEF">
                  <w:pPr>
                    <w:keepNext w:val="0"/>
                    <w:keepLines w:val="0"/>
                    <w:suppressLineNumbers w:val="0"/>
                    <w:autoSpaceDE w:val="0"/>
                    <w:autoSpaceDN w:val="0"/>
                    <w:adjustRightInd w:val="0"/>
                    <w:spacing w:before="0" w:beforeAutospacing="0" w:after="0" w:afterAutospacing="0" w:line="320" w:lineRule="exact"/>
                    <w:ind w:left="0" w:right="0"/>
                    <w:jc w:val="center"/>
                    <w:rPr>
                      <w:rFonts w:hint="default"/>
                      <w:snapToGrid w:val="0"/>
                      <w:color w:val="auto"/>
                      <w:szCs w:val="21"/>
                      <w:highlight w:val="none"/>
                    </w:rPr>
                  </w:pPr>
                </w:p>
              </w:tc>
              <w:tc>
                <w:tcPr>
                  <w:tcW w:w="1214" w:type="dxa"/>
                  <w:vMerge w:val="continue"/>
                  <w:noWrap/>
                  <w:vAlign w:val="center"/>
                </w:tcPr>
                <w:p w14:paraId="57D3489E">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r w14:paraId="2311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62" w:type="dxa"/>
                  <w:vMerge w:val="continue"/>
                  <w:noWrap/>
                  <w:vAlign w:val="center"/>
                </w:tcPr>
                <w:p w14:paraId="546B0A53">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val="en-US" w:eastAsia="zh-CN"/>
                    </w:rPr>
                  </w:pPr>
                </w:p>
              </w:tc>
              <w:tc>
                <w:tcPr>
                  <w:tcW w:w="423" w:type="dxa"/>
                  <w:noWrap/>
                  <w:vAlign w:val="center"/>
                </w:tcPr>
                <w:p w14:paraId="1FE1B253">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非甲烷总烃</w:t>
                  </w:r>
                </w:p>
              </w:tc>
              <w:tc>
                <w:tcPr>
                  <w:tcW w:w="459" w:type="dxa"/>
                  <w:noWrap/>
                  <w:vAlign w:val="center"/>
                </w:tcPr>
                <w:p w14:paraId="6C547149">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0.507</w:t>
                  </w:r>
                </w:p>
              </w:tc>
              <w:tc>
                <w:tcPr>
                  <w:tcW w:w="496" w:type="dxa"/>
                  <w:vMerge w:val="continue"/>
                  <w:noWrap/>
                  <w:vAlign w:val="center"/>
                </w:tcPr>
                <w:p w14:paraId="049B34F4">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vMerge w:val="continue"/>
                  <w:noWrap/>
                  <w:vAlign w:val="center"/>
                </w:tcPr>
                <w:p w14:paraId="3405228C">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63" w:type="dxa"/>
                  <w:shd w:val="clear" w:color="auto" w:fill="auto"/>
                  <w:noWrap/>
                  <w:vAlign w:val="center"/>
                </w:tcPr>
                <w:p w14:paraId="25BAA72A">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0.380</w:t>
                  </w:r>
                </w:p>
              </w:tc>
              <w:tc>
                <w:tcPr>
                  <w:tcW w:w="463" w:type="dxa"/>
                  <w:noWrap/>
                  <w:vAlign w:val="center"/>
                </w:tcPr>
                <w:p w14:paraId="71BF347C">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0.079</w:t>
                  </w:r>
                </w:p>
              </w:tc>
              <w:tc>
                <w:tcPr>
                  <w:tcW w:w="540" w:type="dxa"/>
                  <w:noWrap/>
                  <w:vAlign w:val="center"/>
                </w:tcPr>
                <w:p w14:paraId="3DD2B6C3">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7.922</w:t>
                  </w:r>
                </w:p>
              </w:tc>
              <w:tc>
                <w:tcPr>
                  <w:tcW w:w="508" w:type="dxa"/>
                  <w:vMerge w:val="continue"/>
                  <w:noWrap/>
                  <w:vAlign w:val="center"/>
                </w:tcPr>
                <w:p w14:paraId="68EDC49B">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noWrap/>
                  <w:vAlign w:val="center"/>
                </w:tcPr>
                <w:p w14:paraId="12D67AEF">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80</w:t>
                  </w:r>
                </w:p>
              </w:tc>
              <w:tc>
                <w:tcPr>
                  <w:tcW w:w="573" w:type="dxa"/>
                  <w:vMerge w:val="continue"/>
                  <w:noWrap/>
                  <w:vAlign w:val="center"/>
                </w:tcPr>
                <w:p w14:paraId="0C748589">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459" w:type="dxa"/>
                  <w:shd w:val="clear" w:color="auto" w:fill="auto"/>
                  <w:noWrap/>
                  <w:vAlign w:val="center"/>
                </w:tcPr>
                <w:p w14:paraId="773B3EC9">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0.076</w:t>
                  </w:r>
                </w:p>
              </w:tc>
              <w:tc>
                <w:tcPr>
                  <w:tcW w:w="459" w:type="dxa"/>
                  <w:shd w:val="clear" w:color="auto" w:fill="auto"/>
                  <w:noWrap/>
                  <w:vAlign w:val="center"/>
                </w:tcPr>
                <w:p w14:paraId="0A99C794">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0.016</w:t>
                  </w:r>
                </w:p>
              </w:tc>
              <w:tc>
                <w:tcPr>
                  <w:tcW w:w="540" w:type="dxa"/>
                  <w:shd w:val="clear" w:color="auto" w:fill="auto"/>
                  <w:noWrap/>
                  <w:vAlign w:val="center"/>
                </w:tcPr>
                <w:p w14:paraId="21C313D9">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1.584</w:t>
                  </w:r>
                </w:p>
              </w:tc>
              <w:tc>
                <w:tcPr>
                  <w:tcW w:w="332" w:type="dxa"/>
                  <w:vMerge w:val="continue"/>
                  <w:noWrap/>
                  <w:vAlign w:val="center"/>
                </w:tcPr>
                <w:p w14:paraId="0F38D08B">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2962" w:type="dxa"/>
                  <w:noWrap/>
                  <w:vAlign w:val="center"/>
                </w:tcPr>
                <w:p w14:paraId="1CC0683F">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default" w:cs="Times New Roman"/>
                      <w:smallCaps w:val="0"/>
                      <w:color w:val="auto"/>
                      <w:spacing w:val="0"/>
                      <w:szCs w:val="21"/>
                      <w:highlight w:val="none"/>
                      <w:lang w:val="en-US" w:eastAsia="zh-CN"/>
                    </w:rPr>
                    <w:t>《工业企业挥发性有机物排放控制标准》（DB13/2322-2025）表1（塑料制品制造）标准</w:t>
                  </w:r>
                </w:p>
              </w:tc>
              <w:tc>
                <w:tcPr>
                  <w:tcW w:w="234" w:type="dxa"/>
                  <w:vMerge w:val="continue"/>
                  <w:noWrap/>
                  <w:vAlign w:val="center"/>
                </w:tcPr>
                <w:p w14:paraId="1B68BEAF">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06D00224">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2CCB0A64">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19DDDB5D">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c>
                <w:tcPr>
                  <w:tcW w:w="766" w:type="dxa"/>
                  <w:vMerge w:val="continue"/>
                  <w:noWrap/>
                  <w:vAlign w:val="center"/>
                </w:tcPr>
                <w:p w14:paraId="58C9AEAD">
                  <w:pPr>
                    <w:keepNext w:val="0"/>
                    <w:keepLines w:val="0"/>
                    <w:suppressLineNumbers w:val="0"/>
                    <w:autoSpaceDE w:val="0"/>
                    <w:autoSpaceDN w:val="0"/>
                    <w:adjustRightInd w:val="0"/>
                    <w:spacing w:before="0" w:beforeAutospacing="0" w:after="0" w:afterAutospacing="0" w:line="320" w:lineRule="exact"/>
                    <w:ind w:left="0" w:right="0"/>
                    <w:jc w:val="center"/>
                    <w:rPr>
                      <w:rFonts w:hint="default"/>
                      <w:snapToGrid w:val="0"/>
                      <w:color w:val="auto"/>
                      <w:szCs w:val="21"/>
                      <w:highlight w:val="none"/>
                    </w:rPr>
                  </w:pPr>
                </w:p>
              </w:tc>
              <w:tc>
                <w:tcPr>
                  <w:tcW w:w="1214" w:type="dxa"/>
                  <w:vMerge w:val="continue"/>
                  <w:noWrap/>
                  <w:vAlign w:val="center"/>
                </w:tcPr>
                <w:p w14:paraId="049FD63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r w14:paraId="47DF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762" w:type="dxa"/>
                  <w:vMerge w:val="continue"/>
                  <w:noWrap/>
                  <w:vAlign w:val="center"/>
                </w:tcPr>
                <w:p w14:paraId="4738B5DA">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val="en-US" w:eastAsia="zh-CN"/>
                    </w:rPr>
                  </w:pPr>
                </w:p>
              </w:tc>
              <w:tc>
                <w:tcPr>
                  <w:tcW w:w="423" w:type="dxa"/>
                  <w:noWrap/>
                  <w:vAlign w:val="center"/>
                </w:tcPr>
                <w:p w14:paraId="5EAEE541">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臭气浓度</w:t>
                  </w:r>
                </w:p>
              </w:tc>
              <w:tc>
                <w:tcPr>
                  <w:tcW w:w="459" w:type="dxa"/>
                  <w:noWrap/>
                  <w:vAlign w:val="center"/>
                </w:tcPr>
                <w:p w14:paraId="7F98572F">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496" w:type="dxa"/>
                  <w:vMerge w:val="continue"/>
                  <w:noWrap/>
                  <w:vAlign w:val="center"/>
                </w:tcPr>
                <w:p w14:paraId="46984BBA">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vMerge w:val="continue"/>
                  <w:noWrap/>
                  <w:vAlign w:val="center"/>
                </w:tcPr>
                <w:p w14:paraId="79742189">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63" w:type="dxa"/>
                  <w:shd w:val="clear" w:color="auto" w:fill="auto"/>
                  <w:noWrap/>
                  <w:vAlign w:val="center"/>
                </w:tcPr>
                <w:p w14:paraId="20FA1BB5">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463" w:type="dxa"/>
                  <w:noWrap/>
                  <w:vAlign w:val="center"/>
                </w:tcPr>
                <w:p w14:paraId="2641DF4C">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540" w:type="dxa"/>
                  <w:noWrap/>
                  <w:vAlign w:val="center"/>
                </w:tcPr>
                <w:p w14:paraId="342DB1E5">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508" w:type="dxa"/>
                  <w:vMerge w:val="continue"/>
                  <w:noWrap/>
                  <w:vAlign w:val="center"/>
                </w:tcPr>
                <w:p w14:paraId="0F1111C5">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noWrap/>
                  <w:vAlign w:val="center"/>
                </w:tcPr>
                <w:p w14:paraId="7F28346A">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573" w:type="dxa"/>
                  <w:vMerge w:val="continue"/>
                  <w:noWrap/>
                  <w:vAlign w:val="center"/>
                </w:tcPr>
                <w:p w14:paraId="1DF30C4C">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459" w:type="dxa"/>
                  <w:shd w:val="clear" w:color="auto" w:fill="auto"/>
                  <w:noWrap/>
                  <w:vAlign w:val="center"/>
                </w:tcPr>
                <w:p w14:paraId="7EC80BF6">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459" w:type="dxa"/>
                  <w:shd w:val="clear" w:color="auto" w:fill="auto"/>
                  <w:noWrap/>
                  <w:vAlign w:val="center"/>
                </w:tcPr>
                <w:p w14:paraId="47BC9A15">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540" w:type="dxa"/>
                  <w:shd w:val="clear" w:color="auto" w:fill="auto"/>
                  <w:noWrap/>
                  <w:vAlign w:val="center"/>
                </w:tcPr>
                <w:p w14:paraId="3573D376">
                  <w:pPr>
                    <w:keepNext w:val="0"/>
                    <w:keepLines w:val="0"/>
                    <w:suppressLineNumbers w:val="0"/>
                    <w:autoSpaceDE w:val="0"/>
                    <w:autoSpaceDN w:val="0"/>
                    <w:adjustRightInd w:val="0"/>
                    <w:spacing w:before="0" w:beforeAutospacing="0" w:after="0" w:afterAutospacing="0" w:line="320" w:lineRule="exact"/>
                    <w:ind w:left="0" w:right="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977</w:t>
                  </w:r>
                </w:p>
              </w:tc>
              <w:tc>
                <w:tcPr>
                  <w:tcW w:w="332" w:type="dxa"/>
                  <w:vMerge w:val="continue"/>
                  <w:noWrap/>
                  <w:vAlign w:val="center"/>
                </w:tcPr>
                <w:p w14:paraId="3ECEE968">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rPr>
                  </w:pPr>
                </w:p>
              </w:tc>
              <w:tc>
                <w:tcPr>
                  <w:tcW w:w="2962" w:type="dxa"/>
                  <w:noWrap/>
                  <w:vAlign w:val="center"/>
                </w:tcPr>
                <w:p w14:paraId="0B6E6030">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《恶臭污染物排放标准》（GB14554-93）表2标准</w:t>
                  </w:r>
                </w:p>
              </w:tc>
              <w:tc>
                <w:tcPr>
                  <w:tcW w:w="234" w:type="dxa"/>
                  <w:vMerge w:val="continue"/>
                  <w:noWrap/>
                  <w:vAlign w:val="center"/>
                </w:tcPr>
                <w:p w14:paraId="2CB93887">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1EDD4E48">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72B055B8">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22FCB15B">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c>
                <w:tcPr>
                  <w:tcW w:w="766" w:type="dxa"/>
                  <w:vMerge w:val="continue"/>
                  <w:noWrap/>
                  <w:vAlign w:val="center"/>
                </w:tcPr>
                <w:p w14:paraId="3C482192">
                  <w:pPr>
                    <w:keepNext w:val="0"/>
                    <w:keepLines w:val="0"/>
                    <w:suppressLineNumbers w:val="0"/>
                    <w:autoSpaceDE w:val="0"/>
                    <w:autoSpaceDN w:val="0"/>
                    <w:adjustRightInd w:val="0"/>
                    <w:spacing w:before="0" w:beforeAutospacing="0" w:after="0" w:afterAutospacing="0" w:line="320" w:lineRule="exact"/>
                    <w:ind w:left="0" w:right="0"/>
                    <w:jc w:val="center"/>
                    <w:rPr>
                      <w:rFonts w:hint="default"/>
                      <w:snapToGrid w:val="0"/>
                      <w:color w:val="auto"/>
                      <w:szCs w:val="21"/>
                      <w:highlight w:val="none"/>
                    </w:rPr>
                  </w:pPr>
                </w:p>
              </w:tc>
              <w:tc>
                <w:tcPr>
                  <w:tcW w:w="1214" w:type="dxa"/>
                  <w:vMerge w:val="continue"/>
                  <w:noWrap/>
                  <w:vAlign w:val="center"/>
                </w:tcPr>
                <w:p w14:paraId="0860A8FE">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r w14:paraId="3845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762" w:type="dxa"/>
                  <w:vMerge w:val="restart"/>
                  <w:noWrap/>
                  <w:vAlign w:val="center"/>
                </w:tcPr>
                <w:p w14:paraId="1682119E">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无组织废气</w:t>
                  </w:r>
                </w:p>
              </w:tc>
              <w:tc>
                <w:tcPr>
                  <w:tcW w:w="423" w:type="dxa"/>
                  <w:noWrap/>
                  <w:vAlign w:val="center"/>
                </w:tcPr>
                <w:p w14:paraId="4B7DA99F">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颗粒物</w:t>
                  </w:r>
                </w:p>
              </w:tc>
              <w:tc>
                <w:tcPr>
                  <w:tcW w:w="459" w:type="dxa"/>
                  <w:noWrap/>
                  <w:vAlign w:val="center"/>
                </w:tcPr>
                <w:p w14:paraId="4EF6D6B7">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0.15</w:t>
                  </w:r>
                </w:p>
              </w:tc>
              <w:tc>
                <w:tcPr>
                  <w:tcW w:w="496" w:type="dxa"/>
                  <w:vMerge w:val="restart"/>
                  <w:noWrap/>
                  <w:vAlign w:val="center"/>
                </w:tcPr>
                <w:p w14:paraId="69538E5B">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车间密闭</w:t>
                  </w:r>
                </w:p>
              </w:tc>
              <w:tc>
                <w:tcPr>
                  <w:tcW w:w="375" w:type="dxa"/>
                  <w:noWrap/>
                  <w:vAlign w:val="center"/>
                </w:tcPr>
                <w:p w14:paraId="1612BD61">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463" w:type="dxa"/>
                  <w:shd w:val="clear" w:color="auto" w:fill="auto"/>
                  <w:noWrap/>
                  <w:vAlign w:val="center"/>
                </w:tcPr>
                <w:p w14:paraId="0128D16E">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463" w:type="dxa"/>
                  <w:noWrap/>
                  <w:vAlign w:val="center"/>
                </w:tcPr>
                <w:p w14:paraId="25FAB62D">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40" w:type="dxa"/>
                  <w:noWrap/>
                  <w:vAlign w:val="center"/>
                </w:tcPr>
                <w:p w14:paraId="0F9AF75C">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08" w:type="dxa"/>
                  <w:noWrap/>
                  <w:vAlign w:val="center"/>
                </w:tcPr>
                <w:p w14:paraId="1BDE3A53">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375" w:type="dxa"/>
                  <w:noWrap/>
                  <w:vAlign w:val="center"/>
                </w:tcPr>
                <w:p w14:paraId="2B474723">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60%</w:t>
                  </w:r>
                </w:p>
              </w:tc>
              <w:tc>
                <w:tcPr>
                  <w:tcW w:w="573" w:type="dxa"/>
                  <w:vMerge w:val="restart"/>
                  <w:noWrap/>
                  <w:vAlign w:val="center"/>
                </w:tcPr>
                <w:p w14:paraId="724ABCF6">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是</w:t>
                  </w:r>
                </w:p>
              </w:tc>
              <w:tc>
                <w:tcPr>
                  <w:tcW w:w="459" w:type="dxa"/>
                  <w:shd w:val="clear" w:color="auto" w:fill="auto"/>
                  <w:noWrap/>
                  <w:vAlign w:val="center"/>
                </w:tcPr>
                <w:p w14:paraId="2A2660B0">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0.09</w:t>
                  </w:r>
                </w:p>
              </w:tc>
              <w:tc>
                <w:tcPr>
                  <w:tcW w:w="459" w:type="dxa"/>
                  <w:shd w:val="clear" w:color="auto" w:fill="auto"/>
                  <w:noWrap/>
                  <w:vAlign w:val="center"/>
                </w:tcPr>
                <w:p w14:paraId="4AF2BB15">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0.019</w:t>
                  </w:r>
                </w:p>
              </w:tc>
              <w:tc>
                <w:tcPr>
                  <w:tcW w:w="540" w:type="dxa"/>
                  <w:shd w:val="clear" w:color="auto" w:fill="auto"/>
                  <w:noWrap/>
                  <w:vAlign w:val="center"/>
                </w:tcPr>
                <w:p w14:paraId="1E75B638">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0.031</w:t>
                  </w:r>
                </w:p>
              </w:tc>
              <w:tc>
                <w:tcPr>
                  <w:tcW w:w="332" w:type="dxa"/>
                  <w:vMerge w:val="restart"/>
                  <w:noWrap/>
                  <w:vAlign w:val="center"/>
                </w:tcPr>
                <w:p w14:paraId="0082F9C9">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无组织</w:t>
                  </w:r>
                </w:p>
              </w:tc>
              <w:tc>
                <w:tcPr>
                  <w:tcW w:w="2962" w:type="dxa"/>
                  <w:noWrap/>
                  <w:vAlign w:val="center"/>
                </w:tcPr>
                <w:p w14:paraId="7811CB79">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eastAsia="zh-CN"/>
                    </w:rPr>
                  </w:pPr>
                  <w:r>
                    <w:rPr>
                      <w:rFonts w:hint="eastAsia" w:cs="Times New Roman"/>
                      <w:smallCaps w:val="0"/>
                      <w:color w:val="auto"/>
                      <w:spacing w:val="0"/>
                      <w:szCs w:val="21"/>
                      <w:highlight w:val="none"/>
                      <w:lang w:eastAsia="zh-CN"/>
                    </w:rPr>
                    <w:t>《合成树脂工业污染物排放标准》（GB31572-2015）（含2024年修改单）表</w:t>
                  </w:r>
                  <w:r>
                    <w:rPr>
                      <w:rFonts w:hint="eastAsia" w:cs="Times New Roman"/>
                      <w:smallCaps w:val="0"/>
                      <w:color w:val="auto"/>
                      <w:spacing w:val="0"/>
                      <w:szCs w:val="21"/>
                      <w:highlight w:val="none"/>
                      <w:lang w:val="en-US" w:eastAsia="zh-CN"/>
                    </w:rPr>
                    <w:t>9</w:t>
                  </w:r>
                  <w:r>
                    <w:rPr>
                      <w:rFonts w:hint="eastAsia" w:cs="Times New Roman"/>
                      <w:smallCaps w:val="0"/>
                      <w:color w:val="auto"/>
                      <w:spacing w:val="0"/>
                      <w:szCs w:val="21"/>
                      <w:highlight w:val="none"/>
                      <w:lang w:eastAsia="zh-CN"/>
                    </w:rPr>
                    <w:t>标准</w:t>
                  </w:r>
                </w:p>
              </w:tc>
              <w:tc>
                <w:tcPr>
                  <w:tcW w:w="234" w:type="dxa"/>
                  <w:vMerge w:val="restart"/>
                  <w:noWrap/>
                  <w:vAlign w:val="center"/>
                </w:tcPr>
                <w:p w14:paraId="7F392AFD">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314" w:type="dxa"/>
                  <w:vMerge w:val="restart"/>
                  <w:noWrap/>
                  <w:vAlign w:val="center"/>
                </w:tcPr>
                <w:p w14:paraId="14153892">
                  <w:pPr>
                    <w:keepNext w:val="0"/>
                    <w:keepLines w:val="0"/>
                    <w:suppressLineNumbers w:val="0"/>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414" w:type="dxa"/>
                  <w:vMerge w:val="restart"/>
                  <w:noWrap/>
                  <w:vAlign w:val="center"/>
                </w:tcPr>
                <w:p w14:paraId="0A924981">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lang w:val="en-US" w:eastAsia="zh-CN"/>
                    </w:rPr>
                    <w:t>-</w:t>
                  </w:r>
                </w:p>
              </w:tc>
              <w:tc>
                <w:tcPr>
                  <w:tcW w:w="597" w:type="dxa"/>
                  <w:vMerge w:val="restart"/>
                  <w:noWrap/>
                  <w:vAlign w:val="center"/>
                </w:tcPr>
                <w:p w14:paraId="7A6A9DD7">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lang w:val="en-US" w:eastAsia="zh-CN"/>
                    </w:rPr>
                    <w:t>-</w:t>
                  </w:r>
                </w:p>
              </w:tc>
              <w:tc>
                <w:tcPr>
                  <w:tcW w:w="766" w:type="dxa"/>
                  <w:vMerge w:val="restart"/>
                  <w:noWrap/>
                  <w:vAlign w:val="center"/>
                </w:tcPr>
                <w:p w14:paraId="51626673">
                  <w:pPr>
                    <w:keepNext w:val="0"/>
                    <w:keepLines w:val="0"/>
                    <w:suppressLineNumbers w:val="0"/>
                    <w:autoSpaceDE w:val="0"/>
                    <w:autoSpaceDN w:val="0"/>
                    <w:adjustRightInd w:val="0"/>
                    <w:spacing w:before="0" w:beforeAutospacing="0" w:after="0" w:afterAutospacing="0" w:line="320" w:lineRule="exact"/>
                    <w:ind w:left="0" w:right="0"/>
                    <w:jc w:val="center"/>
                    <w:rPr>
                      <w:rFonts w:hint="default"/>
                      <w:snapToGrid w:val="0"/>
                      <w:color w:val="auto"/>
                      <w:szCs w:val="21"/>
                      <w:highlight w:val="none"/>
                    </w:rPr>
                  </w:pPr>
                  <w:r>
                    <w:rPr>
                      <w:rFonts w:hint="eastAsia"/>
                      <w:bCs/>
                      <w:color w:val="auto"/>
                      <w:szCs w:val="21"/>
                      <w:highlight w:val="none"/>
                      <w:lang w:val="en-US" w:eastAsia="zh-CN"/>
                    </w:rPr>
                    <w:t>-</w:t>
                  </w:r>
                </w:p>
              </w:tc>
              <w:tc>
                <w:tcPr>
                  <w:tcW w:w="1214" w:type="dxa"/>
                  <w:vMerge w:val="restart"/>
                  <w:noWrap/>
                  <w:vAlign w:val="center"/>
                </w:tcPr>
                <w:p w14:paraId="7A6FB9EA">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r>
            <w:tr w14:paraId="4362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762" w:type="dxa"/>
                  <w:vMerge w:val="continue"/>
                  <w:noWrap/>
                  <w:vAlign w:val="center"/>
                </w:tcPr>
                <w:p w14:paraId="3D8536AE">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val="en-US" w:eastAsia="zh-CN"/>
                    </w:rPr>
                  </w:pPr>
                </w:p>
              </w:tc>
              <w:tc>
                <w:tcPr>
                  <w:tcW w:w="423" w:type="dxa"/>
                  <w:noWrap/>
                  <w:vAlign w:val="center"/>
                </w:tcPr>
                <w:p w14:paraId="36939453">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氨</w:t>
                  </w:r>
                </w:p>
              </w:tc>
              <w:tc>
                <w:tcPr>
                  <w:tcW w:w="459" w:type="dxa"/>
                  <w:noWrap/>
                  <w:vAlign w:val="center"/>
                </w:tcPr>
                <w:p w14:paraId="2E5F1E5F">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eastAsia="宋体"/>
                      <w:bCs/>
                      <w:color w:val="auto"/>
                      <w:szCs w:val="21"/>
                      <w:highlight w:val="none"/>
                      <w:lang w:val="en-US" w:eastAsia="zh-CN"/>
                    </w:rPr>
                  </w:pPr>
                  <w:r>
                    <w:rPr>
                      <w:rFonts w:hint="eastAsia"/>
                      <w:bCs/>
                      <w:color w:val="auto"/>
                      <w:szCs w:val="21"/>
                      <w:highlight w:val="none"/>
                      <w:lang w:val="en-US" w:eastAsia="zh-CN"/>
                    </w:rPr>
                    <w:t>0.104</w:t>
                  </w:r>
                </w:p>
              </w:tc>
              <w:tc>
                <w:tcPr>
                  <w:tcW w:w="496" w:type="dxa"/>
                  <w:vMerge w:val="continue"/>
                  <w:noWrap/>
                  <w:vAlign w:val="center"/>
                </w:tcPr>
                <w:p w14:paraId="76810952">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shd w:val="clear" w:color="auto" w:fill="auto"/>
                  <w:noWrap/>
                  <w:vAlign w:val="center"/>
                </w:tcPr>
                <w:p w14:paraId="4EA919AE">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463" w:type="dxa"/>
                  <w:shd w:val="clear" w:color="auto" w:fill="auto"/>
                  <w:noWrap/>
                  <w:vAlign w:val="center"/>
                </w:tcPr>
                <w:p w14:paraId="61BF288F">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463" w:type="dxa"/>
                  <w:shd w:val="clear" w:color="auto" w:fill="auto"/>
                  <w:noWrap/>
                  <w:vAlign w:val="center"/>
                </w:tcPr>
                <w:p w14:paraId="55EF1048">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540" w:type="dxa"/>
                  <w:shd w:val="clear" w:color="auto" w:fill="auto"/>
                  <w:noWrap/>
                  <w:vAlign w:val="center"/>
                </w:tcPr>
                <w:p w14:paraId="039257DE">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508" w:type="dxa"/>
                  <w:shd w:val="clear" w:color="auto" w:fill="auto"/>
                  <w:noWrap/>
                  <w:vAlign w:val="center"/>
                </w:tcPr>
                <w:p w14:paraId="7264E340">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375" w:type="dxa"/>
                  <w:shd w:val="clear" w:color="auto" w:fill="auto"/>
                  <w:noWrap/>
                  <w:vAlign w:val="center"/>
                </w:tcPr>
                <w:p w14:paraId="34B24385">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w:t>
                  </w:r>
                </w:p>
              </w:tc>
              <w:tc>
                <w:tcPr>
                  <w:tcW w:w="573" w:type="dxa"/>
                  <w:vMerge w:val="continue"/>
                  <w:shd w:val="clear" w:color="auto" w:fill="auto"/>
                  <w:noWrap/>
                  <w:vAlign w:val="center"/>
                </w:tcPr>
                <w:p w14:paraId="0A6BB9F7">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p>
              </w:tc>
              <w:tc>
                <w:tcPr>
                  <w:tcW w:w="459" w:type="dxa"/>
                  <w:shd w:val="clear" w:color="auto" w:fill="auto"/>
                  <w:noWrap/>
                  <w:vAlign w:val="center"/>
                </w:tcPr>
                <w:p w14:paraId="007DDBBF">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0.104</w:t>
                  </w:r>
                </w:p>
              </w:tc>
              <w:tc>
                <w:tcPr>
                  <w:tcW w:w="459" w:type="dxa"/>
                  <w:shd w:val="clear" w:color="auto" w:fill="auto"/>
                  <w:noWrap/>
                  <w:vAlign w:val="center"/>
                </w:tcPr>
                <w:p w14:paraId="7AB1BA19">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0.022</w:t>
                  </w:r>
                </w:p>
              </w:tc>
              <w:tc>
                <w:tcPr>
                  <w:tcW w:w="540" w:type="dxa"/>
                  <w:shd w:val="clear" w:color="auto" w:fill="auto"/>
                  <w:noWrap/>
                  <w:vAlign w:val="center"/>
                </w:tcPr>
                <w:p w14:paraId="5904DB7C">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0.036</w:t>
                  </w:r>
                </w:p>
              </w:tc>
              <w:tc>
                <w:tcPr>
                  <w:tcW w:w="332" w:type="dxa"/>
                  <w:vMerge w:val="continue"/>
                  <w:noWrap/>
                  <w:vAlign w:val="center"/>
                </w:tcPr>
                <w:p w14:paraId="68F08712">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p>
              </w:tc>
              <w:tc>
                <w:tcPr>
                  <w:tcW w:w="2962" w:type="dxa"/>
                  <w:noWrap/>
                  <w:vAlign w:val="center"/>
                </w:tcPr>
                <w:p w14:paraId="6E0347AF">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《恶臭污染物排放标准》（GB14554-93）表1二级新扩改建标准</w:t>
                  </w:r>
                </w:p>
              </w:tc>
              <w:tc>
                <w:tcPr>
                  <w:tcW w:w="234" w:type="dxa"/>
                  <w:vMerge w:val="continue"/>
                  <w:noWrap/>
                  <w:vAlign w:val="center"/>
                </w:tcPr>
                <w:p w14:paraId="1B754C11">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1E7FB5F6">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07435CCA">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7221D906">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766" w:type="dxa"/>
                  <w:vMerge w:val="continue"/>
                  <w:noWrap/>
                  <w:vAlign w:val="center"/>
                </w:tcPr>
                <w:p w14:paraId="696AA4EF">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1214" w:type="dxa"/>
                  <w:vMerge w:val="continue"/>
                  <w:noWrap/>
                  <w:vAlign w:val="center"/>
                </w:tcPr>
                <w:p w14:paraId="713C67BB">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r w14:paraId="0E5F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762" w:type="dxa"/>
                  <w:vMerge w:val="continue"/>
                  <w:noWrap/>
                  <w:vAlign w:val="center"/>
                </w:tcPr>
                <w:p w14:paraId="7899D2B4">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val="en-US" w:eastAsia="zh-CN"/>
                    </w:rPr>
                  </w:pPr>
                </w:p>
              </w:tc>
              <w:tc>
                <w:tcPr>
                  <w:tcW w:w="423" w:type="dxa"/>
                  <w:noWrap/>
                  <w:vAlign w:val="center"/>
                </w:tcPr>
                <w:p w14:paraId="1CE481D2">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臭气浓度</w:t>
                  </w:r>
                </w:p>
              </w:tc>
              <w:tc>
                <w:tcPr>
                  <w:tcW w:w="459" w:type="dxa"/>
                  <w:noWrap/>
                  <w:vAlign w:val="center"/>
                </w:tcPr>
                <w:p w14:paraId="782C7BDE">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496" w:type="dxa"/>
                  <w:vMerge w:val="continue"/>
                  <w:noWrap/>
                  <w:vAlign w:val="center"/>
                </w:tcPr>
                <w:p w14:paraId="6BEF5EEA">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shd w:val="clear" w:color="auto" w:fill="auto"/>
                  <w:noWrap/>
                  <w:vAlign w:val="center"/>
                </w:tcPr>
                <w:p w14:paraId="5C07FB45">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463" w:type="dxa"/>
                  <w:shd w:val="clear" w:color="auto" w:fill="auto"/>
                  <w:noWrap/>
                  <w:vAlign w:val="center"/>
                </w:tcPr>
                <w:p w14:paraId="18823474">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463" w:type="dxa"/>
                  <w:shd w:val="clear" w:color="auto" w:fill="auto"/>
                  <w:noWrap/>
                  <w:vAlign w:val="center"/>
                </w:tcPr>
                <w:p w14:paraId="0005009D">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40" w:type="dxa"/>
                  <w:shd w:val="clear" w:color="auto" w:fill="auto"/>
                  <w:noWrap/>
                  <w:vAlign w:val="center"/>
                </w:tcPr>
                <w:p w14:paraId="5169A43F">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08" w:type="dxa"/>
                  <w:shd w:val="clear" w:color="auto" w:fill="auto"/>
                  <w:noWrap/>
                  <w:vAlign w:val="center"/>
                </w:tcPr>
                <w:p w14:paraId="4BF257A9">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375" w:type="dxa"/>
                  <w:shd w:val="clear" w:color="auto" w:fill="auto"/>
                  <w:noWrap/>
                  <w:vAlign w:val="center"/>
                </w:tcPr>
                <w:p w14:paraId="405B87FE">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73" w:type="dxa"/>
                  <w:vMerge w:val="continue"/>
                  <w:shd w:val="clear" w:color="auto" w:fill="auto"/>
                  <w:noWrap/>
                  <w:vAlign w:val="center"/>
                </w:tcPr>
                <w:p w14:paraId="1192D56F">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p>
              </w:tc>
              <w:tc>
                <w:tcPr>
                  <w:tcW w:w="459" w:type="dxa"/>
                  <w:shd w:val="clear" w:color="auto" w:fill="auto"/>
                  <w:noWrap/>
                  <w:vAlign w:val="center"/>
                </w:tcPr>
                <w:p w14:paraId="75C58C2F">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459" w:type="dxa"/>
                  <w:shd w:val="clear" w:color="auto" w:fill="auto"/>
                  <w:noWrap/>
                  <w:vAlign w:val="center"/>
                </w:tcPr>
                <w:p w14:paraId="6DDDF0F6">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540" w:type="dxa"/>
                  <w:shd w:val="clear" w:color="auto" w:fill="auto"/>
                  <w:noWrap/>
                  <w:vAlign w:val="center"/>
                </w:tcPr>
                <w:p w14:paraId="00216BEC">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15</w:t>
                  </w:r>
                </w:p>
              </w:tc>
              <w:tc>
                <w:tcPr>
                  <w:tcW w:w="332" w:type="dxa"/>
                  <w:vMerge w:val="continue"/>
                  <w:noWrap/>
                  <w:vAlign w:val="center"/>
                </w:tcPr>
                <w:p w14:paraId="68ACF568">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p>
              </w:tc>
              <w:tc>
                <w:tcPr>
                  <w:tcW w:w="2962" w:type="dxa"/>
                  <w:noWrap/>
                  <w:vAlign w:val="center"/>
                </w:tcPr>
                <w:p w14:paraId="314B430C">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《恶臭污染物排放标准》（GB14554-93）表1二级新扩改建标准</w:t>
                  </w:r>
                </w:p>
              </w:tc>
              <w:tc>
                <w:tcPr>
                  <w:tcW w:w="234" w:type="dxa"/>
                  <w:vMerge w:val="continue"/>
                  <w:noWrap/>
                  <w:vAlign w:val="center"/>
                </w:tcPr>
                <w:p w14:paraId="08FE3148">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724CF784">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68123765">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031AACB6">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766" w:type="dxa"/>
                  <w:vMerge w:val="continue"/>
                  <w:noWrap/>
                  <w:vAlign w:val="center"/>
                </w:tcPr>
                <w:p w14:paraId="07D10471">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1214" w:type="dxa"/>
                  <w:vMerge w:val="continue"/>
                  <w:noWrap/>
                  <w:vAlign w:val="center"/>
                </w:tcPr>
                <w:p w14:paraId="3C8984B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r w14:paraId="18E5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762" w:type="dxa"/>
                  <w:vMerge w:val="continue"/>
                  <w:noWrap/>
                  <w:vAlign w:val="center"/>
                </w:tcPr>
                <w:p w14:paraId="3DF441D1">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default" w:ascii="Times New Roman" w:hAnsi="Times New Roman" w:cs="Times New Roman"/>
                      <w:bCs/>
                      <w:color w:val="auto"/>
                      <w:sz w:val="21"/>
                      <w:szCs w:val="21"/>
                      <w:highlight w:val="none"/>
                      <w:lang w:val="en-US" w:eastAsia="zh-CN"/>
                    </w:rPr>
                  </w:pPr>
                </w:p>
              </w:tc>
              <w:tc>
                <w:tcPr>
                  <w:tcW w:w="423" w:type="dxa"/>
                  <w:noWrap/>
                  <w:vAlign w:val="center"/>
                </w:tcPr>
                <w:p w14:paraId="7B834C99">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非甲烷总烃</w:t>
                  </w:r>
                </w:p>
              </w:tc>
              <w:tc>
                <w:tcPr>
                  <w:tcW w:w="459" w:type="dxa"/>
                  <w:noWrap/>
                  <w:vAlign w:val="center"/>
                </w:tcPr>
                <w:p w14:paraId="75B235F8">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bCs/>
                      <w:color w:val="auto"/>
                      <w:szCs w:val="21"/>
                      <w:highlight w:val="none"/>
                      <w:lang w:val="en-US" w:eastAsia="zh-CN"/>
                    </w:rPr>
                  </w:pPr>
                  <w:r>
                    <w:rPr>
                      <w:rFonts w:hint="eastAsia"/>
                      <w:bCs/>
                      <w:color w:val="auto"/>
                      <w:szCs w:val="21"/>
                      <w:highlight w:val="none"/>
                      <w:lang w:val="en-US" w:eastAsia="zh-CN"/>
                    </w:rPr>
                    <w:t>0.127</w:t>
                  </w:r>
                </w:p>
              </w:tc>
              <w:tc>
                <w:tcPr>
                  <w:tcW w:w="496" w:type="dxa"/>
                  <w:vMerge w:val="continue"/>
                  <w:noWrap/>
                  <w:vAlign w:val="center"/>
                </w:tcPr>
                <w:p w14:paraId="50FCF00C">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75" w:type="dxa"/>
                  <w:shd w:val="clear" w:color="auto" w:fill="auto"/>
                  <w:noWrap/>
                  <w:vAlign w:val="center"/>
                </w:tcPr>
                <w:p w14:paraId="3A1AD096">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463" w:type="dxa"/>
                  <w:shd w:val="clear" w:color="auto" w:fill="auto"/>
                  <w:noWrap/>
                  <w:vAlign w:val="center"/>
                </w:tcPr>
                <w:p w14:paraId="145897B6">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463" w:type="dxa"/>
                  <w:shd w:val="clear" w:color="auto" w:fill="auto"/>
                  <w:noWrap/>
                  <w:vAlign w:val="center"/>
                </w:tcPr>
                <w:p w14:paraId="79F8D93F">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40" w:type="dxa"/>
                  <w:shd w:val="clear" w:color="auto" w:fill="auto"/>
                  <w:noWrap/>
                  <w:vAlign w:val="center"/>
                </w:tcPr>
                <w:p w14:paraId="141A7640">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08" w:type="dxa"/>
                  <w:shd w:val="clear" w:color="auto" w:fill="auto"/>
                  <w:noWrap/>
                  <w:vAlign w:val="center"/>
                </w:tcPr>
                <w:p w14:paraId="2E46E560">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375" w:type="dxa"/>
                  <w:shd w:val="clear" w:color="auto" w:fill="auto"/>
                  <w:noWrap/>
                  <w:vAlign w:val="center"/>
                </w:tcPr>
                <w:p w14:paraId="284A575B">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w:t>
                  </w:r>
                </w:p>
              </w:tc>
              <w:tc>
                <w:tcPr>
                  <w:tcW w:w="573" w:type="dxa"/>
                  <w:vMerge w:val="continue"/>
                  <w:shd w:val="clear" w:color="auto" w:fill="auto"/>
                  <w:noWrap/>
                  <w:vAlign w:val="center"/>
                </w:tcPr>
                <w:p w14:paraId="4EFDF0C3">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bCs/>
                      <w:color w:val="auto"/>
                      <w:szCs w:val="21"/>
                      <w:highlight w:val="none"/>
                      <w:lang w:val="en-US" w:eastAsia="zh-CN"/>
                    </w:rPr>
                  </w:pPr>
                </w:p>
              </w:tc>
              <w:tc>
                <w:tcPr>
                  <w:tcW w:w="459" w:type="dxa"/>
                  <w:shd w:val="clear" w:color="auto" w:fill="auto"/>
                  <w:noWrap/>
                  <w:vAlign w:val="center"/>
                </w:tcPr>
                <w:p w14:paraId="1027F249">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0.127</w:t>
                  </w:r>
                </w:p>
              </w:tc>
              <w:tc>
                <w:tcPr>
                  <w:tcW w:w="459" w:type="dxa"/>
                  <w:shd w:val="clear" w:color="auto" w:fill="auto"/>
                  <w:noWrap/>
                  <w:vAlign w:val="center"/>
                </w:tcPr>
                <w:p w14:paraId="76F3635A">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0.026</w:t>
                  </w:r>
                </w:p>
              </w:tc>
              <w:tc>
                <w:tcPr>
                  <w:tcW w:w="540" w:type="dxa"/>
                  <w:shd w:val="clear" w:color="auto" w:fill="auto"/>
                  <w:noWrap/>
                  <w:vAlign w:val="center"/>
                </w:tcPr>
                <w:p w14:paraId="0B5AD097">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r>
                    <w:rPr>
                      <w:rFonts w:hint="eastAsia"/>
                      <w:bCs/>
                      <w:color w:val="auto"/>
                      <w:szCs w:val="21"/>
                      <w:highlight w:val="none"/>
                      <w:lang w:val="en-US" w:eastAsia="zh-CN"/>
                    </w:rPr>
                    <w:t>0.043</w:t>
                  </w:r>
                </w:p>
              </w:tc>
              <w:tc>
                <w:tcPr>
                  <w:tcW w:w="332" w:type="dxa"/>
                  <w:vMerge w:val="continue"/>
                  <w:noWrap/>
                  <w:vAlign w:val="center"/>
                </w:tcPr>
                <w:p w14:paraId="1A28A641">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p>
              </w:tc>
              <w:tc>
                <w:tcPr>
                  <w:tcW w:w="2962" w:type="dxa"/>
                  <w:noWrap/>
                  <w:vAlign w:val="center"/>
                </w:tcPr>
                <w:p w14:paraId="139FB711">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《工业企业挥发性有机物排放控制标准》（DB13/2322-2016）表2标准</w:t>
                  </w:r>
                </w:p>
              </w:tc>
              <w:tc>
                <w:tcPr>
                  <w:tcW w:w="234" w:type="dxa"/>
                  <w:vMerge w:val="continue"/>
                  <w:noWrap/>
                  <w:vAlign w:val="center"/>
                </w:tcPr>
                <w:p w14:paraId="2F45A391">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314" w:type="dxa"/>
                  <w:vMerge w:val="continue"/>
                  <w:noWrap/>
                  <w:vAlign w:val="center"/>
                </w:tcPr>
                <w:p w14:paraId="18DF5B2F">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414" w:type="dxa"/>
                  <w:vMerge w:val="continue"/>
                  <w:noWrap/>
                  <w:vAlign w:val="center"/>
                </w:tcPr>
                <w:p w14:paraId="08B8B0D7">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597" w:type="dxa"/>
                  <w:vMerge w:val="continue"/>
                  <w:noWrap/>
                  <w:vAlign w:val="center"/>
                </w:tcPr>
                <w:p w14:paraId="66F2E7B9">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766" w:type="dxa"/>
                  <w:vMerge w:val="continue"/>
                  <w:noWrap/>
                  <w:vAlign w:val="center"/>
                </w:tcPr>
                <w:p w14:paraId="7750A245">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val="en-US" w:eastAsia="zh-CN"/>
                    </w:rPr>
                  </w:pPr>
                </w:p>
              </w:tc>
              <w:tc>
                <w:tcPr>
                  <w:tcW w:w="1214" w:type="dxa"/>
                  <w:vMerge w:val="continue"/>
                  <w:noWrap/>
                  <w:vAlign w:val="center"/>
                </w:tcPr>
                <w:p w14:paraId="78797FC9">
                  <w:pPr>
                    <w:keepNext w:val="0"/>
                    <w:keepLines w:val="0"/>
                    <w:suppressLineNumbers w:val="0"/>
                    <w:tabs>
                      <w:tab w:val="left" w:pos="360"/>
                    </w:tabs>
                    <w:autoSpaceDE w:val="0"/>
                    <w:autoSpaceDN w:val="0"/>
                    <w:adjustRightInd w:val="0"/>
                    <w:spacing w:before="0" w:beforeAutospacing="0" w:after="0" w:afterAutospacing="0" w:line="320" w:lineRule="exact"/>
                    <w:ind w:left="0" w:right="0"/>
                    <w:jc w:val="center"/>
                    <w:rPr>
                      <w:rFonts w:hint="default"/>
                      <w:bCs/>
                      <w:color w:val="auto"/>
                      <w:szCs w:val="21"/>
                      <w:highlight w:val="none"/>
                    </w:rPr>
                  </w:pPr>
                </w:p>
              </w:tc>
            </w:tr>
          </w:tbl>
          <w:p w14:paraId="1EC6064A">
            <w:pPr>
              <w:keepNext w:val="0"/>
              <w:keepLines w:val="0"/>
              <w:suppressLineNumbers w:val="0"/>
              <w:spacing w:before="0" w:beforeAutospacing="0" w:after="0" w:afterAutospacing="0"/>
              <w:ind w:left="0" w:right="0"/>
              <w:rPr>
                <w:rFonts w:hint="eastAsia" w:cs="Times New Roman"/>
                <w:bCs/>
                <w:smallCaps w:val="0"/>
                <w:color w:val="auto"/>
                <w:spacing w:val="0"/>
                <w:sz w:val="24"/>
                <w:szCs w:val="21"/>
                <w:highlight w:val="none"/>
                <w:vertAlign w:val="baseline"/>
                <w:lang w:eastAsia="zh-CN"/>
              </w:rPr>
            </w:pPr>
          </w:p>
          <w:p w14:paraId="7527A0B0">
            <w:pPr>
              <w:keepNext w:val="0"/>
              <w:keepLines w:val="0"/>
              <w:suppressLineNumbers w:val="0"/>
              <w:spacing w:before="0" w:beforeAutospacing="0" w:after="0" w:afterAutospacing="0"/>
              <w:ind w:left="0" w:right="0"/>
              <w:rPr>
                <w:rFonts w:hint="eastAsia" w:cs="Times New Roman"/>
                <w:bCs/>
                <w:smallCaps w:val="0"/>
                <w:color w:val="auto"/>
                <w:spacing w:val="0"/>
                <w:sz w:val="24"/>
                <w:szCs w:val="21"/>
                <w:highlight w:val="none"/>
                <w:vertAlign w:val="baseline"/>
                <w:lang w:eastAsia="zh-CN"/>
              </w:rPr>
            </w:pPr>
          </w:p>
          <w:p w14:paraId="40723B9D">
            <w:pPr>
              <w:keepNext w:val="0"/>
              <w:keepLines w:val="0"/>
              <w:suppressLineNumbers w:val="0"/>
              <w:spacing w:before="0" w:beforeAutospacing="0" w:after="0" w:afterAutospacing="0"/>
              <w:ind w:left="0" w:right="0"/>
              <w:rPr>
                <w:rFonts w:hint="eastAsia" w:cs="Times New Roman"/>
                <w:bCs/>
                <w:smallCaps w:val="0"/>
                <w:color w:val="auto"/>
                <w:spacing w:val="0"/>
                <w:sz w:val="24"/>
                <w:szCs w:val="21"/>
                <w:highlight w:val="none"/>
                <w:vertAlign w:val="baseline"/>
                <w:lang w:eastAsia="zh-CN"/>
              </w:rPr>
            </w:pPr>
          </w:p>
          <w:p w14:paraId="7F74E261">
            <w:pPr>
              <w:keepNext w:val="0"/>
              <w:keepLines w:val="0"/>
              <w:suppressLineNumbers w:val="0"/>
              <w:spacing w:before="0" w:beforeAutospacing="0" w:after="0" w:afterAutospacing="0"/>
              <w:ind w:left="0" w:right="0"/>
              <w:rPr>
                <w:rFonts w:hint="eastAsia" w:cs="Times New Roman"/>
                <w:bCs/>
                <w:smallCaps w:val="0"/>
                <w:color w:val="auto"/>
                <w:spacing w:val="0"/>
                <w:sz w:val="24"/>
                <w:szCs w:val="21"/>
                <w:highlight w:val="none"/>
                <w:vertAlign w:val="baseline"/>
                <w:lang w:eastAsia="zh-CN"/>
              </w:rPr>
            </w:pPr>
          </w:p>
          <w:p w14:paraId="604ED028">
            <w:pPr>
              <w:keepNext w:val="0"/>
              <w:keepLines w:val="0"/>
              <w:suppressLineNumbers w:val="0"/>
              <w:spacing w:before="0" w:beforeAutospacing="0" w:after="0" w:afterAutospacing="0"/>
              <w:ind w:left="0" w:right="0"/>
              <w:rPr>
                <w:rFonts w:hint="eastAsia" w:cs="Times New Roman"/>
                <w:bCs/>
                <w:smallCaps w:val="0"/>
                <w:color w:val="auto"/>
                <w:spacing w:val="0"/>
                <w:sz w:val="24"/>
                <w:szCs w:val="21"/>
                <w:highlight w:val="none"/>
                <w:vertAlign w:val="baseline"/>
                <w:lang w:eastAsia="zh-CN"/>
              </w:rPr>
            </w:pPr>
          </w:p>
          <w:p w14:paraId="2BC488DC">
            <w:pPr>
              <w:keepNext w:val="0"/>
              <w:keepLines w:val="0"/>
              <w:suppressLineNumbers w:val="0"/>
              <w:spacing w:before="0" w:beforeAutospacing="0" w:after="0" w:afterAutospacing="0"/>
              <w:ind w:left="0" w:right="0"/>
              <w:rPr>
                <w:rFonts w:hint="eastAsia" w:ascii="Times New Roman" w:hAnsi="Times New Roman" w:eastAsia="宋体" w:cs="Times New Roman"/>
                <w:bCs/>
                <w:smallCaps w:val="0"/>
                <w:color w:val="auto"/>
                <w:spacing w:val="0"/>
                <w:sz w:val="24"/>
                <w:szCs w:val="21"/>
                <w:highlight w:val="none"/>
                <w:vertAlign w:val="baseline"/>
                <w:lang w:eastAsia="zh-CN"/>
              </w:rPr>
            </w:pPr>
          </w:p>
        </w:tc>
      </w:tr>
    </w:tbl>
    <w:p w14:paraId="6C085F24">
      <w:pPr>
        <w:rPr>
          <w:rFonts w:hint="default" w:ascii="Times New Roman" w:hAnsi="Times New Roman" w:eastAsia="宋体" w:cs="Times New Roman"/>
          <w:bCs/>
          <w:smallCaps w:val="0"/>
          <w:color w:val="auto"/>
          <w:spacing w:val="0"/>
          <w:sz w:val="24"/>
          <w:szCs w:val="21"/>
          <w:highlight w:val="none"/>
        </w:rPr>
      </w:pPr>
      <w:r>
        <w:rPr>
          <w:rFonts w:hint="default" w:ascii="Times New Roman" w:hAnsi="Times New Roman" w:eastAsia="宋体" w:cs="Times New Roman"/>
          <w:bCs/>
          <w:smallCaps w:val="0"/>
          <w:color w:val="auto"/>
          <w:spacing w:val="0"/>
          <w:sz w:val="24"/>
          <w:szCs w:val="21"/>
          <w:highlight w:val="none"/>
        </w:rPr>
        <w:br w:type="page"/>
      </w:r>
    </w:p>
    <w:p w14:paraId="5D8AD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sectPr>
          <w:pgSz w:w="16840" w:h="11907" w:orient="landscape"/>
          <w:pgMar w:top="1800" w:right="1440" w:bottom="1800" w:left="1440" w:header="851" w:footer="992" w:gutter="0"/>
          <w:cols w:space="720" w:num="1"/>
          <w:docGrid w:type="linesAndChars" w:linePitch="319" w:charSpace="0"/>
        </w:sectPr>
      </w:pP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068"/>
      </w:tblGrid>
      <w:tr w14:paraId="6337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8" w:hRule="atLeast"/>
        </w:trPr>
        <w:tc>
          <w:tcPr>
            <w:tcW w:w="267" w:type="pct"/>
            <w:vAlign w:val="center"/>
          </w:tcPr>
          <w:p w14:paraId="146985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mallCaps w:val="0"/>
                <w:color w:val="auto"/>
                <w:spacing w:val="0"/>
                <w:sz w:val="24"/>
                <w:szCs w:val="21"/>
                <w:highlight w:val="none"/>
              </w:rPr>
            </w:pPr>
          </w:p>
        </w:tc>
        <w:tc>
          <w:tcPr>
            <w:tcW w:w="4732" w:type="pct"/>
            <w:vAlign w:val="top"/>
          </w:tcPr>
          <w:p w14:paraId="215E655A">
            <w:pPr>
              <w:keepNext w:val="0"/>
              <w:keepLines w:val="0"/>
              <w:widowControl/>
              <w:suppressLineNumbers w:val="0"/>
              <w:autoSpaceDE w:val="0"/>
              <w:spacing w:before="0" w:beforeAutospacing="0" w:after="0" w:afterAutospacing="0" w:line="440" w:lineRule="exact"/>
              <w:ind w:left="0" w:right="0" w:firstLine="480" w:firstLineChars="200"/>
              <w:jc w:val="left"/>
              <w:rPr>
                <w:rFonts w:hint="default"/>
                <w:b/>
                <w:bCs/>
                <w:color w:val="auto"/>
                <w:kern w:val="0"/>
                <w:sz w:val="24"/>
                <w:szCs w:val="24"/>
                <w:highlight w:val="none"/>
              </w:rPr>
            </w:pPr>
            <w:r>
              <w:rPr>
                <w:rFonts w:hint="default"/>
                <w:b/>
                <w:bCs/>
                <w:color w:val="auto"/>
                <w:kern w:val="0"/>
                <w:sz w:val="24"/>
                <w:szCs w:val="24"/>
                <w:highlight w:val="none"/>
              </w:rPr>
              <w:t>（2）非正常工况</w:t>
            </w:r>
          </w:p>
          <w:p w14:paraId="303BB405">
            <w:pPr>
              <w:keepNext w:val="0"/>
              <w:keepLines w:val="0"/>
              <w:suppressLineNumbers w:val="0"/>
              <w:autoSpaceDE w:val="0"/>
              <w:spacing w:before="0" w:beforeAutospacing="0" w:after="0" w:afterAutospacing="0" w:line="440" w:lineRule="exact"/>
              <w:ind w:left="0" w:right="0" w:firstLine="480" w:firstLineChars="200"/>
              <w:jc w:val="left"/>
              <w:rPr>
                <w:rFonts w:hint="default"/>
                <w:color w:val="auto"/>
                <w:sz w:val="24"/>
                <w:szCs w:val="24"/>
                <w:highlight w:val="none"/>
              </w:rPr>
            </w:pPr>
            <w:r>
              <w:rPr>
                <w:rFonts w:hint="default"/>
                <w:color w:val="auto"/>
                <w:sz w:val="24"/>
                <w:szCs w:val="24"/>
                <w:highlight w:val="none"/>
              </w:rPr>
              <w:t>非正常生产排污包括开车、停车、检修和非正常工况的污染物排放。如有计划的开停车检修和临时性故障停车的污染物排放及工艺设备和环保设施不能正常运行时污染物的排放等。</w:t>
            </w:r>
          </w:p>
          <w:p w14:paraId="0E185C5A">
            <w:pPr>
              <w:keepNext w:val="0"/>
              <w:keepLines w:val="0"/>
              <w:suppressLineNumbers w:val="0"/>
              <w:autoSpaceDE w:val="0"/>
              <w:spacing w:before="0" w:beforeAutospacing="0" w:after="0" w:afterAutospacing="0" w:line="440" w:lineRule="exact"/>
              <w:ind w:left="0" w:right="0" w:firstLine="480" w:firstLineChars="200"/>
              <w:jc w:val="left"/>
              <w:rPr>
                <w:rFonts w:hint="default"/>
                <w:color w:val="auto"/>
                <w:sz w:val="24"/>
                <w:szCs w:val="24"/>
                <w:highlight w:val="none"/>
              </w:rPr>
            </w:pPr>
            <w:r>
              <w:rPr>
                <w:rFonts w:hint="default"/>
                <w:color w:val="auto"/>
                <w:sz w:val="24"/>
                <w:szCs w:val="24"/>
                <w:highlight w:val="none"/>
              </w:rPr>
              <w:t>在某些非正常生产工况时，污染源强会发生很大的变化，致使装置污染物产生量在短期内大幅增加。</w:t>
            </w:r>
          </w:p>
          <w:p w14:paraId="789C1EAF">
            <w:pPr>
              <w:keepNext w:val="0"/>
              <w:keepLines w:val="0"/>
              <w:suppressLineNumbers w:val="0"/>
              <w:spacing w:before="0" w:beforeAutospacing="0" w:after="0" w:afterAutospacing="0" w:line="440" w:lineRule="exact"/>
              <w:ind w:left="0" w:right="0" w:firstLine="480" w:firstLineChars="200"/>
              <w:rPr>
                <w:rFonts w:hint="default"/>
                <w:color w:val="auto"/>
                <w:sz w:val="24"/>
                <w:szCs w:val="22"/>
                <w:highlight w:val="none"/>
              </w:rPr>
            </w:pPr>
            <w:r>
              <w:rPr>
                <w:rFonts w:hint="default"/>
                <w:color w:val="auto"/>
                <w:sz w:val="24"/>
                <w:szCs w:val="22"/>
                <w:highlight w:val="none"/>
              </w:rPr>
              <w:t>1）开、停车</w:t>
            </w:r>
          </w:p>
          <w:p w14:paraId="1274FF74">
            <w:pPr>
              <w:keepNext w:val="0"/>
              <w:keepLines w:val="0"/>
              <w:suppressLineNumbers w:val="0"/>
              <w:spacing w:before="0" w:beforeAutospacing="0" w:after="0" w:afterAutospacing="0" w:line="440" w:lineRule="exact"/>
              <w:ind w:left="0" w:right="0" w:firstLine="480" w:firstLineChars="200"/>
              <w:rPr>
                <w:rFonts w:hint="eastAsia"/>
                <w:color w:val="auto"/>
                <w:sz w:val="24"/>
                <w:szCs w:val="22"/>
                <w:highlight w:val="none"/>
                <w:lang w:eastAsia="zh-CN"/>
              </w:rPr>
            </w:pPr>
            <w:r>
              <w:rPr>
                <w:rFonts w:hint="default"/>
                <w:color w:val="auto"/>
                <w:sz w:val="24"/>
                <w:szCs w:val="22"/>
                <w:highlight w:val="none"/>
              </w:rPr>
              <w:t>车间开工时，首先运行所有的废气处理装置，然后再开启车间的工艺设备；车间停工时，所有的废气处理装置继续运转，待工艺中的废气全部排出后才逐台关闭</w:t>
            </w:r>
            <w:r>
              <w:rPr>
                <w:rFonts w:hint="eastAsia"/>
                <w:color w:val="auto"/>
                <w:sz w:val="24"/>
                <w:szCs w:val="22"/>
                <w:highlight w:val="none"/>
                <w:lang w:eastAsia="zh-CN"/>
              </w:rPr>
              <w:t>。</w:t>
            </w:r>
          </w:p>
          <w:p w14:paraId="799F2A27">
            <w:pPr>
              <w:keepNext w:val="0"/>
              <w:keepLines w:val="0"/>
              <w:suppressLineNumbers w:val="0"/>
              <w:spacing w:before="0" w:beforeAutospacing="0" w:after="0" w:afterAutospacing="0" w:line="440" w:lineRule="exact"/>
              <w:ind w:left="0" w:right="0" w:firstLine="480" w:firstLineChars="200"/>
              <w:rPr>
                <w:rFonts w:hint="default"/>
                <w:color w:val="auto"/>
                <w:sz w:val="24"/>
                <w:szCs w:val="22"/>
                <w:highlight w:val="none"/>
              </w:rPr>
            </w:pPr>
            <w:r>
              <w:rPr>
                <w:rFonts w:hint="default"/>
                <w:color w:val="auto"/>
                <w:sz w:val="24"/>
                <w:szCs w:val="22"/>
                <w:highlight w:val="none"/>
              </w:rPr>
              <w:t>因此，车间在开、停车时排出污染物均得到有效处理，经排气筒排出的污染物浓度和正常生产时基本一致。</w:t>
            </w:r>
          </w:p>
          <w:p w14:paraId="2B018E54">
            <w:pPr>
              <w:keepNext w:val="0"/>
              <w:keepLines w:val="0"/>
              <w:suppressLineNumbers w:val="0"/>
              <w:spacing w:before="0" w:beforeAutospacing="0" w:after="0" w:afterAutospacing="0" w:line="440" w:lineRule="exact"/>
              <w:ind w:left="0" w:right="0" w:firstLine="480" w:firstLineChars="200"/>
              <w:rPr>
                <w:rFonts w:hint="default"/>
                <w:color w:val="auto"/>
                <w:sz w:val="24"/>
                <w:szCs w:val="22"/>
                <w:highlight w:val="none"/>
              </w:rPr>
            </w:pPr>
            <w:r>
              <w:rPr>
                <w:rFonts w:hint="default"/>
                <w:color w:val="auto"/>
                <w:sz w:val="24"/>
                <w:szCs w:val="22"/>
                <w:highlight w:val="none"/>
              </w:rPr>
              <w:t>2）废气处理设施故障</w:t>
            </w:r>
          </w:p>
          <w:p w14:paraId="5DB704A4">
            <w:pPr>
              <w:pStyle w:val="41"/>
              <w:keepNext w:val="0"/>
              <w:keepLines w:val="0"/>
              <w:widowControl w:val="0"/>
              <w:suppressLineNumbers w:val="0"/>
              <w:autoSpaceDE w:val="0"/>
              <w:spacing w:before="0" w:beforeAutospacing="0" w:after="0" w:afterAutospacing="0" w:line="440" w:lineRule="exact"/>
              <w:ind w:left="0" w:right="0" w:firstLine="480" w:firstLineChars="200"/>
              <w:jc w:val="both"/>
              <w:rPr>
                <w:rFonts w:hint="default" w:ascii="Times New Roman" w:hAnsi="Times New Roman" w:cs="Times New Roman"/>
                <w:color w:val="auto"/>
                <w:kern w:val="2"/>
                <w:highlight w:val="none"/>
              </w:rPr>
            </w:pPr>
            <w:r>
              <w:rPr>
                <w:rFonts w:hint="default"/>
                <w:color w:val="auto"/>
                <w:szCs w:val="22"/>
                <w:highlight w:val="none"/>
              </w:rPr>
              <w:t>废气处理设施故障主要指：</w:t>
            </w:r>
            <w:r>
              <w:rPr>
                <w:rFonts w:hint="eastAsia"/>
                <w:color w:val="auto"/>
                <w:szCs w:val="22"/>
                <w:highlight w:val="none"/>
                <w:lang w:eastAsia="zh-CN"/>
              </w:rPr>
              <w:t>布袋除尘器+两级活性炭吸附装置</w:t>
            </w:r>
            <w:r>
              <w:rPr>
                <w:rFonts w:hint="eastAsia"/>
                <w:color w:val="auto"/>
                <w:szCs w:val="22"/>
                <w:highlight w:val="none"/>
              </w:rPr>
              <w:t>装置</w:t>
            </w:r>
            <w:r>
              <w:rPr>
                <w:rFonts w:hint="default"/>
                <w:color w:val="auto"/>
                <w:szCs w:val="22"/>
                <w:highlight w:val="none"/>
              </w:rPr>
              <w:t>故障造成废气去除效率下降</w:t>
            </w:r>
            <w:r>
              <w:rPr>
                <w:rFonts w:hint="eastAsia"/>
                <w:color w:val="auto"/>
                <w:szCs w:val="22"/>
                <w:highlight w:val="none"/>
                <w:lang w:eastAsia="zh-CN"/>
              </w:rPr>
              <w:t>，</w:t>
            </w:r>
            <w:r>
              <w:rPr>
                <w:rFonts w:hint="default"/>
                <w:color w:val="auto"/>
                <w:szCs w:val="22"/>
                <w:highlight w:val="none"/>
              </w:rPr>
              <w:t>废气排放浓度增加。</w:t>
            </w:r>
            <w:r>
              <w:rPr>
                <w:rFonts w:hint="default" w:ascii="Times New Roman" w:hAnsi="Times New Roman" w:cs="Times New Roman"/>
                <w:color w:val="auto"/>
                <w:kern w:val="2"/>
                <w:highlight w:val="none"/>
              </w:rPr>
              <w:t>根据污染源污染物产生浓度核算非正常排放情况见表4-</w:t>
            </w:r>
            <w:r>
              <w:rPr>
                <w:rFonts w:hint="eastAsia" w:ascii="Times New Roman" w:hAnsi="Times New Roman" w:cs="Times New Roman"/>
                <w:color w:val="auto"/>
                <w:kern w:val="2"/>
                <w:highlight w:val="none"/>
                <w:lang w:val="en-US" w:eastAsia="zh-CN"/>
              </w:rPr>
              <w:t>2</w:t>
            </w:r>
            <w:r>
              <w:rPr>
                <w:rFonts w:hint="default" w:ascii="Times New Roman" w:hAnsi="Times New Roman" w:cs="Times New Roman"/>
                <w:color w:val="auto"/>
                <w:kern w:val="2"/>
                <w:highlight w:val="none"/>
              </w:rPr>
              <w:t>。</w:t>
            </w:r>
          </w:p>
          <w:p w14:paraId="542F282B">
            <w:pPr>
              <w:pStyle w:val="187"/>
              <w:keepNext w:val="0"/>
              <w:keepLines w:val="0"/>
              <w:suppressLineNumbers w:val="0"/>
              <w:tabs>
                <w:tab w:val="left" w:pos="6521"/>
              </w:tabs>
              <w:spacing w:before="0" w:beforeAutospacing="0" w:after="0" w:afterAutospacing="0" w:line="440" w:lineRule="exact"/>
              <w:ind w:left="0" w:right="0"/>
              <w:rPr>
                <w:rFonts w:hint="default"/>
                <w:color w:val="auto"/>
                <w:highlight w:val="none"/>
              </w:rPr>
            </w:pPr>
            <w:r>
              <w:rPr>
                <w:rFonts w:hint="default"/>
                <w:color w:val="auto"/>
                <w:highlight w:val="none"/>
              </w:rPr>
              <w:t>表4-</w:t>
            </w:r>
            <w:r>
              <w:rPr>
                <w:rFonts w:hint="eastAsia"/>
                <w:color w:val="auto"/>
                <w:highlight w:val="none"/>
                <w:lang w:val="en-US" w:eastAsia="zh-CN"/>
              </w:rPr>
              <w:t>2</w:t>
            </w:r>
            <w:r>
              <w:rPr>
                <w:rFonts w:hint="default"/>
                <w:color w:val="auto"/>
                <w:highlight w:val="none"/>
              </w:rPr>
              <w:t xml:space="preserve">    非正常排放污染排放源强一览表</w:t>
            </w:r>
          </w:p>
          <w:tbl>
            <w:tblPr>
              <w:tblStyle w:val="47"/>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942"/>
              <w:gridCol w:w="597"/>
              <w:gridCol w:w="774"/>
              <w:gridCol w:w="803"/>
              <w:gridCol w:w="440"/>
              <w:gridCol w:w="1131"/>
              <w:gridCol w:w="1131"/>
              <w:gridCol w:w="810"/>
            </w:tblGrid>
            <w:tr w14:paraId="3F49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jc w:val="center"/>
              </w:trPr>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7F5CD30E">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污染源</w:t>
                  </w:r>
                </w:p>
              </w:tc>
              <w:tc>
                <w:tcPr>
                  <w:tcW w:w="612" w:type="pct"/>
                  <w:tcBorders>
                    <w:top w:val="single" w:color="auto" w:sz="4" w:space="0"/>
                    <w:left w:val="single" w:color="auto" w:sz="4" w:space="0"/>
                    <w:bottom w:val="single" w:color="auto" w:sz="4" w:space="0"/>
                    <w:right w:val="single" w:color="auto" w:sz="4" w:space="0"/>
                  </w:tcBorders>
                  <w:shd w:val="clear" w:color="auto" w:fill="auto"/>
                  <w:vAlign w:val="center"/>
                </w:tcPr>
                <w:p w14:paraId="27C8BE93">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非正常工况</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35ACAE38">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污染因子</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7B9A25FE">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持续时间（h）</w:t>
                  </w:r>
                </w:p>
              </w:tc>
              <w:tc>
                <w:tcPr>
                  <w:tcW w:w="522" w:type="pct"/>
                  <w:tcBorders>
                    <w:top w:val="single" w:color="auto" w:sz="4" w:space="0"/>
                    <w:left w:val="single" w:color="auto" w:sz="4" w:space="0"/>
                    <w:bottom w:val="single" w:color="auto" w:sz="4" w:space="0"/>
                    <w:right w:val="single" w:color="auto" w:sz="4" w:space="0"/>
                  </w:tcBorders>
                  <w:shd w:val="clear" w:color="auto" w:fill="auto"/>
                  <w:vAlign w:val="center"/>
                </w:tcPr>
                <w:p w14:paraId="09389692">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废气（m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/h）</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09DC2D6D">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效率</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6A73326D">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排放量（kg/</w:t>
                  </w:r>
                  <w:r>
                    <w:rPr>
                      <w:rFonts w:hint="eastAsia" w:ascii="Times New Roman" w:hAnsi="Times New Roman" w:cs="Times New Roman"/>
                      <w:bCs/>
                      <w:color w:val="auto"/>
                      <w:sz w:val="21"/>
                      <w:szCs w:val="21"/>
                      <w:highlight w:val="none"/>
                      <w:lang w:val="en-US" w:eastAsia="zh-CN"/>
                    </w:rPr>
                    <w:t>次</w:t>
                  </w:r>
                  <w:r>
                    <w:rPr>
                      <w:rFonts w:hint="default" w:ascii="Times New Roman" w:hAnsi="Times New Roman" w:cs="Times New Roman"/>
                      <w:bCs/>
                      <w:color w:val="auto"/>
                      <w:sz w:val="21"/>
                      <w:szCs w:val="21"/>
                      <w:highlight w:val="none"/>
                    </w:rPr>
                    <w:t>）</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14D4F432">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排放浓度（mg/m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14:paraId="24A4F6EA">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发生频次</w:t>
                  </w:r>
                </w:p>
              </w:tc>
            </w:tr>
            <w:tr w14:paraId="0FD6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0" w:type="pct"/>
                  <w:vMerge w:val="restart"/>
                  <w:tcBorders>
                    <w:top w:val="single" w:color="auto" w:sz="4" w:space="0"/>
                    <w:left w:val="single" w:color="auto" w:sz="4" w:space="0"/>
                    <w:right w:val="single" w:color="auto" w:sz="4" w:space="0"/>
                  </w:tcBorders>
                  <w:shd w:val="clear" w:color="auto" w:fill="auto"/>
                  <w:vAlign w:val="center"/>
                </w:tcPr>
                <w:p w14:paraId="01F62F5F">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bCs/>
                      <w:color w:val="auto"/>
                      <w:sz w:val="21"/>
                      <w:szCs w:val="21"/>
                      <w:highlight w:val="none"/>
                      <w:lang w:eastAsia="zh-CN"/>
                    </w:rPr>
                    <w:t>拆包、投料、烘干、注塑废气</w:t>
                  </w:r>
                </w:p>
              </w:tc>
              <w:tc>
                <w:tcPr>
                  <w:tcW w:w="612" w:type="pct"/>
                  <w:vMerge w:val="restart"/>
                  <w:tcBorders>
                    <w:top w:val="single" w:color="auto" w:sz="4" w:space="0"/>
                    <w:left w:val="single" w:color="auto" w:sz="4" w:space="0"/>
                    <w:right w:val="single" w:color="auto" w:sz="4" w:space="0"/>
                  </w:tcBorders>
                  <w:shd w:val="clear" w:color="auto" w:fill="auto"/>
                  <w:vAlign w:val="center"/>
                </w:tcPr>
                <w:p w14:paraId="5092346B">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rPr>
                  </w:pPr>
                  <w:r>
                    <w:rPr>
                      <w:rFonts w:hint="eastAsia"/>
                      <w:bCs/>
                      <w:color w:val="auto"/>
                      <w:szCs w:val="21"/>
                      <w:highlight w:val="none"/>
                      <w:lang w:eastAsia="zh-CN"/>
                    </w:rPr>
                    <w:t>布袋除尘器+两级活性炭吸附装置</w:t>
                  </w:r>
                  <w:r>
                    <w:rPr>
                      <w:rFonts w:hint="eastAsia"/>
                      <w:bCs/>
                      <w:color w:val="auto"/>
                      <w:szCs w:val="21"/>
                      <w:highlight w:val="none"/>
                    </w:rPr>
                    <w:t>故障</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29FF878A">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颗粒物</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68BDF56">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1</w:t>
                  </w:r>
                </w:p>
              </w:tc>
              <w:tc>
                <w:tcPr>
                  <w:tcW w:w="522" w:type="pct"/>
                  <w:vMerge w:val="restart"/>
                  <w:tcBorders>
                    <w:top w:val="single" w:color="auto" w:sz="4" w:space="0"/>
                    <w:left w:val="single" w:color="auto" w:sz="4" w:space="0"/>
                    <w:right w:val="single" w:color="auto" w:sz="4" w:space="0"/>
                  </w:tcBorders>
                  <w:shd w:val="clear" w:color="auto" w:fill="auto"/>
                  <w:vAlign w:val="center"/>
                </w:tcPr>
                <w:p w14:paraId="6861733E">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10000</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0F5B94E0">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5EF709B5">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0.094</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73C226A3">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9.375</w:t>
                  </w: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14:paraId="1B75F080">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1次/年</w:t>
                  </w:r>
                </w:p>
              </w:tc>
            </w:tr>
            <w:tr w14:paraId="28B3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90" w:type="pct"/>
                  <w:vMerge w:val="continue"/>
                  <w:tcBorders>
                    <w:left w:val="single" w:color="auto" w:sz="4" w:space="0"/>
                    <w:right w:val="single" w:color="auto" w:sz="4" w:space="0"/>
                  </w:tcBorders>
                  <w:shd w:val="clear" w:color="auto" w:fill="auto"/>
                  <w:vAlign w:val="center"/>
                </w:tcPr>
                <w:p w14:paraId="1393AEEC">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eastAsia="zh-CN"/>
                    </w:rPr>
                  </w:pPr>
                </w:p>
              </w:tc>
              <w:tc>
                <w:tcPr>
                  <w:tcW w:w="612" w:type="pct"/>
                  <w:vMerge w:val="continue"/>
                  <w:tcBorders>
                    <w:left w:val="single" w:color="auto" w:sz="4" w:space="0"/>
                    <w:right w:val="single" w:color="auto" w:sz="4" w:space="0"/>
                  </w:tcBorders>
                  <w:shd w:val="clear" w:color="auto" w:fill="auto"/>
                  <w:vAlign w:val="center"/>
                </w:tcPr>
                <w:p w14:paraId="6EE91330">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eastAsia="zh-CN"/>
                    </w:rPr>
                  </w:pP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56B3FBA9">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氨</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2626015">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522" w:type="pct"/>
                  <w:vMerge w:val="continue"/>
                  <w:tcBorders>
                    <w:left w:val="single" w:color="auto" w:sz="4" w:space="0"/>
                    <w:right w:val="single" w:color="auto" w:sz="4" w:space="0"/>
                  </w:tcBorders>
                  <w:shd w:val="clear" w:color="auto" w:fill="auto"/>
                  <w:vAlign w:val="center"/>
                </w:tcPr>
                <w:p w14:paraId="423BB057">
                  <w:pPr>
                    <w:keepNext w:val="0"/>
                    <w:keepLines w:val="0"/>
                    <w:suppressLineNumbers w:val="0"/>
                    <w:autoSpaceDE w:val="0"/>
                    <w:autoSpaceDN w:val="0"/>
                    <w:adjustRightInd w:val="0"/>
                    <w:spacing w:before="0" w:beforeAutospacing="0" w:after="0" w:afterAutospacing="0" w:line="320" w:lineRule="exact"/>
                    <w:ind w:left="0" w:right="0"/>
                    <w:jc w:val="center"/>
                    <w:rPr>
                      <w:rFonts w:hint="default"/>
                      <w:bCs/>
                      <w:color w:val="auto"/>
                      <w:szCs w:val="21"/>
                      <w:highlight w:val="none"/>
                      <w:lang w:val="en-US" w:eastAsia="zh-CN"/>
                    </w:rPr>
                  </w:pP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14:paraId="58C3AF21">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399F8E71">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0.065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14:paraId="417765AB">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6.516</w:t>
                  </w: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14:paraId="37312179">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1次/年</w:t>
                  </w:r>
                </w:p>
              </w:tc>
            </w:tr>
            <w:tr w14:paraId="5C15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90" w:type="pct"/>
                  <w:vMerge w:val="continue"/>
                  <w:tcBorders>
                    <w:left w:val="single" w:color="auto" w:sz="4" w:space="0"/>
                    <w:right w:val="single" w:color="auto" w:sz="4" w:space="0"/>
                  </w:tcBorders>
                </w:tcPr>
                <w:p w14:paraId="410E511F">
                  <w:pPr>
                    <w:pStyle w:val="41"/>
                    <w:keepNext w:val="0"/>
                    <w:keepLines w:val="0"/>
                    <w:widowControl w:val="0"/>
                    <w:suppressLineNumbers w:val="0"/>
                    <w:topLinePunct/>
                    <w:autoSpaceDE w:val="0"/>
                    <w:autoSpaceDN w:val="0"/>
                    <w:adjustRightInd w:val="0"/>
                    <w:snapToGrid w:val="0"/>
                    <w:spacing w:before="0" w:beforeAutospacing="0" w:after="0" w:afterAutospacing="0" w:line="320" w:lineRule="exact"/>
                    <w:ind w:left="0" w:right="0"/>
                    <w:jc w:val="center"/>
                    <w:textAlignment w:val="baseline"/>
                    <w:rPr>
                      <w:rFonts w:hint="eastAsia" w:ascii="Times New Roman" w:hAnsi="Times New Roman" w:cs="Times New Roman"/>
                      <w:bCs/>
                      <w:color w:val="auto"/>
                      <w:sz w:val="21"/>
                      <w:szCs w:val="21"/>
                      <w:highlight w:val="none"/>
                      <w:lang w:eastAsia="zh-CN"/>
                    </w:rPr>
                  </w:pPr>
                </w:p>
              </w:tc>
              <w:tc>
                <w:tcPr>
                  <w:tcW w:w="612" w:type="pct"/>
                  <w:vMerge w:val="continue"/>
                  <w:tcBorders>
                    <w:left w:val="single" w:color="auto" w:sz="4" w:space="0"/>
                    <w:right w:val="single" w:color="auto" w:sz="4" w:space="0"/>
                  </w:tcBorders>
                </w:tcPr>
                <w:p w14:paraId="1FAA22B6">
                  <w:pPr>
                    <w:keepNext w:val="0"/>
                    <w:keepLines w:val="0"/>
                    <w:suppressLineNumbers w:val="0"/>
                    <w:autoSpaceDE w:val="0"/>
                    <w:autoSpaceDN w:val="0"/>
                    <w:adjustRightInd w:val="0"/>
                    <w:spacing w:before="0" w:beforeAutospacing="0" w:after="0" w:afterAutospacing="0" w:line="320" w:lineRule="exact"/>
                    <w:ind w:left="0" w:right="0"/>
                    <w:jc w:val="center"/>
                    <w:rPr>
                      <w:rFonts w:hint="eastAsia"/>
                      <w:bCs/>
                      <w:color w:val="auto"/>
                      <w:szCs w:val="21"/>
                      <w:highlight w:val="none"/>
                      <w:lang w:eastAsia="zh-CN"/>
                    </w:rPr>
                  </w:pPr>
                </w:p>
              </w:tc>
              <w:tc>
                <w:tcPr>
                  <w:tcW w:w="0" w:type="auto"/>
                  <w:shd w:val="clear" w:color="auto" w:fill="auto"/>
                  <w:vAlign w:val="center"/>
                </w:tcPr>
                <w:p w14:paraId="76A1DA68">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非甲烷总烃</w:t>
                  </w:r>
                </w:p>
              </w:tc>
              <w:tc>
                <w:tcPr>
                  <w:tcW w:w="0" w:type="auto"/>
                  <w:shd w:val="clear" w:color="auto" w:fill="auto"/>
                  <w:vAlign w:val="center"/>
                </w:tcPr>
                <w:p w14:paraId="6CBD9F0B">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522" w:type="pct"/>
                  <w:vMerge w:val="continue"/>
                  <w:tcBorders>
                    <w:left w:val="single" w:color="auto" w:sz="4" w:space="0"/>
                    <w:right w:val="single" w:color="auto" w:sz="4" w:space="0"/>
                  </w:tcBorders>
                  <w:shd w:val="clear" w:color="auto" w:fill="auto"/>
                  <w:vAlign w:val="center"/>
                </w:tcPr>
                <w:p w14:paraId="09BAFA72">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0" w:type="auto"/>
                  <w:shd w:val="clear" w:color="auto" w:fill="auto"/>
                  <w:vAlign w:val="center"/>
                </w:tcPr>
                <w:p w14:paraId="2FA5A706">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0</w:t>
                  </w:r>
                </w:p>
              </w:tc>
              <w:tc>
                <w:tcPr>
                  <w:tcW w:w="0" w:type="auto"/>
                  <w:shd w:val="clear" w:color="auto" w:fill="auto"/>
                  <w:vAlign w:val="center"/>
                </w:tcPr>
                <w:p w14:paraId="63095D6D">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0.079</w:t>
                  </w:r>
                </w:p>
              </w:tc>
              <w:tc>
                <w:tcPr>
                  <w:tcW w:w="0" w:type="auto"/>
                  <w:shd w:val="clear" w:color="auto" w:fill="auto"/>
                  <w:vAlign w:val="center"/>
                </w:tcPr>
                <w:p w14:paraId="25D78558">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7.922</w:t>
                  </w:r>
                </w:p>
              </w:tc>
              <w:tc>
                <w:tcPr>
                  <w:tcW w:w="0" w:type="auto"/>
                  <w:shd w:val="clear" w:color="auto" w:fill="auto"/>
                  <w:vAlign w:val="center"/>
                </w:tcPr>
                <w:p w14:paraId="760A2335">
                  <w:pPr>
                    <w:pStyle w:val="41"/>
                    <w:keepNext w:val="0"/>
                    <w:keepLines w:val="0"/>
                    <w:widowControl w:val="0"/>
                    <w:suppressLineNumbers w:val="0"/>
                    <w:topLinePunct/>
                    <w:autoSpaceDE w:val="0"/>
                    <w:autoSpaceDN w:val="0"/>
                    <w:adjustRightInd w:val="0"/>
                    <w:snapToGrid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1次/年</w:t>
                  </w:r>
                </w:p>
              </w:tc>
            </w:tr>
          </w:tbl>
          <w:p w14:paraId="13A074AC">
            <w:pPr>
              <w:pStyle w:val="41"/>
              <w:keepNext w:val="0"/>
              <w:keepLines w:val="0"/>
              <w:widowControl w:val="0"/>
              <w:suppressLineNumbers w:val="0"/>
              <w:autoSpaceDE w:val="0"/>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非正常排放属短时排放，在及时采取</w:t>
            </w:r>
            <w:r>
              <w:rPr>
                <w:rFonts w:hint="eastAsia" w:ascii="Times New Roman" w:hAnsi="Times New Roman" w:cs="Times New Roman"/>
                <w:color w:val="auto"/>
                <w:kern w:val="2"/>
                <w:highlight w:val="none"/>
                <w:lang w:val="en-US" w:eastAsia="zh-CN"/>
              </w:rPr>
              <w:t>立即停止设备运转的</w:t>
            </w:r>
            <w:r>
              <w:rPr>
                <w:rFonts w:hint="default" w:ascii="Times New Roman" w:hAnsi="Times New Roman" w:cs="Times New Roman"/>
                <w:color w:val="auto"/>
                <w:kern w:val="2"/>
                <w:highlight w:val="none"/>
              </w:rPr>
              <w:t>措施处置故障情况下，可减少非正常排放对环境的影响。</w:t>
            </w:r>
          </w:p>
          <w:p w14:paraId="65DD5B92">
            <w:pPr>
              <w:keepNext w:val="0"/>
              <w:keepLines w:val="0"/>
              <w:widowControl/>
              <w:suppressLineNumbers w:val="0"/>
              <w:spacing w:before="0" w:beforeAutospacing="0" w:after="0" w:afterAutospacing="0" w:line="440" w:lineRule="exact"/>
              <w:ind w:left="0" w:right="0" w:firstLine="480" w:firstLineChars="200"/>
              <w:jc w:val="left"/>
              <w:rPr>
                <w:rFonts w:hint="default"/>
                <w:b/>
                <w:bCs/>
                <w:color w:val="auto"/>
                <w:kern w:val="0"/>
                <w:sz w:val="24"/>
                <w:szCs w:val="22"/>
                <w:highlight w:val="none"/>
              </w:rPr>
            </w:pPr>
            <w:r>
              <w:rPr>
                <w:rFonts w:hint="default"/>
                <w:b/>
                <w:bCs/>
                <w:color w:val="auto"/>
                <w:kern w:val="0"/>
                <w:sz w:val="24"/>
                <w:szCs w:val="22"/>
                <w:highlight w:val="none"/>
              </w:rPr>
              <w:t>（</w:t>
            </w:r>
            <w:r>
              <w:rPr>
                <w:rFonts w:hint="eastAsia"/>
                <w:b/>
                <w:bCs/>
                <w:color w:val="auto"/>
                <w:kern w:val="0"/>
                <w:sz w:val="24"/>
                <w:szCs w:val="22"/>
                <w:highlight w:val="none"/>
              </w:rPr>
              <w:t>4</w:t>
            </w:r>
            <w:r>
              <w:rPr>
                <w:rFonts w:hint="default"/>
                <w:b/>
                <w:bCs/>
                <w:color w:val="auto"/>
                <w:kern w:val="0"/>
                <w:sz w:val="24"/>
                <w:szCs w:val="22"/>
                <w:highlight w:val="none"/>
              </w:rPr>
              <w:t>）监测计划</w:t>
            </w:r>
          </w:p>
          <w:p w14:paraId="1F119D4B">
            <w:pPr>
              <w:pStyle w:val="187"/>
              <w:keepNext w:val="0"/>
              <w:keepLines w:val="0"/>
              <w:pageBreakBefore w:val="0"/>
              <w:widowControl/>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eastAsia="宋体"/>
                <w:b w:val="0"/>
                <w:bCs/>
                <w:color w:val="auto"/>
                <w:highlight w:val="none"/>
                <w:lang w:val="en-US" w:eastAsia="zh-CN"/>
              </w:rPr>
            </w:pPr>
            <w:r>
              <w:rPr>
                <w:rFonts w:hint="eastAsia"/>
                <w:b w:val="0"/>
                <w:bCs/>
                <w:color w:val="auto"/>
                <w:sz w:val="24"/>
                <w:szCs w:val="24"/>
                <w:highlight w:val="none"/>
              </w:rPr>
              <w:t>根据</w:t>
            </w:r>
            <w:r>
              <w:rPr>
                <w:rFonts w:hint="default"/>
                <w:b w:val="0"/>
                <w:bCs/>
                <w:color w:val="auto"/>
                <w:sz w:val="24"/>
                <w:highlight w:val="none"/>
                <w:lang w:val="zh-CN"/>
              </w:rPr>
              <w:t>《</w:t>
            </w:r>
            <w:r>
              <w:rPr>
                <w:rFonts w:hint="eastAsia"/>
                <w:b w:val="0"/>
                <w:bCs/>
                <w:color w:val="auto"/>
                <w:sz w:val="24"/>
                <w:highlight w:val="none"/>
                <w:lang w:val="zh-CN"/>
              </w:rPr>
              <w:t>排污单位自行监测技术指南 橡胶和塑料制品</w:t>
            </w:r>
            <w:r>
              <w:rPr>
                <w:rFonts w:hint="default"/>
                <w:b w:val="0"/>
                <w:bCs/>
                <w:color w:val="auto"/>
                <w:sz w:val="24"/>
                <w:highlight w:val="none"/>
                <w:lang w:val="zh-CN"/>
              </w:rPr>
              <w:t>》（</w:t>
            </w:r>
            <w:r>
              <w:rPr>
                <w:rFonts w:hint="eastAsia"/>
                <w:b w:val="0"/>
                <w:bCs/>
                <w:color w:val="auto"/>
                <w:sz w:val="24"/>
                <w:highlight w:val="none"/>
                <w:lang w:val="zh-CN"/>
              </w:rPr>
              <w:t>HJ1207-2021</w:t>
            </w:r>
            <w:r>
              <w:rPr>
                <w:rFonts w:hint="default"/>
                <w:b w:val="0"/>
                <w:bCs/>
                <w:color w:val="auto"/>
                <w:sz w:val="24"/>
                <w:highlight w:val="none"/>
                <w:lang w:val="zh-CN"/>
              </w:rPr>
              <w:t>）</w:t>
            </w:r>
            <w:r>
              <w:rPr>
                <w:rFonts w:hint="eastAsia"/>
                <w:b w:val="0"/>
                <w:bCs/>
                <w:color w:val="auto"/>
                <w:sz w:val="24"/>
                <w:highlight w:val="none"/>
                <w:lang w:val="zh-CN"/>
              </w:rPr>
              <w:t>，</w:t>
            </w:r>
            <w:r>
              <w:rPr>
                <w:rFonts w:hint="eastAsia"/>
                <w:b w:val="0"/>
                <w:bCs/>
                <w:color w:val="auto"/>
                <w:sz w:val="24"/>
                <w:highlight w:val="none"/>
                <w:lang w:val="en-US" w:eastAsia="zh-CN"/>
              </w:rPr>
              <w:t>确定本项目废气监测计划。</w:t>
            </w:r>
          </w:p>
          <w:p w14:paraId="1C680343">
            <w:pPr>
              <w:pStyle w:val="187"/>
              <w:keepNext w:val="0"/>
              <w:keepLines w:val="0"/>
              <w:suppressLineNumbers w:val="0"/>
              <w:tabs>
                <w:tab w:val="left" w:pos="6521"/>
              </w:tabs>
              <w:spacing w:before="0" w:beforeAutospacing="0" w:after="0" w:afterAutospacing="0" w:line="440" w:lineRule="exact"/>
              <w:ind w:left="0" w:right="0"/>
              <w:rPr>
                <w:rFonts w:hint="default"/>
                <w:color w:val="auto"/>
                <w:highlight w:val="none"/>
              </w:rPr>
            </w:pPr>
            <w:r>
              <w:rPr>
                <w:rFonts w:hint="default"/>
                <w:color w:val="auto"/>
                <w:highlight w:val="none"/>
              </w:rPr>
              <w:t>表4-</w:t>
            </w:r>
            <w:r>
              <w:rPr>
                <w:rFonts w:hint="eastAsia"/>
                <w:color w:val="auto"/>
                <w:highlight w:val="none"/>
                <w:lang w:val="en-US" w:eastAsia="zh-CN"/>
              </w:rPr>
              <w:t>3</w:t>
            </w:r>
            <w:r>
              <w:rPr>
                <w:rFonts w:hint="default"/>
                <w:color w:val="auto"/>
                <w:highlight w:val="none"/>
              </w:rPr>
              <w:t xml:space="preserve">    废气监测计划一览表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6"/>
              <w:gridCol w:w="408"/>
              <w:gridCol w:w="1496"/>
              <w:gridCol w:w="1193"/>
              <w:gridCol w:w="887"/>
              <w:gridCol w:w="951"/>
              <w:gridCol w:w="2521"/>
            </w:tblGrid>
            <w:tr w14:paraId="4D40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246" w:type="pct"/>
                  <w:vAlign w:val="center"/>
                </w:tcPr>
                <w:p w14:paraId="4C7226AA">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序号</w:t>
                  </w:r>
                </w:p>
              </w:tc>
              <w:tc>
                <w:tcPr>
                  <w:tcW w:w="1213" w:type="pct"/>
                  <w:gridSpan w:val="2"/>
                  <w:vAlign w:val="center"/>
                </w:tcPr>
                <w:p w14:paraId="2617CFE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污染类型</w:t>
                  </w:r>
                </w:p>
              </w:tc>
              <w:tc>
                <w:tcPr>
                  <w:tcW w:w="760" w:type="pct"/>
                  <w:vAlign w:val="center"/>
                </w:tcPr>
                <w:p w14:paraId="01496541">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监测项目</w:t>
                  </w:r>
                </w:p>
              </w:tc>
              <w:tc>
                <w:tcPr>
                  <w:tcW w:w="565" w:type="pct"/>
                  <w:vAlign w:val="center"/>
                </w:tcPr>
                <w:p w14:paraId="63AD285C">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监测点位置</w:t>
                  </w:r>
                </w:p>
              </w:tc>
              <w:tc>
                <w:tcPr>
                  <w:tcW w:w="606" w:type="pct"/>
                  <w:vAlign w:val="center"/>
                </w:tcPr>
                <w:p w14:paraId="6C1A96E4">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最低监测频率</w:t>
                  </w:r>
                </w:p>
              </w:tc>
              <w:tc>
                <w:tcPr>
                  <w:tcW w:w="1607" w:type="pct"/>
                  <w:vAlign w:val="center"/>
                </w:tcPr>
                <w:p w14:paraId="0C6C50F3">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执行标准</w:t>
                  </w:r>
                </w:p>
              </w:tc>
            </w:tr>
            <w:tr w14:paraId="419B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5" w:hRule="atLeast"/>
                <w:jc w:val="center"/>
              </w:trPr>
              <w:tc>
                <w:tcPr>
                  <w:tcW w:w="246" w:type="pct"/>
                  <w:vMerge w:val="restart"/>
                  <w:vAlign w:val="center"/>
                </w:tcPr>
                <w:p w14:paraId="0D460794">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w:t>
                  </w:r>
                </w:p>
              </w:tc>
              <w:tc>
                <w:tcPr>
                  <w:tcW w:w="260" w:type="pct"/>
                  <w:vMerge w:val="restart"/>
                  <w:vAlign w:val="center"/>
                </w:tcPr>
                <w:p w14:paraId="14AB42A5">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废气</w:t>
                  </w:r>
                </w:p>
              </w:tc>
              <w:tc>
                <w:tcPr>
                  <w:tcW w:w="953" w:type="pct"/>
                  <w:vMerge w:val="restart"/>
                  <w:vAlign w:val="center"/>
                </w:tcPr>
                <w:p w14:paraId="3D93D2A8">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ascii="Times New Roman" w:hAnsi="Times New Roman" w:cs="Times New Roman"/>
                      <w:color w:val="auto"/>
                      <w:kern w:val="2"/>
                      <w:sz w:val="21"/>
                      <w:szCs w:val="21"/>
                      <w:highlight w:val="none"/>
                    </w:rPr>
                  </w:pPr>
                  <w:r>
                    <w:rPr>
                      <w:rFonts w:hint="eastAsia" w:cs="Times New Roman"/>
                      <w:smallCaps w:val="0"/>
                      <w:color w:val="auto"/>
                      <w:spacing w:val="0"/>
                      <w:highlight w:val="none"/>
                      <w:lang w:val="en-US" w:eastAsia="zh-CN"/>
                    </w:rPr>
                    <w:t>拆包、投料、烘干、注塑废气排放口</w:t>
                  </w:r>
                </w:p>
              </w:tc>
              <w:tc>
                <w:tcPr>
                  <w:tcW w:w="760" w:type="pct"/>
                  <w:shd w:val="clear" w:color="auto" w:fill="auto"/>
                  <w:vAlign w:val="center"/>
                </w:tcPr>
                <w:p w14:paraId="501EBE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非甲烷总烃</w:t>
                  </w:r>
                </w:p>
              </w:tc>
              <w:tc>
                <w:tcPr>
                  <w:tcW w:w="565" w:type="pct"/>
                  <w:vMerge w:val="restart"/>
                  <w:vAlign w:val="center"/>
                </w:tcPr>
                <w:p w14:paraId="6FA21DF7">
                  <w:pPr>
                    <w:pStyle w:val="67"/>
                    <w:keepNext w:val="0"/>
                    <w:keepLines w:val="0"/>
                    <w:suppressLineNumbers w:val="0"/>
                    <w:spacing w:before="0" w:beforeAutospacing="0" w:after="0" w:afterAutospacing="0" w:line="360" w:lineRule="exact"/>
                    <w:ind w:left="0" w:right="0"/>
                    <w:jc w:val="center"/>
                    <w:rPr>
                      <w:rFonts w:hint="default"/>
                      <w:color w:val="auto"/>
                      <w:spacing w:val="0"/>
                      <w:szCs w:val="21"/>
                      <w:highlight w:val="none"/>
                    </w:rPr>
                  </w:pPr>
                  <w:r>
                    <w:rPr>
                      <w:rFonts w:hint="default"/>
                      <w:color w:val="auto"/>
                      <w:spacing w:val="0"/>
                      <w:szCs w:val="21"/>
                      <w:highlight w:val="none"/>
                    </w:rPr>
                    <w:t>排气筒出口</w:t>
                  </w:r>
                </w:p>
              </w:tc>
              <w:tc>
                <w:tcPr>
                  <w:tcW w:w="606" w:type="pct"/>
                  <w:vAlign w:val="center"/>
                </w:tcPr>
                <w:p w14:paraId="51CDE20F">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olor w:val="auto"/>
                      <w:kern w:val="0"/>
                      <w:szCs w:val="21"/>
                      <w:highlight w:val="none"/>
                    </w:rPr>
                  </w:pPr>
                  <w:r>
                    <w:rPr>
                      <w:rFonts w:hint="eastAsia" w:cs="Times New Roman"/>
                      <w:smallCaps w:val="0"/>
                      <w:color w:val="auto"/>
                      <w:spacing w:val="0"/>
                      <w:highlight w:val="none"/>
                      <w:lang w:val="en-US" w:eastAsia="zh-CN"/>
                    </w:rPr>
                    <w:t>1次/半年</w:t>
                  </w:r>
                </w:p>
              </w:tc>
              <w:tc>
                <w:tcPr>
                  <w:tcW w:w="1607" w:type="pct"/>
                  <w:shd w:val="clear" w:color="auto" w:fill="auto"/>
                  <w:vAlign w:val="center"/>
                </w:tcPr>
                <w:p w14:paraId="0C722C5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cs="Times New Roman"/>
                      <w:smallCaps w:val="0"/>
                      <w:color w:val="auto"/>
                      <w:spacing w:val="0"/>
                      <w:szCs w:val="21"/>
                      <w:highlight w:val="none"/>
                      <w:lang w:val="en-US" w:eastAsia="zh-CN"/>
                    </w:rPr>
                    <w:t>《工业企业挥发性有机物排放控制标准》（DB13/2322-2025）表1（塑料制品制造）标准</w:t>
                  </w:r>
                </w:p>
              </w:tc>
            </w:tr>
            <w:tr w14:paraId="277F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46" w:type="pct"/>
                  <w:vMerge w:val="continue"/>
                  <w:vAlign w:val="center"/>
                </w:tcPr>
                <w:p w14:paraId="5CE3FC56">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260" w:type="pct"/>
                  <w:vMerge w:val="continue"/>
                  <w:vAlign w:val="center"/>
                </w:tcPr>
                <w:p w14:paraId="53848C20">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953" w:type="pct"/>
                  <w:vMerge w:val="continue"/>
                  <w:vAlign w:val="center"/>
                </w:tcPr>
                <w:p w14:paraId="7C8B72A1">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760" w:type="pct"/>
                  <w:shd w:val="clear" w:color="auto" w:fill="auto"/>
                  <w:vAlign w:val="center"/>
                </w:tcPr>
                <w:p w14:paraId="530B59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565" w:type="pct"/>
                  <w:vMerge w:val="continue"/>
                  <w:vAlign w:val="center"/>
                </w:tcPr>
                <w:p w14:paraId="3E576212">
                  <w:pPr>
                    <w:pStyle w:val="67"/>
                    <w:keepNext w:val="0"/>
                    <w:keepLines w:val="0"/>
                    <w:suppressLineNumbers w:val="0"/>
                    <w:spacing w:before="0" w:beforeAutospacing="0" w:after="0" w:afterAutospacing="0" w:line="360" w:lineRule="exact"/>
                    <w:ind w:left="0" w:right="0"/>
                    <w:jc w:val="center"/>
                    <w:rPr>
                      <w:rFonts w:hint="default"/>
                      <w:color w:val="auto"/>
                      <w:spacing w:val="0"/>
                      <w:szCs w:val="21"/>
                      <w:highlight w:val="none"/>
                    </w:rPr>
                  </w:pPr>
                </w:p>
              </w:tc>
              <w:tc>
                <w:tcPr>
                  <w:tcW w:w="606" w:type="pct"/>
                  <w:vAlign w:val="center"/>
                </w:tcPr>
                <w:p w14:paraId="41C43660">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1次/年</w:t>
                  </w:r>
                </w:p>
              </w:tc>
              <w:tc>
                <w:tcPr>
                  <w:tcW w:w="1607" w:type="pct"/>
                  <w:vMerge w:val="restart"/>
                  <w:shd w:val="clear" w:color="auto" w:fill="auto"/>
                  <w:vAlign w:val="center"/>
                </w:tcPr>
                <w:p w14:paraId="0D75CDFE">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《合成树脂工业污染物排放标准》（GB31572-2015）（含2024年修改单）表5标准</w:t>
                  </w:r>
                </w:p>
              </w:tc>
            </w:tr>
            <w:tr w14:paraId="7FF8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46" w:type="pct"/>
                  <w:vMerge w:val="continue"/>
                  <w:vAlign w:val="center"/>
                </w:tcPr>
                <w:p w14:paraId="4E019C39">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260" w:type="pct"/>
                  <w:vMerge w:val="continue"/>
                  <w:vAlign w:val="center"/>
                </w:tcPr>
                <w:p w14:paraId="0F062DFC">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953" w:type="pct"/>
                  <w:vMerge w:val="continue"/>
                  <w:vAlign w:val="center"/>
                </w:tcPr>
                <w:p w14:paraId="4C790C6C">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760" w:type="pct"/>
                  <w:shd w:val="clear" w:color="auto" w:fill="auto"/>
                  <w:vAlign w:val="center"/>
                </w:tcPr>
                <w:p w14:paraId="52C613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565" w:type="pct"/>
                  <w:vMerge w:val="continue"/>
                  <w:vAlign w:val="center"/>
                </w:tcPr>
                <w:p w14:paraId="23708958">
                  <w:pPr>
                    <w:pStyle w:val="67"/>
                    <w:keepNext w:val="0"/>
                    <w:keepLines w:val="0"/>
                    <w:suppressLineNumbers w:val="0"/>
                    <w:spacing w:before="0" w:beforeAutospacing="0" w:after="0" w:afterAutospacing="0" w:line="360" w:lineRule="exact"/>
                    <w:ind w:left="0" w:right="0"/>
                    <w:jc w:val="center"/>
                    <w:rPr>
                      <w:rFonts w:hint="default"/>
                      <w:color w:val="auto"/>
                      <w:spacing w:val="0"/>
                      <w:szCs w:val="21"/>
                      <w:highlight w:val="none"/>
                    </w:rPr>
                  </w:pPr>
                </w:p>
              </w:tc>
              <w:tc>
                <w:tcPr>
                  <w:tcW w:w="606" w:type="pct"/>
                  <w:vAlign w:val="center"/>
                </w:tcPr>
                <w:p w14:paraId="6C1E6324">
                  <w:pPr>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次/年</w:t>
                  </w:r>
                </w:p>
              </w:tc>
              <w:tc>
                <w:tcPr>
                  <w:tcW w:w="1607" w:type="pct"/>
                  <w:vMerge w:val="continue"/>
                  <w:shd w:val="clear" w:color="auto" w:fill="auto"/>
                  <w:vAlign w:val="center"/>
                </w:tcPr>
                <w:p w14:paraId="69E34153">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p>
              </w:tc>
            </w:tr>
            <w:tr w14:paraId="3494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46" w:type="pct"/>
                  <w:vMerge w:val="continue"/>
                  <w:vAlign w:val="center"/>
                </w:tcPr>
                <w:p w14:paraId="4F0389F4">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260" w:type="pct"/>
                  <w:vMerge w:val="continue"/>
                  <w:vAlign w:val="center"/>
                </w:tcPr>
                <w:p w14:paraId="25328844">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953" w:type="pct"/>
                  <w:vMerge w:val="continue"/>
                  <w:vAlign w:val="center"/>
                </w:tcPr>
                <w:p w14:paraId="318392C4">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760" w:type="pct"/>
                  <w:vAlign w:val="center"/>
                </w:tcPr>
                <w:p w14:paraId="3A313B83">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臭气浓度</w:t>
                  </w:r>
                </w:p>
              </w:tc>
              <w:tc>
                <w:tcPr>
                  <w:tcW w:w="565" w:type="pct"/>
                  <w:vMerge w:val="continue"/>
                  <w:vAlign w:val="center"/>
                </w:tcPr>
                <w:p w14:paraId="3C66764C">
                  <w:pPr>
                    <w:pStyle w:val="67"/>
                    <w:keepNext w:val="0"/>
                    <w:keepLines w:val="0"/>
                    <w:suppressLineNumbers w:val="0"/>
                    <w:spacing w:before="0" w:beforeAutospacing="0" w:after="0" w:afterAutospacing="0" w:line="360" w:lineRule="exact"/>
                    <w:ind w:left="0" w:right="0"/>
                    <w:jc w:val="center"/>
                    <w:rPr>
                      <w:rFonts w:hint="default"/>
                      <w:color w:val="auto"/>
                      <w:spacing w:val="0"/>
                      <w:szCs w:val="21"/>
                      <w:highlight w:val="none"/>
                    </w:rPr>
                  </w:pPr>
                </w:p>
              </w:tc>
              <w:tc>
                <w:tcPr>
                  <w:tcW w:w="606" w:type="pct"/>
                  <w:vAlign w:val="center"/>
                </w:tcPr>
                <w:p w14:paraId="339BFF0F">
                  <w:pPr>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szCs w:val="20"/>
                      <w:highlight w:val="none"/>
                      <w:lang w:val="en-US" w:eastAsia="zh-CN"/>
                    </w:rPr>
                  </w:pPr>
                  <w:r>
                    <w:rPr>
                      <w:rFonts w:hint="eastAsia" w:cs="Times New Roman"/>
                      <w:smallCaps w:val="0"/>
                      <w:color w:val="auto"/>
                      <w:spacing w:val="0"/>
                      <w:szCs w:val="20"/>
                      <w:highlight w:val="none"/>
                      <w:lang w:val="en-US" w:eastAsia="zh-CN"/>
                    </w:rPr>
                    <w:t>次/年</w:t>
                  </w:r>
                </w:p>
              </w:tc>
              <w:tc>
                <w:tcPr>
                  <w:tcW w:w="1607" w:type="pct"/>
                  <w:shd w:val="clear" w:color="auto" w:fill="auto"/>
                  <w:vAlign w:val="center"/>
                </w:tcPr>
                <w:p w14:paraId="38F67592">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《恶臭污染物排放标准》（GB14554-93）表2标准</w:t>
                  </w:r>
                </w:p>
              </w:tc>
            </w:tr>
            <w:tr w14:paraId="53EF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1" w:hRule="atLeast"/>
                <w:jc w:val="center"/>
              </w:trPr>
              <w:tc>
                <w:tcPr>
                  <w:tcW w:w="246" w:type="pct"/>
                  <w:vMerge w:val="restart"/>
                  <w:vAlign w:val="center"/>
                </w:tcPr>
                <w:p w14:paraId="4EFDA0E3">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260" w:type="pct"/>
                  <w:vMerge w:val="restart"/>
                  <w:vAlign w:val="center"/>
                </w:tcPr>
                <w:p w14:paraId="79A43FA5">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废气</w:t>
                  </w:r>
                </w:p>
              </w:tc>
              <w:tc>
                <w:tcPr>
                  <w:tcW w:w="953" w:type="pct"/>
                  <w:vMerge w:val="restart"/>
                  <w:vAlign w:val="center"/>
                </w:tcPr>
                <w:p w14:paraId="3F5B1F02">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无组织</w:t>
                  </w:r>
                </w:p>
              </w:tc>
              <w:tc>
                <w:tcPr>
                  <w:tcW w:w="760" w:type="pct"/>
                  <w:shd w:val="clear" w:color="auto" w:fill="auto"/>
                  <w:vAlign w:val="center"/>
                </w:tcPr>
                <w:p w14:paraId="7AD0B8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565" w:type="pct"/>
                  <w:vMerge w:val="restart"/>
                  <w:vAlign w:val="center"/>
                </w:tcPr>
                <w:p w14:paraId="64FE3017">
                  <w:pPr>
                    <w:pStyle w:val="67"/>
                    <w:keepNext w:val="0"/>
                    <w:keepLines w:val="0"/>
                    <w:suppressLineNumbers w:val="0"/>
                    <w:spacing w:before="0" w:beforeAutospacing="0" w:after="0" w:afterAutospacing="0" w:line="360" w:lineRule="exact"/>
                    <w:ind w:left="0" w:right="0"/>
                    <w:jc w:val="center"/>
                    <w:rPr>
                      <w:rFonts w:hint="default" w:eastAsia="宋体"/>
                      <w:color w:val="auto"/>
                      <w:spacing w:val="0"/>
                      <w:szCs w:val="21"/>
                      <w:highlight w:val="none"/>
                      <w:lang w:val="en-US" w:eastAsia="zh-CN"/>
                    </w:rPr>
                  </w:pPr>
                  <w:r>
                    <w:rPr>
                      <w:rFonts w:hint="eastAsia"/>
                      <w:color w:val="auto"/>
                      <w:spacing w:val="0"/>
                      <w:szCs w:val="21"/>
                      <w:highlight w:val="none"/>
                      <w:lang w:val="en-US" w:eastAsia="zh-CN"/>
                    </w:rPr>
                    <w:t>厂界</w:t>
                  </w:r>
                </w:p>
              </w:tc>
              <w:tc>
                <w:tcPr>
                  <w:tcW w:w="606" w:type="pct"/>
                  <w:vMerge w:val="restart"/>
                  <w:shd w:val="clear" w:color="auto" w:fill="auto"/>
                  <w:vAlign w:val="center"/>
                </w:tcPr>
                <w:p w14:paraId="36674FFA">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0"/>
                      <w:sz w:val="21"/>
                      <w:szCs w:val="21"/>
                      <w:highlight w:val="none"/>
                      <w:lang w:val="en-US" w:eastAsia="zh-CN" w:bidi="ar-SA"/>
                    </w:rPr>
                  </w:pPr>
                  <w:r>
                    <w:rPr>
                      <w:rFonts w:hint="eastAsia" w:cs="Times New Roman"/>
                      <w:smallCaps w:val="0"/>
                      <w:color w:val="auto"/>
                      <w:spacing w:val="0"/>
                      <w:highlight w:val="none"/>
                      <w:lang w:val="en-US" w:eastAsia="zh-CN"/>
                    </w:rPr>
                    <w:t>1次/年</w:t>
                  </w:r>
                </w:p>
              </w:tc>
              <w:tc>
                <w:tcPr>
                  <w:tcW w:w="1607" w:type="pct"/>
                  <w:shd w:val="clear" w:color="auto" w:fill="auto"/>
                  <w:vAlign w:val="center"/>
                </w:tcPr>
                <w:p w14:paraId="6E2186E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《合成树脂工业污染物排放标准》（GB31572-2015）（含2024年修改单）表</w:t>
                  </w:r>
                  <w:r>
                    <w:rPr>
                      <w:rFonts w:hint="eastAsia" w:cs="Times New Roman"/>
                      <w:smallCaps w:val="0"/>
                      <w:color w:val="auto"/>
                      <w:spacing w:val="0"/>
                      <w:szCs w:val="21"/>
                      <w:highlight w:val="none"/>
                      <w:lang w:val="en-US" w:eastAsia="zh-CN"/>
                    </w:rPr>
                    <w:t>9</w:t>
                  </w:r>
                  <w:r>
                    <w:rPr>
                      <w:rFonts w:hint="eastAsia" w:cs="Times New Roman"/>
                      <w:smallCaps w:val="0"/>
                      <w:color w:val="auto"/>
                      <w:spacing w:val="0"/>
                      <w:szCs w:val="21"/>
                      <w:highlight w:val="none"/>
                      <w:lang w:eastAsia="zh-CN"/>
                    </w:rPr>
                    <w:t>标准</w:t>
                  </w:r>
                </w:p>
              </w:tc>
            </w:tr>
            <w:tr w14:paraId="6EB6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8" w:hRule="atLeast"/>
                <w:jc w:val="center"/>
              </w:trPr>
              <w:tc>
                <w:tcPr>
                  <w:tcW w:w="246" w:type="pct"/>
                  <w:vMerge w:val="continue"/>
                  <w:vAlign w:val="center"/>
                </w:tcPr>
                <w:p w14:paraId="431F88DE">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260" w:type="pct"/>
                  <w:vMerge w:val="continue"/>
                  <w:vAlign w:val="center"/>
                </w:tcPr>
                <w:p w14:paraId="18E2D302">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953" w:type="pct"/>
                  <w:vMerge w:val="continue"/>
                  <w:vAlign w:val="center"/>
                </w:tcPr>
                <w:p w14:paraId="2C84EF91">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760" w:type="pct"/>
                  <w:shd w:val="clear" w:color="auto" w:fill="auto"/>
                  <w:vAlign w:val="center"/>
                </w:tcPr>
                <w:p w14:paraId="0E964C5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565" w:type="pct"/>
                  <w:vMerge w:val="continue"/>
                  <w:vAlign w:val="center"/>
                </w:tcPr>
                <w:p w14:paraId="3E0DEFCA">
                  <w:pPr>
                    <w:pStyle w:val="67"/>
                    <w:keepNext w:val="0"/>
                    <w:keepLines w:val="0"/>
                    <w:suppressLineNumbers w:val="0"/>
                    <w:spacing w:before="0" w:beforeAutospacing="0" w:after="0" w:afterAutospacing="0" w:line="360" w:lineRule="exact"/>
                    <w:ind w:left="0" w:right="0"/>
                    <w:jc w:val="center"/>
                    <w:rPr>
                      <w:rFonts w:hint="eastAsia"/>
                      <w:color w:val="auto"/>
                      <w:spacing w:val="0"/>
                      <w:szCs w:val="21"/>
                      <w:highlight w:val="none"/>
                      <w:lang w:val="en-US" w:eastAsia="zh-CN"/>
                    </w:rPr>
                  </w:pPr>
                </w:p>
              </w:tc>
              <w:tc>
                <w:tcPr>
                  <w:tcW w:w="606" w:type="pct"/>
                  <w:vMerge w:val="continue"/>
                  <w:shd w:val="clear" w:color="auto" w:fill="auto"/>
                  <w:vAlign w:val="center"/>
                </w:tcPr>
                <w:p w14:paraId="40A413E2">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607" w:type="pct"/>
                  <w:shd w:val="clear" w:color="auto" w:fill="auto"/>
                  <w:vAlign w:val="center"/>
                </w:tcPr>
                <w:p w14:paraId="35B7183A">
                  <w:pPr>
                    <w:keepNext w:val="0"/>
                    <w:keepLines w:val="0"/>
                    <w:suppressLineNumbers w:val="0"/>
                    <w:adjustRightInd w:val="0"/>
                    <w:snapToGrid w:val="0"/>
                    <w:spacing w:before="0" w:beforeAutospacing="0" w:after="0" w:afterAutospacing="0"/>
                    <w:ind w:left="0" w:leftChars="0" w:right="0" w:rightChars="0"/>
                    <w:jc w:val="center"/>
                    <w:rPr>
                      <w:rFonts w:hint="default" w:cs="Times New Roman"/>
                      <w:smallCaps w:val="0"/>
                      <w:color w:val="auto"/>
                      <w:spacing w:val="0"/>
                      <w:szCs w:val="21"/>
                      <w:highlight w:val="none"/>
                      <w:lang w:val="en-US" w:eastAsia="zh-CN"/>
                    </w:rPr>
                  </w:pPr>
                  <w:r>
                    <w:rPr>
                      <w:rFonts w:hint="eastAsia" w:cs="Times New Roman"/>
                      <w:smallCaps w:val="0"/>
                      <w:color w:val="auto"/>
                      <w:spacing w:val="0"/>
                      <w:szCs w:val="21"/>
                      <w:highlight w:val="none"/>
                      <w:lang w:eastAsia="zh-CN"/>
                    </w:rPr>
                    <w:t>《恶臭污染物排放标准》（GB14554-93）表1二级新扩改建标准</w:t>
                  </w:r>
                </w:p>
              </w:tc>
            </w:tr>
            <w:tr w14:paraId="75FA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8" w:hRule="atLeast"/>
                <w:jc w:val="center"/>
              </w:trPr>
              <w:tc>
                <w:tcPr>
                  <w:tcW w:w="246" w:type="pct"/>
                  <w:vMerge w:val="continue"/>
                  <w:vAlign w:val="center"/>
                </w:tcPr>
                <w:p w14:paraId="3580AEF7">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260" w:type="pct"/>
                  <w:vMerge w:val="continue"/>
                  <w:vAlign w:val="center"/>
                </w:tcPr>
                <w:p w14:paraId="4BD22A8E">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953" w:type="pct"/>
                  <w:vMerge w:val="continue"/>
                  <w:vAlign w:val="center"/>
                </w:tcPr>
                <w:p w14:paraId="572926AB">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760" w:type="pct"/>
                  <w:shd w:val="clear" w:color="auto" w:fill="auto"/>
                  <w:vAlign w:val="center"/>
                </w:tcPr>
                <w:p w14:paraId="3F2FCA6E">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臭气浓度</w:t>
                  </w:r>
                </w:p>
              </w:tc>
              <w:tc>
                <w:tcPr>
                  <w:tcW w:w="565" w:type="pct"/>
                  <w:vMerge w:val="continue"/>
                  <w:vAlign w:val="center"/>
                </w:tcPr>
                <w:p w14:paraId="4958D8AF">
                  <w:pPr>
                    <w:pStyle w:val="67"/>
                    <w:keepNext w:val="0"/>
                    <w:keepLines w:val="0"/>
                    <w:suppressLineNumbers w:val="0"/>
                    <w:spacing w:before="0" w:beforeAutospacing="0" w:after="0" w:afterAutospacing="0" w:line="360" w:lineRule="exact"/>
                    <w:ind w:left="0" w:right="0"/>
                    <w:jc w:val="center"/>
                    <w:rPr>
                      <w:rFonts w:hint="eastAsia"/>
                      <w:color w:val="auto"/>
                      <w:spacing w:val="0"/>
                      <w:szCs w:val="21"/>
                      <w:highlight w:val="none"/>
                      <w:lang w:val="en-US" w:eastAsia="zh-CN"/>
                    </w:rPr>
                  </w:pPr>
                </w:p>
              </w:tc>
              <w:tc>
                <w:tcPr>
                  <w:tcW w:w="606" w:type="pct"/>
                  <w:vMerge w:val="continue"/>
                  <w:shd w:val="clear" w:color="auto" w:fill="auto"/>
                  <w:vAlign w:val="center"/>
                </w:tcPr>
                <w:p w14:paraId="0C5E62A0">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607" w:type="pct"/>
                  <w:shd w:val="clear" w:color="auto" w:fill="auto"/>
                  <w:vAlign w:val="center"/>
                </w:tcPr>
                <w:p w14:paraId="4651F770">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《恶臭污染物排放标准》（GB14554-93）表1二级新扩改建标准</w:t>
                  </w:r>
                </w:p>
              </w:tc>
            </w:tr>
            <w:tr w14:paraId="5ED9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jc w:val="center"/>
              </w:trPr>
              <w:tc>
                <w:tcPr>
                  <w:tcW w:w="246" w:type="pct"/>
                  <w:vMerge w:val="continue"/>
                  <w:vAlign w:val="center"/>
                </w:tcPr>
                <w:p w14:paraId="308EC439">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p>
              </w:tc>
              <w:tc>
                <w:tcPr>
                  <w:tcW w:w="260" w:type="pct"/>
                  <w:vMerge w:val="continue"/>
                  <w:vAlign w:val="center"/>
                </w:tcPr>
                <w:p w14:paraId="1278CA0C">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p>
              </w:tc>
              <w:tc>
                <w:tcPr>
                  <w:tcW w:w="953" w:type="pct"/>
                  <w:vMerge w:val="continue"/>
                  <w:vAlign w:val="center"/>
                </w:tcPr>
                <w:p w14:paraId="28943473">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s="Times New Roman"/>
                      <w:smallCaps w:val="0"/>
                      <w:color w:val="auto"/>
                      <w:spacing w:val="0"/>
                      <w:highlight w:val="none"/>
                      <w:lang w:val="en-US" w:eastAsia="zh-CN"/>
                    </w:rPr>
                  </w:pPr>
                </w:p>
              </w:tc>
              <w:tc>
                <w:tcPr>
                  <w:tcW w:w="760" w:type="pct"/>
                  <w:vAlign w:val="center"/>
                </w:tcPr>
                <w:p w14:paraId="2B63EB42">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非甲烷总烃</w:t>
                  </w:r>
                </w:p>
              </w:tc>
              <w:tc>
                <w:tcPr>
                  <w:tcW w:w="565" w:type="pct"/>
                  <w:vMerge w:val="continue"/>
                  <w:vAlign w:val="center"/>
                </w:tcPr>
                <w:p w14:paraId="0B1DA6DB">
                  <w:pPr>
                    <w:pStyle w:val="67"/>
                    <w:keepNext w:val="0"/>
                    <w:keepLines w:val="0"/>
                    <w:suppressLineNumbers w:val="0"/>
                    <w:spacing w:before="0" w:beforeAutospacing="0" w:after="0" w:afterAutospacing="0" w:line="360" w:lineRule="exact"/>
                    <w:ind w:left="0" w:right="0"/>
                    <w:jc w:val="center"/>
                    <w:rPr>
                      <w:rFonts w:hint="default" w:eastAsia="宋体"/>
                      <w:color w:val="auto"/>
                      <w:spacing w:val="0"/>
                      <w:szCs w:val="21"/>
                      <w:highlight w:val="none"/>
                      <w:lang w:val="en-US" w:eastAsia="zh-CN"/>
                    </w:rPr>
                  </w:pPr>
                </w:p>
              </w:tc>
              <w:tc>
                <w:tcPr>
                  <w:tcW w:w="606" w:type="pct"/>
                  <w:vMerge w:val="continue"/>
                  <w:vAlign w:val="center"/>
                </w:tcPr>
                <w:p w14:paraId="3637B32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0"/>
                      <w:sz w:val="21"/>
                      <w:szCs w:val="21"/>
                      <w:highlight w:val="none"/>
                      <w:lang w:val="en-US" w:eastAsia="zh-CN" w:bidi="ar-SA"/>
                    </w:rPr>
                  </w:pPr>
                </w:p>
              </w:tc>
              <w:tc>
                <w:tcPr>
                  <w:tcW w:w="1607" w:type="pct"/>
                  <w:shd w:val="clear" w:color="auto" w:fill="auto"/>
                  <w:vAlign w:val="center"/>
                </w:tcPr>
                <w:p w14:paraId="74845A6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《工业企业挥发性有机物排放控制标准》（DB13/2322-20</w:t>
                  </w:r>
                  <w:r>
                    <w:rPr>
                      <w:rFonts w:hint="eastAsia" w:cs="Times New Roman"/>
                      <w:smallCaps w:val="0"/>
                      <w:color w:val="auto"/>
                      <w:spacing w:val="0"/>
                      <w:szCs w:val="21"/>
                      <w:highlight w:val="none"/>
                      <w:lang w:val="en-US" w:eastAsia="zh-CN"/>
                    </w:rPr>
                    <w:t>16</w:t>
                  </w:r>
                  <w:r>
                    <w:rPr>
                      <w:rFonts w:hint="eastAsia" w:cs="Times New Roman"/>
                      <w:smallCaps w:val="0"/>
                      <w:color w:val="auto"/>
                      <w:spacing w:val="0"/>
                      <w:szCs w:val="21"/>
                      <w:highlight w:val="none"/>
                      <w:lang w:eastAsia="zh-CN"/>
                    </w:rPr>
                    <w:t>）表2标准</w:t>
                  </w:r>
                </w:p>
              </w:tc>
            </w:tr>
          </w:tbl>
          <w:p w14:paraId="6E3F7BF9">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color w:val="auto"/>
                <w:kern w:val="0"/>
                <w:sz w:val="24"/>
                <w:szCs w:val="20"/>
                <w:highlight w:val="none"/>
              </w:rPr>
            </w:pPr>
            <w:r>
              <w:rPr>
                <w:rFonts w:hint="eastAsia"/>
                <w:b/>
                <w:bCs/>
                <w:color w:val="auto"/>
                <w:kern w:val="0"/>
                <w:sz w:val="24"/>
                <w:szCs w:val="20"/>
                <w:highlight w:val="none"/>
              </w:rPr>
              <w:t>（5）</w:t>
            </w:r>
            <w:r>
              <w:rPr>
                <w:rFonts w:hint="eastAsia"/>
                <w:b/>
                <w:bCs/>
                <w:color w:val="auto"/>
                <w:kern w:val="0"/>
                <w:sz w:val="24"/>
                <w:szCs w:val="24"/>
                <w:highlight w:val="none"/>
              </w:rPr>
              <w:t>废气污染物环境影响分析</w:t>
            </w:r>
            <w:r>
              <w:rPr>
                <w:rFonts w:hint="eastAsia"/>
                <w:color w:val="auto"/>
                <w:kern w:val="0"/>
                <w:sz w:val="24"/>
                <w:szCs w:val="24"/>
                <w:highlight w:val="none"/>
              </w:rPr>
              <w:t xml:space="preserve"> </w:t>
            </w:r>
          </w:p>
          <w:p w14:paraId="4580B650">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color w:val="auto"/>
                <w:kern w:val="0"/>
                <w:sz w:val="24"/>
                <w:szCs w:val="20"/>
                <w:highlight w:val="none"/>
              </w:rPr>
            </w:pPr>
            <w:r>
              <w:rPr>
                <w:rFonts w:hint="eastAsia"/>
                <w:color w:val="auto"/>
                <w:kern w:val="0"/>
                <w:sz w:val="24"/>
                <w:szCs w:val="24"/>
                <w:highlight w:val="none"/>
              </w:rPr>
              <w:t>根据特征污染物非甲烷总烃监测数据可知，监测期间检测点位大气环境状况总体较好，特征污染因子</w:t>
            </w:r>
            <w:r>
              <w:rPr>
                <w:rFonts w:hint="default"/>
                <w:color w:val="auto"/>
                <w:sz w:val="24"/>
                <w:szCs w:val="20"/>
                <w:highlight w:val="none"/>
              </w:rPr>
              <w:t>TSP的24小时平均浓度满足《环境空气质量标准》(GB3095-2012)表2二级标准，非甲烷总烃的1小时平均浓度满足《环境空气质量 非甲烷总烃限值》(DB13/1577-2012)表1二级标准</w:t>
            </w:r>
            <w:r>
              <w:rPr>
                <w:rFonts w:hint="eastAsia"/>
                <w:color w:val="auto"/>
                <w:sz w:val="24"/>
                <w:szCs w:val="20"/>
                <w:highlight w:val="none"/>
                <w:lang w:eastAsia="zh-CN"/>
              </w:rPr>
              <w:t>，</w:t>
            </w:r>
            <w:r>
              <w:rPr>
                <w:rFonts w:hint="default"/>
                <w:color w:val="auto"/>
                <w:sz w:val="24"/>
                <w:szCs w:val="20"/>
                <w:highlight w:val="none"/>
              </w:rPr>
              <w:t>氨的1小时平均浓度满足《环境影响评价技术导则 大气环境》(HJ2.2-2018)附录D表D.1中1h平均值</w:t>
            </w:r>
            <w:r>
              <w:rPr>
                <w:rFonts w:hint="eastAsia"/>
                <w:color w:val="auto"/>
                <w:sz w:val="24"/>
                <w:szCs w:val="24"/>
                <w:highlight w:val="none"/>
              </w:rPr>
              <w:t>。</w:t>
            </w:r>
            <w:r>
              <w:rPr>
                <w:rFonts w:hint="eastAsia"/>
                <w:color w:val="auto"/>
                <w:kern w:val="0"/>
                <w:sz w:val="24"/>
                <w:szCs w:val="24"/>
                <w:highlight w:val="none"/>
              </w:rPr>
              <w:t>项目运营期产生的废气污染物均采取了严格的治理措施，且为可行技术</w:t>
            </w:r>
            <w:r>
              <w:rPr>
                <w:rFonts w:hint="eastAsia"/>
                <w:color w:val="auto"/>
                <w:kern w:val="0"/>
                <w:sz w:val="24"/>
                <w:szCs w:val="24"/>
                <w:highlight w:val="none"/>
                <w:lang w:eastAsia="zh-CN"/>
              </w:rPr>
              <w:t>，</w:t>
            </w:r>
            <w:r>
              <w:rPr>
                <w:rFonts w:hint="eastAsia"/>
                <w:color w:val="auto"/>
                <w:kern w:val="0"/>
                <w:sz w:val="24"/>
                <w:szCs w:val="24"/>
                <w:highlight w:val="none"/>
                <w:lang w:val="en-US" w:eastAsia="zh-CN"/>
              </w:rPr>
              <w:t>各污染因子均达标排放</w:t>
            </w:r>
            <w:r>
              <w:rPr>
                <w:rFonts w:hint="eastAsia"/>
                <w:color w:val="auto"/>
                <w:kern w:val="0"/>
                <w:sz w:val="24"/>
                <w:szCs w:val="24"/>
                <w:highlight w:val="none"/>
              </w:rPr>
              <w:t>，项目建设完成后对周围环境影响较小。</w:t>
            </w:r>
          </w:p>
          <w:p w14:paraId="09577428">
            <w:pPr>
              <w:keepNext w:val="0"/>
              <w:keepLines w:val="0"/>
              <w:suppressLineNumbers w:val="0"/>
              <w:adjustRightInd w:val="0"/>
              <w:snapToGrid w:val="0"/>
              <w:spacing w:before="0" w:beforeAutospacing="0" w:after="0" w:afterAutospacing="0" w:line="460" w:lineRule="exact"/>
              <w:ind w:left="0" w:right="0" w:firstLine="480" w:firstLineChars="200"/>
              <w:rPr>
                <w:rFonts w:hint="default" w:eastAsia="宋体"/>
                <w:b/>
                <w:bCs/>
                <w:color w:val="auto"/>
                <w:sz w:val="24"/>
                <w:szCs w:val="20"/>
                <w:highlight w:val="none"/>
                <w:lang w:val="en-US" w:eastAsia="zh-CN"/>
              </w:rPr>
            </w:pPr>
            <w:r>
              <w:rPr>
                <w:rFonts w:hint="eastAsia"/>
                <w:b/>
                <w:bCs/>
                <w:color w:val="auto"/>
                <w:sz w:val="24"/>
                <w:szCs w:val="20"/>
                <w:highlight w:val="none"/>
                <w:lang w:eastAsia="zh-CN"/>
              </w:rPr>
              <w:t>（</w:t>
            </w:r>
            <w:r>
              <w:rPr>
                <w:rFonts w:hint="eastAsia"/>
                <w:b/>
                <w:bCs/>
                <w:color w:val="auto"/>
                <w:sz w:val="24"/>
                <w:szCs w:val="20"/>
                <w:highlight w:val="none"/>
                <w:lang w:val="en-US" w:eastAsia="zh-CN"/>
              </w:rPr>
              <w:t>6</w:t>
            </w:r>
            <w:r>
              <w:rPr>
                <w:rFonts w:hint="eastAsia"/>
                <w:b/>
                <w:bCs/>
                <w:color w:val="auto"/>
                <w:sz w:val="24"/>
                <w:szCs w:val="20"/>
                <w:highlight w:val="none"/>
                <w:lang w:eastAsia="zh-CN"/>
              </w:rPr>
              <w:t>）</w:t>
            </w:r>
            <w:r>
              <w:rPr>
                <w:rFonts w:hint="eastAsia"/>
                <w:b/>
                <w:bCs/>
                <w:color w:val="auto"/>
                <w:kern w:val="0"/>
                <w:sz w:val="24"/>
                <w:szCs w:val="20"/>
                <w:highlight w:val="none"/>
              </w:rPr>
              <w:t>废气污染设施可行性分析</w:t>
            </w:r>
          </w:p>
          <w:p w14:paraId="2CADEBE8">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color w:val="auto"/>
                <w:kern w:val="0"/>
                <w:sz w:val="24"/>
                <w:szCs w:val="24"/>
                <w:highlight w:val="none"/>
                <w:lang w:val="en-US" w:eastAsia="zh-CN"/>
              </w:rPr>
            </w:pPr>
            <w:r>
              <w:rPr>
                <w:rFonts w:hint="eastAsia"/>
                <w:color w:val="auto"/>
                <w:kern w:val="0"/>
                <w:sz w:val="24"/>
                <w:szCs w:val="24"/>
                <w:highlight w:val="none"/>
                <w:lang w:val="en-US" w:eastAsia="zh-CN"/>
              </w:rPr>
              <w:t>①有组织污染设施可行性分析</w:t>
            </w:r>
          </w:p>
          <w:p w14:paraId="41D05031">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eastAsia="宋体"/>
                <w:color w:val="auto"/>
                <w:kern w:val="0"/>
                <w:sz w:val="24"/>
                <w:szCs w:val="24"/>
                <w:highlight w:val="none"/>
                <w:lang w:val="en-US" w:eastAsia="zh-CN"/>
              </w:rPr>
            </w:pPr>
            <w:r>
              <w:rPr>
                <w:rFonts w:hint="eastAsia"/>
                <w:b w:val="0"/>
                <w:bCs/>
                <w:color w:val="auto"/>
                <w:sz w:val="24"/>
                <w:szCs w:val="20"/>
                <w:highlight w:val="none"/>
                <w:lang w:val="en-US" w:eastAsia="zh-CN"/>
              </w:rPr>
              <w:t>根据</w:t>
            </w:r>
            <w:r>
              <w:rPr>
                <w:rFonts w:hint="eastAsia"/>
                <w:b w:val="0"/>
                <w:bCs/>
                <w:color w:val="auto"/>
                <w:sz w:val="24"/>
                <w:szCs w:val="20"/>
                <w:highlight w:val="none"/>
                <w:lang w:val="zh-CN"/>
              </w:rPr>
              <w:t>《</w:t>
            </w:r>
            <w:r>
              <w:rPr>
                <w:rFonts w:hint="eastAsia"/>
                <w:b w:val="0"/>
                <w:bCs/>
                <w:color w:val="auto"/>
                <w:sz w:val="24"/>
                <w:szCs w:val="20"/>
                <w:highlight w:val="none"/>
                <w:lang w:val="en-US" w:eastAsia="zh-CN"/>
              </w:rPr>
              <w:t>排污许可证申请与核发技术规范 橡胶和塑料制品工业</w:t>
            </w:r>
            <w:r>
              <w:rPr>
                <w:rFonts w:hint="eastAsia"/>
                <w:b w:val="0"/>
                <w:bCs/>
                <w:color w:val="auto"/>
                <w:sz w:val="24"/>
                <w:szCs w:val="20"/>
                <w:highlight w:val="none"/>
                <w:lang w:val="zh-CN"/>
              </w:rPr>
              <w:t>》（</w:t>
            </w:r>
            <w:r>
              <w:rPr>
                <w:rFonts w:hint="eastAsia"/>
                <w:b w:val="0"/>
                <w:bCs/>
                <w:color w:val="auto"/>
                <w:sz w:val="24"/>
                <w:szCs w:val="20"/>
                <w:highlight w:val="none"/>
                <w:lang w:val="en-US" w:eastAsia="zh-CN"/>
              </w:rPr>
              <w:t>HJ1122-2022</w:t>
            </w:r>
            <w:r>
              <w:rPr>
                <w:rFonts w:hint="eastAsia"/>
                <w:b w:val="0"/>
                <w:bCs/>
                <w:color w:val="auto"/>
                <w:sz w:val="24"/>
                <w:szCs w:val="20"/>
                <w:highlight w:val="none"/>
                <w:lang w:val="zh-CN"/>
              </w:rPr>
              <w:t>）</w:t>
            </w:r>
            <w:r>
              <w:rPr>
                <w:rFonts w:hint="eastAsia"/>
                <w:b w:val="0"/>
                <w:bCs/>
                <w:color w:val="auto"/>
                <w:sz w:val="24"/>
                <w:szCs w:val="20"/>
                <w:highlight w:val="none"/>
                <w:lang w:val="en-US" w:eastAsia="zh-CN"/>
              </w:rPr>
              <w:t>可知，可行技术为吸附，项目有组织废气采用布袋除尘器+两级活性炭吸附装置，属于可行技术。</w:t>
            </w:r>
          </w:p>
          <w:p w14:paraId="73B45417">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二级过滤活性炭吸附箱是一种用于净化空气和废气的设备，其工作原理主要基于活性炭的吸附作用。以下是其详细的工作原理：</w:t>
            </w:r>
          </w:p>
          <w:p w14:paraId="51D0071B">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活性炭是一种高度多孔的物质，具有极强的吸附能力。当含有有害气体的空气通过二级过滤活性炭吸附箱时，活性炭表面的未平衡和未饱和的分子引力或化学键力会吸引气体分子，使其浓聚并保持在活性炭表面，这个过程称为吸附。通过这种吸附作用，废气中的污染物被固定在活性炭表面的微孔中，从而与气体混合物分离，达到净化目的。</w:t>
            </w:r>
          </w:p>
          <w:p w14:paraId="47B765A2">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经预测，经布袋除尘器+两级活性炭吸附装置处理后的废气排放满足《工业企业挥发性有机物排放控制标准》（DB13/2322-2025）表1（塑料制品制造）标准、《合成树脂工业污染物排放标准》（GB31572-2015）（含2024年修改单）表5标准、《恶臭污染物排放标准》（GB14554-93）表2标准。</w:t>
            </w:r>
          </w:p>
          <w:p w14:paraId="7A254334">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lang w:val="en-US" w:eastAsia="zh-CN"/>
              </w:rPr>
            </w:pPr>
            <w:r>
              <w:rPr>
                <w:rFonts w:hint="eastAsia"/>
                <w:color w:val="auto"/>
                <w:kern w:val="0"/>
                <w:sz w:val="24"/>
                <w:szCs w:val="24"/>
                <w:highlight w:val="none"/>
                <w:lang w:val="en-US" w:eastAsia="zh-CN"/>
              </w:rPr>
              <w:t>②无组织污染设施可行性分析</w:t>
            </w:r>
          </w:p>
          <w:p w14:paraId="4A764E25">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color w:val="auto"/>
                <w:kern w:val="0"/>
                <w:sz w:val="24"/>
                <w:szCs w:val="24"/>
                <w:highlight w:val="none"/>
                <w:lang w:val="en-US"/>
              </w:rPr>
            </w:pPr>
            <w:r>
              <w:rPr>
                <w:rFonts w:hint="eastAsia"/>
                <w:b w:val="0"/>
                <w:bCs/>
                <w:color w:val="auto"/>
                <w:sz w:val="24"/>
                <w:szCs w:val="20"/>
                <w:highlight w:val="none"/>
                <w:lang w:val="en-US" w:eastAsia="zh-CN"/>
              </w:rPr>
              <w:t>根据</w:t>
            </w:r>
            <w:r>
              <w:rPr>
                <w:rFonts w:hint="eastAsia"/>
                <w:b w:val="0"/>
                <w:bCs/>
                <w:color w:val="auto"/>
                <w:sz w:val="24"/>
                <w:szCs w:val="20"/>
                <w:highlight w:val="none"/>
                <w:lang w:val="zh-CN"/>
              </w:rPr>
              <w:t>《</w:t>
            </w:r>
            <w:r>
              <w:rPr>
                <w:rFonts w:hint="eastAsia"/>
                <w:b w:val="0"/>
                <w:bCs/>
                <w:color w:val="auto"/>
                <w:sz w:val="24"/>
                <w:szCs w:val="20"/>
                <w:highlight w:val="none"/>
                <w:lang w:val="en-US" w:eastAsia="zh-CN"/>
              </w:rPr>
              <w:t>排污许可证申请与核发技术规范 橡胶和塑料制品工业</w:t>
            </w:r>
            <w:r>
              <w:rPr>
                <w:rFonts w:hint="eastAsia"/>
                <w:b w:val="0"/>
                <w:bCs/>
                <w:color w:val="auto"/>
                <w:sz w:val="24"/>
                <w:szCs w:val="20"/>
                <w:highlight w:val="none"/>
                <w:lang w:val="zh-CN"/>
              </w:rPr>
              <w:t>》（</w:t>
            </w:r>
            <w:r>
              <w:rPr>
                <w:rFonts w:hint="eastAsia"/>
                <w:b w:val="0"/>
                <w:bCs/>
                <w:color w:val="auto"/>
                <w:sz w:val="24"/>
                <w:szCs w:val="20"/>
                <w:highlight w:val="none"/>
                <w:lang w:val="en-US" w:eastAsia="zh-CN"/>
              </w:rPr>
              <w:t>HJ1122-2022</w:t>
            </w:r>
            <w:r>
              <w:rPr>
                <w:rFonts w:hint="eastAsia"/>
                <w:b w:val="0"/>
                <w:bCs/>
                <w:color w:val="auto"/>
                <w:sz w:val="24"/>
                <w:szCs w:val="20"/>
                <w:highlight w:val="none"/>
                <w:lang w:val="zh-CN"/>
              </w:rPr>
              <w:t>）</w:t>
            </w:r>
            <w:r>
              <w:rPr>
                <w:rFonts w:hint="eastAsia"/>
                <w:b w:val="0"/>
                <w:bCs/>
                <w:color w:val="auto"/>
                <w:sz w:val="24"/>
                <w:szCs w:val="20"/>
                <w:highlight w:val="none"/>
                <w:lang w:val="en-US" w:eastAsia="zh-CN"/>
              </w:rPr>
              <w:t>可知无组织排放控制要求：</w:t>
            </w:r>
          </w:p>
          <w:p w14:paraId="3166EAFB">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b)挥发性有机物物料储存无组织排放控制要求</w:t>
            </w:r>
          </w:p>
          <w:p w14:paraId="2870E76F">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1)挥发性有机物物料应储存于密闭的容器、包装袋、储库、料仓中</w:t>
            </w:r>
            <w:r>
              <w:rPr>
                <w:rFonts w:hint="eastAsia"/>
                <w:color w:val="auto"/>
                <w:kern w:val="0"/>
                <w:sz w:val="24"/>
                <w:szCs w:val="24"/>
                <w:highlight w:val="none"/>
                <w:lang w:eastAsia="zh-CN"/>
              </w:rPr>
              <w:t>；</w:t>
            </w:r>
            <w:r>
              <w:rPr>
                <w:rFonts w:hint="eastAsia"/>
                <w:color w:val="auto"/>
                <w:kern w:val="0"/>
                <w:sz w:val="24"/>
                <w:szCs w:val="24"/>
                <w:highlight w:val="none"/>
              </w:rPr>
              <w:t>盛装挥发性有机物物料的容器或包装袋应存放于室内</w:t>
            </w:r>
            <w:r>
              <w:rPr>
                <w:rFonts w:hint="eastAsia"/>
                <w:color w:val="auto"/>
                <w:kern w:val="0"/>
                <w:sz w:val="24"/>
                <w:szCs w:val="24"/>
                <w:highlight w:val="none"/>
                <w:lang w:eastAsia="zh-CN"/>
              </w:rPr>
              <w:t>，</w:t>
            </w:r>
            <w:r>
              <w:rPr>
                <w:rFonts w:hint="eastAsia"/>
                <w:color w:val="auto"/>
                <w:kern w:val="0"/>
                <w:sz w:val="24"/>
                <w:szCs w:val="24"/>
                <w:highlight w:val="none"/>
              </w:rPr>
              <w:t>或存放于设置有雨棚、遮阳和防渗设施的专用场地。盛装挥发性有机物物料的容器或包装袋在非取用状态时应加盖、封口，保持密闭。</w:t>
            </w:r>
          </w:p>
          <w:p w14:paraId="30DF064D">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2)挥发性有机物物料使用过程无法密闭的，应采取局部气体收集措施，废气应排放至挥发性有机物废气收集处理系统。</w:t>
            </w:r>
          </w:p>
          <w:p w14:paraId="5935F91E">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3)液态挥发性有机物物料应采用密闭管道输送。采用非管道输送方式转移液态挥发性有机物物料时，应采用密闭容器。粉状、粒状挥发性有机物物料应采用气力输送设备、管状带式输送机、螺旋输送机等密闭输送方式，或者采用密闭的包装袋、容器进行物料转移。</w:t>
            </w:r>
          </w:p>
          <w:p w14:paraId="062992CD">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c)挥发性有机物质量占比大于等于10%的含挥发性有机物原辅材料使用过程无法密闭的，应采取局部气体收集措施，废气应排放至挥发性有机物废气收集处理系统。</w:t>
            </w:r>
          </w:p>
          <w:p w14:paraId="5F61DEEA">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d)对无组织排放设施应实现废气源密闭化，将其变为有组织排放</w:t>
            </w:r>
            <w:r>
              <w:rPr>
                <w:rFonts w:hint="eastAsia"/>
                <w:color w:val="auto"/>
                <w:kern w:val="0"/>
                <w:sz w:val="24"/>
                <w:szCs w:val="24"/>
                <w:highlight w:val="none"/>
                <w:lang w:eastAsia="zh-CN"/>
              </w:rPr>
              <w:t>；</w:t>
            </w:r>
            <w:r>
              <w:rPr>
                <w:rFonts w:hint="eastAsia"/>
                <w:color w:val="auto"/>
                <w:kern w:val="0"/>
                <w:sz w:val="24"/>
                <w:szCs w:val="24"/>
                <w:highlight w:val="none"/>
              </w:rPr>
              <w:t>建筑物内废气无组织排放源应采用全空间或局部空间有组织强制通风收集系统。</w:t>
            </w:r>
          </w:p>
          <w:p w14:paraId="04101186">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e)所有废气收集系统应采用技术经济合理的密闭方式，具有耐腐、气密性好的特性，同时考虑具备阻燃和抗静电等性能，并结合其他专业设备的运行、维护需要，设置观察口、呼吸阀等设施。</w:t>
            </w:r>
          </w:p>
          <w:p w14:paraId="35E61AF2">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eastAsia"/>
                <w:color w:val="auto"/>
                <w:kern w:val="0"/>
                <w:sz w:val="24"/>
                <w:szCs w:val="24"/>
                <w:highlight w:val="none"/>
              </w:rPr>
            </w:pPr>
            <w:r>
              <w:rPr>
                <w:rFonts w:hint="eastAsia"/>
                <w:color w:val="auto"/>
                <w:kern w:val="0"/>
                <w:sz w:val="24"/>
                <w:szCs w:val="24"/>
                <w:highlight w:val="none"/>
              </w:rPr>
              <w:t>f)载有挥发性有机物物料的设备及其管道在开停工(车)、检维修和清洗时，应在退料阶段将残存物料退净，并用密闭容器盛装</w:t>
            </w:r>
            <w:r>
              <w:rPr>
                <w:rFonts w:hint="eastAsia"/>
                <w:color w:val="auto"/>
                <w:kern w:val="0"/>
                <w:sz w:val="24"/>
                <w:szCs w:val="24"/>
                <w:highlight w:val="none"/>
                <w:lang w:eastAsia="zh-CN"/>
              </w:rPr>
              <w:t>，</w:t>
            </w:r>
            <w:r>
              <w:rPr>
                <w:rFonts w:hint="eastAsia"/>
                <w:color w:val="auto"/>
                <w:kern w:val="0"/>
                <w:sz w:val="24"/>
                <w:szCs w:val="24"/>
                <w:highlight w:val="none"/>
              </w:rPr>
              <w:t>退料过程废气应排至挥发性有机物废气收集处理系统</w:t>
            </w:r>
            <w:r>
              <w:rPr>
                <w:rFonts w:hint="eastAsia"/>
                <w:color w:val="auto"/>
                <w:kern w:val="0"/>
                <w:sz w:val="24"/>
                <w:szCs w:val="24"/>
                <w:highlight w:val="none"/>
                <w:lang w:eastAsia="zh-CN"/>
              </w:rPr>
              <w:t>；</w:t>
            </w:r>
            <w:r>
              <w:rPr>
                <w:rFonts w:hint="eastAsia"/>
                <w:color w:val="auto"/>
                <w:kern w:val="0"/>
                <w:sz w:val="24"/>
                <w:szCs w:val="24"/>
                <w:highlight w:val="none"/>
              </w:rPr>
              <w:t>清洗及吹扫过程排气应排至挥发性有机物废气收集处理系统。</w:t>
            </w:r>
          </w:p>
          <w:p w14:paraId="5D996C0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本项目原辅材料均在密闭库房内暂存，在贮存、输送、使用过程中保持密闭</w:t>
            </w:r>
            <w:r>
              <w:rPr>
                <w:rFonts w:hint="eastAsia"/>
                <w:color w:val="auto"/>
                <w:kern w:val="0"/>
                <w:sz w:val="24"/>
                <w:szCs w:val="24"/>
                <w:highlight w:val="none"/>
              </w:rPr>
              <w:t>。</w:t>
            </w:r>
            <w:r>
              <w:rPr>
                <w:rFonts w:hint="eastAsia"/>
                <w:color w:val="auto"/>
                <w:kern w:val="0"/>
                <w:sz w:val="24"/>
                <w:szCs w:val="24"/>
                <w:highlight w:val="none"/>
                <w:lang w:val="en-US" w:eastAsia="zh-CN"/>
              </w:rPr>
              <w:t>本项目不涉及调配，非即用状态袋装密封。项目拆包、投料、烘干、注塑废气采用集气罩收集后输送至布袋除尘器+两级活性炭吸附装置处理</w:t>
            </w:r>
            <w:r>
              <w:rPr>
                <w:rFonts w:hint="eastAsia"/>
                <w:color w:val="auto"/>
                <w:kern w:val="0"/>
                <w:sz w:val="24"/>
                <w:szCs w:val="24"/>
                <w:highlight w:val="none"/>
              </w:rPr>
              <w:t>。</w:t>
            </w:r>
            <w:r>
              <w:rPr>
                <w:rFonts w:hint="eastAsia"/>
                <w:color w:val="auto"/>
                <w:kern w:val="0"/>
                <w:sz w:val="24"/>
                <w:szCs w:val="24"/>
                <w:highlight w:val="none"/>
                <w:lang w:val="en-US" w:eastAsia="zh-CN"/>
              </w:rPr>
              <w:t>项目尼龙粒子采用原包料，采用密闭的包装袋进行转移；项目在开停工、检维修时，在退料阶段将残存物料退净，并用相应的密闭容器盛装，项目退料时两级活性炭吸附装置需开启。综上，项目无组织措施为可行技术，且经预测，厂区内无组织非甲烷总烃排放满足《工业企业挥发性有机物排放控制标准》（DB13/2322-2016）表2标准。</w:t>
            </w:r>
          </w:p>
          <w:p w14:paraId="68836EF2">
            <w:pPr>
              <w:keepNext w:val="0"/>
              <w:keepLines w:val="0"/>
              <w:suppressLineNumbers w:val="0"/>
              <w:adjustRightInd w:val="0"/>
              <w:snapToGrid w:val="0"/>
              <w:spacing w:before="0" w:beforeAutospacing="0" w:after="0" w:afterAutospacing="0" w:line="460" w:lineRule="exact"/>
              <w:ind w:left="0" w:right="0" w:firstLine="480" w:firstLineChars="200"/>
              <w:rPr>
                <w:rFonts w:hint="default" w:eastAsia="宋体"/>
                <w:b/>
                <w:bCs/>
                <w:color w:val="auto"/>
                <w:sz w:val="24"/>
                <w:szCs w:val="20"/>
                <w:highlight w:val="none"/>
                <w:lang w:val="en-US" w:eastAsia="zh-CN"/>
              </w:rPr>
            </w:pPr>
            <w:r>
              <w:rPr>
                <w:rFonts w:hint="eastAsia"/>
                <w:b/>
                <w:bCs/>
                <w:color w:val="auto"/>
                <w:sz w:val="24"/>
                <w:szCs w:val="20"/>
                <w:highlight w:val="none"/>
                <w:lang w:eastAsia="zh-CN"/>
              </w:rPr>
              <w:t>（</w:t>
            </w:r>
            <w:r>
              <w:rPr>
                <w:rFonts w:hint="eastAsia"/>
                <w:b/>
                <w:bCs/>
                <w:color w:val="auto"/>
                <w:sz w:val="24"/>
                <w:szCs w:val="20"/>
                <w:highlight w:val="none"/>
                <w:lang w:val="en-US" w:eastAsia="zh-CN"/>
              </w:rPr>
              <w:t>7</w:t>
            </w:r>
            <w:r>
              <w:rPr>
                <w:rFonts w:hint="eastAsia"/>
                <w:b/>
                <w:bCs/>
                <w:color w:val="auto"/>
                <w:sz w:val="24"/>
                <w:szCs w:val="20"/>
                <w:highlight w:val="none"/>
                <w:lang w:eastAsia="zh-CN"/>
              </w:rPr>
              <w:t>）</w:t>
            </w:r>
            <w:r>
              <w:rPr>
                <w:rFonts w:hint="eastAsia"/>
                <w:b/>
                <w:bCs/>
                <w:color w:val="auto"/>
                <w:sz w:val="24"/>
                <w:szCs w:val="20"/>
                <w:highlight w:val="none"/>
                <w:lang w:val="en-US" w:eastAsia="zh-CN"/>
              </w:rPr>
              <w:t>结论</w:t>
            </w:r>
          </w:p>
          <w:p w14:paraId="2E416C06">
            <w:pPr>
              <w:keepNext w:val="0"/>
              <w:keepLines w:val="0"/>
              <w:suppressLineNumbers w:val="0"/>
              <w:adjustRightInd w:val="0"/>
              <w:snapToGrid w:val="0"/>
              <w:spacing w:before="0" w:beforeAutospacing="0" w:after="0" w:afterAutospacing="0" w:line="460" w:lineRule="exact"/>
              <w:ind w:left="0" w:right="0" w:firstLine="480" w:firstLineChars="200"/>
              <w:rPr>
                <w:rFonts w:hint="default"/>
                <w:color w:val="auto"/>
                <w:sz w:val="24"/>
                <w:szCs w:val="24"/>
                <w:highlight w:val="none"/>
                <w:lang w:val="zh-CN"/>
              </w:rPr>
            </w:pPr>
            <w:r>
              <w:rPr>
                <w:rFonts w:hint="eastAsia"/>
                <w:color w:val="auto"/>
                <w:sz w:val="24"/>
                <w:szCs w:val="20"/>
                <w:highlight w:val="none"/>
                <w:lang w:eastAsia="zh-CN"/>
              </w:rPr>
              <w:t>石家庄旭照电子科技有限公司汽车塑料配件改扩建项目在</w:t>
            </w:r>
            <w:r>
              <w:rPr>
                <w:rFonts w:hint="eastAsia"/>
                <w:color w:val="auto"/>
                <w:sz w:val="24"/>
                <w:szCs w:val="20"/>
                <w:highlight w:val="none"/>
                <w:lang w:val="en-US" w:eastAsia="zh-CN"/>
              </w:rPr>
              <w:t>废气</w:t>
            </w:r>
            <w:r>
              <w:rPr>
                <w:rFonts w:hint="eastAsia"/>
                <w:color w:val="auto"/>
                <w:sz w:val="24"/>
                <w:szCs w:val="20"/>
                <w:highlight w:val="none"/>
                <w:lang w:eastAsia="zh-CN"/>
              </w:rPr>
              <w:t>污染防治方面采取了科学有效的措施，</w:t>
            </w:r>
            <w:r>
              <w:rPr>
                <w:rFonts w:hint="eastAsia"/>
                <w:color w:val="auto"/>
                <w:sz w:val="24"/>
                <w:szCs w:val="20"/>
                <w:highlight w:val="none"/>
                <w:lang w:val="en-US" w:eastAsia="zh-CN"/>
              </w:rPr>
              <w:t>废气中</w:t>
            </w:r>
            <w:r>
              <w:rPr>
                <w:rFonts w:hint="eastAsia"/>
                <w:color w:val="auto"/>
                <w:sz w:val="24"/>
                <w:szCs w:val="20"/>
                <w:highlight w:val="none"/>
                <w:lang w:eastAsia="zh-CN"/>
              </w:rPr>
              <w:t>各项污染物排放均符合国家</w:t>
            </w:r>
            <w:r>
              <w:rPr>
                <w:rFonts w:hint="eastAsia"/>
                <w:color w:val="auto"/>
                <w:sz w:val="24"/>
                <w:szCs w:val="20"/>
                <w:highlight w:val="none"/>
                <w:lang w:val="en-US" w:eastAsia="zh-CN"/>
              </w:rPr>
              <w:t>地方等</w:t>
            </w:r>
            <w:r>
              <w:rPr>
                <w:rFonts w:hint="eastAsia"/>
                <w:color w:val="auto"/>
                <w:sz w:val="24"/>
                <w:szCs w:val="20"/>
                <w:highlight w:val="none"/>
                <w:lang w:eastAsia="zh-CN"/>
              </w:rPr>
              <w:t>标准要求。项目建成后，厂区运营对周边大气环境的影响可控制在可接受范围内。</w:t>
            </w:r>
          </w:p>
          <w:p w14:paraId="4F4096EF">
            <w:pPr>
              <w:pStyle w:val="172"/>
              <w:keepNext w:val="0"/>
              <w:keepLines w:val="0"/>
              <w:suppressLineNumbers w:val="0"/>
              <w:spacing w:before="0" w:beforeAutospacing="0" w:after="0" w:afterAutospacing="0"/>
              <w:ind w:left="0" w:right="0" w:firstLine="482"/>
              <w:jc w:val="both"/>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2、废水</w:t>
            </w:r>
          </w:p>
          <w:p w14:paraId="5FDD6746">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default"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（1）项目废水产生情况</w:t>
            </w:r>
          </w:p>
          <w:p w14:paraId="06E0EEC4">
            <w:pPr>
              <w:keepNext w:val="0"/>
              <w:keepLines w:val="0"/>
              <w:suppressLineNumbers w:val="0"/>
              <w:spacing w:before="0" w:beforeLines="0" w:beforeAutospacing="0" w:after="0" w:afterLines="0" w:afterAutospacing="0" w:line="480" w:lineRule="exact"/>
              <w:ind w:left="0" w:right="0" w:firstLine="480" w:firstLineChars="200"/>
              <w:jc w:val="left"/>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项目废水主要为职工生活污水，废水产生量为</w:t>
            </w:r>
            <w:r>
              <w:rPr>
                <w:rFonts w:hint="eastAsia" w:cs="Times New Roman"/>
                <w:color w:val="auto"/>
                <w:sz w:val="24"/>
                <w:szCs w:val="24"/>
                <w:highlight w:val="none"/>
                <w:lang w:val="en-US" w:eastAsia="zh-CN"/>
              </w:rPr>
              <w:t>0.64</w:t>
            </w:r>
            <w:r>
              <w:rPr>
                <w:rFonts w:hint="eastAsia" w:eastAsia="宋体" w:cs="Times New Roman"/>
                <w:color w:val="auto"/>
                <w:sz w:val="24"/>
                <w:szCs w:val="24"/>
                <w:highlight w:val="none"/>
                <w:lang w:val="en-US" w:eastAsia="zh-CN"/>
              </w:rPr>
              <w:t>m</w:t>
            </w:r>
            <w:r>
              <w:rPr>
                <w:rFonts w:hint="eastAsia" w:eastAsia="宋体" w:cs="Times New Roman"/>
                <w:color w:val="auto"/>
                <w:sz w:val="24"/>
                <w:szCs w:val="24"/>
                <w:highlight w:val="none"/>
                <w:vertAlign w:val="superscript"/>
                <w:lang w:val="en-US" w:eastAsia="zh-CN"/>
              </w:rPr>
              <w:t>3</w:t>
            </w:r>
            <w:r>
              <w:rPr>
                <w:rFonts w:hint="eastAsia" w:eastAsia="宋体" w:cs="Times New Roman"/>
                <w:color w:val="auto"/>
                <w:sz w:val="24"/>
                <w:szCs w:val="24"/>
                <w:highlight w:val="none"/>
                <w:lang w:val="en-US" w:eastAsia="zh-CN"/>
              </w:rPr>
              <w:t>/d。</w:t>
            </w:r>
          </w:p>
          <w:p w14:paraId="290B27C1">
            <w:pPr>
              <w:keepNext w:val="0"/>
              <w:keepLines w:val="0"/>
              <w:suppressLineNumbers w:val="0"/>
              <w:spacing w:before="0" w:beforeLines="0" w:beforeAutospacing="0" w:after="0" w:afterLines="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w:t>
            </w:r>
            <w:r>
              <w:rPr>
                <w:rFonts w:hint="eastAsia" w:cs="Times New Roman"/>
                <w:color w:val="auto"/>
                <w:sz w:val="24"/>
                <w:szCs w:val="24"/>
                <w:highlight w:val="none"/>
                <w:lang w:val="en-US" w:eastAsia="zh-CN"/>
              </w:rPr>
              <w:t>0.64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/d）中pH：</w:t>
            </w:r>
            <w:r>
              <w:rPr>
                <w:rFonts w:hint="eastAsia" w:eastAsia="宋体" w:cs="Times New Roman"/>
                <w:color w:val="auto"/>
                <w:sz w:val="24"/>
                <w:szCs w:val="24"/>
                <w:highlight w:val="none"/>
                <w:lang w:eastAsia="zh-CN"/>
              </w:rPr>
              <w:t>6~9</w:t>
            </w:r>
            <w:r>
              <w:rPr>
                <w:rFonts w:hint="default" w:ascii="Times New Roman" w:hAnsi="Times New Roman" w:eastAsia="宋体" w:cs="Times New Roman"/>
                <w:color w:val="auto"/>
                <w:sz w:val="24"/>
                <w:szCs w:val="24"/>
                <w:highlight w:val="none"/>
              </w:rPr>
              <w:t>、COD产生浓度约为</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产生浓度约为</w:t>
            </w:r>
            <w:r>
              <w:rPr>
                <w:rFonts w:hint="eastAsia"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mg/L、SS产生浓度约为</w:t>
            </w:r>
            <w:r>
              <w:rPr>
                <w:rFonts w:hint="eastAsia"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mg/L、氨氮产生浓度约为20mg/L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w:t>
            </w:r>
            <w:r>
              <w:rPr>
                <w:rFonts w:hint="default" w:ascii="Times New Roman" w:hAnsi="Times New Roman" w:eastAsia="宋体" w:cs="Times New Roman"/>
                <w:color w:val="auto"/>
                <w:sz w:val="24"/>
                <w:szCs w:val="24"/>
                <w:highlight w:val="none"/>
              </w:rPr>
              <w:t>产生浓度约为</w:t>
            </w:r>
            <w:r>
              <w:rPr>
                <w:rFonts w:hint="eastAsia"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总磷</w:t>
            </w:r>
            <w:r>
              <w:rPr>
                <w:rFonts w:hint="default" w:ascii="Times New Roman" w:hAnsi="Times New Roman" w:eastAsia="宋体" w:cs="Times New Roman"/>
                <w:color w:val="auto"/>
                <w:sz w:val="24"/>
                <w:szCs w:val="24"/>
                <w:highlight w:val="none"/>
              </w:rPr>
              <w:t>产生浓度约为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p>
          <w:p w14:paraId="538748D2">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default"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（2）项目废水排放情况</w:t>
            </w:r>
          </w:p>
          <w:p w14:paraId="0F5796E0">
            <w:pPr>
              <w:keepNext w:val="0"/>
              <w:keepLines w:val="0"/>
              <w:suppressLineNumbers w:val="0"/>
              <w:spacing w:before="0" w:beforeLines="0" w:beforeAutospacing="0" w:after="0" w:afterLines="0" w:afterAutospacing="0" w:line="480" w:lineRule="exact"/>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2"/>
                <w:sz w:val="24"/>
                <w:szCs w:val="24"/>
                <w:highlight w:val="none"/>
                <w:lang w:val="en-US" w:eastAsia="zh-CN" w:bidi="ar"/>
              </w:rPr>
              <w:t>生活污水经集成式生物化粪池初步处理后之后排入石家庄市栾城区污水处理中心（绿源污水处理厂）。</w:t>
            </w:r>
          </w:p>
          <w:p w14:paraId="28149A41">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eastAsia" w:cs="Times New Roman"/>
                <w:color w:val="auto"/>
                <w:kern w:val="2"/>
                <w:sz w:val="24"/>
                <w:szCs w:val="24"/>
                <w:highlight w:val="none"/>
                <w:lang w:val="en-US" w:eastAsia="zh-CN" w:bidi="ar"/>
              </w:rPr>
            </w:pPr>
            <w:r>
              <w:rPr>
                <w:rFonts w:hint="default" w:ascii="Times New Roman" w:hAnsi="Times New Roman" w:eastAsia="宋体" w:cs="Times New Roman"/>
                <w:i w:val="0"/>
                <w:iCs w:val="0"/>
                <w:color w:val="auto"/>
                <w:sz w:val="24"/>
                <w:szCs w:val="24"/>
                <w:highlight w:val="none"/>
              </w:rPr>
              <w:t>本项目废水总排水量为</w:t>
            </w:r>
            <w:r>
              <w:rPr>
                <w:rFonts w:hint="eastAsia" w:cs="Times New Roman"/>
                <w:i w:val="0"/>
                <w:iCs w:val="0"/>
                <w:color w:val="auto"/>
                <w:sz w:val="24"/>
                <w:szCs w:val="24"/>
                <w:highlight w:val="none"/>
                <w:lang w:val="en-US" w:eastAsia="zh-CN"/>
              </w:rPr>
              <w:t>0.64</w:t>
            </w:r>
            <w:r>
              <w:rPr>
                <w:rFonts w:hint="default" w:ascii="Times New Roman" w:hAnsi="Times New Roman" w:eastAsia="宋体" w:cs="Times New Roman"/>
                <w:i w:val="0"/>
                <w:iCs w:val="0"/>
                <w:color w:val="auto"/>
                <w:sz w:val="24"/>
                <w:szCs w:val="24"/>
                <w:highlight w:val="none"/>
              </w:rPr>
              <w:t>m</w:t>
            </w:r>
            <w:r>
              <w:rPr>
                <w:rFonts w:hint="default" w:ascii="Times New Roman" w:hAnsi="Times New Roman" w:eastAsia="宋体" w:cs="Times New Roman"/>
                <w:i w:val="0"/>
                <w:iCs w:val="0"/>
                <w:color w:val="auto"/>
                <w:sz w:val="24"/>
                <w:szCs w:val="24"/>
                <w:highlight w:val="none"/>
                <w:vertAlign w:val="superscript"/>
              </w:rPr>
              <w:t>3</w:t>
            </w:r>
            <w:r>
              <w:rPr>
                <w:rFonts w:hint="default" w:ascii="Times New Roman" w:hAnsi="Times New Roman" w:eastAsia="宋体" w:cs="Times New Roman"/>
                <w:i w:val="0"/>
                <w:iCs w:val="0"/>
                <w:color w:val="auto"/>
                <w:sz w:val="24"/>
                <w:szCs w:val="24"/>
                <w:highlight w:val="none"/>
              </w:rPr>
              <w:t>/a，SS排放量为</w:t>
            </w:r>
            <w:r>
              <w:rPr>
                <w:rFonts w:hint="eastAsia" w:cs="Times New Roman"/>
                <w:i w:val="0"/>
                <w:iCs w:val="0"/>
                <w:color w:val="auto"/>
                <w:sz w:val="24"/>
                <w:szCs w:val="24"/>
                <w:highlight w:val="none"/>
                <w:lang w:val="en-US" w:eastAsia="zh-CN"/>
              </w:rPr>
              <w:t>0.020</w:t>
            </w:r>
            <w:r>
              <w:rPr>
                <w:rFonts w:hint="default" w:ascii="Times New Roman" w:hAnsi="Times New Roman" w:eastAsia="宋体" w:cs="Times New Roman"/>
                <w:i w:val="0"/>
                <w:iCs w:val="0"/>
                <w:color w:val="auto"/>
                <w:sz w:val="24"/>
                <w:szCs w:val="24"/>
                <w:highlight w:val="none"/>
              </w:rPr>
              <w:t>t/a、排放浓度</w:t>
            </w:r>
            <w:r>
              <w:rPr>
                <w:rFonts w:hint="eastAsia" w:cs="Times New Roman"/>
                <w:i w:val="0"/>
                <w:iCs w:val="0"/>
                <w:color w:val="auto"/>
                <w:sz w:val="24"/>
                <w:szCs w:val="24"/>
                <w:highlight w:val="none"/>
                <w:lang w:val="en-US" w:eastAsia="zh-CN"/>
              </w:rPr>
              <w:t>105</w:t>
            </w:r>
            <w:r>
              <w:rPr>
                <w:rFonts w:hint="default" w:ascii="Times New Roman" w:hAnsi="Times New Roman" w:eastAsia="宋体" w:cs="Times New Roman"/>
                <w:i w:val="0"/>
                <w:iCs w:val="0"/>
                <w:color w:val="auto"/>
                <w:sz w:val="24"/>
                <w:szCs w:val="24"/>
                <w:highlight w:val="none"/>
              </w:rPr>
              <w:t>mg/L，COD排放量为</w:t>
            </w:r>
            <w:r>
              <w:rPr>
                <w:rFonts w:hint="eastAsia" w:cs="Times New Roman"/>
                <w:i w:val="0"/>
                <w:iCs w:val="0"/>
                <w:color w:val="auto"/>
                <w:sz w:val="24"/>
                <w:szCs w:val="24"/>
                <w:highlight w:val="none"/>
                <w:lang w:val="en-US" w:eastAsia="zh-CN"/>
              </w:rPr>
              <w:t>0.049</w:t>
            </w:r>
            <w:r>
              <w:rPr>
                <w:rFonts w:hint="default" w:ascii="Times New Roman" w:hAnsi="Times New Roman" w:eastAsia="宋体" w:cs="Times New Roman"/>
                <w:i w:val="0"/>
                <w:iCs w:val="0"/>
                <w:color w:val="auto"/>
                <w:sz w:val="24"/>
                <w:szCs w:val="24"/>
                <w:highlight w:val="none"/>
              </w:rPr>
              <w:t>t/a、排放浓度</w:t>
            </w:r>
            <w:r>
              <w:rPr>
                <w:rFonts w:hint="eastAsia" w:cs="Times New Roman"/>
                <w:i w:val="0"/>
                <w:iCs w:val="0"/>
                <w:color w:val="auto"/>
                <w:sz w:val="24"/>
                <w:szCs w:val="24"/>
                <w:highlight w:val="none"/>
                <w:lang w:val="en-US" w:eastAsia="zh-CN"/>
              </w:rPr>
              <w:t>255</w:t>
            </w:r>
            <w:r>
              <w:rPr>
                <w:rFonts w:hint="default" w:ascii="Times New Roman" w:hAnsi="Times New Roman" w:eastAsia="宋体" w:cs="Times New Roman"/>
                <w:i w:val="0"/>
                <w:iCs w:val="0"/>
                <w:color w:val="auto"/>
                <w:sz w:val="24"/>
                <w:szCs w:val="24"/>
                <w:highlight w:val="none"/>
              </w:rPr>
              <w:t>mg/L，BOD</w:t>
            </w:r>
            <w:r>
              <w:rPr>
                <w:rFonts w:hint="default" w:ascii="Times New Roman" w:hAnsi="Times New Roman" w:eastAsia="宋体" w:cs="Times New Roman"/>
                <w:i w:val="0"/>
                <w:iCs w:val="0"/>
                <w:color w:val="auto"/>
                <w:sz w:val="24"/>
                <w:szCs w:val="24"/>
                <w:highlight w:val="none"/>
                <w:vertAlign w:val="subscript"/>
              </w:rPr>
              <w:t>5</w:t>
            </w:r>
            <w:r>
              <w:rPr>
                <w:rFonts w:hint="default" w:ascii="Times New Roman" w:hAnsi="Times New Roman" w:eastAsia="宋体" w:cs="Times New Roman"/>
                <w:i w:val="0"/>
                <w:iCs w:val="0"/>
                <w:color w:val="auto"/>
                <w:sz w:val="24"/>
                <w:szCs w:val="24"/>
                <w:highlight w:val="none"/>
              </w:rPr>
              <w:t>排放量为</w:t>
            </w:r>
            <w:r>
              <w:rPr>
                <w:rFonts w:hint="eastAsia" w:cs="Times New Roman"/>
                <w:i w:val="0"/>
                <w:iCs w:val="0"/>
                <w:color w:val="auto"/>
                <w:sz w:val="24"/>
                <w:szCs w:val="24"/>
                <w:highlight w:val="none"/>
                <w:lang w:val="en-US" w:eastAsia="zh-CN"/>
              </w:rPr>
              <w:t>0.026</w:t>
            </w:r>
            <w:r>
              <w:rPr>
                <w:rFonts w:hint="default" w:ascii="Times New Roman" w:hAnsi="Times New Roman" w:eastAsia="宋体" w:cs="Times New Roman"/>
                <w:i w:val="0"/>
                <w:iCs w:val="0"/>
                <w:color w:val="auto"/>
                <w:sz w:val="24"/>
                <w:szCs w:val="24"/>
                <w:highlight w:val="none"/>
              </w:rPr>
              <w:t>t/a、排放浓度</w:t>
            </w:r>
            <w:r>
              <w:rPr>
                <w:rFonts w:hint="eastAsia" w:cs="Times New Roman"/>
                <w:i w:val="0"/>
                <w:iCs w:val="0"/>
                <w:color w:val="auto"/>
                <w:sz w:val="24"/>
                <w:szCs w:val="24"/>
                <w:highlight w:val="none"/>
                <w:lang w:val="en-US" w:eastAsia="zh-CN"/>
              </w:rPr>
              <w:t>136.5</w:t>
            </w:r>
            <w:r>
              <w:rPr>
                <w:rFonts w:hint="default" w:ascii="Times New Roman" w:hAnsi="Times New Roman" w:eastAsia="宋体" w:cs="Times New Roman"/>
                <w:i w:val="0"/>
                <w:iCs w:val="0"/>
                <w:color w:val="auto"/>
                <w:sz w:val="24"/>
                <w:szCs w:val="24"/>
                <w:highlight w:val="none"/>
              </w:rPr>
              <w:t>mg/L，氨氮排放量为</w:t>
            </w:r>
            <w:r>
              <w:rPr>
                <w:rFonts w:hint="eastAsia" w:eastAsia="宋体" w:cs="Times New Roman"/>
                <w:i w:val="0"/>
                <w:iCs w:val="0"/>
                <w:color w:val="auto"/>
                <w:sz w:val="24"/>
                <w:szCs w:val="24"/>
                <w:highlight w:val="none"/>
                <w:lang w:val="en-US" w:eastAsia="zh-CN"/>
              </w:rPr>
              <w:t>0.004</w:t>
            </w:r>
            <w:r>
              <w:rPr>
                <w:rFonts w:hint="default" w:ascii="Times New Roman" w:hAnsi="Times New Roman" w:eastAsia="宋体" w:cs="Times New Roman"/>
                <w:i w:val="0"/>
                <w:iCs w:val="0"/>
                <w:color w:val="auto"/>
                <w:sz w:val="24"/>
                <w:szCs w:val="24"/>
                <w:highlight w:val="none"/>
                <w:vertAlign w:val="baseline"/>
              </w:rPr>
              <w:t>t</w:t>
            </w:r>
            <w:r>
              <w:rPr>
                <w:rFonts w:hint="default" w:ascii="Times New Roman" w:hAnsi="Times New Roman" w:eastAsia="宋体" w:cs="Times New Roman"/>
                <w:i w:val="0"/>
                <w:iCs w:val="0"/>
                <w:color w:val="auto"/>
                <w:sz w:val="24"/>
                <w:szCs w:val="24"/>
                <w:highlight w:val="none"/>
              </w:rPr>
              <w:t>/a、排放浓度</w:t>
            </w:r>
            <w:r>
              <w:rPr>
                <w:rFonts w:hint="eastAsia" w:eastAsia="宋体" w:cs="Times New Roman"/>
                <w:i w:val="0"/>
                <w:iCs w:val="0"/>
                <w:color w:val="auto"/>
                <w:sz w:val="24"/>
                <w:szCs w:val="24"/>
                <w:highlight w:val="none"/>
                <w:lang w:val="en-US" w:eastAsia="zh-CN"/>
              </w:rPr>
              <w:t>19.4</w:t>
            </w:r>
            <w:r>
              <w:rPr>
                <w:rFonts w:hint="default" w:ascii="Times New Roman" w:hAnsi="Times New Roman" w:eastAsia="宋体" w:cs="Times New Roman"/>
                <w:i w:val="0"/>
                <w:iCs w:val="0"/>
                <w:color w:val="auto"/>
                <w:sz w:val="24"/>
                <w:szCs w:val="24"/>
                <w:highlight w:val="none"/>
              </w:rPr>
              <w:t>mg/L，</w:t>
            </w:r>
            <w:r>
              <w:rPr>
                <w:rFonts w:hint="eastAsia" w:cs="Times New Roman"/>
                <w:i w:val="0"/>
                <w:iCs w:val="0"/>
                <w:color w:val="auto"/>
                <w:sz w:val="24"/>
                <w:szCs w:val="24"/>
                <w:highlight w:val="none"/>
                <w:lang w:val="en-US" w:eastAsia="zh-CN"/>
              </w:rPr>
              <w:t>总氮</w:t>
            </w:r>
            <w:r>
              <w:rPr>
                <w:rFonts w:hint="default" w:ascii="Times New Roman" w:hAnsi="Times New Roman" w:eastAsia="宋体" w:cs="Times New Roman"/>
                <w:i w:val="0"/>
                <w:iCs w:val="0"/>
                <w:color w:val="auto"/>
                <w:sz w:val="24"/>
                <w:szCs w:val="24"/>
                <w:highlight w:val="none"/>
              </w:rPr>
              <w:t>排放量为</w:t>
            </w:r>
            <w:r>
              <w:rPr>
                <w:rFonts w:hint="eastAsia" w:cs="Times New Roman"/>
                <w:i w:val="0"/>
                <w:iCs w:val="0"/>
                <w:color w:val="auto"/>
                <w:sz w:val="24"/>
                <w:szCs w:val="24"/>
                <w:highlight w:val="none"/>
                <w:lang w:val="en-US" w:eastAsia="zh-CN"/>
              </w:rPr>
              <w:t>0.007</w:t>
            </w:r>
            <w:r>
              <w:rPr>
                <w:rFonts w:hint="default" w:ascii="Times New Roman" w:hAnsi="Times New Roman" w:eastAsia="宋体" w:cs="Times New Roman"/>
                <w:i w:val="0"/>
                <w:iCs w:val="0"/>
                <w:color w:val="auto"/>
                <w:sz w:val="24"/>
                <w:szCs w:val="24"/>
                <w:highlight w:val="none"/>
                <w:vertAlign w:val="baseline"/>
              </w:rPr>
              <w:t>t</w:t>
            </w:r>
            <w:r>
              <w:rPr>
                <w:rFonts w:hint="default" w:ascii="Times New Roman" w:hAnsi="Times New Roman" w:eastAsia="宋体" w:cs="Times New Roman"/>
                <w:i w:val="0"/>
                <w:iCs w:val="0"/>
                <w:color w:val="auto"/>
                <w:sz w:val="24"/>
                <w:szCs w:val="24"/>
                <w:highlight w:val="none"/>
              </w:rPr>
              <w:t>/a、排放浓度</w:t>
            </w:r>
            <w:r>
              <w:rPr>
                <w:rFonts w:hint="eastAsia" w:cs="Times New Roman"/>
                <w:i w:val="0"/>
                <w:iCs w:val="0"/>
                <w:color w:val="auto"/>
                <w:sz w:val="24"/>
                <w:szCs w:val="24"/>
                <w:highlight w:val="none"/>
                <w:lang w:val="en-US" w:eastAsia="zh-CN"/>
              </w:rPr>
              <w:t>38</w:t>
            </w:r>
            <w:r>
              <w:rPr>
                <w:rFonts w:hint="default" w:ascii="Times New Roman" w:hAnsi="Times New Roman" w:eastAsia="宋体" w:cs="Times New Roman"/>
                <w:i w:val="0"/>
                <w:iCs w:val="0"/>
                <w:color w:val="auto"/>
                <w:sz w:val="24"/>
                <w:szCs w:val="24"/>
                <w:highlight w:val="none"/>
              </w:rPr>
              <w:t>mg/L，</w:t>
            </w:r>
            <w:r>
              <w:rPr>
                <w:rFonts w:hint="eastAsia" w:cs="Times New Roman"/>
                <w:i w:val="0"/>
                <w:iCs w:val="0"/>
                <w:color w:val="auto"/>
                <w:sz w:val="24"/>
                <w:szCs w:val="24"/>
                <w:highlight w:val="none"/>
                <w:lang w:val="en-US" w:eastAsia="zh-CN"/>
              </w:rPr>
              <w:t>总磷</w:t>
            </w:r>
            <w:r>
              <w:rPr>
                <w:rFonts w:hint="default" w:ascii="Times New Roman" w:hAnsi="Times New Roman" w:eastAsia="宋体" w:cs="Times New Roman"/>
                <w:i w:val="0"/>
                <w:iCs w:val="0"/>
                <w:color w:val="auto"/>
                <w:sz w:val="24"/>
                <w:szCs w:val="24"/>
                <w:highlight w:val="none"/>
              </w:rPr>
              <w:t>排放量为</w:t>
            </w:r>
            <w:r>
              <w:rPr>
                <w:rFonts w:hint="eastAsia" w:cs="Times New Roman"/>
                <w:i w:val="0"/>
                <w:iCs w:val="0"/>
                <w:color w:val="auto"/>
                <w:sz w:val="24"/>
                <w:szCs w:val="24"/>
                <w:highlight w:val="none"/>
                <w:lang w:val="en-US" w:eastAsia="zh-CN"/>
              </w:rPr>
              <w:t>8.640</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eastAsia" w:cs="Times New Roman"/>
                <w:color w:val="auto"/>
                <w:sz w:val="24"/>
                <w:szCs w:val="24"/>
                <w:highlight w:val="none"/>
                <w:vertAlign w:val="superscript"/>
                <w:lang w:val="en-US" w:eastAsia="zh-CN"/>
              </w:rPr>
              <w:t>-4</w:t>
            </w:r>
            <w:r>
              <w:rPr>
                <w:rFonts w:hint="default" w:ascii="Times New Roman" w:hAnsi="Times New Roman" w:eastAsia="宋体" w:cs="Times New Roman"/>
                <w:i w:val="0"/>
                <w:iCs w:val="0"/>
                <w:color w:val="auto"/>
                <w:sz w:val="24"/>
                <w:szCs w:val="24"/>
                <w:highlight w:val="none"/>
                <w:vertAlign w:val="baseline"/>
              </w:rPr>
              <w:t>t</w:t>
            </w:r>
            <w:r>
              <w:rPr>
                <w:rFonts w:hint="default" w:ascii="Times New Roman" w:hAnsi="Times New Roman" w:eastAsia="宋体" w:cs="Times New Roman"/>
                <w:i w:val="0"/>
                <w:iCs w:val="0"/>
                <w:color w:val="auto"/>
                <w:sz w:val="24"/>
                <w:szCs w:val="24"/>
                <w:highlight w:val="none"/>
              </w:rPr>
              <w:t>/a、排放浓度</w:t>
            </w:r>
            <w:r>
              <w:rPr>
                <w:rFonts w:hint="eastAsia" w:cs="Times New Roman"/>
                <w:i w:val="0"/>
                <w:iCs w:val="0"/>
                <w:color w:val="auto"/>
                <w:sz w:val="24"/>
                <w:szCs w:val="24"/>
                <w:highlight w:val="none"/>
                <w:lang w:val="en-US" w:eastAsia="zh-CN"/>
              </w:rPr>
              <w:t>4.5</w:t>
            </w:r>
            <w:r>
              <w:rPr>
                <w:rFonts w:hint="default" w:ascii="Times New Roman" w:hAnsi="Times New Roman" w:eastAsia="宋体" w:cs="Times New Roman"/>
                <w:i w:val="0"/>
                <w:iCs w:val="0"/>
                <w:color w:val="auto"/>
                <w:sz w:val="24"/>
                <w:szCs w:val="24"/>
                <w:highlight w:val="none"/>
              </w:rPr>
              <w:t>mg/L，</w:t>
            </w:r>
            <w:r>
              <w:rPr>
                <w:rFonts w:hint="eastAsia" w:cs="Times New Roman"/>
                <w:i w:val="0"/>
                <w:iCs w:val="0"/>
                <w:color w:val="auto"/>
                <w:sz w:val="24"/>
                <w:szCs w:val="24"/>
                <w:highlight w:val="none"/>
                <w:lang w:eastAsia="zh-CN"/>
              </w:rPr>
              <w:t>外排废水满足《合成树脂工业污染物排放标准》（GB31572-2015）表2间接排放标准，同时满足石家庄市栾城区污水处理中心（绿源污水处理厂）进水水质要求</w:t>
            </w:r>
            <w:r>
              <w:rPr>
                <w:rFonts w:hint="eastAsia" w:eastAsia="宋体" w:cs="Times New Roman"/>
                <w:smallCaps w:val="0"/>
                <w:color w:val="auto"/>
                <w:spacing w:val="0"/>
                <w:sz w:val="24"/>
                <w:szCs w:val="24"/>
                <w:highlight w:val="none"/>
                <w:lang w:val="en-US" w:eastAsia="zh-CN"/>
              </w:rPr>
              <w:t>。</w:t>
            </w:r>
          </w:p>
          <w:p w14:paraId="029A094C">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default"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（3）废水污染设施可行性</w:t>
            </w:r>
          </w:p>
          <w:p w14:paraId="30A3E881">
            <w:pPr>
              <w:keepNext w:val="0"/>
              <w:keepLines w:val="0"/>
              <w:suppressLineNumbers w:val="0"/>
              <w:spacing w:before="0" w:beforeLines="0" w:beforeAutospacing="0" w:after="0" w:afterLines="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化粪池对COD的去除效率为15%、对BOD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的去除效率为9%、对SS的去除效率为30%、对NH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-N的去除效率为3%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对总氮的去除效率为5%、对总磷的去除效率为10%</w:t>
            </w:r>
            <w:r>
              <w:rPr>
                <w:rFonts w:hint="default" w:ascii="Times New Roman" w:hAnsi="Times New Roman" w:eastAsia="宋体" w:cs="Times New Roman"/>
                <w:color w:val="auto"/>
                <w:sz w:val="24"/>
                <w:szCs w:val="24"/>
                <w:highlight w:val="none"/>
              </w:rPr>
              <w:t>。</w:t>
            </w:r>
          </w:p>
          <w:p w14:paraId="18D5FF04">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default"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主要控制因子处理效果一览表见表4-4。</w:t>
            </w:r>
          </w:p>
          <w:p w14:paraId="3F8614CF">
            <w:pPr>
              <w:pStyle w:val="187"/>
              <w:keepNext w:val="0"/>
              <w:keepLines w:val="0"/>
              <w:suppressLineNumbers w:val="0"/>
              <w:tabs>
                <w:tab w:val="left" w:pos="6521"/>
              </w:tabs>
              <w:spacing w:before="0" w:beforeAutospacing="0" w:after="0" w:afterAutospacing="0" w:line="440" w:lineRule="exact"/>
              <w:ind w:left="0" w:right="0"/>
              <w:rPr>
                <w:rFonts w:hint="default" w:eastAsia="宋体"/>
                <w:color w:val="auto"/>
                <w:highlight w:val="none"/>
              </w:rPr>
            </w:pPr>
            <w:r>
              <w:rPr>
                <w:rFonts w:hint="default" w:eastAsia="宋体"/>
                <w:color w:val="auto"/>
                <w:highlight w:val="none"/>
              </w:rPr>
              <w:t>表4-</w:t>
            </w:r>
            <w:r>
              <w:rPr>
                <w:rFonts w:hint="eastAsia"/>
                <w:color w:val="auto"/>
                <w:highlight w:val="none"/>
                <w:lang w:val="en-US" w:eastAsia="zh-CN"/>
              </w:rPr>
              <w:t>4</w:t>
            </w:r>
            <w:r>
              <w:rPr>
                <w:rFonts w:hint="default" w:eastAsia="宋体"/>
                <w:color w:val="auto"/>
                <w:highlight w:val="none"/>
              </w:rPr>
              <w:t xml:space="preserve">   主要控制因子处理效果一览表</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2044"/>
              <w:gridCol w:w="732"/>
              <w:gridCol w:w="745"/>
              <w:gridCol w:w="745"/>
              <w:gridCol w:w="751"/>
              <w:gridCol w:w="751"/>
              <w:gridCol w:w="751"/>
              <w:gridCol w:w="752"/>
            </w:tblGrid>
            <w:tr w14:paraId="233A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EAD871">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序号</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59B546">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处理单元</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3736E3">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pH</w:t>
                  </w:r>
                </w:p>
              </w:tc>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52FA20">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悬浮物</w:t>
                  </w:r>
                </w:p>
              </w:tc>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07DC27">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化学需氧量</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D218B0">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五日生化需氧量</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070282">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氨氮</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D0EBAC">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sz w:val="21"/>
                      <w:szCs w:val="18"/>
                      <w:highlight w:val="none"/>
                      <w:lang w:val="en-US" w:eastAsia="zh-CN"/>
                    </w:rPr>
                  </w:pPr>
                  <w:r>
                    <w:rPr>
                      <w:rFonts w:hint="eastAsia" w:cs="Times New Roman"/>
                      <w:smallCaps w:val="0"/>
                      <w:color w:val="auto"/>
                      <w:spacing w:val="0"/>
                      <w:sz w:val="21"/>
                      <w:szCs w:val="18"/>
                      <w:highlight w:val="none"/>
                      <w:lang w:val="en-US" w:eastAsia="zh-CN"/>
                    </w:rPr>
                    <w:t>总氮</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5E29A9">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sz w:val="21"/>
                      <w:szCs w:val="18"/>
                      <w:highlight w:val="none"/>
                      <w:lang w:val="en-US" w:eastAsia="zh-CN"/>
                    </w:rPr>
                  </w:pPr>
                  <w:r>
                    <w:rPr>
                      <w:rFonts w:hint="eastAsia" w:cs="Times New Roman"/>
                      <w:smallCaps w:val="0"/>
                      <w:color w:val="auto"/>
                      <w:spacing w:val="0"/>
                      <w:sz w:val="21"/>
                      <w:szCs w:val="18"/>
                      <w:highlight w:val="none"/>
                      <w:lang w:val="en-US" w:eastAsia="zh-CN"/>
                    </w:rPr>
                    <w:t>总磷</w:t>
                  </w:r>
                </w:p>
              </w:tc>
            </w:tr>
            <w:tr w14:paraId="5028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362F3C">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kern w:val="2"/>
                      <w:sz w:val="21"/>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044853">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生活污水进水浓度（mg/L）</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9BA08">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6~9</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8DB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i w:val="0"/>
                      <w:iCs w:val="0"/>
                      <w:color w:val="auto"/>
                      <w:kern w:val="0"/>
                      <w:sz w:val="21"/>
                      <w:szCs w:val="21"/>
                      <w:highlight w:val="none"/>
                      <w:u w:val="none"/>
                      <w:lang w:val="en-US" w:eastAsia="zh-CN" w:bidi="ar"/>
                    </w:rPr>
                    <w:t>150</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5A29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D186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621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604D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F56316">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5</w:t>
                  </w:r>
                </w:p>
              </w:tc>
            </w:tr>
            <w:tr w14:paraId="2014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AB487F">
                  <w:pPr>
                    <w:keepNext w:val="0"/>
                    <w:keepLines w:val="0"/>
                    <w:suppressLineNumbers w:val="0"/>
                    <w:spacing w:before="0" w:beforeLines="0" w:beforeAutospacing="0" w:after="0" w:afterLines="0" w:afterAutospacing="0" w:line="360" w:lineRule="exact"/>
                    <w:ind w:left="0" w:right="0"/>
                    <w:jc w:val="center"/>
                    <w:rPr>
                      <w:rFonts w:hint="eastAsia"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2</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A36635">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生活污水产生量（t/a）</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036FE0">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7ECF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0.029</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623C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0.058</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A5A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0.029</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F13C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0.004</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E65ECF">
                  <w:pPr>
                    <w:keepNext w:val="0"/>
                    <w:keepLines w:val="0"/>
                    <w:widowControl/>
                    <w:suppressLineNumbers w:val="0"/>
                    <w:spacing w:before="0" w:beforeAutospacing="0" w:after="0" w:afterAutospacing="0"/>
                    <w:ind w:left="0" w:right="0"/>
                    <w:jc w:val="center"/>
                    <w:textAlignment w:val="center"/>
                    <w:rPr>
                      <w:rFonts w:hint="default"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0.008</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A5B879">
                  <w:pPr>
                    <w:keepNext w:val="0"/>
                    <w:keepLines w:val="0"/>
                    <w:suppressLineNumbers w:val="0"/>
                    <w:spacing w:before="0" w:beforeLines="0" w:beforeAutospacing="0" w:after="0" w:afterLines="0" w:afterAutospacing="0" w:line="360" w:lineRule="exact"/>
                    <w:ind w:left="0" w:right="0"/>
                    <w:jc w:val="center"/>
                    <w:rPr>
                      <w:rFonts w:hint="default"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9.6</w:t>
                  </w:r>
                  <w:r>
                    <w:rPr>
                      <w:rFonts w:hint="default" w:ascii="Times New Roman" w:hAnsi="Times New Roman" w:eastAsia="宋体" w:cs="Times New Roman"/>
                      <w:color w:val="auto"/>
                      <w:sz w:val="21"/>
                      <w:szCs w:val="24"/>
                      <w:highlight w:val="none"/>
                      <w:lang w:val="en-US" w:eastAsia="zh-CN"/>
                    </w:rPr>
                    <w:t>×</w:t>
                  </w:r>
                  <w:r>
                    <w:rPr>
                      <w:rFonts w:hint="eastAsia" w:eastAsia="宋体" w:cs="Times New Roman"/>
                      <w:color w:val="auto"/>
                      <w:sz w:val="21"/>
                      <w:szCs w:val="24"/>
                      <w:highlight w:val="none"/>
                      <w:lang w:val="en-US" w:eastAsia="zh-CN"/>
                    </w:rPr>
                    <w:t>10</w:t>
                  </w:r>
                  <w:r>
                    <w:rPr>
                      <w:rFonts w:hint="eastAsia" w:eastAsia="宋体" w:cs="Times New Roman"/>
                      <w:color w:val="auto"/>
                      <w:sz w:val="21"/>
                      <w:szCs w:val="24"/>
                      <w:highlight w:val="none"/>
                      <w:vertAlign w:val="superscript"/>
                      <w:lang w:val="en-US" w:eastAsia="zh-CN"/>
                    </w:rPr>
                    <w:t>-4</w:t>
                  </w:r>
                </w:p>
              </w:tc>
            </w:tr>
            <w:tr w14:paraId="7AEA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5C9483">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3</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821FD">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化粪池去除效率（%）</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76C2F">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val="en-US" w:eastAsia="zh-CN"/>
                    </w:rPr>
                    <w:t>-</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2968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414D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8960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53F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A632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5A27BE">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10</w:t>
                  </w:r>
                </w:p>
              </w:tc>
            </w:tr>
            <w:tr w14:paraId="7845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244879">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4</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7036E6">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val="en-US" w:eastAsia="zh-CN"/>
                    </w:rPr>
                    <w:t>生活污水</w:t>
                  </w:r>
                </w:p>
                <w:p w14:paraId="6CE4426B">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排放浓度（mg/L）</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C7F4A">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val="en-US" w:eastAsia="zh-CN"/>
                    </w:rPr>
                    <w:t>-</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9A53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105</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8F18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255</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B4E7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136.5</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00A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19.4</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EFAED0">
                  <w:pPr>
                    <w:keepNext w:val="0"/>
                    <w:keepLines w:val="0"/>
                    <w:widowControl/>
                    <w:suppressLineNumbers w:val="0"/>
                    <w:spacing w:before="0" w:beforeAutospacing="0" w:after="0" w:afterAutospacing="0"/>
                    <w:ind w:left="0" w:right="0"/>
                    <w:jc w:val="center"/>
                    <w:textAlignment w:val="center"/>
                    <w:rPr>
                      <w:rFonts w:hint="default" w:eastAsia="宋体" w:cs="Times New Roman"/>
                      <w:color w:val="auto"/>
                      <w:sz w:val="21"/>
                      <w:szCs w:val="24"/>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914E5D">
                  <w:pPr>
                    <w:keepNext w:val="0"/>
                    <w:keepLines w:val="0"/>
                    <w:suppressLineNumbers w:val="0"/>
                    <w:spacing w:before="0" w:beforeLines="0" w:beforeAutospacing="0" w:after="0" w:afterLines="0" w:afterAutospacing="0" w:line="360" w:lineRule="exact"/>
                    <w:ind w:left="0" w:right="0"/>
                    <w:jc w:val="center"/>
                    <w:rPr>
                      <w:rFonts w:hint="default"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4.5</w:t>
                  </w:r>
                </w:p>
              </w:tc>
            </w:tr>
            <w:tr w14:paraId="3AD3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B2B708">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5</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AA73BC">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生活污水排放量（t/a）</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87EF89">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C20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0.020</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BD5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0.049</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01C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0.026</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48C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0.004</w:t>
                  </w:r>
                </w:p>
              </w:tc>
              <w:tc>
                <w:tcPr>
                  <w:tcW w:w="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DAA44">
                  <w:pPr>
                    <w:keepNext w:val="0"/>
                    <w:keepLines w:val="0"/>
                    <w:widowControl/>
                    <w:suppressLineNumbers w:val="0"/>
                    <w:spacing w:before="0" w:beforeAutospacing="0" w:after="0" w:afterAutospacing="0"/>
                    <w:ind w:left="0" w:right="0"/>
                    <w:jc w:val="center"/>
                    <w:textAlignment w:val="center"/>
                    <w:rPr>
                      <w:rFonts w:hint="default"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0.007</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C9AC95">
                  <w:pPr>
                    <w:keepNext w:val="0"/>
                    <w:keepLines w:val="0"/>
                    <w:suppressLineNumbers w:val="0"/>
                    <w:spacing w:before="0" w:beforeLines="0" w:beforeAutospacing="0" w:after="0" w:afterLines="0" w:afterAutospacing="0" w:line="360" w:lineRule="exact"/>
                    <w:ind w:left="0" w:right="0"/>
                    <w:jc w:val="center"/>
                    <w:rPr>
                      <w:rFonts w:hint="eastAsia"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8.64</w:t>
                  </w:r>
                </w:p>
                <w:p w14:paraId="1A9B2CF0">
                  <w:pPr>
                    <w:keepNext w:val="0"/>
                    <w:keepLines w:val="0"/>
                    <w:suppressLineNumbers w:val="0"/>
                    <w:spacing w:before="0" w:beforeLines="0" w:beforeAutospacing="0" w:after="0" w:afterLines="0" w:afterAutospacing="0" w:line="360" w:lineRule="exact"/>
                    <w:ind w:left="0" w:right="0"/>
                    <w:jc w:val="center"/>
                    <w:rPr>
                      <w:rFonts w:hint="default"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w:t>
                  </w:r>
                  <w:r>
                    <w:rPr>
                      <w:rFonts w:hint="eastAsia" w:eastAsia="宋体" w:cs="Times New Roman"/>
                      <w:color w:val="auto"/>
                      <w:sz w:val="21"/>
                      <w:szCs w:val="24"/>
                      <w:highlight w:val="none"/>
                      <w:lang w:val="en-US" w:eastAsia="zh-CN"/>
                    </w:rPr>
                    <w:t>10</w:t>
                  </w:r>
                  <w:r>
                    <w:rPr>
                      <w:rFonts w:hint="eastAsia" w:eastAsia="宋体" w:cs="Times New Roman"/>
                      <w:color w:val="auto"/>
                      <w:sz w:val="21"/>
                      <w:szCs w:val="24"/>
                      <w:highlight w:val="none"/>
                      <w:vertAlign w:val="superscript"/>
                      <w:lang w:val="en-US" w:eastAsia="zh-CN"/>
                    </w:rPr>
                    <w:t>-4</w:t>
                  </w:r>
                </w:p>
              </w:tc>
            </w:tr>
            <w:tr w14:paraId="378C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AF98EE">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6</w:t>
                  </w:r>
                </w:p>
              </w:tc>
              <w:tc>
                <w:tcPr>
                  <w:tcW w:w="13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FEFEBD">
                  <w:pPr>
                    <w:keepNext w:val="0"/>
                    <w:keepLines w:val="0"/>
                    <w:suppressLineNumbers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eastAsia" w:cs="Times New Roman"/>
                      <w:color w:val="auto"/>
                      <w:sz w:val="21"/>
                      <w:szCs w:val="24"/>
                      <w:highlight w:val="none"/>
                      <w:lang w:eastAsia="zh-CN"/>
                    </w:rPr>
                    <w:t>《合成树脂工业污染物排放标准》（GB31572-2015）表2间接排放标准，同时满足石家庄市栾城区污水处理中心（绿源污水处理厂）进水水质要求</w:t>
                  </w:r>
                  <w:r>
                    <w:rPr>
                      <w:rFonts w:hint="default" w:ascii="Times New Roman" w:hAnsi="Times New Roman" w:eastAsia="宋体" w:cs="Times New Roman"/>
                      <w:color w:val="auto"/>
                      <w:sz w:val="21"/>
                      <w:szCs w:val="24"/>
                      <w:highlight w:val="none"/>
                    </w:rPr>
                    <w:t>（mg/L）</w:t>
                  </w:r>
                </w:p>
              </w:tc>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A2CB42">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default" w:ascii="Times New Roman" w:hAnsi="Times New Roman" w:eastAsia="宋体" w:cs="Times New Roman"/>
                      <w:smallCaps w:val="0"/>
                      <w:color w:val="auto"/>
                      <w:spacing w:val="0"/>
                      <w:sz w:val="21"/>
                      <w:szCs w:val="18"/>
                      <w:highlight w:val="none"/>
                      <w:lang w:val="en-US" w:eastAsia="zh-CN"/>
                    </w:rPr>
                    <w:t>6~9</w:t>
                  </w:r>
                </w:p>
              </w:tc>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4B0944">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eastAsia" w:eastAsia="宋体" w:cs="Times New Roman"/>
                      <w:smallCaps w:val="0"/>
                      <w:color w:val="auto"/>
                      <w:spacing w:val="0"/>
                      <w:kern w:val="2"/>
                      <w:sz w:val="21"/>
                      <w:szCs w:val="18"/>
                      <w:highlight w:val="none"/>
                      <w:lang w:val="en-US" w:eastAsia="zh-CN" w:bidi="ar-SA"/>
                    </w:rPr>
                    <w:t>200</w:t>
                  </w:r>
                </w:p>
              </w:tc>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909EE8">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eastAsia" w:ascii="Times New Roman" w:hAnsi="Times New Roman" w:eastAsia="宋体" w:cs="Times New Roman"/>
                      <w:smallCaps w:val="0"/>
                      <w:color w:val="auto"/>
                      <w:spacing w:val="0"/>
                      <w:kern w:val="2"/>
                      <w:sz w:val="21"/>
                      <w:szCs w:val="18"/>
                      <w:highlight w:val="none"/>
                      <w:lang w:val="en-US" w:eastAsia="zh-CN" w:bidi="ar-SA"/>
                    </w:rPr>
                    <w:t>450</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09C745">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eastAsia" w:ascii="Times New Roman" w:hAnsi="Times New Roman" w:eastAsia="宋体" w:cs="Times New Roman"/>
                      <w:smallCaps w:val="0"/>
                      <w:color w:val="auto"/>
                      <w:spacing w:val="0"/>
                      <w:kern w:val="2"/>
                      <w:sz w:val="21"/>
                      <w:szCs w:val="18"/>
                      <w:highlight w:val="none"/>
                      <w:lang w:val="en-US" w:eastAsia="zh-CN" w:bidi="ar-SA"/>
                    </w:rPr>
                    <w:t>160</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3EA8BA">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kern w:val="2"/>
                      <w:sz w:val="21"/>
                      <w:szCs w:val="18"/>
                      <w:highlight w:val="none"/>
                      <w:lang w:val="en-US" w:eastAsia="zh-CN" w:bidi="ar-SA"/>
                    </w:rPr>
                  </w:pPr>
                  <w:r>
                    <w:rPr>
                      <w:rFonts w:hint="eastAsia" w:ascii="Times New Roman" w:hAnsi="Times New Roman" w:eastAsia="宋体" w:cs="Times New Roman"/>
                      <w:smallCaps w:val="0"/>
                      <w:color w:val="auto"/>
                      <w:spacing w:val="0"/>
                      <w:kern w:val="2"/>
                      <w:sz w:val="21"/>
                      <w:szCs w:val="18"/>
                      <w:highlight w:val="none"/>
                      <w:lang w:val="en-US" w:eastAsia="zh-CN" w:bidi="ar-SA"/>
                    </w:rPr>
                    <w:t>45</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562722">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cs="Times New Roman"/>
                      <w:smallCaps w:val="0"/>
                      <w:color w:val="auto"/>
                      <w:spacing w:val="0"/>
                      <w:kern w:val="2"/>
                      <w:sz w:val="21"/>
                      <w:szCs w:val="18"/>
                      <w:highlight w:val="none"/>
                      <w:lang w:val="en-US" w:eastAsia="zh-CN" w:bidi="ar-SA"/>
                    </w:rPr>
                  </w:pPr>
                  <w:r>
                    <w:rPr>
                      <w:rFonts w:hint="eastAsia" w:eastAsia="宋体" w:cs="Times New Roman"/>
                      <w:smallCaps w:val="0"/>
                      <w:color w:val="auto"/>
                      <w:spacing w:val="0"/>
                      <w:kern w:val="2"/>
                      <w:sz w:val="21"/>
                      <w:szCs w:val="18"/>
                      <w:highlight w:val="none"/>
                      <w:lang w:val="en-US" w:eastAsia="zh-CN" w:bidi="ar-SA"/>
                    </w:rPr>
                    <w:t>60</w:t>
                  </w:r>
                </w:p>
              </w:tc>
              <w:tc>
                <w:tcPr>
                  <w:tcW w:w="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F5E784">
                  <w:pPr>
                    <w:keepNext w:val="0"/>
                    <w:keepLines w:val="0"/>
                    <w:suppressLineNumbers w:val="0"/>
                    <w:autoSpaceDE w:val="0"/>
                    <w:autoSpaceDN w:val="0"/>
                    <w:adjustRightInd w:val="0"/>
                    <w:spacing w:before="0" w:beforeAutospacing="0" w:after="0" w:afterAutospacing="0" w:line="320" w:lineRule="exact"/>
                    <w:ind w:left="0" w:right="0"/>
                    <w:jc w:val="center"/>
                    <w:rPr>
                      <w:rFonts w:hint="default" w:eastAsia="宋体" w:cs="Times New Roman"/>
                      <w:smallCaps w:val="0"/>
                      <w:color w:val="auto"/>
                      <w:spacing w:val="0"/>
                      <w:kern w:val="2"/>
                      <w:sz w:val="21"/>
                      <w:szCs w:val="18"/>
                      <w:highlight w:val="none"/>
                      <w:lang w:val="en-US" w:eastAsia="zh-CN" w:bidi="ar-SA"/>
                    </w:rPr>
                  </w:pPr>
                  <w:r>
                    <w:rPr>
                      <w:rFonts w:hint="eastAsia" w:cs="Times New Roman"/>
                      <w:smallCaps w:val="0"/>
                      <w:color w:val="auto"/>
                      <w:spacing w:val="0"/>
                      <w:kern w:val="2"/>
                      <w:sz w:val="21"/>
                      <w:szCs w:val="18"/>
                      <w:highlight w:val="none"/>
                      <w:lang w:val="en-US" w:eastAsia="zh-CN" w:bidi="ar-SA"/>
                    </w:rPr>
                    <w:t>5</w:t>
                  </w:r>
                </w:p>
              </w:tc>
            </w:tr>
          </w:tbl>
          <w:p w14:paraId="183AFD74">
            <w:pPr>
              <w:keepNext w:val="0"/>
              <w:keepLines w:val="0"/>
              <w:suppressLineNumbers w:val="0"/>
              <w:spacing w:before="0" w:beforeLines="0" w:beforeAutospacing="0" w:after="0" w:afterLines="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总排口中废水</w:t>
            </w:r>
            <w:r>
              <w:rPr>
                <w:rFonts w:hint="default" w:ascii="Times New Roman" w:hAnsi="Times New Roman" w:eastAsia="宋体" w:cs="Times New Roman"/>
                <w:color w:val="auto"/>
                <w:sz w:val="24"/>
                <w:szCs w:val="24"/>
                <w:highlight w:val="none"/>
              </w:rPr>
              <w:t>满足</w:t>
            </w:r>
            <w:r>
              <w:rPr>
                <w:rFonts w:hint="eastAsia" w:cs="Times New Roman"/>
                <w:color w:val="auto"/>
                <w:sz w:val="24"/>
                <w:szCs w:val="24"/>
                <w:highlight w:val="none"/>
                <w:lang w:eastAsia="zh-CN"/>
              </w:rPr>
              <w:t>《合成树脂工业污染物排放标准》（GB31572-2015）表2间接排放标准，同时满足石家庄市栾城区污水处理中心（绿源污水处理厂）进水水质要求</w:t>
            </w:r>
            <w:r>
              <w:rPr>
                <w:rFonts w:hint="default" w:ascii="Times New Roman" w:hAnsi="Times New Roman" w:eastAsia="宋体" w:cs="Times New Roman"/>
                <w:color w:val="auto"/>
                <w:sz w:val="24"/>
                <w:szCs w:val="24"/>
                <w:highlight w:val="none"/>
              </w:rPr>
              <w:t>。</w:t>
            </w:r>
          </w:p>
          <w:p w14:paraId="05F7B4E6">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default"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（4）废水排入石家庄市栾城区污水处理中心（绿源污水处理厂）的可行性</w:t>
            </w:r>
          </w:p>
          <w:p w14:paraId="079B8E37">
            <w:pPr>
              <w:keepNext w:val="0"/>
              <w:keepLines w:val="0"/>
              <w:widowControl w:val="0"/>
              <w:suppressLineNumbers w:val="0"/>
              <w:autoSpaceDE w:val="0"/>
              <w:autoSpaceDN/>
              <w:adjustRightInd w:val="0"/>
              <w:snapToGrid w:val="0"/>
              <w:spacing w:before="0" w:beforeAutospacing="0" w:after="0" w:afterAutospacing="0" w:line="460" w:lineRule="exact"/>
              <w:ind w:left="0" w:right="0" w:firstLine="480" w:firstLineChars="200"/>
              <w:jc w:val="both"/>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石家庄市栾城区污水处理中心(绿源污水处理厂)位于石家庄栾城区灵达路以南，规划建延路以北，规划化工大街以东，化工东街以西，占地面积约为54.423亩，设计废水处理规模为3万m</w:t>
            </w:r>
            <w:r>
              <w:rPr>
                <w:rFonts w:hint="eastAsia" w:cs="Times New Roman"/>
                <w:color w:val="auto"/>
                <w:kern w:val="2"/>
                <w:sz w:val="24"/>
                <w:szCs w:val="24"/>
                <w:highlight w:val="none"/>
                <w:vertAlign w:val="superscript"/>
                <w:lang w:val="en-US" w:eastAsia="zh-CN" w:bidi="ar"/>
              </w:rPr>
              <w:t>3</w:t>
            </w:r>
            <w:r>
              <w:rPr>
                <w:rFonts w:hint="eastAsia" w:cs="Times New Roman"/>
                <w:color w:val="auto"/>
                <w:kern w:val="2"/>
                <w:sz w:val="24"/>
                <w:szCs w:val="24"/>
                <w:highlight w:val="none"/>
                <w:lang w:val="en-US" w:eastAsia="zh-CN" w:bidi="ar"/>
              </w:rPr>
              <w:t>/d，分两期进行建设。该污水处理厂采用“粗格栅-提升泵房一细格栅-旋流沉砂池-膜格栅-调节池-水解酸化池-A</w:t>
            </w:r>
            <w:r>
              <w:rPr>
                <w:rFonts w:hint="eastAsia" w:cs="Times New Roman"/>
                <w:color w:val="auto"/>
                <w:kern w:val="2"/>
                <w:sz w:val="24"/>
                <w:szCs w:val="24"/>
                <w:highlight w:val="none"/>
                <w:vertAlign w:val="superscript"/>
                <w:lang w:val="en-US" w:eastAsia="zh-CN" w:bidi="ar"/>
              </w:rPr>
              <w:t>2</w:t>
            </w:r>
            <w:r>
              <w:rPr>
                <w:rFonts w:hint="eastAsia" w:cs="Times New Roman"/>
                <w:color w:val="auto"/>
                <w:kern w:val="2"/>
                <w:sz w:val="24"/>
                <w:szCs w:val="24"/>
                <w:highlight w:val="none"/>
                <w:lang w:val="en-US" w:eastAsia="zh-CN" w:bidi="ar"/>
              </w:rPr>
              <w:t>O生化池-二沉池-MBR池-臭氧接触池-中水储池及接触消毒”工艺。进水水质要求：</w:t>
            </w:r>
            <w:r>
              <w:rPr>
                <w:rFonts w:hint="default" w:ascii="Times New Roman" w:hAnsi="Times New Roman" w:cs="Times New Roman"/>
                <w:color w:val="auto"/>
                <w:kern w:val="2"/>
                <w:sz w:val="24"/>
                <w:szCs w:val="24"/>
                <w:highlight w:val="none"/>
                <w:lang w:val="en-US" w:eastAsia="zh-CN" w:bidi="ar"/>
              </w:rPr>
              <w:t>pH6~9、COD≤450mg/L、BOD</w:t>
            </w:r>
            <w:r>
              <w:rPr>
                <w:rFonts w:hint="default" w:ascii="Times New Roman" w:hAnsi="Times New Roman" w:eastAsia="宋体" w:cs="Times New Roman"/>
                <w:i w:val="0"/>
                <w:iCs w:val="0"/>
                <w:color w:val="auto"/>
                <w:sz w:val="24"/>
                <w:szCs w:val="24"/>
                <w:highlight w:val="none"/>
                <w:vertAlign w:val="subscript"/>
              </w:rPr>
              <w:t>5</w:t>
            </w:r>
            <w:r>
              <w:rPr>
                <w:rFonts w:hint="default" w:ascii="Times New Roman" w:hAnsi="Times New Roman" w:cs="Times New Roman"/>
                <w:color w:val="auto"/>
                <w:kern w:val="2"/>
                <w:sz w:val="24"/>
                <w:szCs w:val="24"/>
                <w:highlight w:val="none"/>
                <w:lang w:val="en-US" w:eastAsia="zh-CN" w:bidi="ar"/>
              </w:rPr>
              <w:t>≤160mg/L、SS≤200mg/L、氨氨≤45mg/L，处理后出水水质同时满足《城镇污水处理厂污染物排放标准》(GB18918-2002)表1中一级A标准和《子牙河流域水污染物排放标准》(DB13/2796-2018)及修改单的要求，即：COD≤40mg/L、BOD</w:t>
            </w:r>
            <w:r>
              <w:rPr>
                <w:rFonts w:hint="default" w:ascii="Times New Roman" w:hAnsi="Times New Roman" w:cs="Times New Roman"/>
                <w:color w:val="auto"/>
                <w:kern w:val="2"/>
                <w:sz w:val="24"/>
                <w:szCs w:val="24"/>
                <w:highlight w:val="none"/>
                <w:vertAlign w:val="subscript"/>
                <w:lang w:val="en-US" w:eastAsia="zh-CN" w:bidi="ar"/>
              </w:rPr>
              <w:t>5</w:t>
            </w:r>
            <w:r>
              <w:rPr>
                <w:rFonts w:hint="default" w:ascii="Times New Roman" w:hAnsi="Times New Roman" w:cs="Times New Roman"/>
                <w:color w:val="auto"/>
                <w:kern w:val="2"/>
                <w:sz w:val="24"/>
                <w:szCs w:val="24"/>
                <w:highlight w:val="none"/>
                <w:lang w:val="en-US" w:eastAsia="zh-CN" w:bidi="ar"/>
              </w:rPr>
              <w:t>≤10mg/L、SS≤10mg/L、氨氮≤2.0(3.5)mg/L</w:t>
            </w:r>
            <w:r>
              <w:rPr>
                <w:rFonts w:hint="eastAsia" w:cs="Times New Roman"/>
                <w:color w:val="auto"/>
                <w:kern w:val="2"/>
                <w:sz w:val="24"/>
                <w:szCs w:val="24"/>
                <w:highlight w:val="none"/>
                <w:lang w:val="en-US" w:eastAsia="zh-CN" w:bidi="ar"/>
              </w:rPr>
              <w:t>。石家庄市栾城区污水处理中心(绿源污水处理厂)设计污水处理规模1万m</w:t>
            </w:r>
            <w:r>
              <w:rPr>
                <w:rFonts w:hint="eastAsia" w:cs="Times New Roman"/>
                <w:color w:val="auto"/>
                <w:kern w:val="2"/>
                <w:sz w:val="24"/>
                <w:szCs w:val="24"/>
                <w:highlight w:val="none"/>
                <w:vertAlign w:val="superscript"/>
                <w:lang w:val="en-US" w:eastAsia="zh-CN" w:bidi="ar"/>
              </w:rPr>
              <w:t>3</w:t>
            </w:r>
            <w:r>
              <w:rPr>
                <w:rFonts w:hint="eastAsia" w:cs="Times New Roman"/>
                <w:color w:val="auto"/>
                <w:kern w:val="2"/>
                <w:sz w:val="24"/>
                <w:szCs w:val="24"/>
                <w:highlight w:val="none"/>
                <w:lang w:val="en-US" w:eastAsia="zh-CN" w:bidi="ar"/>
              </w:rPr>
              <w:t>/d，实际污水处理量0.7~0.8万m</w:t>
            </w:r>
            <w:r>
              <w:rPr>
                <w:rFonts w:hint="eastAsia" w:cs="Times New Roman"/>
                <w:color w:val="auto"/>
                <w:kern w:val="2"/>
                <w:sz w:val="24"/>
                <w:szCs w:val="24"/>
                <w:highlight w:val="none"/>
                <w:vertAlign w:val="superscript"/>
                <w:lang w:val="en-US" w:eastAsia="zh-CN" w:bidi="ar"/>
              </w:rPr>
              <w:t>3</w:t>
            </w:r>
            <w:r>
              <w:rPr>
                <w:rFonts w:hint="eastAsia" w:cs="Times New Roman"/>
                <w:color w:val="auto"/>
                <w:kern w:val="2"/>
                <w:sz w:val="24"/>
                <w:szCs w:val="24"/>
                <w:highlight w:val="none"/>
                <w:lang w:val="en-US" w:eastAsia="zh-CN" w:bidi="ar"/>
              </w:rPr>
              <w:t>/d，本项目废水主要为职工生活污水，且不新增劳动定员，故不新增排水量，全厂排水量仍为0.64m</w:t>
            </w:r>
            <w:r>
              <w:rPr>
                <w:rFonts w:hint="eastAsia" w:cs="Times New Roman"/>
                <w:color w:val="auto"/>
                <w:kern w:val="2"/>
                <w:sz w:val="24"/>
                <w:szCs w:val="24"/>
                <w:highlight w:val="none"/>
                <w:vertAlign w:val="superscript"/>
                <w:lang w:val="en-US" w:eastAsia="zh-CN" w:bidi="ar"/>
              </w:rPr>
              <w:t>3</w:t>
            </w:r>
            <w:r>
              <w:rPr>
                <w:rFonts w:hint="eastAsia" w:cs="Times New Roman"/>
                <w:color w:val="auto"/>
                <w:kern w:val="2"/>
                <w:sz w:val="24"/>
                <w:szCs w:val="24"/>
                <w:highlight w:val="none"/>
                <w:lang w:val="en-US" w:eastAsia="zh-CN" w:bidi="ar"/>
              </w:rPr>
              <w:t>/d，完全有能力接收本项目排放的废水。从水量和水质角度分析，本项目废水不会对石家庄市栾城区污水处理中心（绿源污水处理厂）的运行造成冲击，因此本项目废水排入石家庄市栾城区污水处理中心（绿源污水处理厂）是可行的。</w:t>
            </w:r>
          </w:p>
          <w:p w14:paraId="5D3625D8">
            <w:pPr>
              <w:keepNext w:val="0"/>
              <w:keepLines w:val="0"/>
              <w:suppressLineNumbers w:val="0"/>
              <w:spacing w:before="0" w:beforeLines="0" w:beforeAutospacing="0" w:after="0" w:afterLines="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）排放口信息</w:t>
            </w:r>
          </w:p>
          <w:p w14:paraId="773B6B73">
            <w:pPr>
              <w:keepNext w:val="0"/>
              <w:keepLines w:val="0"/>
              <w:suppressLineNumbers w:val="0"/>
              <w:spacing w:before="0" w:beforeLines="0" w:beforeAutospacing="0" w:after="0" w:afterLines="0" w:afterAutospacing="0"/>
              <w:ind w:left="0" w:right="0" w:firstLine="480" w:firstLineChars="200"/>
              <w:jc w:val="left"/>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项目废水排放信息见下表。</w:t>
            </w:r>
          </w:p>
          <w:p w14:paraId="2C6E02F9">
            <w:pPr>
              <w:pStyle w:val="187"/>
              <w:keepNext w:val="0"/>
              <w:keepLines w:val="0"/>
              <w:suppressLineNumbers w:val="0"/>
              <w:tabs>
                <w:tab w:val="left" w:pos="6521"/>
              </w:tabs>
              <w:spacing w:before="0" w:beforeAutospacing="0" w:after="0" w:afterAutospacing="0" w:line="440" w:lineRule="exact"/>
              <w:ind w:left="0" w:right="0"/>
              <w:rPr>
                <w:rFonts w:hint="default" w:eastAsia="宋体"/>
                <w:color w:val="auto"/>
                <w:highlight w:val="none"/>
              </w:rPr>
            </w:pPr>
            <w:r>
              <w:rPr>
                <w:rFonts w:hint="default" w:eastAsia="宋体"/>
                <w:color w:val="auto"/>
                <w:highlight w:val="none"/>
              </w:rPr>
              <w:t>表4-</w:t>
            </w:r>
            <w:r>
              <w:rPr>
                <w:rFonts w:hint="eastAsia"/>
                <w:color w:val="auto"/>
                <w:highlight w:val="none"/>
                <w:lang w:val="en-US" w:eastAsia="zh-CN"/>
              </w:rPr>
              <w:t>5</w:t>
            </w:r>
            <w:r>
              <w:rPr>
                <w:rFonts w:hint="default" w:eastAsia="宋体"/>
                <w:color w:val="auto"/>
                <w:highlight w:val="none"/>
              </w:rPr>
              <w:t xml:space="preserve">    废水类别、污染物及污染治理设施信息表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540"/>
              <w:gridCol w:w="816"/>
              <w:gridCol w:w="1501"/>
              <w:gridCol w:w="623"/>
              <w:gridCol w:w="681"/>
              <w:gridCol w:w="669"/>
              <w:gridCol w:w="808"/>
              <w:gridCol w:w="698"/>
              <w:gridCol w:w="582"/>
              <w:gridCol w:w="555"/>
            </w:tblGrid>
            <w:tr w14:paraId="1258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blHeader/>
                <w:jc w:val="center"/>
              </w:trPr>
              <w:tc>
                <w:tcPr>
                  <w:tcW w:w="23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5206C4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4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10E2EA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废水类别</w:t>
                  </w:r>
                </w:p>
              </w:tc>
              <w:tc>
                <w:tcPr>
                  <w:tcW w:w="5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28B12E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95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498EEC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排放去向</w:t>
                  </w:r>
                </w:p>
              </w:tc>
              <w:tc>
                <w:tcPr>
                  <w:tcW w:w="39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6CDEBD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排放规律</w:t>
                  </w:r>
                </w:p>
              </w:tc>
              <w:tc>
                <w:tcPr>
                  <w:tcW w:w="137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6C6042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w:t>
                  </w:r>
                </w:p>
              </w:tc>
              <w:tc>
                <w:tcPr>
                  <w:tcW w:w="44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6AD160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tc>
              <w:tc>
                <w:tcPr>
                  <w:tcW w:w="37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AD42D9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排放口设置是否符合要求</w:t>
                  </w:r>
                </w:p>
              </w:tc>
              <w:tc>
                <w:tcPr>
                  <w:tcW w:w="35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316D2A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排放口类型</w:t>
                  </w:r>
                </w:p>
              </w:tc>
            </w:tr>
            <w:tr w14:paraId="20AE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23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510E63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E19BB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81B86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F0AF2D">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DB5C1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713F0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w:t>
                  </w:r>
                </w:p>
                <w:p w14:paraId="5E106F0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AC9A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污染治理设施名称</w:t>
                  </w: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26221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污染治理设施工艺</w:t>
                  </w:r>
                </w:p>
              </w:tc>
              <w:tc>
                <w:tcPr>
                  <w:tcW w:w="44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A51546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7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3FE787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5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DEC3C7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r>
            <w:tr w14:paraId="4522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2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B2034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22470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职工生活废水</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8807EA">
                  <w:pPr>
                    <w:pStyle w:val="224"/>
                    <w:keepNext w:val="0"/>
                    <w:keepLines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w:t>
                  </w:r>
                  <w:r>
                    <w:rPr>
                      <w:rFonts w:hint="eastAsia" w:cs="Times New Roman"/>
                      <w:color w:val="auto"/>
                      <w:sz w:val="21"/>
                      <w:szCs w:val="21"/>
                      <w:highlight w:val="none"/>
                      <w:lang w:eastAsia="zh-CN"/>
                    </w:rPr>
                    <w:t>氨氮、总氮、总磷</w:t>
                  </w:r>
                </w:p>
              </w:tc>
              <w:tc>
                <w:tcPr>
                  <w:tcW w:w="956" w:type="pct"/>
                  <w:tcBorders>
                    <w:top w:val="single" w:color="auto" w:sz="4" w:space="0"/>
                    <w:left w:val="single" w:color="auto" w:sz="4" w:space="0"/>
                    <w:right w:val="single" w:color="auto" w:sz="4" w:space="0"/>
                    <w:tl2br w:val="nil"/>
                    <w:tr2bl w:val="nil"/>
                  </w:tcBorders>
                  <w:noWrap w:val="0"/>
                  <w:vAlign w:val="center"/>
                </w:tcPr>
                <w:p w14:paraId="382FF8A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eastAsia="zh-CN"/>
                    </w:rPr>
                    <w:t>集成式生物化粪池</w:t>
                  </w:r>
                  <w:r>
                    <w:rPr>
                      <w:rFonts w:hint="default" w:ascii="Times New Roman" w:hAnsi="Times New Roman" w:eastAsia="宋体" w:cs="Times New Roman"/>
                      <w:color w:val="auto"/>
                      <w:sz w:val="21"/>
                      <w:szCs w:val="21"/>
                      <w:highlight w:val="none"/>
                      <w:lang w:eastAsia="zh-CN"/>
                    </w:rPr>
                    <w:t>初步处理后之后排入</w:t>
                  </w:r>
                  <w:r>
                    <w:rPr>
                      <w:rFonts w:hint="eastAsia" w:ascii="Times New Roman" w:hAnsi="Times New Roman" w:eastAsia="宋体" w:cs="Times New Roman"/>
                      <w:color w:val="auto"/>
                      <w:sz w:val="21"/>
                      <w:szCs w:val="21"/>
                      <w:highlight w:val="none"/>
                      <w:lang w:eastAsia="zh-CN"/>
                    </w:rPr>
                    <w:t>石家庄市栾城区污水处理中心（绿源污水处理厂）</w:t>
                  </w:r>
                </w:p>
              </w:tc>
              <w:tc>
                <w:tcPr>
                  <w:tcW w:w="397" w:type="pct"/>
                  <w:tcBorders>
                    <w:top w:val="single" w:color="auto" w:sz="4" w:space="0"/>
                    <w:left w:val="single" w:color="auto" w:sz="4" w:space="0"/>
                    <w:right w:val="single" w:color="auto" w:sz="4" w:space="0"/>
                    <w:tl2br w:val="nil"/>
                    <w:tr2bl w:val="nil"/>
                  </w:tcBorders>
                  <w:noWrap w:val="0"/>
                  <w:vAlign w:val="center"/>
                </w:tcPr>
                <w:p w14:paraId="232FEF5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间断排放，排放期间流量不稳定且无规律，但不属于冲击性排放</w:t>
                  </w: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F2B5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rPr>
                    <w:t>001</w:t>
                  </w:r>
                </w:p>
              </w:tc>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7C062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82315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w:t>
                  </w:r>
                </w:p>
              </w:tc>
              <w:tc>
                <w:tcPr>
                  <w:tcW w:w="4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0C3C5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w:t>
                  </w:r>
                </w:p>
              </w:tc>
              <w:tc>
                <w:tcPr>
                  <w:tcW w:w="3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538D5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c>
                <w:tcPr>
                  <w:tcW w:w="353" w:type="pct"/>
                  <w:tcBorders>
                    <w:top w:val="single" w:color="auto" w:sz="4" w:space="0"/>
                    <w:left w:val="single" w:color="auto" w:sz="4" w:space="0"/>
                    <w:right w:val="single" w:color="auto" w:sz="4" w:space="0"/>
                    <w:tl2br w:val="nil"/>
                    <w:tr2bl w:val="nil"/>
                  </w:tcBorders>
                  <w:noWrap w:val="0"/>
                  <w:vAlign w:val="center"/>
                </w:tcPr>
                <w:p w14:paraId="4391A64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污水总排口</w:t>
                  </w:r>
                </w:p>
              </w:tc>
            </w:tr>
          </w:tbl>
          <w:p w14:paraId="2A40D58E">
            <w:pPr>
              <w:keepNext w:val="0"/>
              <w:keepLines w:val="0"/>
              <w:numPr>
                <w:ilvl w:val="1"/>
                <w:numId w:val="0"/>
              </w:numPr>
              <w:suppressLineNumbers w:val="0"/>
              <w:spacing w:before="0" w:beforeLines="0" w:beforeAutospacing="0" w:after="0" w:afterLines="0" w:afterAutospacing="0"/>
              <w:ind w:left="0" w:right="0" w:firstLine="480" w:firstLineChars="200"/>
              <w:jc w:val="center"/>
              <w:rPr>
                <w:rFonts w:hint="default" w:ascii="Times New Roman" w:hAnsi="Times New Roman" w:eastAsia="宋体" w:cs="Times New Roman"/>
                <w:b/>
                <w:i w:val="0"/>
                <w:iCs w:val="0"/>
                <w:snapToGrid w:val="0"/>
                <w:color w:val="auto"/>
                <w:sz w:val="24"/>
                <w:szCs w:val="24"/>
                <w:highlight w:val="none"/>
              </w:rPr>
            </w:pPr>
            <w:r>
              <w:rPr>
                <w:rFonts w:hint="default" w:ascii="Times New Roman" w:hAnsi="Times New Roman" w:eastAsia="宋体" w:cs="Times New Roman"/>
                <w:b/>
                <w:i w:val="0"/>
                <w:iCs w:val="0"/>
                <w:snapToGrid w:val="0"/>
                <w:color w:val="auto"/>
                <w:sz w:val="24"/>
                <w:szCs w:val="24"/>
                <w:highlight w:val="none"/>
              </w:rPr>
              <w:t>表4-</w:t>
            </w:r>
            <w:r>
              <w:rPr>
                <w:rFonts w:hint="eastAsia" w:cs="Times New Roman"/>
                <w:b/>
                <w:i w:val="0"/>
                <w:iCs w:val="0"/>
                <w:snapToGrid w:val="0"/>
                <w:color w:val="auto"/>
                <w:sz w:val="24"/>
                <w:szCs w:val="24"/>
                <w:highlight w:val="none"/>
                <w:lang w:val="en-US" w:eastAsia="zh-CN"/>
              </w:rPr>
              <w:t>6</w:t>
            </w:r>
            <w:r>
              <w:rPr>
                <w:rFonts w:hint="default" w:ascii="Times New Roman" w:hAnsi="Times New Roman" w:eastAsia="宋体" w:cs="Times New Roman"/>
                <w:b/>
                <w:i w:val="0"/>
                <w:iCs w:val="0"/>
                <w:snapToGrid w:val="0"/>
                <w:color w:val="auto"/>
                <w:sz w:val="24"/>
                <w:szCs w:val="24"/>
                <w:highlight w:val="none"/>
              </w:rPr>
              <w:t xml:space="preserve">  废水间接排放口基本情况表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85"/>
              <w:gridCol w:w="681"/>
              <w:gridCol w:w="776"/>
              <w:gridCol w:w="888"/>
              <w:gridCol w:w="1067"/>
              <w:gridCol w:w="651"/>
              <w:gridCol w:w="392"/>
              <w:gridCol w:w="491"/>
              <w:gridCol w:w="762"/>
              <w:gridCol w:w="957"/>
            </w:tblGrid>
            <w:tr w14:paraId="0BA1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FB570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序号</w:t>
                  </w:r>
                </w:p>
              </w:tc>
              <w:tc>
                <w:tcPr>
                  <w:tcW w:w="50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FAFC66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排放口编号</w:t>
                  </w:r>
                </w:p>
              </w:tc>
              <w:tc>
                <w:tcPr>
                  <w:tcW w:w="92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AE6A69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排放口地理坐标（°）</w:t>
                  </w:r>
                </w:p>
              </w:tc>
              <w:tc>
                <w:tcPr>
                  <w:tcW w:w="56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0E8D3D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废水排放量（万t/a）</w:t>
                  </w:r>
                </w:p>
              </w:tc>
              <w:tc>
                <w:tcPr>
                  <w:tcW w:w="68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104D7C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排放去向</w:t>
                  </w:r>
                </w:p>
              </w:tc>
              <w:tc>
                <w:tcPr>
                  <w:tcW w:w="41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78CD16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排放规律</w:t>
                  </w:r>
                </w:p>
              </w:tc>
              <w:tc>
                <w:tcPr>
                  <w:tcW w:w="24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540F6B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间歇排放时段</w:t>
                  </w:r>
                </w:p>
              </w:tc>
              <w:tc>
                <w:tcPr>
                  <w:tcW w:w="140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1657992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受纳污水处理厂信息</w:t>
                  </w:r>
                </w:p>
              </w:tc>
            </w:tr>
            <w:tr w14:paraId="5593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0818F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50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FE406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4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38356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经度</w:t>
                  </w:r>
                </w:p>
              </w:tc>
              <w:tc>
                <w:tcPr>
                  <w:tcW w:w="49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35D0B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纬度</w:t>
                  </w:r>
                </w:p>
              </w:tc>
              <w:tc>
                <w:tcPr>
                  <w:tcW w:w="56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BC914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68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1C4C7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41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A0716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24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14781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p>
              </w:tc>
              <w:tc>
                <w:tcPr>
                  <w:tcW w:w="3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30D87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名称</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DB77F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污染物种类</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D7579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国家或地方污染物排放标准浓度限值（mg/L）</w:t>
                  </w:r>
                </w:p>
              </w:tc>
            </w:tr>
            <w:tr w14:paraId="5167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restart"/>
                  <w:tcBorders>
                    <w:top w:val="single" w:color="auto" w:sz="4" w:space="0"/>
                    <w:left w:val="single" w:color="auto" w:sz="4" w:space="0"/>
                    <w:right w:val="single" w:color="auto" w:sz="4" w:space="0"/>
                    <w:tl2br w:val="nil"/>
                    <w:tr2bl w:val="nil"/>
                  </w:tcBorders>
                  <w:noWrap w:val="0"/>
                  <w:vAlign w:val="center"/>
                </w:tcPr>
                <w:p w14:paraId="3A354D9A">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0" w:type="pct"/>
                  <w:vMerge w:val="restart"/>
                  <w:tcBorders>
                    <w:top w:val="single" w:color="auto" w:sz="4" w:space="0"/>
                    <w:left w:val="single" w:color="auto" w:sz="4" w:space="0"/>
                    <w:right w:val="single" w:color="auto" w:sz="4" w:space="0"/>
                    <w:tl2br w:val="nil"/>
                    <w:tr2bl w:val="nil"/>
                  </w:tcBorders>
                  <w:noWrap w:val="0"/>
                  <w:vAlign w:val="center"/>
                </w:tcPr>
                <w:p w14:paraId="4D4394D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w:t>
                  </w:r>
                </w:p>
              </w:tc>
              <w:tc>
                <w:tcPr>
                  <w:tcW w:w="434" w:type="pct"/>
                  <w:vMerge w:val="restart"/>
                  <w:tcBorders>
                    <w:top w:val="single" w:color="auto" w:sz="4" w:space="0"/>
                    <w:left w:val="single" w:color="auto" w:sz="4" w:space="0"/>
                    <w:right w:val="single" w:color="auto" w:sz="4" w:space="0"/>
                    <w:tl2br w:val="nil"/>
                    <w:tr2bl w:val="nil"/>
                  </w:tcBorders>
                  <w:noWrap w:val="0"/>
                  <w:vAlign w:val="center"/>
                </w:tcPr>
                <w:p w14:paraId="4261506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114.513963</w:t>
                  </w:r>
                </w:p>
              </w:tc>
              <w:tc>
                <w:tcPr>
                  <w:tcW w:w="494" w:type="pct"/>
                  <w:vMerge w:val="restart"/>
                  <w:tcBorders>
                    <w:top w:val="single" w:color="auto" w:sz="4" w:space="0"/>
                    <w:left w:val="single" w:color="auto" w:sz="4" w:space="0"/>
                    <w:right w:val="single" w:color="auto" w:sz="4" w:space="0"/>
                    <w:tl2br w:val="nil"/>
                    <w:tr2bl w:val="nil"/>
                  </w:tcBorders>
                  <w:noWrap w:val="0"/>
                  <w:vAlign w:val="center"/>
                </w:tcPr>
                <w:p w14:paraId="12D372DD">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37.908183</w:t>
                  </w:r>
                </w:p>
              </w:tc>
              <w:tc>
                <w:tcPr>
                  <w:tcW w:w="566" w:type="pct"/>
                  <w:vMerge w:val="restart"/>
                  <w:tcBorders>
                    <w:top w:val="single" w:color="auto" w:sz="4" w:space="0"/>
                    <w:left w:val="single" w:color="auto" w:sz="4" w:space="0"/>
                    <w:right w:val="single" w:color="auto" w:sz="4" w:space="0"/>
                    <w:tl2br w:val="nil"/>
                    <w:tr2bl w:val="nil"/>
                  </w:tcBorders>
                  <w:noWrap w:val="0"/>
                  <w:vAlign w:val="center"/>
                </w:tcPr>
                <w:p w14:paraId="0EC9BFA5">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0.0192</w:t>
                  </w:r>
                </w:p>
              </w:tc>
              <w:tc>
                <w:tcPr>
                  <w:tcW w:w="680" w:type="pct"/>
                  <w:vMerge w:val="restart"/>
                  <w:tcBorders>
                    <w:top w:val="single" w:color="auto" w:sz="4" w:space="0"/>
                    <w:left w:val="single" w:color="auto" w:sz="4" w:space="0"/>
                    <w:right w:val="single" w:color="auto" w:sz="4" w:space="0"/>
                    <w:tl2br w:val="nil"/>
                    <w:tr2bl w:val="nil"/>
                  </w:tcBorders>
                  <w:noWrap w:val="0"/>
                  <w:vAlign w:val="center"/>
                </w:tcPr>
                <w:p w14:paraId="6598B94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经</w:t>
                  </w:r>
                  <w:r>
                    <w:rPr>
                      <w:rFonts w:hint="eastAsia" w:cs="Times New Roman"/>
                      <w:color w:val="auto"/>
                      <w:sz w:val="21"/>
                      <w:szCs w:val="21"/>
                      <w:highlight w:val="none"/>
                      <w:lang w:eastAsia="zh-CN"/>
                    </w:rPr>
                    <w:t>集成式生物化粪池</w:t>
                  </w:r>
                  <w:r>
                    <w:rPr>
                      <w:rFonts w:hint="eastAsia" w:eastAsia="宋体" w:cs="Times New Roman"/>
                      <w:color w:val="auto"/>
                      <w:sz w:val="21"/>
                      <w:szCs w:val="21"/>
                      <w:highlight w:val="none"/>
                      <w:lang w:eastAsia="zh-CN"/>
                    </w:rPr>
                    <w:t>初步处理后之后排入石家庄市栾城区污水处理中心（绿源污水处理厂）</w:t>
                  </w:r>
                </w:p>
              </w:tc>
              <w:tc>
                <w:tcPr>
                  <w:tcW w:w="415" w:type="pct"/>
                  <w:vMerge w:val="restart"/>
                  <w:tcBorders>
                    <w:top w:val="single" w:color="auto" w:sz="4" w:space="0"/>
                    <w:left w:val="single" w:color="auto" w:sz="4" w:space="0"/>
                    <w:right w:val="single" w:color="auto" w:sz="4" w:space="0"/>
                    <w:tl2br w:val="nil"/>
                    <w:tr2bl w:val="nil"/>
                  </w:tcBorders>
                  <w:noWrap w:val="0"/>
                  <w:vAlign w:val="center"/>
                </w:tcPr>
                <w:p w14:paraId="0594E5D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间断排放，排放期间流量不稳定且无规律，但不属于冲击性排放</w:t>
                  </w:r>
                </w:p>
              </w:tc>
              <w:tc>
                <w:tcPr>
                  <w:tcW w:w="249" w:type="pct"/>
                  <w:vMerge w:val="restart"/>
                  <w:tcBorders>
                    <w:top w:val="single" w:color="auto" w:sz="4" w:space="0"/>
                    <w:left w:val="single" w:color="auto" w:sz="4" w:space="0"/>
                    <w:right w:val="single" w:color="auto" w:sz="4" w:space="0"/>
                    <w:tl2br w:val="nil"/>
                    <w:tr2bl w:val="nil"/>
                  </w:tcBorders>
                  <w:noWrap w:val="0"/>
                  <w:vAlign w:val="center"/>
                </w:tcPr>
                <w:p w14:paraId="1988D07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工作期间</w:t>
                  </w:r>
                </w:p>
              </w:tc>
              <w:tc>
                <w:tcPr>
                  <w:tcW w:w="313" w:type="pct"/>
                  <w:vMerge w:val="restart"/>
                  <w:tcBorders>
                    <w:top w:val="single" w:color="auto" w:sz="4" w:space="0"/>
                    <w:left w:val="single" w:color="auto" w:sz="4" w:space="0"/>
                    <w:right w:val="single" w:color="auto" w:sz="4" w:space="0"/>
                    <w:tl2br w:val="nil"/>
                    <w:tr2bl w:val="nil"/>
                  </w:tcBorders>
                  <w:noWrap w:val="0"/>
                  <w:vAlign w:val="center"/>
                </w:tcPr>
                <w:p w14:paraId="3F982A3A">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进入</w:t>
                  </w:r>
                  <w:r>
                    <w:rPr>
                      <w:rFonts w:hint="eastAsia" w:eastAsia="宋体" w:cs="Times New Roman"/>
                      <w:color w:val="auto"/>
                      <w:sz w:val="21"/>
                      <w:szCs w:val="21"/>
                      <w:highlight w:val="none"/>
                      <w:lang w:eastAsia="zh-CN"/>
                    </w:rPr>
                    <w:t>石家庄市栾城区污水处理中心（绿源污水处理厂）</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74C23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AE3BB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3A73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533556D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477DDF0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0EB06C0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1F5B10A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01C21C4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30C4F23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76EFDC7A">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290A35ED">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7242F97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89F48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97F87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985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3F93CDB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6EF25B7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0803F16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0FF1AE5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29E0E64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5E94A0B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6590781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34C12F7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0407884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F2136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279D7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r w14:paraId="387C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30B2A7F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2889A91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7038CE0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3902E45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44331BD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54AE967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00985FA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3BAA11D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341AE78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4B1C85">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FD24BE">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71EF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3B056B6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52DA383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7817E99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0BB142DA">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430A6E7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0D13EC3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006F81D6">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6B72FD2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23FA1A79">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7F455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76A85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14:paraId="2B85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4C69F4C5">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5A897B2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4D600D85">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6CAC3703">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755771AD">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761EC000">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65A6BFC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1CD5A305">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55C3483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2CFD745">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eastAsia" w:cs="Times New Roman"/>
                      <w:color w:val="auto"/>
                      <w:sz w:val="21"/>
                      <w:szCs w:val="21"/>
                      <w:highlight w:val="none"/>
                      <w:lang w:val="en-US" w:eastAsia="zh-CN"/>
                    </w:rPr>
                    <w:t>总氮</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1C837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14:paraId="5C80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249" w:type="pct"/>
                  <w:vMerge w:val="continue"/>
                  <w:tcBorders>
                    <w:left w:val="single" w:color="auto" w:sz="4" w:space="0"/>
                    <w:right w:val="single" w:color="auto" w:sz="4" w:space="0"/>
                    <w:tl2br w:val="nil"/>
                    <w:tr2bl w:val="nil"/>
                  </w:tcBorders>
                  <w:noWrap w:val="0"/>
                  <w:vAlign w:val="center"/>
                </w:tcPr>
                <w:p w14:paraId="2235C854">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00" w:type="pct"/>
                  <w:vMerge w:val="continue"/>
                  <w:tcBorders>
                    <w:left w:val="single" w:color="auto" w:sz="4" w:space="0"/>
                    <w:right w:val="single" w:color="auto" w:sz="4" w:space="0"/>
                    <w:tl2br w:val="nil"/>
                    <w:tr2bl w:val="nil"/>
                  </w:tcBorders>
                  <w:noWrap w:val="0"/>
                  <w:vAlign w:val="center"/>
                </w:tcPr>
                <w:p w14:paraId="2F2AFA7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34" w:type="pct"/>
                  <w:vMerge w:val="continue"/>
                  <w:tcBorders>
                    <w:left w:val="single" w:color="auto" w:sz="4" w:space="0"/>
                    <w:right w:val="single" w:color="auto" w:sz="4" w:space="0"/>
                    <w:tl2br w:val="nil"/>
                    <w:tr2bl w:val="nil"/>
                  </w:tcBorders>
                  <w:noWrap w:val="0"/>
                  <w:vAlign w:val="center"/>
                </w:tcPr>
                <w:p w14:paraId="4971C09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94" w:type="pct"/>
                  <w:vMerge w:val="continue"/>
                  <w:tcBorders>
                    <w:left w:val="single" w:color="auto" w:sz="4" w:space="0"/>
                    <w:right w:val="single" w:color="auto" w:sz="4" w:space="0"/>
                    <w:tl2br w:val="nil"/>
                    <w:tr2bl w:val="nil"/>
                  </w:tcBorders>
                  <w:noWrap w:val="0"/>
                  <w:vAlign w:val="center"/>
                </w:tcPr>
                <w:p w14:paraId="496456CC">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566" w:type="pct"/>
                  <w:vMerge w:val="continue"/>
                  <w:tcBorders>
                    <w:left w:val="single" w:color="auto" w:sz="4" w:space="0"/>
                    <w:right w:val="single" w:color="auto" w:sz="4" w:space="0"/>
                    <w:tl2br w:val="nil"/>
                    <w:tr2bl w:val="nil"/>
                  </w:tcBorders>
                  <w:noWrap w:val="0"/>
                  <w:vAlign w:val="center"/>
                </w:tcPr>
                <w:p w14:paraId="4B303237">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680" w:type="pct"/>
                  <w:vMerge w:val="continue"/>
                  <w:tcBorders>
                    <w:left w:val="single" w:color="auto" w:sz="4" w:space="0"/>
                    <w:right w:val="single" w:color="auto" w:sz="4" w:space="0"/>
                    <w:tl2br w:val="nil"/>
                    <w:tr2bl w:val="nil"/>
                  </w:tcBorders>
                  <w:noWrap w:val="0"/>
                  <w:vAlign w:val="center"/>
                </w:tcPr>
                <w:p w14:paraId="6025FF12">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15" w:type="pct"/>
                  <w:vMerge w:val="continue"/>
                  <w:tcBorders>
                    <w:left w:val="single" w:color="auto" w:sz="4" w:space="0"/>
                    <w:right w:val="single" w:color="auto" w:sz="4" w:space="0"/>
                    <w:tl2br w:val="nil"/>
                    <w:tr2bl w:val="nil"/>
                  </w:tcBorders>
                  <w:noWrap w:val="0"/>
                  <w:vAlign w:val="center"/>
                </w:tcPr>
                <w:p w14:paraId="505B087B">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left w:val="single" w:color="auto" w:sz="4" w:space="0"/>
                    <w:right w:val="single" w:color="auto" w:sz="4" w:space="0"/>
                    <w:tl2br w:val="nil"/>
                    <w:tr2bl w:val="nil"/>
                  </w:tcBorders>
                  <w:noWrap w:val="0"/>
                  <w:vAlign w:val="center"/>
                </w:tcPr>
                <w:p w14:paraId="3C7856B1">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313" w:type="pct"/>
                  <w:vMerge w:val="continue"/>
                  <w:tcBorders>
                    <w:left w:val="single" w:color="auto" w:sz="4" w:space="0"/>
                    <w:right w:val="single" w:color="auto" w:sz="4" w:space="0"/>
                    <w:tl2br w:val="nil"/>
                    <w:tr2bl w:val="nil"/>
                  </w:tcBorders>
                  <w:noWrap w:val="0"/>
                  <w:vAlign w:val="center"/>
                </w:tcPr>
                <w:p w14:paraId="5417004F">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4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192CEF">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eastAsia" w:cs="Times New Roman"/>
                      <w:color w:val="auto"/>
                      <w:sz w:val="21"/>
                      <w:szCs w:val="21"/>
                      <w:highlight w:val="none"/>
                      <w:lang w:val="en-US" w:eastAsia="zh-CN"/>
                    </w:rPr>
                    <w:t>总磷</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8ED358">
                  <w:pPr>
                    <w:pStyle w:val="224"/>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bl>
          <w:p w14:paraId="6B866F9A">
            <w:pPr>
              <w:keepNext w:val="0"/>
              <w:keepLines w:val="0"/>
              <w:numPr>
                <w:ilvl w:val="1"/>
                <w:numId w:val="0"/>
              </w:numPr>
              <w:suppressLineNumbers w:val="0"/>
              <w:spacing w:before="0" w:beforeLines="0" w:beforeAutospacing="0" w:after="0" w:afterLines="0" w:afterAutospacing="0"/>
              <w:ind w:left="0" w:right="0" w:firstLine="480" w:firstLineChars="200"/>
              <w:jc w:val="center"/>
              <w:rPr>
                <w:rFonts w:hint="default" w:ascii="Times New Roman" w:hAnsi="Times New Roman" w:eastAsia="宋体" w:cs="Times New Roman"/>
                <w:b/>
                <w:snapToGrid w:val="0"/>
                <w:color w:val="auto"/>
                <w:sz w:val="24"/>
                <w:szCs w:val="24"/>
                <w:highlight w:val="none"/>
              </w:rPr>
            </w:pPr>
            <w:r>
              <w:rPr>
                <w:rFonts w:hint="default" w:ascii="Times New Roman" w:hAnsi="Times New Roman" w:eastAsia="宋体" w:cs="Times New Roman"/>
                <w:b/>
                <w:snapToGrid w:val="0"/>
                <w:color w:val="auto"/>
                <w:sz w:val="24"/>
                <w:szCs w:val="24"/>
                <w:highlight w:val="none"/>
              </w:rPr>
              <w:t>表4-</w:t>
            </w:r>
            <w:r>
              <w:rPr>
                <w:rFonts w:hint="eastAsia" w:cs="Times New Roman"/>
                <w:b/>
                <w:snapToGrid w:val="0"/>
                <w:color w:val="auto"/>
                <w:sz w:val="24"/>
                <w:szCs w:val="24"/>
                <w:highlight w:val="none"/>
                <w:lang w:val="en-US" w:eastAsia="zh-CN"/>
              </w:rPr>
              <w:t>7</w:t>
            </w:r>
            <w:r>
              <w:rPr>
                <w:rFonts w:hint="default" w:ascii="Times New Roman" w:hAnsi="Times New Roman" w:eastAsia="宋体" w:cs="Times New Roman"/>
                <w:b/>
                <w:snapToGrid w:val="0"/>
                <w:color w:val="auto"/>
                <w:sz w:val="24"/>
                <w:szCs w:val="24"/>
                <w:highlight w:val="none"/>
              </w:rPr>
              <w:t xml:space="preserve">   废水污染物排放执行标准表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26"/>
              <w:gridCol w:w="1904"/>
              <w:gridCol w:w="1738"/>
              <w:gridCol w:w="2415"/>
            </w:tblGrid>
            <w:tr w14:paraId="101B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28FA263">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1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96876BB">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tc>
              <w:tc>
                <w:tcPr>
                  <w:tcW w:w="121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7926AB6">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264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1CBCC21">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国家或地方污染物排放标准及其他按规定商定的排放协议</w:t>
                  </w:r>
                </w:p>
              </w:tc>
            </w:tr>
            <w:tr w14:paraId="54DA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AE7E59E">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1AE5D6">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382B6D">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1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9B2272">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5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A0E31D">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浓度限值（mg/L）</w:t>
                  </w:r>
                </w:p>
              </w:tc>
            </w:tr>
            <w:tr w14:paraId="35C6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restart"/>
                  <w:tcBorders>
                    <w:top w:val="single" w:color="auto" w:sz="4" w:space="0"/>
                    <w:left w:val="single" w:color="auto" w:sz="4" w:space="0"/>
                    <w:right w:val="single" w:color="auto" w:sz="4" w:space="0"/>
                    <w:tl2br w:val="nil"/>
                    <w:tr2bl w:val="nil"/>
                  </w:tcBorders>
                  <w:noWrap w:val="0"/>
                  <w:vAlign w:val="center"/>
                </w:tcPr>
                <w:p w14:paraId="30E9D178">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18" w:type="pct"/>
                  <w:vMerge w:val="restart"/>
                  <w:tcBorders>
                    <w:top w:val="single" w:color="auto" w:sz="4" w:space="0"/>
                    <w:left w:val="single" w:color="auto" w:sz="4" w:space="0"/>
                    <w:right w:val="single" w:color="auto" w:sz="4" w:space="0"/>
                    <w:tl2br w:val="nil"/>
                    <w:tr2bl w:val="nil"/>
                  </w:tcBorders>
                  <w:noWrap w:val="0"/>
                  <w:vAlign w:val="center"/>
                </w:tcPr>
                <w:p w14:paraId="009B5E98">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w:t>
                  </w: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24BE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Cs w:val="21"/>
                      <w:highlight w:val="none"/>
                      <w:lang w:val="en-US" w:eastAsia="zh-CN"/>
                    </w:rPr>
                    <w:t>pH</w:t>
                  </w:r>
                </w:p>
              </w:tc>
              <w:tc>
                <w:tcPr>
                  <w:tcW w:w="1108" w:type="pct"/>
                  <w:vMerge w:val="restart"/>
                  <w:tcBorders>
                    <w:top w:val="single" w:color="auto" w:sz="4" w:space="0"/>
                    <w:left w:val="single" w:color="auto" w:sz="4" w:space="0"/>
                    <w:right w:val="single" w:color="auto" w:sz="4" w:space="0"/>
                    <w:tl2br w:val="nil"/>
                    <w:tr2bl w:val="nil"/>
                  </w:tcBorders>
                  <w:noWrap w:val="0"/>
                  <w:vAlign w:val="center"/>
                </w:tcPr>
                <w:p w14:paraId="35557692">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《合成树脂工业污染物排放标准》（GB31572-2015）表2间接排放标准</w:t>
                  </w:r>
                  <w:r>
                    <w:rPr>
                      <w:rFonts w:hint="eastAsia" w:ascii="Times New Roman" w:hAnsi="Times New Roman" w:eastAsia="宋体" w:cs="Times New Roman"/>
                      <w:color w:val="auto"/>
                      <w:sz w:val="21"/>
                      <w:szCs w:val="21"/>
                      <w:highlight w:val="none"/>
                      <w:lang w:eastAsia="zh-CN"/>
                    </w:rPr>
                    <w:t>及</w:t>
                  </w:r>
                  <w:r>
                    <w:rPr>
                      <w:rFonts w:hint="eastAsia" w:cs="Times New Roman"/>
                      <w:color w:val="auto"/>
                      <w:sz w:val="21"/>
                      <w:szCs w:val="21"/>
                      <w:highlight w:val="none"/>
                      <w:lang w:eastAsia="zh-CN"/>
                    </w:rPr>
                    <w:t>石家庄市栾城区污水处理中心（绿源污水处理厂）进水水质要求</w:t>
                  </w: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B0CAC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Cs w:val="21"/>
                      <w:highlight w:val="none"/>
                      <w:lang w:val="en-US" w:eastAsia="zh-CN"/>
                    </w:rPr>
                    <w:t>6~9</w:t>
                  </w:r>
                </w:p>
              </w:tc>
            </w:tr>
            <w:tr w14:paraId="5C3D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4B9B3E2C">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5DF82F7A">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CF8A7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COD</w:t>
                  </w:r>
                </w:p>
              </w:tc>
              <w:tc>
                <w:tcPr>
                  <w:tcW w:w="1108" w:type="pct"/>
                  <w:vMerge w:val="continue"/>
                  <w:tcBorders>
                    <w:left w:val="single" w:color="auto" w:sz="4" w:space="0"/>
                    <w:right w:val="single" w:color="auto" w:sz="4" w:space="0"/>
                    <w:tl2br w:val="nil"/>
                    <w:tr2bl w:val="nil"/>
                  </w:tcBorders>
                  <w:noWrap w:val="0"/>
                  <w:vAlign w:val="center"/>
                </w:tcPr>
                <w:p w14:paraId="7699BA8E">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AF1B6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450</w:t>
                  </w:r>
                </w:p>
              </w:tc>
            </w:tr>
            <w:tr w14:paraId="584B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2E10C060">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268730DD">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E5BC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BOD</w:t>
                  </w:r>
                  <w:r>
                    <w:rPr>
                      <w:rFonts w:hint="eastAsia" w:cs="Times New Roman"/>
                      <w:smallCaps w:val="0"/>
                      <w:color w:val="auto"/>
                      <w:spacing w:val="0"/>
                      <w:szCs w:val="21"/>
                      <w:highlight w:val="none"/>
                      <w:vertAlign w:val="subscript"/>
                      <w:lang w:val="en-US" w:eastAsia="zh-CN"/>
                    </w:rPr>
                    <w:t>5</w:t>
                  </w:r>
                </w:p>
              </w:tc>
              <w:tc>
                <w:tcPr>
                  <w:tcW w:w="1108" w:type="pct"/>
                  <w:vMerge w:val="continue"/>
                  <w:tcBorders>
                    <w:left w:val="single" w:color="auto" w:sz="4" w:space="0"/>
                    <w:right w:val="single" w:color="auto" w:sz="4" w:space="0"/>
                    <w:tl2br w:val="nil"/>
                    <w:tr2bl w:val="nil"/>
                  </w:tcBorders>
                  <w:noWrap w:val="0"/>
                  <w:vAlign w:val="center"/>
                </w:tcPr>
                <w:p w14:paraId="022AC7D8">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5F23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160</w:t>
                  </w:r>
                </w:p>
              </w:tc>
            </w:tr>
            <w:tr w14:paraId="22C0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7F8135B4">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01C99C66">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1A15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SS</w:t>
                  </w:r>
                </w:p>
              </w:tc>
              <w:tc>
                <w:tcPr>
                  <w:tcW w:w="1108" w:type="pct"/>
                  <w:vMerge w:val="continue"/>
                  <w:tcBorders>
                    <w:left w:val="single" w:color="auto" w:sz="4" w:space="0"/>
                    <w:right w:val="single" w:color="auto" w:sz="4" w:space="0"/>
                    <w:tl2br w:val="nil"/>
                    <w:tr2bl w:val="nil"/>
                  </w:tcBorders>
                  <w:noWrap w:val="0"/>
                  <w:vAlign w:val="center"/>
                </w:tcPr>
                <w:p w14:paraId="6B824781">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D78C9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200</w:t>
                  </w:r>
                </w:p>
              </w:tc>
            </w:tr>
            <w:tr w14:paraId="2CC5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39663046">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0A1E3EA5">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941F5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氨氮</w:t>
                  </w:r>
                </w:p>
              </w:tc>
              <w:tc>
                <w:tcPr>
                  <w:tcW w:w="1108" w:type="pct"/>
                  <w:vMerge w:val="continue"/>
                  <w:tcBorders>
                    <w:left w:val="single" w:color="auto" w:sz="4" w:space="0"/>
                    <w:right w:val="single" w:color="auto" w:sz="4" w:space="0"/>
                    <w:tl2br w:val="nil"/>
                    <w:tr2bl w:val="nil"/>
                  </w:tcBorders>
                  <w:noWrap w:val="0"/>
                  <w:vAlign w:val="center"/>
                </w:tcPr>
                <w:p w14:paraId="0C40F529">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749FA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45</w:t>
                  </w:r>
                </w:p>
              </w:tc>
            </w:tr>
            <w:tr w14:paraId="3A98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26D831C8">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48CCBB08">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9A2A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总氮</w:t>
                  </w:r>
                </w:p>
              </w:tc>
              <w:tc>
                <w:tcPr>
                  <w:tcW w:w="1108" w:type="pct"/>
                  <w:vMerge w:val="continue"/>
                  <w:tcBorders>
                    <w:left w:val="single" w:color="auto" w:sz="4" w:space="0"/>
                    <w:right w:val="single" w:color="auto" w:sz="4" w:space="0"/>
                    <w:tl2br w:val="nil"/>
                    <w:tr2bl w:val="nil"/>
                  </w:tcBorders>
                  <w:noWrap w:val="0"/>
                  <w:vAlign w:val="center"/>
                </w:tcPr>
                <w:p w14:paraId="55C58C0B">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6A777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60</w:t>
                  </w:r>
                </w:p>
              </w:tc>
            </w:tr>
            <w:tr w14:paraId="029C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18" w:type="pct"/>
                  <w:vMerge w:val="continue"/>
                  <w:tcBorders>
                    <w:left w:val="single" w:color="auto" w:sz="4" w:space="0"/>
                    <w:right w:val="single" w:color="auto" w:sz="4" w:space="0"/>
                    <w:tl2br w:val="nil"/>
                    <w:tr2bl w:val="nil"/>
                  </w:tcBorders>
                  <w:noWrap w:val="0"/>
                  <w:vAlign w:val="center"/>
                </w:tcPr>
                <w:p w14:paraId="46DC74ED">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718" w:type="pct"/>
                  <w:vMerge w:val="continue"/>
                  <w:tcBorders>
                    <w:left w:val="single" w:color="auto" w:sz="4" w:space="0"/>
                    <w:right w:val="single" w:color="auto" w:sz="4" w:space="0"/>
                    <w:tl2br w:val="nil"/>
                    <w:tr2bl w:val="nil"/>
                  </w:tcBorders>
                  <w:noWrap w:val="0"/>
                  <w:vAlign w:val="center"/>
                </w:tcPr>
                <w:p w14:paraId="27F4FF0F">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2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1FBCB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总磷</w:t>
                  </w:r>
                </w:p>
              </w:tc>
              <w:tc>
                <w:tcPr>
                  <w:tcW w:w="1108" w:type="pct"/>
                  <w:vMerge w:val="continue"/>
                  <w:tcBorders>
                    <w:left w:val="single" w:color="auto" w:sz="4" w:space="0"/>
                    <w:right w:val="single" w:color="auto" w:sz="4" w:space="0"/>
                    <w:tl2br w:val="nil"/>
                    <w:tr2bl w:val="nil"/>
                  </w:tcBorders>
                  <w:noWrap w:val="0"/>
                  <w:vAlign w:val="center"/>
                </w:tcPr>
                <w:p w14:paraId="40815CD4">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rPr>
                  </w:pPr>
                </w:p>
              </w:tc>
              <w:tc>
                <w:tcPr>
                  <w:tcW w:w="154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5F102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5</w:t>
                  </w:r>
                </w:p>
              </w:tc>
            </w:tr>
          </w:tbl>
          <w:p w14:paraId="376B6CC5">
            <w:pPr>
              <w:keepNext w:val="0"/>
              <w:keepLines w:val="0"/>
              <w:numPr>
                <w:ilvl w:val="1"/>
                <w:numId w:val="0"/>
              </w:numPr>
              <w:suppressLineNumbers w:val="0"/>
              <w:spacing w:before="0" w:beforeLines="0" w:beforeAutospacing="0" w:after="0" w:afterLines="0" w:afterAutospacing="0"/>
              <w:ind w:left="0" w:right="0" w:firstLine="480" w:firstLineChars="200"/>
              <w:jc w:val="center"/>
              <w:rPr>
                <w:rFonts w:hint="default" w:ascii="Times New Roman" w:hAnsi="Times New Roman" w:eastAsia="宋体" w:cs="Times New Roman"/>
                <w:b/>
                <w:snapToGrid w:val="0"/>
                <w:color w:val="auto"/>
                <w:sz w:val="24"/>
                <w:szCs w:val="24"/>
                <w:highlight w:val="none"/>
              </w:rPr>
            </w:pPr>
            <w:r>
              <w:rPr>
                <w:rFonts w:hint="default" w:ascii="Times New Roman" w:hAnsi="Times New Roman" w:eastAsia="宋体" w:cs="Times New Roman"/>
                <w:b/>
                <w:snapToGrid w:val="0"/>
                <w:color w:val="auto"/>
                <w:sz w:val="24"/>
                <w:szCs w:val="24"/>
                <w:highlight w:val="none"/>
              </w:rPr>
              <w:t>表4-</w:t>
            </w:r>
            <w:r>
              <w:rPr>
                <w:rFonts w:hint="eastAsia" w:cs="Times New Roman"/>
                <w:b/>
                <w:snapToGrid w:val="0"/>
                <w:color w:val="auto"/>
                <w:sz w:val="24"/>
                <w:szCs w:val="24"/>
                <w:highlight w:val="none"/>
                <w:lang w:val="en-US" w:eastAsia="zh-CN"/>
              </w:rPr>
              <w:t>8</w:t>
            </w:r>
            <w:r>
              <w:rPr>
                <w:rFonts w:hint="default" w:ascii="Times New Roman" w:hAnsi="Times New Roman" w:eastAsia="宋体" w:cs="Times New Roman"/>
                <w:b/>
                <w:snapToGrid w:val="0"/>
                <w:color w:val="auto"/>
                <w:sz w:val="24"/>
                <w:szCs w:val="24"/>
                <w:highlight w:val="none"/>
              </w:rPr>
              <w:t xml:space="preserve">  废水污染物排放信息表</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908"/>
              <w:gridCol w:w="1703"/>
              <w:gridCol w:w="1306"/>
              <w:gridCol w:w="1306"/>
              <w:gridCol w:w="1308"/>
            </w:tblGrid>
            <w:tr w14:paraId="0571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E346F3">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序号</w:t>
                  </w: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865872">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排放口编号</w:t>
                  </w: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92575F">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污染物种类</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BF6A92">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排放浓度（mg/L</w:t>
                  </w:r>
                  <w:r>
                    <w:rPr>
                      <w:rFonts w:hint="default" w:ascii="Times New Roman" w:hAnsi="Times New Roman" w:eastAsia="宋体" w:cs="Times New Roman"/>
                      <w:color w:val="auto"/>
                      <w:sz w:val="21"/>
                      <w:szCs w:val="24"/>
                      <w:highlight w:val="none"/>
                      <w:lang w:eastAsia="zh-CN"/>
                    </w:rPr>
                    <w:t>，</w:t>
                  </w:r>
                  <w:r>
                    <w:rPr>
                      <w:rFonts w:hint="default" w:ascii="Times New Roman" w:hAnsi="Times New Roman" w:eastAsia="宋体" w:cs="Times New Roman"/>
                      <w:color w:val="auto"/>
                      <w:sz w:val="21"/>
                      <w:szCs w:val="24"/>
                      <w:highlight w:val="none"/>
                      <w:lang w:val="en-US" w:eastAsia="zh-CN"/>
                    </w:rPr>
                    <w:t>除pH</w:t>
                  </w:r>
                  <w:r>
                    <w:rPr>
                      <w:rFonts w:hint="default" w:ascii="Times New Roman" w:hAnsi="Times New Roman" w:eastAsia="宋体" w:cs="Times New Roman"/>
                      <w:color w:val="auto"/>
                      <w:sz w:val="21"/>
                      <w:szCs w:val="24"/>
                      <w:highlight w:val="none"/>
                    </w:rPr>
                    <w:t>）</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7C054E">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日排放量（t/d）</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FA1C0E">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年排放量（t/a）</w:t>
                  </w:r>
                </w:p>
              </w:tc>
            </w:tr>
            <w:tr w14:paraId="0973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restart"/>
                  <w:tcBorders>
                    <w:top w:val="single" w:color="auto" w:sz="4" w:space="0"/>
                    <w:left w:val="single" w:color="auto" w:sz="4" w:space="0"/>
                    <w:right w:val="single" w:color="auto" w:sz="4" w:space="0"/>
                    <w:tl2br w:val="nil"/>
                    <w:tr2bl w:val="nil"/>
                  </w:tcBorders>
                  <w:noWrap w:val="0"/>
                  <w:vAlign w:val="center"/>
                </w:tcPr>
                <w:p w14:paraId="209BBF02">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1</w:t>
                  </w:r>
                </w:p>
              </w:tc>
              <w:tc>
                <w:tcPr>
                  <w:tcW w:w="579" w:type="pct"/>
                  <w:vMerge w:val="restart"/>
                  <w:tcBorders>
                    <w:top w:val="single" w:color="auto" w:sz="4" w:space="0"/>
                    <w:left w:val="single" w:color="auto" w:sz="4" w:space="0"/>
                    <w:right w:val="single" w:color="auto" w:sz="4" w:space="0"/>
                    <w:tl2br w:val="nil"/>
                    <w:tr2bl w:val="nil"/>
                  </w:tcBorders>
                  <w:noWrap w:val="0"/>
                  <w:vAlign w:val="center"/>
                </w:tcPr>
                <w:p w14:paraId="4603007D">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DW001</w:t>
                  </w: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9AFB0D">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89623">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6~9</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EADD97">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AFF978">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w:t>
                  </w:r>
                </w:p>
              </w:tc>
            </w:tr>
            <w:tr w14:paraId="4038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2" w:type="pct"/>
                  <w:vMerge w:val="continue"/>
                  <w:tcBorders>
                    <w:left w:val="single" w:color="auto" w:sz="4" w:space="0"/>
                    <w:right w:val="single" w:color="auto" w:sz="4" w:space="0"/>
                    <w:tl2br w:val="nil"/>
                    <w:tr2bl w:val="nil"/>
                  </w:tcBorders>
                  <w:noWrap w:val="0"/>
                  <w:vAlign w:val="center"/>
                </w:tcPr>
                <w:p w14:paraId="77E961BC">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579" w:type="pct"/>
                  <w:vMerge w:val="continue"/>
                  <w:tcBorders>
                    <w:left w:val="single" w:color="auto" w:sz="4" w:space="0"/>
                    <w:right w:val="single" w:color="auto" w:sz="4" w:space="0"/>
                    <w:tl2br w:val="nil"/>
                    <w:tr2bl w:val="nil"/>
                  </w:tcBorders>
                  <w:noWrap w:val="0"/>
                  <w:vAlign w:val="center"/>
                </w:tcPr>
                <w:p w14:paraId="204BFCFA">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19DA83">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悬浮物</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062947">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105</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D40E04">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6.720</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w:t>
                  </w:r>
                  <w:r>
                    <w:rPr>
                      <w:rFonts w:hint="eastAsia" w:ascii="Times New Roman" w:hAnsi="Times New Roman" w:eastAsia="宋体" w:cs="Times New Roman"/>
                      <w:color w:val="auto"/>
                      <w:sz w:val="21"/>
                      <w:szCs w:val="24"/>
                      <w:highlight w:val="none"/>
                      <w:vertAlign w:val="superscript"/>
                      <w:lang w:val="en-US" w:eastAsia="zh-CN"/>
                    </w:rPr>
                    <w:t>5</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052304">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0.020</w:t>
                  </w:r>
                </w:p>
              </w:tc>
            </w:tr>
            <w:tr w14:paraId="1848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continue"/>
                  <w:tcBorders>
                    <w:left w:val="single" w:color="auto" w:sz="4" w:space="0"/>
                    <w:right w:val="single" w:color="auto" w:sz="4" w:space="0"/>
                    <w:tl2br w:val="nil"/>
                    <w:tr2bl w:val="nil"/>
                  </w:tcBorders>
                  <w:noWrap w:val="0"/>
                  <w:vAlign w:val="center"/>
                </w:tcPr>
                <w:p w14:paraId="4509270E">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579" w:type="pct"/>
                  <w:vMerge w:val="continue"/>
                  <w:tcBorders>
                    <w:left w:val="single" w:color="auto" w:sz="4" w:space="0"/>
                    <w:right w:val="single" w:color="auto" w:sz="4" w:space="0"/>
                    <w:tl2br w:val="nil"/>
                    <w:tr2bl w:val="nil"/>
                  </w:tcBorders>
                  <w:noWrap w:val="0"/>
                  <w:vAlign w:val="center"/>
                </w:tcPr>
                <w:p w14:paraId="3C886EE9">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CB116F">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230E38">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255</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A13DE3">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1.632</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-4</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A1DC2F">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0.049</w:t>
                  </w:r>
                </w:p>
              </w:tc>
            </w:tr>
            <w:tr w14:paraId="213B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continue"/>
                  <w:tcBorders>
                    <w:left w:val="single" w:color="auto" w:sz="4" w:space="0"/>
                    <w:right w:val="single" w:color="auto" w:sz="4" w:space="0"/>
                    <w:tl2br w:val="nil"/>
                    <w:tr2bl w:val="nil"/>
                  </w:tcBorders>
                  <w:noWrap w:val="0"/>
                  <w:vAlign w:val="center"/>
                </w:tcPr>
                <w:p w14:paraId="18EAD464">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p>
              </w:tc>
              <w:tc>
                <w:tcPr>
                  <w:tcW w:w="579" w:type="pct"/>
                  <w:vMerge w:val="continue"/>
                  <w:tcBorders>
                    <w:left w:val="single" w:color="auto" w:sz="4" w:space="0"/>
                    <w:right w:val="single" w:color="auto" w:sz="4" w:space="0"/>
                    <w:tl2br w:val="nil"/>
                    <w:tr2bl w:val="nil"/>
                  </w:tcBorders>
                  <w:noWrap w:val="0"/>
                  <w:vAlign w:val="center"/>
                </w:tcPr>
                <w:p w14:paraId="14653ED3">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E7D079">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9B6962">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136.5</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CF4B64">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8.736</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w:t>
                  </w:r>
                  <w:r>
                    <w:rPr>
                      <w:rFonts w:hint="eastAsia" w:ascii="Times New Roman" w:hAnsi="Times New Roman" w:eastAsia="宋体" w:cs="Times New Roman"/>
                      <w:color w:val="auto"/>
                      <w:sz w:val="21"/>
                      <w:szCs w:val="24"/>
                      <w:highlight w:val="none"/>
                      <w:vertAlign w:val="superscript"/>
                      <w:lang w:val="en-US" w:eastAsia="zh-CN"/>
                    </w:rPr>
                    <w:t>5</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3E6A4">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0.026</w:t>
                  </w:r>
                </w:p>
              </w:tc>
            </w:tr>
            <w:tr w14:paraId="1B4F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continue"/>
                  <w:tcBorders>
                    <w:left w:val="single" w:color="auto" w:sz="4" w:space="0"/>
                    <w:right w:val="single" w:color="auto" w:sz="4" w:space="0"/>
                    <w:tl2br w:val="nil"/>
                    <w:tr2bl w:val="nil"/>
                  </w:tcBorders>
                  <w:noWrap w:val="0"/>
                  <w:vAlign w:val="center"/>
                </w:tcPr>
                <w:p w14:paraId="5B0E8229">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579" w:type="pct"/>
                  <w:vMerge w:val="continue"/>
                  <w:tcBorders>
                    <w:left w:val="single" w:color="auto" w:sz="4" w:space="0"/>
                    <w:right w:val="single" w:color="auto" w:sz="4" w:space="0"/>
                    <w:tl2br w:val="nil"/>
                    <w:tr2bl w:val="nil"/>
                  </w:tcBorders>
                  <w:noWrap w:val="0"/>
                  <w:vAlign w:val="center"/>
                </w:tcPr>
                <w:p w14:paraId="56187E55">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FF200C">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Cs/>
                      <w:color w:val="auto"/>
                      <w:spacing w:val="-6"/>
                      <w:w w:val="9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82FFB">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19.4</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6DB5FB">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1.242</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w:t>
                  </w:r>
                  <w:r>
                    <w:rPr>
                      <w:rFonts w:hint="eastAsia" w:ascii="Times New Roman" w:hAnsi="Times New Roman" w:eastAsia="宋体" w:cs="Times New Roman"/>
                      <w:color w:val="auto"/>
                      <w:sz w:val="21"/>
                      <w:szCs w:val="24"/>
                      <w:highlight w:val="none"/>
                      <w:vertAlign w:val="superscript"/>
                      <w:lang w:val="en-US" w:eastAsia="zh-CN"/>
                    </w:rPr>
                    <w:t>5</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A7AB6F">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0.004</w:t>
                  </w:r>
                </w:p>
              </w:tc>
            </w:tr>
            <w:tr w14:paraId="6167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continue"/>
                  <w:tcBorders>
                    <w:left w:val="single" w:color="auto" w:sz="4" w:space="0"/>
                    <w:right w:val="single" w:color="auto" w:sz="4" w:space="0"/>
                    <w:tl2br w:val="nil"/>
                    <w:tr2bl w:val="nil"/>
                  </w:tcBorders>
                  <w:noWrap w:val="0"/>
                  <w:vAlign w:val="center"/>
                </w:tcPr>
                <w:p w14:paraId="77A0F81D">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579" w:type="pct"/>
                  <w:vMerge w:val="continue"/>
                  <w:tcBorders>
                    <w:left w:val="single" w:color="auto" w:sz="4" w:space="0"/>
                    <w:right w:val="single" w:color="auto" w:sz="4" w:space="0"/>
                    <w:tl2br w:val="nil"/>
                    <w:tr2bl w:val="nil"/>
                  </w:tcBorders>
                  <w:noWrap w:val="0"/>
                  <w:vAlign w:val="center"/>
                </w:tcPr>
                <w:p w14:paraId="53027888">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5106E">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89846D">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38</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4C4A62">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2.432</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w:t>
                  </w:r>
                  <w:r>
                    <w:rPr>
                      <w:rFonts w:hint="eastAsia" w:ascii="Times New Roman" w:hAnsi="Times New Roman" w:eastAsia="宋体" w:cs="Times New Roman"/>
                      <w:color w:val="auto"/>
                      <w:sz w:val="21"/>
                      <w:szCs w:val="24"/>
                      <w:highlight w:val="none"/>
                      <w:vertAlign w:val="superscript"/>
                      <w:lang w:val="en-US" w:eastAsia="zh-CN"/>
                    </w:rPr>
                    <w:t>5</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8360E8">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0.007</w:t>
                  </w:r>
                </w:p>
              </w:tc>
            </w:tr>
            <w:tr w14:paraId="2413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Merge w:val="continue"/>
                  <w:tcBorders>
                    <w:left w:val="single" w:color="auto" w:sz="4" w:space="0"/>
                    <w:right w:val="single" w:color="auto" w:sz="4" w:space="0"/>
                    <w:tl2br w:val="nil"/>
                    <w:tr2bl w:val="nil"/>
                  </w:tcBorders>
                  <w:noWrap w:val="0"/>
                  <w:vAlign w:val="center"/>
                </w:tcPr>
                <w:p w14:paraId="65842F4B">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579" w:type="pct"/>
                  <w:vMerge w:val="continue"/>
                  <w:tcBorders>
                    <w:left w:val="single" w:color="auto" w:sz="4" w:space="0"/>
                    <w:right w:val="single" w:color="auto" w:sz="4" w:space="0"/>
                    <w:tl2br w:val="nil"/>
                    <w:tr2bl w:val="nil"/>
                  </w:tcBorders>
                  <w:noWrap w:val="0"/>
                  <w:vAlign w:val="center"/>
                </w:tcPr>
                <w:p w14:paraId="4024A6B0">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rPr>
                  </w:pPr>
                </w:p>
              </w:tc>
              <w:tc>
                <w:tcPr>
                  <w:tcW w:w="10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241AD5">
                  <w:pPr>
                    <w:pStyle w:val="224"/>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总磷</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A4F54D">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4.5</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233630">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2.880</w:t>
                  </w:r>
                  <w:r>
                    <w:rPr>
                      <w:rFonts w:hint="default" w:ascii="Times New Roman" w:hAnsi="Times New Roman" w:eastAsia="宋体" w:cs="Times New Roman"/>
                      <w:color w:val="auto"/>
                      <w:sz w:val="21"/>
                      <w:szCs w:val="24"/>
                      <w:highlight w:val="none"/>
                      <w:lang w:val="en-US" w:eastAsia="zh-CN"/>
                    </w:rPr>
                    <w:t>×10</w:t>
                  </w:r>
                  <w:r>
                    <w:rPr>
                      <w:rFonts w:hint="default" w:ascii="Times New Roman" w:hAnsi="Times New Roman" w:eastAsia="宋体" w:cs="Times New Roman"/>
                      <w:color w:val="auto"/>
                      <w:sz w:val="21"/>
                      <w:szCs w:val="24"/>
                      <w:highlight w:val="none"/>
                      <w:vertAlign w:val="superscript"/>
                      <w:lang w:val="en-US" w:eastAsia="zh-CN"/>
                    </w:rPr>
                    <w:t>-</w:t>
                  </w:r>
                  <w:r>
                    <w:rPr>
                      <w:rFonts w:hint="eastAsia" w:ascii="Times New Roman" w:hAnsi="Times New Roman" w:eastAsia="宋体" w:cs="Times New Roman"/>
                      <w:color w:val="auto"/>
                      <w:sz w:val="21"/>
                      <w:szCs w:val="24"/>
                      <w:highlight w:val="none"/>
                      <w:vertAlign w:val="superscript"/>
                      <w:lang w:val="en-US" w:eastAsia="zh-CN"/>
                    </w:rPr>
                    <w:t>6</w:t>
                  </w:r>
                </w:p>
              </w:tc>
              <w:tc>
                <w:tcPr>
                  <w:tcW w:w="83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5E7B51">
                  <w:pPr>
                    <w:keepNext w:val="0"/>
                    <w:keepLines w:val="0"/>
                    <w:suppressLineNumbers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p>
              </w:tc>
            </w:tr>
          </w:tbl>
          <w:p w14:paraId="621378F3">
            <w:pPr>
              <w:keepNext w:val="0"/>
              <w:keepLines w:val="0"/>
              <w:widowControl/>
              <w:suppressLineNumbers w:val="0"/>
              <w:spacing w:before="0" w:beforeLines="0" w:beforeAutospacing="0" w:after="0" w:afterLines="0" w:afterAutospacing="0"/>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）监测要求</w:t>
            </w:r>
          </w:p>
          <w:p w14:paraId="1A7F2FD6">
            <w:pPr>
              <w:pStyle w:val="172"/>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val="0"/>
                <w:smallCaps w:val="0"/>
                <w:color w:val="auto"/>
                <w:spacing w:val="0"/>
                <w:highlight w:val="none"/>
                <w:lang w:val="en-US" w:eastAsia="zh-CN"/>
              </w:rPr>
            </w:pPr>
            <w:r>
              <w:rPr>
                <w:rFonts w:hint="default" w:ascii="Times New Roman" w:hAnsi="Times New Roman" w:cs="Times New Roman"/>
                <w:b w:val="0"/>
                <w:bCs w:val="0"/>
                <w:smallCaps w:val="0"/>
                <w:color w:val="auto"/>
                <w:spacing w:val="0"/>
                <w:highlight w:val="none"/>
              </w:rPr>
              <w:t>根据《排污单位自行监测技术指南 橡胶和塑料制品》（HJ1207-2021）</w:t>
            </w:r>
            <w:r>
              <w:rPr>
                <w:rFonts w:hint="eastAsia" w:cs="Times New Roman"/>
                <w:b w:val="0"/>
                <w:bCs w:val="0"/>
                <w:smallCaps w:val="0"/>
                <w:color w:val="auto"/>
                <w:spacing w:val="0"/>
                <w:highlight w:val="none"/>
                <w:lang w:val="en-US" w:eastAsia="zh-CN"/>
              </w:rPr>
              <w:t>表2可知，间接排放的生活污水，无需检测，故本评价不再要求生活污水的监测频次。</w:t>
            </w:r>
          </w:p>
          <w:p w14:paraId="2B2DFC7B">
            <w:pPr>
              <w:pStyle w:val="172"/>
              <w:keepNext w:val="0"/>
              <w:keepLines w:val="0"/>
              <w:suppressLineNumbers w:val="0"/>
              <w:spacing w:before="0" w:beforeAutospacing="0" w:after="0" w:afterAutospacing="0"/>
              <w:ind w:left="0" w:right="0" w:firstLine="482"/>
              <w:jc w:val="both"/>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3、噪声</w:t>
            </w:r>
          </w:p>
          <w:p w14:paraId="0D4C0A2F">
            <w:pPr>
              <w:pStyle w:val="172"/>
              <w:keepNext w:val="0"/>
              <w:keepLines w:val="0"/>
              <w:suppressLineNumbers w:val="0"/>
              <w:spacing w:before="0" w:beforeAutospacing="0" w:after="0" w:afterAutospacing="0"/>
              <w:ind w:left="0" w:right="0" w:firstLine="482"/>
              <w:jc w:val="both"/>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（1）源强分析</w:t>
            </w:r>
          </w:p>
          <w:p w14:paraId="0EB3BB95">
            <w:pPr>
              <w:pStyle w:val="33"/>
              <w:keepNext w:val="0"/>
              <w:keepLines w:val="0"/>
              <w:suppressLineNumbers w:val="0"/>
              <w:spacing w:before="0" w:beforeAutospacing="0" w:after="0" w:afterAutospacing="0"/>
              <w:ind w:left="0" w:right="0" w:firstLine="480"/>
              <w:jc w:val="both"/>
              <w:rPr>
                <w:rFonts w:hint="default"/>
                <w:color w:val="auto"/>
                <w:szCs w:val="20"/>
                <w:highlight w:val="none"/>
                <w:lang w:val="en-US" w:eastAsia="zh-CN"/>
              </w:rPr>
            </w:pPr>
            <w:r>
              <w:rPr>
                <w:rFonts w:hint="eastAsia" w:cs="Times New Roman"/>
                <w:smallCaps w:val="0"/>
                <w:color w:val="auto"/>
                <w:spacing w:val="0"/>
                <w:szCs w:val="20"/>
                <w:highlight w:val="none"/>
                <w:lang w:val="en-US" w:eastAsia="zh-CN"/>
              </w:rPr>
              <w:t>项目为改建项目，所有设备改变布局，故对所有设备进行重新预测</w:t>
            </w:r>
            <w:r>
              <w:rPr>
                <w:rFonts w:hint="eastAsia" w:cs="Times New Roman"/>
                <w:smallCaps w:val="0"/>
                <w:color w:val="auto"/>
                <w:spacing w:val="0"/>
                <w:szCs w:val="20"/>
                <w:highlight w:val="none"/>
                <w:lang w:eastAsia="zh-CN"/>
              </w:rPr>
              <w:t>，</w:t>
            </w:r>
            <w:r>
              <w:rPr>
                <w:rFonts w:hint="default" w:ascii="Times New Roman" w:hAnsi="Times New Roman" w:cs="Times New Roman"/>
                <w:smallCaps w:val="0"/>
                <w:color w:val="auto"/>
                <w:spacing w:val="0"/>
                <w:szCs w:val="20"/>
                <w:highlight w:val="none"/>
              </w:rPr>
              <w:t>噪声源主要为</w:t>
            </w:r>
            <w:r>
              <w:rPr>
                <w:rFonts w:hint="eastAsia" w:cs="Times New Roman"/>
                <w:smallCaps w:val="0"/>
                <w:color w:val="auto"/>
                <w:spacing w:val="0"/>
                <w:szCs w:val="20"/>
                <w:highlight w:val="none"/>
                <w:lang w:val="en-US" w:eastAsia="zh-CN"/>
              </w:rPr>
              <w:t>注塑机、干燥机、干燥箱、冷却塔、冷水机、攻丝机、车床、风机</w:t>
            </w:r>
            <w:r>
              <w:rPr>
                <w:rFonts w:hint="default" w:ascii="Times New Roman" w:hAnsi="Times New Roman" w:cs="Times New Roman"/>
                <w:smallCaps w:val="0"/>
                <w:color w:val="auto"/>
                <w:spacing w:val="0"/>
                <w:szCs w:val="20"/>
                <w:highlight w:val="none"/>
              </w:rPr>
              <w:t>等设备运转产生的噪声</w:t>
            </w:r>
            <w:r>
              <w:rPr>
                <w:rFonts w:hint="eastAsia" w:cs="Times New Roman"/>
                <w:smallCaps w:val="0"/>
                <w:color w:val="auto"/>
                <w:spacing w:val="0"/>
                <w:szCs w:val="20"/>
                <w:highlight w:val="none"/>
                <w:lang w:eastAsia="zh-CN"/>
              </w:rPr>
              <w:t>，</w:t>
            </w:r>
            <w:r>
              <w:rPr>
                <w:rFonts w:hint="eastAsia" w:cs="Times New Roman"/>
                <w:smallCaps w:val="0"/>
                <w:color w:val="auto"/>
                <w:spacing w:val="0"/>
                <w:szCs w:val="20"/>
                <w:highlight w:val="none"/>
                <w:lang w:val="en-US" w:eastAsia="zh-CN"/>
              </w:rPr>
              <w:t>项目选用低噪声设备</w:t>
            </w:r>
            <w:r>
              <w:rPr>
                <w:rFonts w:hint="default" w:ascii="Times New Roman" w:hAnsi="Times New Roman" w:cs="Times New Roman"/>
                <w:smallCaps w:val="0"/>
                <w:color w:val="auto"/>
                <w:spacing w:val="0"/>
                <w:szCs w:val="20"/>
                <w:highlight w:val="none"/>
                <w:lang w:eastAsia="zh-CN"/>
              </w:rPr>
              <w:t>，</w:t>
            </w:r>
            <w:r>
              <w:rPr>
                <w:rFonts w:hint="default" w:ascii="Times New Roman" w:hAnsi="Times New Roman" w:cs="Times New Roman"/>
                <w:smallCaps w:val="0"/>
                <w:color w:val="auto"/>
                <w:spacing w:val="0"/>
                <w:szCs w:val="20"/>
                <w:highlight w:val="none"/>
              </w:rPr>
              <w:t>噪声级在</w:t>
            </w:r>
            <w:r>
              <w:rPr>
                <w:rFonts w:hint="eastAsia" w:cs="Times New Roman"/>
                <w:smallCaps w:val="0"/>
                <w:color w:val="auto"/>
                <w:spacing w:val="0"/>
                <w:szCs w:val="20"/>
                <w:highlight w:val="none"/>
                <w:lang w:val="en-US" w:eastAsia="zh-CN"/>
              </w:rPr>
              <w:t>70</w:t>
            </w:r>
            <w:r>
              <w:rPr>
                <w:rFonts w:hint="default" w:ascii="Times New Roman" w:hAnsi="Times New Roman" w:cs="Times New Roman"/>
                <w:smallCaps w:val="0"/>
                <w:color w:val="auto"/>
                <w:spacing w:val="0"/>
                <w:szCs w:val="20"/>
                <w:highlight w:val="none"/>
              </w:rPr>
              <w:t>～</w:t>
            </w:r>
            <w:r>
              <w:rPr>
                <w:rFonts w:hint="eastAsia" w:cs="Times New Roman"/>
                <w:smallCaps w:val="0"/>
                <w:color w:val="auto"/>
                <w:spacing w:val="0"/>
                <w:szCs w:val="20"/>
                <w:highlight w:val="none"/>
                <w:lang w:val="en-US" w:eastAsia="zh-CN"/>
              </w:rPr>
              <w:t>8</w:t>
            </w:r>
            <w:r>
              <w:rPr>
                <w:rFonts w:hint="default" w:ascii="Times New Roman" w:hAnsi="Times New Roman" w:cs="Times New Roman"/>
                <w:smallCaps w:val="0"/>
                <w:color w:val="auto"/>
                <w:spacing w:val="0"/>
                <w:szCs w:val="20"/>
                <w:highlight w:val="none"/>
              </w:rPr>
              <w:t>5dB（A）之间</w:t>
            </w:r>
            <w:r>
              <w:rPr>
                <w:rFonts w:hint="default" w:ascii="Times New Roman" w:hAnsi="Times New Roman" w:cs="Times New Roman"/>
                <w:smallCaps w:val="0"/>
                <w:color w:val="auto"/>
                <w:spacing w:val="0"/>
                <w:szCs w:val="20"/>
                <w:highlight w:val="none"/>
                <w:lang w:eastAsia="zh-CN"/>
              </w:rPr>
              <w:t>，</w:t>
            </w:r>
            <w:r>
              <w:rPr>
                <w:rFonts w:hint="default" w:ascii="Times New Roman" w:hAnsi="Times New Roman" w:cs="Times New Roman"/>
                <w:smallCaps w:val="0"/>
                <w:color w:val="auto"/>
                <w:spacing w:val="0"/>
                <w:szCs w:val="20"/>
                <w:highlight w:val="none"/>
              </w:rPr>
              <w:t>项目主要噪声源源强及控制措施见表4</w:t>
            </w:r>
            <w:r>
              <w:rPr>
                <w:rFonts w:hint="default" w:ascii="Times New Roman" w:hAnsi="Times New Roman" w:cs="Times New Roman"/>
                <w:smallCaps w:val="0"/>
                <w:color w:val="auto"/>
                <w:spacing w:val="0"/>
                <w:szCs w:val="20"/>
                <w:highlight w:val="none"/>
                <w:lang w:val="en-US" w:eastAsia="zh-CN"/>
              </w:rPr>
              <w:t>-</w:t>
            </w:r>
            <w:r>
              <w:rPr>
                <w:rFonts w:hint="eastAsia" w:cs="Times New Roman"/>
                <w:smallCaps w:val="0"/>
                <w:color w:val="auto"/>
                <w:spacing w:val="0"/>
                <w:szCs w:val="20"/>
                <w:highlight w:val="none"/>
                <w:lang w:val="en-US" w:eastAsia="zh-CN"/>
              </w:rPr>
              <w:t>9、4-10</w:t>
            </w:r>
            <w:r>
              <w:rPr>
                <w:rFonts w:hint="default" w:ascii="Times New Roman" w:hAnsi="Times New Roman" w:cs="Times New Roman"/>
                <w:smallCaps w:val="0"/>
                <w:color w:val="auto"/>
                <w:spacing w:val="0"/>
                <w:szCs w:val="20"/>
                <w:highlight w:val="none"/>
              </w:rPr>
              <w:t>。</w:t>
            </w:r>
          </w:p>
        </w:tc>
      </w:tr>
    </w:tbl>
    <w:p w14:paraId="0B7C7DE3">
      <w:pPr>
        <w:pStyle w:val="5"/>
        <w:keepNext w:val="0"/>
        <w:keepLines w:val="0"/>
        <w:suppressLineNumbers w:val="0"/>
        <w:spacing w:before="0" w:beforeAutospacing="0" w:after="0" w:afterAutospacing="0"/>
        <w:ind w:left="0" w:right="0"/>
        <w:rPr>
          <w:rFonts w:hint="default" w:ascii="Times New Roman" w:hAnsi="Times New Roman" w:cs="Times New Roman"/>
          <w:color w:val="auto"/>
          <w:szCs w:val="20"/>
          <w:highlight w:val="none"/>
        </w:rPr>
        <w:sectPr>
          <w:pgSz w:w="11907" w:h="16840"/>
          <w:pgMar w:top="1440" w:right="1800" w:bottom="1440" w:left="1800" w:header="851" w:footer="992" w:gutter="0"/>
          <w:cols w:space="720" w:num="1"/>
          <w:docGrid w:type="linesAndChars" w:linePitch="319" w:charSpace="0"/>
        </w:sect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3510"/>
      </w:tblGrid>
      <w:tr w14:paraId="228D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3C25B97C">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vertAlign w:val="baseline"/>
              </w:rPr>
            </w:pPr>
          </w:p>
        </w:tc>
        <w:tc>
          <w:tcPr>
            <w:tcW w:w="13510" w:type="dxa"/>
          </w:tcPr>
          <w:p w14:paraId="20B2B26B">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表4-</w:t>
            </w:r>
            <w:r>
              <w:rPr>
                <w:rFonts w:hint="eastAsia" w:cs="Times New Roman"/>
                <w:smallCaps w:val="0"/>
                <w:color w:val="auto"/>
                <w:spacing w:val="0"/>
                <w:highlight w:val="none"/>
                <w:lang w:val="en-US" w:eastAsia="zh-CN"/>
              </w:rPr>
              <w:t>9</w:t>
            </w:r>
            <w:r>
              <w:rPr>
                <w:rFonts w:hint="default" w:ascii="Times New Roman" w:hAnsi="Times New Roman" w:cs="Times New Roman"/>
                <w:smallCaps w:val="0"/>
                <w:color w:val="auto"/>
                <w:spacing w:val="0"/>
                <w:highlight w:val="none"/>
              </w:rPr>
              <w:t xml:space="preserve">    </w:t>
            </w:r>
            <w:r>
              <w:rPr>
                <w:rFonts w:hint="eastAsia" w:cs="Times New Roman"/>
                <w:smallCaps w:val="0"/>
                <w:color w:val="auto"/>
                <w:spacing w:val="0"/>
                <w:highlight w:val="none"/>
                <w:lang w:val="en-US" w:eastAsia="zh-CN"/>
              </w:rPr>
              <w:t>项目</w:t>
            </w:r>
            <w:r>
              <w:rPr>
                <w:rFonts w:hint="default" w:ascii="Times New Roman" w:hAnsi="Times New Roman" w:cs="Times New Roman"/>
                <w:smallCaps w:val="0"/>
                <w:color w:val="auto"/>
                <w:spacing w:val="0"/>
                <w:highlight w:val="none"/>
              </w:rPr>
              <w:t>主要噪声源及控制措施一览表（室内声源</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lang w:val="en-US" w:eastAsia="zh-CN"/>
              </w:rPr>
              <w:t>坐标原点：厂区西南角</w:t>
            </w:r>
            <w:r>
              <w:rPr>
                <w:rFonts w:hint="default" w:ascii="Times New Roman" w:hAnsi="Times New Roman" w:cs="Times New Roman"/>
                <w:smallCaps w:val="0"/>
                <w:color w:val="auto"/>
                <w:spacing w:val="0"/>
                <w:highlight w:val="none"/>
              </w:rPr>
              <w:t>）</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
              <w:gridCol w:w="677"/>
              <w:gridCol w:w="1113"/>
              <w:gridCol w:w="1377"/>
              <w:gridCol w:w="880"/>
              <w:gridCol w:w="819"/>
              <w:gridCol w:w="843"/>
              <w:gridCol w:w="843"/>
              <w:gridCol w:w="959"/>
              <w:gridCol w:w="843"/>
              <w:gridCol w:w="843"/>
              <w:gridCol w:w="1130"/>
              <w:gridCol w:w="914"/>
              <w:gridCol w:w="683"/>
              <w:gridCol w:w="922"/>
            </w:tblGrid>
            <w:tr w14:paraId="0CDE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Merge w:val="restart"/>
                  <w:vAlign w:val="center"/>
                </w:tcPr>
                <w:p w14:paraId="51582767">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序号</w:t>
                  </w:r>
                </w:p>
              </w:tc>
              <w:tc>
                <w:tcPr>
                  <w:tcW w:w="255" w:type="pct"/>
                  <w:vMerge w:val="restart"/>
                  <w:vAlign w:val="center"/>
                </w:tcPr>
                <w:p w14:paraId="7D99E00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建筑物名称</w:t>
                  </w:r>
                </w:p>
              </w:tc>
              <w:tc>
                <w:tcPr>
                  <w:tcW w:w="419" w:type="pct"/>
                  <w:vMerge w:val="restart"/>
                  <w:vAlign w:val="center"/>
                </w:tcPr>
                <w:p w14:paraId="65036AE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声源名称</w:t>
                  </w:r>
                </w:p>
              </w:tc>
              <w:tc>
                <w:tcPr>
                  <w:tcW w:w="518" w:type="pct"/>
                  <w:vMerge w:val="restart"/>
                  <w:vAlign w:val="center"/>
                </w:tcPr>
                <w:p w14:paraId="570723D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型号</w:t>
                  </w:r>
                </w:p>
              </w:tc>
              <w:tc>
                <w:tcPr>
                  <w:tcW w:w="331" w:type="pct"/>
                  <w:vAlign w:val="center"/>
                </w:tcPr>
                <w:p w14:paraId="1F9064A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声源源强</w:t>
                  </w:r>
                </w:p>
              </w:tc>
              <w:tc>
                <w:tcPr>
                  <w:tcW w:w="308" w:type="pct"/>
                  <w:vMerge w:val="restart"/>
                  <w:vAlign w:val="center"/>
                </w:tcPr>
                <w:p w14:paraId="65D87351">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2"/>
                      <w:sz w:val="21"/>
                      <w:szCs w:val="21"/>
                      <w:highlight w:val="none"/>
                      <w:lang w:val="en-US" w:eastAsia="zh-CN" w:bidi="ar-SA"/>
                    </w:rPr>
                  </w:pPr>
                  <w:r>
                    <w:rPr>
                      <w:rFonts w:hint="default" w:ascii="Times New Roman" w:hAnsi="Times New Roman" w:eastAsia="宋体" w:cs="Times New Roman"/>
                      <w:smallCaps w:val="0"/>
                      <w:color w:val="auto"/>
                      <w:spacing w:val="0"/>
                      <w:w w:val="100"/>
                      <w:sz w:val="21"/>
                      <w:szCs w:val="21"/>
                      <w:highlight w:val="none"/>
                    </w:rPr>
                    <w:t>声源控制措施</w:t>
                  </w:r>
                </w:p>
                <w:p w14:paraId="4BAC0BF9">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2"/>
                      <w:sz w:val="21"/>
                      <w:szCs w:val="21"/>
                      <w:highlight w:val="none"/>
                      <w:lang w:val="en-US" w:eastAsia="zh-CN" w:bidi="ar-SA"/>
                    </w:rPr>
                  </w:pPr>
                </w:p>
                <w:p w14:paraId="20D4BF0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995" w:type="pct"/>
                  <w:gridSpan w:val="3"/>
                  <w:vAlign w:val="center"/>
                </w:tcPr>
                <w:p w14:paraId="457ACD9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空间相对位置/m</w:t>
                  </w:r>
                </w:p>
              </w:tc>
              <w:tc>
                <w:tcPr>
                  <w:tcW w:w="317" w:type="pct"/>
                  <w:vMerge w:val="restart"/>
                  <w:vAlign w:val="center"/>
                </w:tcPr>
                <w:p w14:paraId="61950707">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距室内边界距离/m</w:t>
                  </w:r>
                </w:p>
              </w:tc>
              <w:tc>
                <w:tcPr>
                  <w:tcW w:w="317" w:type="pct"/>
                  <w:vMerge w:val="restart"/>
                  <w:vAlign w:val="center"/>
                </w:tcPr>
                <w:p w14:paraId="52FC019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室内边界声级</w:t>
                  </w:r>
                  <w:r>
                    <w:rPr>
                      <w:rFonts w:hint="default" w:ascii="Times New Roman" w:hAnsi="Times New Roman" w:eastAsia="宋体" w:cs="Times New Roman"/>
                      <w:smallCaps w:val="0"/>
                      <w:color w:val="auto"/>
                      <w:spacing w:val="0"/>
                      <w:w w:val="100"/>
                      <w:sz w:val="21"/>
                      <w:szCs w:val="21"/>
                      <w:highlight w:val="none"/>
                    </w:rPr>
                    <w:t>/dB(A)</w:t>
                  </w:r>
                </w:p>
              </w:tc>
              <w:tc>
                <w:tcPr>
                  <w:tcW w:w="425" w:type="pct"/>
                  <w:vMerge w:val="restart"/>
                  <w:vAlign w:val="center"/>
                </w:tcPr>
                <w:p w14:paraId="2B88B90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建筑物</w:t>
                  </w:r>
                </w:p>
                <w:p w14:paraId="067917A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插入损失</w:t>
                  </w:r>
                </w:p>
                <w:p w14:paraId="7E0DE6E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/dB(A)</w:t>
                  </w:r>
                </w:p>
              </w:tc>
              <w:tc>
                <w:tcPr>
                  <w:tcW w:w="601" w:type="pct"/>
                  <w:gridSpan w:val="2"/>
                  <w:vAlign w:val="center"/>
                </w:tcPr>
                <w:p w14:paraId="5C895C1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建筑物外噪声</w:t>
                  </w:r>
                </w:p>
              </w:tc>
              <w:tc>
                <w:tcPr>
                  <w:tcW w:w="347" w:type="pct"/>
                  <w:vMerge w:val="restart"/>
                  <w:vAlign w:val="center"/>
                </w:tcPr>
                <w:p w14:paraId="6B94BDB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运行时段/h</w:t>
                  </w:r>
                </w:p>
              </w:tc>
            </w:tr>
            <w:tr w14:paraId="61B0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Merge w:val="continue"/>
                  <w:vAlign w:val="center"/>
                </w:tcPr>
                <w:p w14:paraId="01D1CDE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255" w:type="pct"/>
                  <w:vMerge w:val="continue"/>
                  <w:vAlign w:val="center"/>
                </w:tcPr>
                <w:p w14:paraId="35ECE39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419" w:type="pct"/>
                  <w:vMerge w:val="continue"/>
                  <w:vAlign w:val="center"/>
                </w:tcPr>
                <w:p w14:paraId="4A51A32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518" w:type="pct"/>
                  <w:vMerge w:val="continue"/>
                  <w:vAlign w:val="center"/>
                </w:tcPr>
                <w:p w14:paraId="71AB290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331" w:type="pct"/>
                  <w:vAlign w:val="center"/>
                </w:tcPr>
                <w:p w14:paraId="6685F90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lang w:val="en-US" w:eastAsia="zh-CN"/>
                    </w:rPr>
                    <w:t>声功率级</w:t>
                  </w:r>
                  <w:r>
                    <w:rPr>
                      <w:rFonts w:hint="default" w:ascii="Times New Roman" w:hAnsi="Times New Roman" w:eastAsia="宋体" w:cs="Times New Roman"/>
                      <w:smallCaps w:val="0"/>
                      <w:color w:val="auto"/>
                      <w:spacing w:val="0"/>
                      <w:w w:val="100"/>
                      <w:sz w:val="21"/>
                      <w:szCs w:val="21"/>
                      <w:highlight w:val="none"/>
                    </w:rPr>
                    <w:t>/dB(A)</w:t>
                  </w:r>
                </w:p>
              </w:tc>
              <w:tc>
                <w:tcPr>
                  <w:tcW w:w="308" w:type="pct"/>
                  <w:vMerge w:val="continue"/>
                  <w:vAlign w:val="center"/>
                </w:tcPr>
                <w:p w14:paraId="52F8AAC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317" w:type="pct"/>
                  <w:vAlign w:val="center"/>
                </w:tcPr>
                <w:p w14:paraId="1820D6F4">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X</w:t>
                  </w:r>
                </w:p>
              </w:tc>
              <w:tc>
                <w:tcPr>
                  <w:tcW w:w="317" w:type="pct"/>
                  <w:vAlign w:val="center"/>
                </w:tcPr>
                <w:p w14:paraId="50CB064A">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Y</w:t>
                  </w:r>
                </w:p>
              </w:tc>
              <w:tc>
                <w:tcPr>
                  <w:tcW w:w="360" w:type="pct"/>
                  <w:vAlign w:val="center"/>
                </w:tcPr>
                <w:p w14:paraId="232DEBE3">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Z</w:t>
                  </w:r>
                </w:p>
              </w:tc>
              <w:tc>
                <w:tcPr>
                  <w:tcW w:w="317" w:type="pct"/>
                  <w:vMerge w:val="continue"/>
                  <w:vAlign w:val="center"/>
                </w:tcPr>
                <w:p w14:paraId="6B321C41">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p>
              </w:tc>
              <w:tc>
                <w:tcPr>
                  <w:tcW w:w="317" w:type="pct"/>
                  <w:vMerge w:val="continue"/>
                  <w:vAlign w:val="center"/>
                </w:tcPr>
                <w:p w14:paraId="3C201914">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p>
              </w:tc>
              <w:tc>
                <w:tcPr>
                  <w:tcW w:w="425" w:type="pct"/>
                  <w:vMerge w:val="continue"/>
                  <w:vAlign w:val="center"/>
                </w:tcPr>
                <w:p w14:paraId="63E5456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344" w:type="pct"/>
                  <w:vAlign w:val="center"/>
                </w:tcPr>
                <w:p w14:paraId="512A44F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声压级</w:t>
                  </w:r>
                </w:p>
                <w:p w14:paraId="157D400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/dB(A)</w:t>
                  </w:r>
                </w:p>
              </w:tc>
              <w:tc>
                <w:tcPr>
                  <w:tcW w:w="256" w:type="pct"/>
                  <w:vAlign w:val="center"/>
                </w:tcPr>
                <w:p w14:paraId="50A17E7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建筑</w:t>
                  </w:r>
                </w:p>
                <w:p w14:paraId="5527D8F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物外距离</w:t>
                  </w:r>
                </w:p>
              </w:tc>
              <w:tc>
                <w:tcPr>
                  <w:tcW w:w="347" w:type="pct"/>
                  <w:vMerge w:val="continue"/>
                  <w:vAlign w:val="center"/>
                </w:tcPr>
                <w:p w14:paraId="6194813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r>
            <w:tr w14:paraId="68BF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0FB1CCE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1</w:t>
                  </w:r>
                </w:p>
              </w:tc>
              <w:tc>
                <w:tcPr>
                  <w:tcW w:w="255" w:type="pct"/>
                  <w:vMerge w:val="restart"/>
                  <w:vAlign w:val="center"/>
                </w:tcPr>
                <w:p w14:paraId="14323F7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厂房</w:t>
                  </w:r>
                </w:p>
              </w:tc>
              <w:tc>
                <w:tcPr>
                  <w:tcW w:w="419" w:type="pct"/>
                  <w:shd w:val="clear" w:color="auto" w:fill="auto"/>
                  <w:vAlign w:val="center"/>
                </w:tcPr>
                <w:p w14:paraId="7EFCA7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28B1D9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54DE004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restart"/>
                  <w:vAlign w:val="center"/>
                </w:tcPr>
                <w:p w14:paraId="02AC506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smallCaps w:val="0"/>
                      <w:color w:val="auto"/>
                      <w:spacing w:val="0"/>
                      <w:w w:val="100"/>
                      <w:sz w:val="21"/>
                      <w:szCs w:val="21"/>
                      <w:highlight w:val="none"/>
                    </w:rPr>
                    <w:t>选用低噪声设备</w:t>
                  </w:r>
                  <w:r>
                    <w:rPr>
                      <w:rFonts w:hint="default" w:ascii="Times New Roman" w:hAnsi="Times New Roman" w:eastAsia="宋体" w:cs="Times New Roman"/>
                      <w:smallCaps w:val="0"/>
                      <w:color w:val="auto"/>
                      <w:spacing w:val="0"/>
                      <w:w w:val="100"/>
                      <w:sz w:val="21"/>
                      <w:szCs w:val="21"/>
                      <w:highlight w:val="none"/>
                      <w:lang w:eastAsia="zh-CN"/>
                    </w:rPr>
                    <w:t>，</w:t>
                  </w:r>
                  <w:r>
                    <w:rPr>
                      <w:rFonts w:hint="default" w:ascii="Times New Roman" w:hAnsi="Times New Roman" w:eastAsia="宋体" w:cs="Times New Roman"/>
                      <w:smallCaps w:val="0"/>
                      <w:color w:val="auto"/>
                      <w:spacing w:val="0"/>
                      <w:w w:val="100"/>
                      <w:sz w:val="21"/>
                      <w:szCs w:val="21"/>
                      <w:highlight w:val="none"/>
                    </w:rPr>
                    <w:t>基础减振</w:t>
                  </w:r>
                  <w:r>
                    <w:rPr>
                      <w:rFonts w:hint="default" w:ascii="Times New Roman" w:hAnsi="Times New Roman" w:eastAsia="宋体" w:cs="Times New Roman"/>
                      <w:smallCaps w:val="0"/>
                      <w:color w:val="auto"/>
                      <w:spacing w:val="0"/>
                      <w:w w:val="100"/>
                      <w:sz w:val="21"/>
                      <w:szCs w:val="21"/>
                      <w:highlight w:val="none"/>
                      <w:lang w:eastAsia="zh-CN"/>
                    </w:rPr>
                    <w:t>，</w:t>
                  </w:r>
                  <w:r>
                    <w:rPr>
                      <w:rFonts w:hint="default" w:ascii="Times New Roman" w:hAnsi="Times New Roman" w:eastAsia="宋体" w:cs="Times New Roman"/>
                      <w:smallCaps w:val="0"/>
                      <w:color w:val="auto"/>
                      <w:spacing w:val="0"/>
                      <w:w w:val="100"/>
                      <w:sz w:val="21"/>
                      <w:szCs w:val="21"/>
                      <w:highlight w:val="none"/>
                    </w:rPr>
                    <w:t>车间隔声等措施</w:t>
                  </w:r>
                </w:p>
                <w:p w14:paraId="095743A6">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2"/>
                      <w:sz w:val="21"/>
                      <w:szCs w:val="21"/>
                      <w:highlight w:val="none"/>
                      <w:lang w:val="en-US" w:eastAsia="zh-CN" w:bidi="ar-SA"/>
                    </w:rPr>
                  </w:pPr>
                </w:p>
                <w:p w14:paraId="2338229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6E289F1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35.33</w:t>
                  </w:r>
                </w:p>
              </w:tc>
              <w:tc>
                <w:tcPr>
                  <w:tcW w:w="317" w:type="pct"/>
                  <w:vAlign w:val="center"/>
                </w:tcPr>
                <w:p w14:paraId="10671B9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14.6</w:t>
                  </w:r>
                </w:p>
              </w:tc>
              <w:tc>
                <w:tcPr>
                  <w:tcW w:w="360" w:type="pct"/>
                  <w:vAlign w:val="center"/>
                </w:tcPr>
                <w:p w14:paraId="4E63D03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22D46D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2.3</w:t>
                  </w:r>
                </w:p>
              </w:tc>
              <w:tc>
                <w:tcPr>
                  <w:tcW w:w="317" w:type="pct"/>
                  <w:vAlign w:val="center"/>
                </w:tcPr>
                <w:p w14:paraId="2F69C4E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66.8</w:t>
                  </w:r>
                </w:p>
              </w:tc>
              <w:tc>
                <w:tcPr>
                  <w:tcW w:w="425" w:type="pct"/>
                  <w:vAlign w:val="center"/>
                </w:tcPr>
                <w:p w14:paraId="35F59A9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DF975F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40.8</w:t>
                  </w:r>
                </w:p>
              </w:tc>
              <w:tc>
                <w:tcPr>
                  <w:tcW w:w="256" w:type="pct"/>
                  <w:vAlign w:val="center"/>
                </w:tcPr>
                <w:p w14:paraId="1C3CC9AE">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C3DEE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4788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4DF6E71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2</w:t>
                  </w:r>
                </w:p>
              </w:tc>
              <w:tc>
                <w:tcPr>
                  <w:tcW w:w="255" w:type="pct"/>
                  <w:vMerge w:val="continue"/>
                  <w:vAlign w:val="center"/>
                </w:tcPr>
                <w:p w14:paraId="113F179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419" w:type="pct"/>
                  <w:shd w:val="clear" w:color="auto" w:fill="auto"/>
                  <w:vAlign w:val="center"/>
                </w:tcPr>
                <w:p w14:paraId="515F4A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689A3D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1E5D908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00DE8E5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sz w:val="21"/>
                      <w:szCs w:val="21"/>
                      <w:highlight w:val="none"/>
                    </w:rPr>
                  </w:pPr>
                </w:p>
              </w:tc>
              <w:tc>
                <w:tcPr>
                  <w:tcW w:w="317" w:type="pct"/>
                  <w:vAlign w:val="center"/>
                </w:tcPr>
                <w:p w14:paraId="6A18DCC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35.66</w:t>
                  </w:r>
                </w:p>
              </w:tc>
              <w:tc>
                <w:tcPr>
                  <w:tcW w:w="317" w:type="pct"/>
                  <w:vAlign w:val="center"/>
                </w:tcPr>
                <w:p w14:paraId="782751F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12.79</w:t>
                  </w:r>
                </w:p>
              </w:tc>
              <w:tc>
                <w:tcPr>
                  <w:tcW w:w="360" w:type="pct"/>
                  <w:vAlign w:val="center"/>
                </w:tcPr>
                <w:p w14:paraId="5D2CEAC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768C6DF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4.14</w:t>
                  </w:r>
                </w:p>
              </w:tc>
              <w:tc>
                <w:tcPr>
                  <w:tcW w:w="317" w:type="pct"/>
                  <w:vAlign w:val="center"/>
                </w:tcPr>
                <w:p w14:paraId="4BDE963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66.5</w:t>
                  </w:r>
                </w:p>
              </w:tc>
              <w:tc>
                <w:tcPr>
                  <w:tcW w:w="425" w:type="pct"/>
                  <w:vAlign w:val="center"/>
                </w:tcPr>
                <w:p w14:paraId="7A430CB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3E2C7C9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40.5</w:t>
                  </w:r>
                </w:p>
              </w:tc>
              <w:tc>
                <w:tcPr>
                  <w:tcW w:w="256" w:type="pct"/>
                  <w:vAlign w:val="center"/>
                </w:tcPr>
                <w:p w14:paraId="4B459000">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7E5879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55B7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23CBF9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3</w:t>
                  </w:r>
                </w:p>
              </w:tc>
              <w:tc>
                <w:tcPr>
                  <w:tcW w:w="255" w:type="pct"/>
                  <w:vMerge w:val="continue"/>
                  <w:vAlign w:val="center"/>
                </w:tcPr>
                <w:p w14:paraId="10D61CE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vAlign w:val="center"/>
                </w:tcPr>
                <w:p w14:paraId="79CE12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vAlign w:val="center"/>
                </w:tcPr>
                <w:p w14:paraId="44FF5C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66B0DC9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6E435BC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55E1595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35.98</w:t>
                  </w:r>
                </w:p>
              </w:tc>
              <w:tc>
                <w:tcPr>
                  <w:tcW w:w="317" w:type="pct"/>
                  <w:vAlign w:val="center"/>
                </w:tcPr>
                <w:p w14:paraId="34EE401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11.07</w:t>
                  </w:r>
                </w:p>
              </w:tc>
              <w:tc>
                <w:tcPr>
                  <w:tcW w:w="360" w:type="pct"/>
                  <w:vAlign w:val="center"/>
                </w:tcPr>
                <w:p w14:paraId="7BB0AC8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203FB06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2.8</w:t>
                  </w:r>
                </w:p>
              </w:tc>
              <w:tc>
                <w:tcPr>
                  <w:tcW w:w="317" w:type="pct"/>
                  <w:vAlign w:val="center"/>
                </w:tcPr>
                <w:p w14:paraId="599D588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66.66</w:t>
                  </w:r>
                </w:p>
              </w:tc>
              <w:tc>
                <w:tcPr>
                  <w:tcW w:w="425" w:type="pct"/>
                  <w:vAlign w:val="center"/>
                </w:tcPr>
                <w:p w14:paraId="7BACC28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729808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40.66</w:t>
                  </w:r>
                </w:p>
              </w:tc>
              <w:tc>
                <w:tcPr>
                  <w:tcW w:w="256" w:type="pct"/>
                  <w:vAlign w:val="center"/>
                </w:tcPr>
                <w:p w14:paraId="2A0097F2">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0BE0B1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r>
                    <w:rPr>
                      <w:rFonts w:hint="eastAsia" w:cs="Times New Roman"/>
                      <w:smallCaps w:val="0"/>
                      <w:color w:val="auto"/>
                      <w:spacing w:val="0"/>
                      <w:w w:val="100"/>
                      <w:sz w:val="21"/>
                      <w:szCs w:val="21"/>
                      <w:highlight w:val="none"/>
                      <w:lang w:val="en-US" w:eastAsia="zh-CN"/>
                    </w:rPr>
                    <w:t>昼夜</w:t>
                  </w:r>
                </w:p>
              </w:tc>
            </w:tr>
            <w:tr w14:paraId="4B5A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9EF26F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4</w:t>
                  </w:r>
                </w:p>
              </w:tc>
              <w:tc>
                <w:tcPr>
                  <w:tcW w:w="255" w:type="pct"/>
                  <w:vMerge w:val="continue"/>
                  <w:vAlign w:val="center"/>
                </w:tcPr>
                <w:p w14:paraId="507A46C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vAlign w:val="center"/>
                </w:tcPr>
                <w:p w14:paraId="4925A7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color w:val="auto"/>
                      <w:kern w:val="0"/>
                      <w:szCs w:val="21"/>
                      <w:highlight w:val="none"/>
                    </w:rPr>
                    <w:t>注塑机</w:t>
                  </w:r>
                </w:p>
              </w:tc>
              <w:tc>
                <w:tcPr>
                  <w:tcW w:w="518" w:type="pct"/>
                  <w:vAlign w:val="center"/>
                </w:tcPr>
                <w:p w14:paraId="6255CB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15D7FF6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6F775288">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64FC6A3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36.48</w:t>
                  </w:r>
                </w:p>
              </w:tc>
              <w:tc>
                <w:tcPr>
                  <w:tcW w:w="317" w:type="pct"/>
                  <w:vAlign w:val="center"/>
                </w:tcPr>
                <w:p w14:paraId="3C9D032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9.59</w:t>
                  </w:r>
                </w:p>
              </w:tc>
              <w:tc>
                <w:tcPr>
                  <w:tcW w:w="360" w:type="pct"/>
                  <w:vAlign w:val="center"/>
                </w:tcPr>
                <w:p w14:paraId="3C28407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E29122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1.32</w:t>
                  </w:r>
                </w:p>
              </w:tc>
              <w:tc>
                <w:tcPr>
                  <w:tcW w:w="317" w:type="pct"/>
                  <w:vAlign w:val="center"/>
                </w:tcPr>
                <w:p w14:paraId="1BA8ADF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67.6</w:t>
                  </w:r>
                </w:p>
              </w:tc>
              <w:tc>
                <w:tcPr>
                  <w:tcW w:w="425" w:type="pct"/>
                  <w:vAlign w:val="center"/>
                </w:tcPr>
                <w:p w14:paraId="0088A35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54CA87B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41.6</w:t>
                  </w:r>
                </w:p>
              </w:tc>
              <w:tc>
                <w:tcPr>
                  <w:tcW w:w="256" w:type="pct"/>
                  <w:vAlign w:val="center"/>
                </w:tcPr>
                <w:p w14:paraId="65C1F65C">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7CFCCD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080E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2B8D3D0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5</w:t>
                  </w:r>
                </w:p>
              </w:tc>
              <w:tc>
                <w:tcPr>
                  <w:tcW w:w="255" w:type="pct"/>
                  <w:vMerge w:val="continue"/>
                  <w:vAlign w:val="center"/>
                </w:tcPr>
                <w:p w14:paraId="575B59B7">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vAlign w:val="center"/>
                </w:tcPr>
                <w:p w14:paraId="4578D7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vAlign w:val="center"/>
                </w:tcPr>
                <w:p w14:paraId="5B5151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smallCaps w:val="0"/>
                      <w:color w:val="auto"/>
                      <w:spacing w:val="0"/>
                      <w:w w:val="100"/>
                      <w:sz w:val="21"/>
                      <w:szCs w:val="21"/>
                      <w:highlight w:val="none"/>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242664D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03291CD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3DC1766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32.21</w:t>
                  </w:r>
                </w:p>
              </w:tc>
              <w:tc>
                <w:tcPr>
                  <w:tcW w:w="317" w:type="pct"/>
                  <w:vAlign w:val="center"/>
                </w:tcPr>
                <w:p w14:paraId="30BE1AF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13.94</w:t>
                  </w:r>
                </w:p>
              </w:tc>
              <w:tc>
                <w:tcPr>
                  <w:tcW w:w="360" w:type="pct"/>
                  <w:vAlign w:val="center"/>
                </w:tcPr>
                <w:p w14:paraId="2811DED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06C00EF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2.65</w:t>
                  </w:r>
                </w:p>
              </w:tc>
              <w:tc>
                <w:tcPr>
                  <w:tcW w:w="317" w:type="pct"/>
                  <w:vAlign w:val="center"/>
                </w:tcPr>
                <w:p w14:paraId="2674093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66.7</w:t>
                  </w:r>
                </w:p>
              </w:tc>
              <w:tc>
                <w:tcPr>
                  <w:tcW w:w="425" w:type="pct"/>
                  <w:vAlign w:val="center"/>
                </w:tcPr>
                <w:p w14:paraId="3181B62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35F2B84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40.7</w:t>
                  </w:r>
                </w:p>
              </w:tc>
              <w:tc>
                <w:tcPr>
                  <w:tcW w:w="256" w:type="pct"/>
                  <w:vAlign w:val="center"/>
                </w:tcPr>
                <w:p w14:paraId="35C870B4">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B3716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rPr>
                  </w:pPr>
                  <w:r>
                    <w:rPr>
                      <w:rFonts w:hint="eastAsia" w:cs="Times New Roman"/>
                      <w:smallCaps w:val="0"/>
                      <w:color w:val="auto"/>
                      <w:spacing w:val="0"/>
                      <w:w w:val="100"/>
                      <w:sz w:val="21"/>
                      <w:szCs w:val="21"/>
                      <w:highlight w:val="none"/>
                      <w:lang w:val="en-US" w:eastAsia="zh-CN"/>
                    </w:rPr>
                    <w:t>昼夜</w:t>
                  </w:r>
                </w:p>
              </w:tc>
            </w:tr>
            <w:tr w14:paraId="5719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51E1166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6</w:t>
                  </w:r>
                </w:p>
              </w:tc>
              <w:tc>
                <w:tcPr>
                  <w:tcW w:w="255" w:type="pct"/>
                  <w:vMerge w:val="continue"/>
                  <w:vAlign w:val="center"/>
                </w:tcPr>
                <w:p w14:paraId="5EDB383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ACC44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2D6B5F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vAlign w:val="center"/>
                </w:tcPr>
                <w:p w14:paraId="34078D7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0467A57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E126CC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32.62</w:t>
                  </w:r>
                </w:p>
              </w:tc>
              <w:tc>
                <w:tcPr>
                  <w:tcW w:w="317" w:type="pct"/>
                  <w:shd w:val="clear" w:color="auto" w:fill="auto"/>
                  <w:vAlign w:val="center"/>
                </w:tcPr>
                <w:p w14:paraId="7D72166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12.46</w:t>
                  </w:r>
                </w:p>
              </w:tc>
              <w:tc>
                <w:tcPr>
                  <w:tcW w:w="360" w:type="pct"/>
                  <w:vAlign w:val="center"/>
                </w:tcPr>
                <w:p w14:paraId="5A56E15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6317FB0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4.16</w:t>
                  </w:r>
                </w:p>
              </w:tc>
              <w:tc>
                <w:tcPr>
                  <w:tcW w:w="317" w:type="pct"/>
                  <w:vAlign w:val="center"/>
                </w:tcPr>
                <w:p w14:paraId="0ADC680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66.49</w:t>
                  </w:r>
                </w:p>
              </w:tc>
              <w:tc>
                <w:tcPr>
                  <w:tcW w:w="425" w:type="pct"/>
                  <w:vAlign w:val="center"/>
                </w:tcPr>
                <w:p w14:paraId="0253F0C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882F8E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40.49</w:t>
                  </w:r>
                </w:p>
              </w:tc>
              <w:tc>
                <w:tcPr>
                  <w:tcW w:w="256" w:type="pct"/>
                  <w:vAlign w:val="center"/>
                </w:tcPr>
                <w:p w14:paraId="652552F2">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01A2A4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605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1DE64EB3">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7</w:t>
                  </w:r>
                </w:p>
              </w:tc>
              <w:tc>
                <w:tcPr>
                  <w:tcW w:w="255" w:type="pct"/>
                  <w:vMerge w:val="continue"/>
                  <w:vAlign w:val="center"/>
                </w:tcPr>
                <w:p w14:paraId="3450B66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6C0392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0A1B79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5040F225">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shd w:val="clear" w:color="auto" w:fill="auto"/>
                  <w:vAlign w:val="center"/>
                </w:tcPr>
                <w:p w14:paraId="3EE3F64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2AA94F4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32.95</w:t>
                  </w:r>
                </w:p>
              </w:tc>
              <w:tc>
                <w:tcPr>
                  <w:tcW w:w="317" w:type="pct"/>
                  <w:shd w:val="clear" w:color="auto" w:fill="auto"/>
                  <w:vAlign w:val="center"/>
                </w:tcPr>
                <w:p w14:paraId="0E6B45B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10.74</w:t>
                  </w:r>
                </w:p>
              </w:tc>
              <w:tc>
                <w:tcPr>
                  <w:tcW w:w="360" w:type="pct"/>
                  <w:shd w:val="clear" w:color="auto" w:fill="auto"/>
                  <w:vAlign w:val="center"/>
                </w:tcPr>
                <w:p w14:paraId="5AB6481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178C2E2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2.47</w:t>
                  </w:r>
                </w:p>
              </w:tc>
              <w:tc>
                <w:tcPr>
                  <w:tcW w:w="317" w:type="pct"/>
                  <w:shd w:val="clear" w:color="auto" w:fill="auto"/>
                  <w:vAlign w:val="center"/>
                </w:tcPr>
                <w:p w14:paraId="1C8F4BC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66.75</w:t>
                  </w:r>
                </w:p>
              </w:tc>
              <w:tc>
                <w:tcPr>
                  <w:tcW w:w="425" w:type="pct"/>
                  <w:shd w:val="clear" w:color="auto" w:fill="auto"/>
                  <w:vAlign w:val="center"/>
                </w:tcPr>
                <w:p w14:paraId="6C725DD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7D2217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40.75</w:t>
                  </w:r>
                </w:p>
              </w:tc>
              <w:tc>
                <w:tcPr>
                  <w:tcW w:w="256" w:type="pct"/>
                  <w:shd w:val="clear" w:color="auto" w:fill="auto"/>
                  <w:vAlign w:val="center"/>
                </w:tcPr>
                <w:p w14:paraId="170925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17ABC0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4303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3B4A20CA">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8</w:t>
                  </w:r>
                </w:p>
              </w:tc>
              <w:tc>
                <w:tcPr>
                  <w:tcW w:w="255" w:type="pct"/>
                  <w:vMerge w:val="continue"/>
                  <w:vAlign w:val="center"/>
                </w:tcPr>
                <w:p w14:paraId="52198D8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6F0C65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2773FD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3F31E948">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7B439AB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083BB20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33.19</w:t>
                  </w:r>
                </w:p>
              </w:tc>
              <w:tc>
                <w:tcPr>
                  <w:tcW w:w="317" w:type="pct"/>
                  <w:shd w:val="clear" w:color="auto" w:fill="auto"/>
                  <w:vAlign w:val="center"/>
                </w:tcPr>
                <w:p w14:paraId="7FB810E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8.77</w:t>
                  </w:r>
                </w:p>
              </w:tc>
              <w:tc>
                <w:tcPr>
                  <w:tcW w:w="360" w:type="pct"/>
                  <w:shd w:val="clear" w:color="auto" w:fill="auto"/>
                  <w:vAlign w:val="center"/>
                </w:tcPr>
                <w:p w14:paraId="4905F9F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60AA9C1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0.5</w:t>
                  </w:r>
                </w:p>
              </w:tc>
              <w:tc>
                <w:tcPr>
                  <w:tcW w:w="317" w:type="pct"/>
                  <w:shd w:val="clear" w:color="auto" w:fill="auto"/>
                  <w:vAlign w:val="center"/>
                </w:tcPr>
                <w:p w14:paraId="54E96A4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71.58</w:t>
                  </w:r>
                </w:p>
              </w:tc>
              <w:tc>
                <w:tcPr>
                  <w:tcW w:w="425" w:type="pct"/>
                  <w:shd w:val="clear" w:color="auto" w:fill="auto"/>
                  <w:vAlign w:val="center"/>
                </w:tcPr>
                <w:p w14:paraId="2A0EDD8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6E508C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45.58</w:t>
                  </w:r>
                </w:p>
              </w:tc>
              <w:tc>
                <w:tcPr>
                  <w:tcW w:w="256" w:type="pct"/>
                  <w:shd w:val="clear" w:color="auto" w:fill="auto"/>
                  <w:vAlign w:val="center"/>
                </w:tcPr>
                <w:p w14:paraId="6AC9D8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77CC662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3854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01A9229E">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default" w:ascii="Times New Roman" w:hAnsi="Times New Roman" w:eastAsia="宋体" w:cs="Times New Roman"/>
                      <w:bCs/>
                      <w:smallCaps w:val="0"/>
                      <w:color w:val="auto"/>
                      <w:spacing w:val="0"/>
                      <w:w w:val="100"/>
                      <w:kern w:val="0"/>
                      <w:sz w:val="21"/>
                      <w:szCs w:val="21"/>
                      <w:highlight w:val="none"/>
                      <w:lang w:val="en-US" w:eastAsia="zh-CN" w:bidi="ar-SA"/>
                    </w:rPr>
                    <w:t>9</w:t>
                  </w:r>
                </w:p>
              </w:tc>
              <w:tc>
                <w:tcPr>
                  <w:tcW w:w="255" w:type="pct"/>
                  <w:vMerge w:val="continue"/>
                  <w:vAlign w:val="center"/>
                </w:tcPr>
                <w:p w14:paraId="04C4F35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AC674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2AE2B2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7EAB9BEE">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shd w:val="clear" w:color="auto" w:fill="auto"/>
                  <w:vAlign w:val="center"/>
                </w:tcPr>
                <w:p w14:paraId="0CEA0E88">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79A938C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29.09</w:t>
                  </w:r>
                </w:p>
              </w:tc>
              <w:tc>
                <w:tcPr>
                  <w:tcW w:w="317" w:type="pct"/>
                  <w:shd w:val="clear" w:color="auto" w:fill="auto"/>
                  <w:vAlign w:val="center"/>
                </w:tcPr>
                <w:p w14:paraId="75A2583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14.27</w:t>
                  </w:r>
                </w:p>
              </w:tc>
              <w:tc>
                <w:tcPr>
                  <w:tcW w:w="360" w:type="pct"/>
                  <w:shd w:val="clear" w:color="auto" w:fill="auto"/>
                  <w:vAlign w:val="center"/>
                </w:tcPr>
                <w:p w14:paraId="788A543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0D6EDDE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2.01</w:t>
                  </w:r>
                </w:p>
              </w:tc>
              <w:tc>
                <w:tcPr>
                  <w:tcW w:w="317" w:type="pct"/>
                  <w:shd w:val="clear" w:color="auto" w:fill="auto"/>
                  <w:vAlign w:val="center"/>
                </w:tcPr>
                <w:p w14:paraId="30F1F48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66.94</w:t>
                  </w:r>
                </w:p>
              </w:tc>
              <w:tc>
                <w:tcPr>
                  <w:tcW w:w="425" w:type="pct"/>
                  <w:shd w:val="clear" w:color="auto" w:fill="auto"/>
                  <w:vAlign w:val="center"/>
                </w:tcPr>
                <w:p w14:paraId="146B9A5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BA0468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40.94</w:t>
                  </w:r>
                </w:p>
              </w:tc>
              <w:tc>
                <w:tcPr>
                  <w:tcW w:w="256" w:type="pct"/>
                  <w:shd w:val="clear" w:color="auto" w:fill="auto"/>
                  <w:vAlign w:val="center"/>
                </w:tcPr>
                <w:p w14:paraId="3C5C6F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4E9C16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269F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60A2724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10</w:t>
                  </w:r>
                </w:p>
              </w:tc>
              <w:tc>
                <w:tcPr>
                  <w:tcW w:w="255" w:type="pct"/>
                  <w:vMerge w:val="continue"/>
                  <w:vAlign w:val="center"/>
                </w:tcPr>
                <w:p w14:paraId="10F1E8D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57E4CE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255F2F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5DFAF8E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32451A9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73DEE4C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29.33</w:t>
                  </w:r>
                </w:p>
              </w:tc>
              <w:tc>
                <w:tcPr>
                  <w:tcW w:w="317" w:type="pct"/>
                  <w:shd w:val="clear" w:color="auto" w:fill="auto"/>
                  <w:vAlign w:val="center"/>
                </w:tcPr>
                <w:p w14:paraId="2EB36BD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11.89</w:t>
                  </w:r>
                </w:p>
              </w:tc>
              <w:tc>
                <w:tcPr>
                  <w:tcW w:w="360" w:type="pct"/>
                  <w:shd w:val="clear" w:color="auto" w:fill="auto"/>
                  <w:vAlign w:val="center"/>
                </w:tcPr>
                <w:p w14:paraId="721D2E0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347645A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3.62</w:t>
                  </w:r>
                </w:p>
              </w:tc>
              <w:tc>
                <w:tcPr>
                  <w:tcW w:w="317" w:type="pct"/>
                  <w:shd w:val="clear" w:color="auto" w:fill="auto"/>
                  <w:vAlign w:val="center"/>
                </w:tcPr>
                <w:p w14:paraId="40551A5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66.54</w:t>
                  </w:r>
                </w:p>
              </w:tc>
              <w:tc>
                <w:tcPr>
                  <w:tcW w:w="425" w:type="pct"/>
                  <w:shd w:val="clear" w:color="auto" w:fill="auto"/>
                  <w:vAlign w:val="center"/>
                </w:tcPr>
                <w:p w14:paraId="177AC65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645EBA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40.54</w:t>
                  </w:r>
                </w:p>
              </w:tc>
              <w:tc>
                <w:tcPr>
                  <w:tcW w:w="256" w:type="pct"/>
                  <w:shd w:val="clear" w:color="auto" w:fill="auto"/>
                  <w:vAlign w:val="center"/>
                </w:tcPr>
                <w:p w14:paraId="38743B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1AB2FF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7CBC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31A91216">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11</w:t>
                  </w:r>
                </w:p>
              </w:tc>
              <w:tc>
                <w:tcPr>
                  <w:tcW w:w="255" w:type="pct"/>
                  <w:vMerge w:val="continue"/>
                  <w:vAlign w:val="center"/>
                </w:tcPr>
                <w:p w14:paraId="0497F06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389691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07CD73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5E0F36A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57BAAB0A">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1570BDF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29.91</w:t>
                  </w:r>
                </w:p>
              </w:tc>
              <w:tc>
                <w:tcPr>
                  <w:tcW w:w="317" w:type="pct"/>
                  <w:shd w:val="clear" w:color="auto" w:fill="auto"/>
                  <w:vAlign w:val="center"/>
                </w:tcPr>
                <w:p w14:paraId="604533F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10.08</w:t>
                  </w:r>
                </w:p>
              </w:tc>
              <w:tc>
                <w:tcPr>
                  <w:tcW w:w="360" w:type="pct"/>
                  <w:shd w:val="clear" w:color="auto" w:fill="auto"/>
                  <w:vAlign w:val="center"/>
                </w:tcPr>
                <w:p w14:paraId="4E62672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6B8D50C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1.81</w:t>
                  </w:r>
                </w:p>
              </w:tc>
              <w:tc>
                <w:tcPr>
                  <w:tcW w:w="317" w:type="pct"/>
                  <w:shd w:val="clear" w:color="auto" w:fill="auto"/>
                  <w:vAlign w:val="center"/>
                </w:tcPr>
                <w:p w14:paraId="406C0B4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67.06</w:t>
                  </w:r>
                </w:p>
              </w:tc>
              <w:tc>
                <w:tcPr>
                  <w:tcW w:w="425" w:type="pct"/>
                  <w:shd w:val="clear" w:color="auto" w:fill="auto"/>
                  <w:vAlign w:val="center"/>
                </w:tcPr>
                <w:p w14:paraId="3CB0977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EAF094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41.06</w:t>
                  </w:r>
                </w:p>
              </w:tc>
              <w:tc>
                <w:tcPr>
                  <w:tcW w:w="256" w:type="pct"/>
                  <w:shd w:val="clear" w:color="auto" w:fill="auto"/>
                  <w:vAlign w:val="center"/>
                </w:tcPr>
                <w:p w14:paraId="0FE578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0E009A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1A26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525B5BB5">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12</w:t>
                  </w:r>
                </w:p>
              </w:tc>
              <w:tc>
                <w:tcPr>
                  <w:tcW w:w="255" w:type="pct"/>
                  <w:vMerge w:val="continue"/>
                  <w:vAlign w:val="center"/>
                </w:tcPr>
                <w:p w14:paraId="57E4606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7009C3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005374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13AB4801">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309CCBF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5755860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29.82</w:t>
                  </w:r>
                </w:p>
              </w:tc>
              <w:tc>
                <w:tcPr>
                  <w:tcW w:w="317" w:type="pct"/>
                  <w:shd w:val="clear" w:color="auto" w:fill="auto"/>
                  <w:vAlign w:val="center"/>
                </w:tcPr>
                <w:p w14:paraId="2B50BB4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7.95</w:t>
                  </w:r>
                </w:p>
              </w:tc>
              <w:tc>
                <w:tcPr>
                  <w:tcW w:w="360" w:type="pct"/>
                  <w:shd w:val="clear" w:color="auto" w:fill="auto"/>
                  <w:vAlign w:val="center"/>
                </w:tcPr>
                <w:p w14:paraId="410BCC9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3F5F19D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0.32</w:t>
                  </w:r>
                </w:p>
              </w:tc>
              <w:tc>
                <w:tcPr>
                  <w:tcW w:w="317" w:type="pct"/>
                  <w:shd w:val="clear" w:color="auto" w:fill="auto"/>
                  <w:vAlign w:val="center"/>
                </w:tcPr>
                <w:p w14:paraId="03F93E0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74.61</w:t>
                  </w:r>
                </w:p>
              </w:tc>
              <w:tc>
                <w:tcPr>
                  <w:tcW w:w="425" w:type="pct"/>
                  <w:shd w:val="clear" w:color="auto" w:fill="auto"/>
                  <w:vAlign w:val="center"/>
                </w:tcPr>
                <w:p w14:paraId="3740F6B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346C745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48.61</w:t>
                  </w:r>
                </w:p>
              </w:tc>
              <w:tc>
                <w:tcPr>
                  <w:tcW w:w="256" w:type="pct"/>
                  <w:shd w:val="clear" w:color="auto" w:fill="auto"/>
                  <w:vAlign w:val="center"/>
                </w:tcPr>
                <w:p w14:paraId="5AECE3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5E969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3F18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591578B5">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13</w:t>
                  </w:r>
                </w:p>
              </w:tc>
              <w:tc>
                <w:tcPr>
                  <w:tcW w:w="255" w:type="pct"/>
                  <w:vMerge w:val="continue"/>
                  <w:vAlign w:val="center"/>
                </w:tcPr>
                <w:p w14:paraId="31B5387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5946F0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64732D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16CB7715">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7382EB0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7524B34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25.64</w:t>
                  </w:r>
                </w:p>
              </w:tc>
              <w:tc>
                <w:tcPr>
                  <w:tcW w:w="317" w:type="pct"/>
                  <w:shd w:val="clear" w:color="auto" w:fill="auto"/>
                  <w:vAlign w:val="center"/>
                </w:tcPr>
                <w:p w14:paraId="78EA8D3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14.02</w:t>
                  </w:r>
                </w:p>
              </w:tc>
              <w:tc>
                <w:tcPr>
                  <w:tcW w:w="360" w:type="pct"/>
                  <w:shd w:val="clear" w:color="auto" w:fill="auto"/>
                  <w:vAlign w:val="center"/>
                </w:tcPr>
                <w:p w14:paraId="3798C9A2">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5CC8BE2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1.92</w:t>
                  </w:r>
                </w:p>
              </w:tc>
              <w:tc>
                <w:tcPr>
                  <w:tcW w:w="317" w:type="pct"/>
                  <w:shd w:val="clear" w:color="auto" w:fill="auto"/>
                  <w:vAlign w:val="center"/>
                </w:tcPr>
                <w:p w14:paraId="137090A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66.99</w:t>
                  </w:r>
                </w:p>
              </w:tc>
              <w:tc>
                <w:tcPr>
                  <w:tcW w:w="425" w:type="pct"/>
                  <w:shd w:val="clear" w:color="auto" w:fill="auto"/>
                  <w:vAlign w:val="center"/>
                </w:tcPr>
                <w:p w14:paraId="5268147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2B91FE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40.99</w:t>
                  </w:r>
                </w:p>
              </w:tc>
              <w:tc>
                <w:tcPr>
                  <w:tcW w:w="256" w:type="pct"/>
                  <w:shd w:val="clear" w:color="auto" w:fill="auto"/>
                  <w:vAlign w:val="center"/>
                </w:tcPr>
                <w:p w14:paraId="13865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7E5CEE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2C59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1A09FC82">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14</w:t>
                  </w:r>
                </w:p>
              </w:tc>
              <w:tc>
                <w:tcPr>
                  <w:tcW w:w="255" w:type="pct"/>
                  <w:vMerge w:val="continue"/>
                  <w:vAlign w:val="center"/>
                </w:tcPr>
                <w:p w14:paraId="011B3F3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7899CF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35D7C6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720D1B2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53A93E0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7EA413A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26.13</w:t>
                  </w:r>
                </w:p>
              </w:tc>
              <w:tc>
                <w:tcPr>
                  <w:tcW w:w="317" w:type="pct"/>
                  <w:shd w:val="clear" w:color="auto" w:fill="auto"/>
                  <w:vAlign w:val="center"/>
                </w:tcPr>
                <w:p w14:paraId="04D521E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11.64</w:t>
                  </w:r>
                </w:p>
              </w:tc>
              <w:tc>
                <w:tcPr>
                  <w:tcW w:w="360" w:type="pct"/>
                  <w:shd w:val="clear" w:color="auto" w:fill="auto"/>
                  <w:vAlign w:val="center"/>
                </w:tcPr>
                <w:p w14:paraId="0109BEB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6465B15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3.37</w:t>
                  </w:r>
                </w:p>
              </w:tc>
              <w:tc>
                <w:tcPr>
                  <w:tcW w:w="317" w:type="pct"/>
                  <w:shd w:val="clear" w:color="auto" w:fill="auto"/>
                  <w:vAlign w:val="center"/>
                </w:tcPr>
                <w:p w14:paraId="02A24E7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66.57</w:t>
                  </w:r>
                </w:p>
              </w:tc>
              <w:tc>
                <w:tcPr>
                  <w:tcW w:w="425" w:type="pct"/>
                  <w:shd w:val="clear" w:color="auto" w:fill="auto"/>
                  <w:vAlign w:val="center"/>
                </w:tcPr>
                <w:p w14:paraId="3753FEA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CCD818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40.57</w:t>
                  </w:r>
                </w:p>
              </w:tc>
              <w:tc>
                <w:tcPr>
                  <w:tcW w:w="256" w:type="pct"/>
                  <w:shd w:val="clear" w:color="auto" w:fill="auto"/>
                  <w:vAlign w:val="center"/>
                </w:tcPr>
                <w:p w14:paraId="1BA7EA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463B81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0772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45C2DE2F">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15</w:t>
                  </w:r>
                </w:p>
              </w:tc>
              <w:tc>
                <w:tcPr>
                  <w:tcW w:w="255" w:type="pct"/>
                  <w:vMerge w:val="continue"/>
                  <w:vAlign w:val="center"/>
                </w:tcPr>
                <w:p w14:paraId="2F193E0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39D65A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462BCB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786CE92F">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2045034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6BC1E49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26.54</w:t>
                  </w:r>
                </w:p>
              </w:tc>
              <w:tc>
                <w:tcPr>
                  <w:tcW w:w="317" w:type="pct"/>
                  <w:shd w:val="clear" w:color="auto" w:fill="auto"/>
                  <w:vAlign w:val="center"/>
                </w:tcPr>
                <w:p w14:paraId="5428496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10.08</w:t>
                  </w:r>
                </w:p>
              </w:tc>
              <w:tc>
                <w:tcPr>
                  <w:tcW w:w="360" w:type="pct"/>
                  <w:shd w:val="clear" w:color="auto" w:fill="auto"/>
                  <w:vAlign w:val="center"/>
                </w:tcPr>
                <w:p w14:paraId="623158B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27E1F17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1.81</w:t>
                  </w:r>
                </w:p>
              </w:tc>
              <w:tc>
                <w:tcPr>
                  <w:tcW w:w="317" w:type="pct"/>
                  <w:shd w:val="clear" w:color="auto" w:fill="auto"/>
                  <w:vAlign w:val="center"/>
                </w:tcPr>
                <w:p w14:paraId="41CA728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67.06</w:t>
                  </w:r>
                </w:p>
              </w:tc>
              <w:tc>
                <w:tcPr>
                  <w:tcW w:w="425" w:type="pct"/>
                  <w:shd w:val="clear" w:color="auto" w:fill="auto"/>
                  <w:vAlign w:val="center"/>
                </w:tcPr>
                <w:p w14:paraId="5040970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FDA33F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41.06</w:t>
                  </w:r>
                </w:p>
              </w:tc>
              <w:tc>
                <w:tcPr>
                  <w:tcW w:w="256" w:type="pct"/>
                  <w:shd w:val="clear" w:color="auto" w:fill="auto"/>
                  <w:vAlign w:val="center"/>
                </w:tcPr>
                <w:p w14:paraId="3B4BBB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762313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70FE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2946B084">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16</w:t>
                  </w:r>
                </w:p>
              </w:tc>
              <w:tc>
                <w:tcPr>
                  <w:tcW w:w="255" w:type="pct"/>
                  <w:vMerge w:val="continue"/>
                  <w:vAlign w:val="center"/>
                </w:tcPr>
                <w:p w14:paraId="1B9C9E6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399891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注塑机</w:t>
                  </w:r>
                </w:p>
              </w:tc>
              <w:tc>
                <w:tcPr>
                  <w:tcW w:w="518" w:type="pct"/>
                  <w:shd w:val="clear" w:color="auto" w:fill="auto"/>
                  <w:vAlign w:val="center"/>
                </w:tcPr>
                <w:p w14:paraId="0F67ED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PD-120T</w:t>
                  </w:r>
                </w:p>
              </w:tc>
              <w:tc>
                <w:tcPr>
                  <w:tcW w:w="331" w:type="pct"/>
                  <w:shd w:val="clear" w:color="auto" w:fill="auto"/>
                  <w:vAlign w:val="center"/>
                </w:tcPr>
                <w:p w14:paraId="150D2EE1">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rPr>
                    <w:t>75</w:t>
                  </w:r>
                </w:p>
              </w:tc>
              <w:tc>
                <w:tcPr>
                  <w:tcW w:w="308" w:type="pct"/>
                  <w:vMerge w:val="continue"/>
                  <w:vAlign w:val="center"/>
                </w:tcPr>
                <w:p w14:paraId="40D1E16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3954E08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26.95</w:t>
                  </w:r>
                </w:p>
              </w:tc>
              <w:tc>
                <w:tcPr>
                  <w:tcW w:w="317" w:type="pct"/>
                  <w:shd w:val="clear" w:color="auto" w:fill="auto"/>
                  <w:vAlign w:val="center"/>
                </w:tcPr>
                <w:p w14:paraId="61F733C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7.86</w:t>
                  </w:r>
                </w:p>
              </w:tc>
              <w:tc>
                <w:tcPr>
                  <w:tcW w:w="360" w:type="pct"/>
                  <w:shd w:val="clear" w:color="auto" w:fill="auto"/>
                  <w:vAlign w:val="center"/>
                </w:tcPr>
                <w:p w14:paraId="1F7A49C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5FFD646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0.41</w:t>
                  </w:r>
                </w:p>
              </w:tc>
              <w:tc>
                <w:tcPr>
                  <w:tcW w:w="317" w:type="pct"/>
                  <w:shd w:val="clear" w:color="auto" w:fill="auto"/>
                  <w:vAlign w:val="center"/>
                </w:tcPr>
                <w:p w14:paraId="2C792B9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72.85</w:t>
                  </w:r>
                </w:p>
              </w:tc>
              <w:tc>
                <w:tcPr>
                  <w:tcW w:w="425" w:type="pct"/>
                  <w:shd w:val="clear" w:color="auto" w:fill="auto"/>
                  <w:vAlign w:val="center"/>
                </w:tcPr>
                <w:p w14:paraId="7B3DE8A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04201C9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46.85</w:t>
                  </w:r>
                </w:p>
              </w:tc>
              <w:tc>
                <w:tcPr>
                  <w:tcW w:w="256" w:type="pct"/>
                  <w:shd w:val="clear" w:color="auto" w:fill="auto"/>
                  <w:vAlign w:val="center"/>
                </w:tcPr>
                <w:p w14:paraId="656E79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6E5683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7CB2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72C6801F">
                  <w:pPr>
                    <w:pStyle w:val="67"/>
                    <w:keepNext w:val="0"/>
                    <w:keepLines w:val="0"/>
                    <w:suppressLineNumbers w:val="0"/>
                    <w:spacing w:before="0" w:beforeAutospacing="0" w:after="0" w:afterAutospacing="0"/>
                    <w:ind w:left="0" w:leftChars="0" w:right="0" w:rightChars="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17</w:t>
                  </w:r>
                </w:p>
              </w:tc>
              <w:tc>
                <w:tcPr>
                  <w:tcW w:w="255" w:type="pct"/>
                  <w:vMerge w:val="continue"/>
                  <w:vAlign w:val="center"/>
                </w:tcPr>
                <w:p w14:paraId="267BA8B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420C86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干燥机</w:t>
                  </w:r>
                </w:p>
              </w:tc>
              <w:tc>
                <w:tcPr>
                  <w:tcW w:w="518" w:type="pct"/>
                  <w:shd w:val="clear" w:color="auto" w:fill="auto"/>
                  <w:vAlign w:val="center"/>
                </w:tcPr>
                <w:p w14:paraId="556B85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SCD-160U/80H</w:t>
                  </w:r>
                </w:p>
              </w:tc>
              <w:tc>
                <w:tcPr>
                  <w:tcW w:w="331" w:type="pct"/>
                  <w:shd w:val="clear" w:color="auto" w:fill="auto"/>
                  <w:vAlign w:val="center"/>
                </w:tcPr>
                <w:p w14:paraId="203DFEEB">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3B5247C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32092A3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14.82</w:t>
                  </w:r>
                </w:p>
              </w:tc>
              <w:tc>
                <w:tcPr>
                  <w:tcW w:w="317" w:type="pct"/>
                  <w:shd w:val="clear" w:color="auto" w:fill="auto"/>
                  <w:vAlign w:val="center"/>
                </w:tcPr>
                <w:p w14:paraId="3F1AC22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9.93</w:t>
                  </w:r>
                </w:p>
              </w:tc>
              <w:tc>
                <w:tcPr>
                  <w:tcW w:w="360" w:type="pct"/>
                  <w:shd w:val="clear" w:color="auto" w:fill="auto"/>
                  <w:vAlign w:val="center"/>
                </w:tcPr>
                <w:p w14:paraId="0426CA4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0.6</w:t>
                  </w:r>
                </w:p>
              </w:tc>
              <w:tc>
                <w:tcPr>
                  <w:tcW w:w="317" w:type="pct"/>
                  <w:shd w:val="clear" w:color="auto" w:fill="auto"/>
                  <w:vAlign w:val="center"/>
                </w:tcPr>
                <w:p w14:paraId="4156ED5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1.66</w:t>
                  </w:r>
                </w:p>
              </w:tc>
              <w:tc>
                <w:tcPr>
                  <w:tcW w:w="317" w:type="pct"/>
                  <w:shd w:val="clear" w:color="auto" w:fill="auto"/>
                  <w:vAlign w:val="center"/>
                </w:tcPr>
                <w:p w14:paraId="5761CEB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67.18</w:t>
                  </w:r>
                </w:p>
              </w:tc>
              <w:tc>
                <w:tcPr>
                  <w:tcW w:w="425" w:type="pct"/>
                  <w:shd w:val="clear" w:color="auto" w:fill="auto"/>
                  <w:vAlign w:val="center"/>
                </w:tcPr>
                <w:p w14:paraId="18FF66D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D431C1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41.18</w:t>
                  </w:r>
                </w:p>
              </w:tc>
              <w:tc>
                <w:tcPr>
                  <w:tcW w:w="256" w:type="pct"/>
                  <w:shd w:val="clear" w:color="auto" w:fill="auto"/>
                  <w:vAlign w:val="center"/>
                </w:tcPr>
                <w:p w14:paraId="685518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347BFD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5512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412D25F2">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18</w:t>
                  </w:r>
                </w:p>
              </w:tc>
              <w:tc>
                <w:tcPr>
                  <w:tcW w:w="255" w:type="pct"/>
                  <w:vMerge w:val="continue"/>
                  <w:vAlign w:val="center"/>
                </w:tcPr>
                <w:p w14:paraId="069CFCD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519007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干燥箱</w:t>
                  </w:r>
                </w:p>
              </w:tc>
              <w:tc>
                <w:tcPr>
                  <w:tcW w:w="518" w:type="pct"/>
                  <w:shd w:val="clear" w:color="auto" w:fill="auto"/>
                  <w:vAlign w:val="center"/>
                </w:tcPr>
                <w:p w14:paraId="2EE555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SC202-4YB</w:t>
                  </w:r>
                </w:p>
              </w:tc>
              <w:tc>
                <w:tcPr>
                  <w:tcW w:w="331" w:type="pct"/>
                  <w:shd w:val="clear" w:color="auto" w:fill="auto"/>
                  <w:vAlign w:val="center"/>
                </w:tcPr>
                <w:p w14:paraId="552BA9D4">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46E3C2F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5634FCEE">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14.57</w:t>
                  </w:r>
                </w:p>
              </w:tc>
              <w:tc>
                <w:tcPr>
                  <w:tcW w:w="317" w:type="pct"/>
                  <w:shd w:val="clear" w:color="auto" w:fill="auto"/>
                  <w:vAlign w:val="center"/>
                </w:tcPr>
                <w:p w14:paraId="40FC392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11.33</w:t>
                  </w:r>
                </w:p>
              </w:tc>
              <w:tc>
                <w:tcPr>
                  <w:tcW w:w="360" w:type="pct"/>
                  <w:shd w:val="clear" w:color="auto" w:fill="auto"/>
                  <w:vAlign w:val="center"/>
                </w:tcPr>
                <w:p w14:paraId="7481056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0.6</w:t>
                  </w:r>
                </w:p>
              </w:tc>
              <w:tc>
                <w:tcPr>
                  <w:tcW w:w="317" w:type="pct"/>
                  <w:shd w:val="clear" w:color="auto" w:fill="auto"/>
                  <w:vAlign w:val="center"/>
                </w:tcPr>
                <w:p w14:paraId="023E102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3.06</w:t>
                  </w:r>
                </w:p>
              </w:tc>
              <w:tc>
                <w:tcPr>
                  <w:tcW w:w="317" w:type="pct"/>
                  <w:shd w:val="clear" w:color="auto" w:fill="auto"/>
                  <w:vAlign w:val="center"/>
                </w:tcPr>
                <w:p w14:paraId="4066A32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66.61</w:t>
                  </w:r>
                </w:p>
              </w:tc>
              <w:tc>
                <w:tcPr>
                  <w:tcW w:w="425" w:type="pct"/>
                  <w:shd w:val="clear" w:color="auto" w:fill="auto"/>
                  <w:vAlign w:val="center"/>
                </w:tcPr>
                <w:p w14:paraId="0D4EBDE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2A0FD4B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40.61</w:t>
                  </w:r>
                </w:p>
              </w:tc>
              <w:tc>
                <w:tcPr>
                  <w:tcW w:w="256" w:type="pct"/>
                  <w:shd w:val="clear" w:color="auto" w:fill="auto"/>
                  <w:vAlign w:val="center"/>
                </w:tcPr>
                <w:p w14:paraId="600D52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5F43AF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sz w:val="21"/>
                      <w:szCs w:val="21"/>
                      <w:highlight w:val="none"/>
                      <w:lang w:val="en-US" w:eastAsia="zh-CN"/>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13F2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4380D333">
                  <w:pPr>
                    <w:pStyle w:val="6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19</w:t>
                  </w:r>
                </w:p>
              </w:tc>
              <w:tc>
                <w:tcPr>
                  <w:tcW w:w="255" w:type="pct"/>
                  <w:vMerge w:val="continue"/>
                  <w:vAlign w:val="center"/>
                </w:tcPr>
                <w:p w14:paraId="553F3E0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544282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color w:val="auto"/>
                      <w:w w:val="100"/>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干燥箱</w:t>
                  </w:r>
                </w:p>
              </w:tc>
              <w:tc>
                <w:tcPr>
                  <w:tcW w:w="518" w:type="pct"/>
                  <w:shd w:val="clear" w:color="auto" w:fill="auto"/>
                  <w:vAlign w:val="center"/>
                </w:tcPr>
                <w:p w14:paraId="259573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color w:val="auto"/>
                      <w:w w:val="100"/>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SC202-4YB</w:t>
                  </w:r>
                </w:p>
              </w:tc>
              <w:tc>
                <w:tcPr>
                  <w:tcW w:w="331" w:type="pct"/>
                  <w:shd w:val="clear" w:color="auto" w:fill="auto"/>
                  <w:vAlign w:val="center"/>
                </w:tcPr>
                <w:p w14:paraId="37CDC5DD">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shd w:val="clear" w:color="auto" w:fill="auto"/>
                  <w:vAlign w:val="center"/>
                </w:tcPr>
                <w:p w14:paraId="320C7B68">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2"/>
                      <w:sz w:val="21"/>
                      <w:szCs w:val="21"/>
                      <w:highlight w:val="none"/>
                      <w:lang w:val="en-US" w:eastAsia="zh-CN" w:bidi="ar-SA"/>
                    </w:rPr>
                  </w:pPr>
                </w:p>
              </w:tc>
              <w:tc>
                <w:tcPr>
                  <w:tcW w:w="317" w:type="pct"/>
                  <w:shd w:val="clear" w:color="auto" w:fill="auto"/>
                  <w:vAlign w:val="center"/>
                </w:tcPr>
                <w:p w14:paraId="6ADBE0D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16.88</w:t>
                  </w:r>
                </w:p>
              </w:tc>
              <w:tc>
                <w:tcPr>
                  <w:tcW w:w="317" w:type="pct"/>
                  <w:shd w:val="clear" w:color="auto" w:fill="auto"/>
                  <w:vAlign w:val="center"/>
                </w:tcPr>
                <w:p w14:paraId="66803A7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11.66</w:t>
                  </w:r>
                </w:p>
              </w:tc>
              <w:tc>
                <w:tcPr>
                  <w:tcW w:w="360" w:type="pct"/>
                  <w:shd w:val="clear" w:color="auto" w:fill="auto"/>
                  <w:vAlign w:val="center"/>
                </w:tcPr>
                <w:p w14:paraId="0679D7B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0.6</w:t>
                  </w:r>
                </w:p>
              </w:tc>
              <w:tc>
                <w:tcPr>
                  <w:tcW w:w="317" w:type="pct"/>
                  <w:shd w:val="clear" w:color="auto" w:fill="auto"/>
                  <w:vAlign w:val="center"/>
                </w:tcPr>
                <w:p w14:paraId="041C323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3.39</w:t>
                  </w:r>
                </w:p>
              </w:tc>
              <w:tc>
                <w:tcPr>
                  <w:tcW w:w="317" w:type="pct"/>
                  <w:shd w:val="clear" w:color="auto" w:fill="auto"/>
                  <w:vAlign w:val="center"/>
                </w:tcPr>
                <w:p w14:paraId="4A97822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66.57</w:t>
                  </w:r>
                </w:p>
              </w:tc>
              <w:tc>
                <w:tcPr>
                  <w:tcW w:w="425" w:type="pct"/>
                  <w:shd w:val="clear" w:color="auto" w:fill="auto"/>
                  <w:vAlign w:val="center"/>
                </w:tcPr>
                <w:p w14:paraId="4058119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default"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0032C9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40.57</w:t>
                  </w:r>
                </w:p>
              </w:tc>
              <w:tc>
                <w:tcPr>
                  <w:tcW w:w="256" w:type="pct"/>
                  <w:shd w:val="clear" w:color="auto" w:fill="auto"/>
                  <w:vAlign w:val="center"/>
                </w:tcPr>
                <w:p w14:paraId="49CF85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ascii="Times New Roman" w:hAnsi="Times New Roman" w:eastAsia="宋体"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6D4D28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ascii="Times New Roman" w:hAnsi="Times New Roman" w:eastAsia="宋体" w:cs="Times New Roman"/>
                      <w:smallCaps w:val="0"/>
                      <w:color w:val="auto"/>
                      <w:spacing w:val="0"/>
                      <w:w w:val="100"/>
                      <w:sz w:val="21"/>
                      <w:szCs w:val="21"/>
                      <w:highlight w:val="none"/>
                      <w:lang w:val="en-US" w:eastAsia="zh-CN"/>
                    </w:rPr>
                    <w:t>昼夜</w:t>
                  </w:r>
                </w:p>
              </w:tc>
            </w:tr>
            <w:tr w14:paraId="03B2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18226938">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20</w:t>
                  </w:r>
                </w:p>
              </w:tc>
              <w:tc>
                <w:tcPr>
                  <w:tcW w:w="255" w:type="pct"/>
                  <w:vMerge w:val="continue"/>
                  <w:vAlign w:val="center"/>
                </w:tcPr>
                <w:p w14:paraId="44DD30D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p>
              </w:tc>
              <w:tc>
                <w:tcPr>
                  <w:tcW w:w="419" w:type="pct"/>
                  <w:shd w:val="clear" w:color="auto" w:fill="auto"/>
                  <w:vAlign w:val="center"/>
                </w:tcPr>
                <w:p w14:paraId="277BAF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干燥箱</w:t>
                  </w:r>
                </w:p>
              </w:tc>
              <w:tc>
                <w:tcPr>
                  <w:tcW w:w="518" w:type="pct"/>
                  <w:shd w:val="clear" w:color="auto" w:fill="auto"/>
                  <w:vAlign w:val="center"/>
                </w:tcPr>
                <w:p w14:paraId="3547B3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SC202-4YB</w:t>
                  </w:r>
                </w:p>
              </w:tc>
              <w:tc>
                <w:tcPr>
                  <w:tcW w:w="331" w:type="pct"/>
                  <w:shd w:val="clear" w:color="auto" w:fill="auto"/>
                  <w:vAlign w:val="center"/>
                </w:tcPr>
                <w:p w14:paraId="0BA1BD2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shd w:val="clear" w:color="auto" w:fill="auto"/>
                  <w:vAlign w:val="center"/>
                </w:tcPr>
                <w:p w14:paraId="2F0E47A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4EE0A50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19.94</w:t>
                  </w:r>
                </w:p>
              </w:tc>
              <w:tc>
                <w:tcPr>
                  <w:tcW w:w="317" w:type="pct"/>
                  <w:shd w:val="clear" w:color="auto" w:fill="auto"/>
                  <w:vAlign w:val="center"/>
                </w:tcPr>
                <w:p w14:paraId="7C92C1E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11.83</w:t>
                  </w:r>
                </w:p>
              </w:tc>
              <w:tc>
                <w:tcPr>
                  <w:tcW w:w="360" w:type="pct"/>
                  <w:shd w:val="clear" w:color="auto" w:fill="auto"/>
                  <w:vAlign w:val="center"/>
                </w:tcPr>
                <w:p w14:paraId="3639DD6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0.6</w:t>
                  </w:r>
                </w:p>
              </w:tc>
              <w:tc>
                <w:tcPr>
                  <w:tcW w:w="317" w:type="pct"/>
                  <w:shd w:val="clear" w:color="auto" w:fill="auto"/>
                  <w:vAlign w:val="center"/>
                </w:tcPr>
                <w:p w14:paraId="1FD45A5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3.53</w:t>
                  </w:r>
                </w:p>
              </w:tc>
              <w:tc>
                <w:tcPr>
                  <w:tcW w:w="317" w:type="pct"/>
                  <w:shd w:val="clear" w:color="auto" w:fill="auto"/>
                  <w:vAlign w:val="center"/>
                </w:tcPr>
                <w:p w14:paraId="1F732E8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66.55</w:t>
                  </w:r>
                </w:p>
              </w:tc>
              <w:tc>
                <w:tcPr>
                  <w:tcW w:w="425" w:type="pct"/>
                  <w:shd w:val="clear" w:color="auto" w:fill="auto"/>
                  <w:vAlign w:val="center"/>
                </w:tcPr>
                <w:p w14:paraId="71A2233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40CDBAA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40.55</w:t>
                  </w:r>
                </w:p>
              </w:tc>
              <w:tc>
                <w:tcPr>
                  <w:tcW w:w="256" w:type="pct"/>
                  <w:shd w:val="clear" w:color="auto" w:fill="auto"/>
                  <w:vAlign w:val="center"/>
                </w:tcPr>
                <w:p w14:paraId="6F6F84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3B2BF2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4947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10904622">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21</w:t>
                  </w:r>
                </w:p>
              </w:tc>
              <w:tc>
                <w:tcPr>
                  <w:tcW w:w="255" w:type="pct"/>
                  <w:vMerge w:val="continue"/>
                  <w:vAlign w:val="center"/>
                </w:tcPr>
                <w:p w14:paraId="3481EBF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4087EE4A">
                  <w:pPr>
                    <w:keepNext w:val="0"/>
                    <w:keepLines w:val="0"/>
                    <w:suppressLineNumbers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冷却塔</w:t>
                  </w:r>
                </w:p>
              </w:tc>
              <w:tc>
                <w:tcPr>
                  <w:tcW w:w="518" w:type="pct"/>
                  <w:shd w:val="clear" w:color="auto" w:fill="auto"/>
                  <w:vAlign w:val="center"/>
                </w:tcPr>
                <w:p w14:paraId="73956164">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Cs w:val="21"/>
                      <w:highlight w:val="none"/>
                      <w:lang w:val="en-US" w:eastAsia="zh-CN"/>
                    </w:rPr>
                    <w:t>40</w:t>
                  </w:r>
                  <w:r>
                    <w:rPr>
                      <w:rFonts w:hint="default" w:ascii="Times New Roman" w:hAnsi="Times New Roman" w:eastAsia="宋体" w:cs="Times New Roman"/>
                      <w:color w:val="auto"/>
                      <w:kern w:val="0"/>
                      <w:szCs w:val="21"/>
                      <w:highlight w:val="none"/>
                    </w:rPr>
                    <w:t>T</w:t>
                  </w:r>
                </w:p>
              </w:tc>
              <w:tc>
                <w:tcPr>
                  <w:tcW w:w="331" w:type="pct"/>
                  <w:shd w:val="clear" w:color="auto" w:fill="auto"/>
                  <w:vAlign w:val="center"/>
                </w:tcPr>
                <w:p w14:paraId="0015E07E">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ascii="Times New Roman" w:hAnsi="Times New Roman"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7069AB7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066587A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42.49</w:t>
                  </w:r>
                </w:p>
              </w:tc>
              <w:tc>
                <w:tcPr>
                  <w:tcW w:w="317" w:type="pct"/>
                  <w:shd w:val="clear" w:color="auto" w:fill="auto"/>
                  <w:vAlign w:val="center"/>
                </w:tcPr>
                <w:p w14:paraId="29B1B71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11.91</w:t>
                  </w:r>
                </w:p>
              </w:tc>
              <w:tc>
                <w:tcPr>
                  <w:tcW w:w="360" w:type="pct"/>
                  <w:shd w:val="clear" w:color="auto" w:fill="auto"/>
                  <w:vAlign w:val="center"/>
                </w:tcPr>
                <w:p w14:paraId="2636C3B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1.5</w:t>
                  </w:r>
                </w:p>
              </w:tc>
              <w:tc>
                <w:tcPr>
                  <w:tcW w:w="317" w:type="pct"/>
                  <w:shd w:val="clear" w:color="auto" w:fill="auto"/>
                  <w:vAlign w:val="center"/>
                </w:tcPr>
                <w:p w14:paraId="6BBF99A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0.44</w:t>
                  </w:r>
                </w:p>
              </w:tc>
              <w:tc>
                <w:tcPr>
                  <w:tcW w:w="317" w:type="pct"/>
                  <w:shd w:val="clear" w:color="auto" w:fill="auto"/>
                  <w:vAlign w:val="center"/>
                </w:tcPr>
                <w:p w14:paraId="7BA65BEF">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72.38</w:t>
                  </w:r>
                </w:p>
              </w:tc>
              <w:tc>
                <w:tcPr>
                  <w:tcW w:w="425" w:type="pct"/>
                  <w:shd w:val="clear" w:color="auto" w:fill="auto"/>
                  <w:vAlign w:val="center"/>
                </w:tcPr>
                <w:p w14:paraId="4D0A623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57C388D4">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46.38</w:t>
                  </w:r>
                </w:p>
              </w:tc>
              <w:tc>
                <w:tcPr>
                  <w:tcW w:w="256" w:type="pct"/>
                  <w:shd w:val="clear" w:color="auto" w:fill="auto"/>
                  <w:vAlign w:val="center"/>
                </w:tcPr>
                <w:p w14:paraId="5AC46D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5C89AFF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46B7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353B72BC">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22</w:t>
                  </w:r>
                </w:p>
              </w:tc>
              <w:tc>
                <w:tcPr>
                  <w:tcW w:w="255" w:type="pct"/>
                  <w:vMerge w:val="continue"/>
                  <w:vAlign w:val="center"/>
                </w:tcPr>
                <w:p w14:paraId="5C2982A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8CB9DCF">
                  <w:pPr>
                    <w:keepNext w:val="0"/>
                    <w:keepLines w:val="0"/>
                    <w:suppressLineNumbers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冷水机</w:t>
                  </w:r>
                </w:p>
              </w:tc>
              <w:tc>
                <w:tcPr>
                  <w:tcW w:w="518" w:type="pct"/>
                  <w:shd w:val="clear" w:color="auto" w:fill="auto"/>
                  <w:vAlign w:val="center"/>
                </w:tcPr>
                <w:p w14:paraId="41835C8A">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lang w:val="en-US" w:eastAsia="zh-CN"/>
                    </w:rPr>
                    <w:t>WD-5AC</w:t>
                  </w:r>
                </w:p>
              </w:tc>
              <w:tc>
                <w:tcPr>
                  <w:tcW w:w="331" w:type="pct"/>
                  <w:shd w:val="clear" w:color="auto" w:fill="auto"/>
                  <w:vAlign w:val="center"/>
                </w:tcPr>
                <w:p w14:paraId="479EA408">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ascii="Times New Roman" w:hAnsi="Times New Roman"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02A1035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shd w:val="clear" w:color="auto" w:fill="auto"/>
                  <w:vAlign w:val="center"/>
                </w:tcPr>
                <w:p w14:paraId="392A94B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39.84</w:t>
                  </w:r>
                </w:p>
              </w:tc>
              <w:tc>
                <w:tcPr>
                  <w:tcW w:w="317" w:type="pct"/>
                  <w:shd w:val="clear" w:color="auto" w:fill="auto"/>
                  <w:vAlign w:val="center"/>
                </w:tcPr>
                <w:p w14:paraId="7915E17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11.75</w:t>
                  </w:r>
                </w:p>
              </w:tc>
              <w:tc>
                <w:tcPr>
                  <w:tcW w:w="360" w:type="pct"/>
                  <w:shd w:val="clear" w:color="auto" w:fill="auto"/>
                  <w:vAlign w:val="center"/>
                </w:tcPr>
                <w:p w14:paraId="768B110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1.2</w:t>
                  </w:r>
                </w:p>
              </w:tc>
              <w:tc>
                <w:tcPr>
                  <w:tcW w:w="317" w:type="pct"/>
                  <w:shd w:val="clear" w:color="auto" w:fill="auto"/>
                  <w:vAlign w:val="center"/>
                </w:tcPr>
                <w:p w14:paraId="16A1B2E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3.08</w:t>
                  </w:r>
                </w:p>
              </w:tc>
              <w:tc>
                <w:tcPr>
                  <w:tcW w:w="317" w:type="pct"/>
                  <w:shd w:val="clear" w:color="auto" w:fill="auto"/>
                  <w:vAlign w:val="center"/>
                </w:tcPr>
                <w:p w14:paraId="1609D0F1">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66.61</w:t>
                  </w:r>
                </w:p>
              </w:tc>
              <w:tc>
                <w:tcPr>
                  <w:tcW w:w="425" w:type="pct"/>
                  <w:shd w:val="clear" w:color="auto" w:fill="auto"/>
                  <w:vAlign w:val="center"/>
                </w:tcPr>
                <w:p w14:paraId="0DAB392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shd w:val="clear" w:color="auto" w:fill="auto"/>
                  <w:vAlign w:val="center"/>
                </w:tcPr>
                <w:p w14:paraId="57C8F71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40.61</w:t>
                  </w:r>
                </w:p>
              </w:tc>
              <w:tc>
                <w:tcPr>
                  <w:tcW w:w="256" w:type="pct"/>
                  <w:shd w:val="clear" w:color="auto" w:fill="auto"/>
                  <w:vAlign w:val="center"/>
                </w:tcPr>
                <w:p w14:paraId="7685CD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default" w:cs="Times New Roman"/>
                      <w:smallCaps w:val="0"/>
                      <w:color w:val="auto"/>
                      <w:spacing w:val="0"/>
                      <w:w w:val="100"/>
                      <w:kern w:val="2"/>
                      <w:sz w:val="21"/>
                      <w:szCs w:val="21"/>
                      <w:highlight w:val="none"/>
                      <w:lang w:val="en-US" w:eastAsia="zh-CN"/>
                    </w:rPr>
                    <w:t>1</w:t>
                  </w:r>
                </w:p>
              </w:tc>
              <w:tc>
                <w:tcPr>
                  <w:tcW w:w="347" w:type="pct"/>
                  <w:shd w:val="clear" w:color="auto" w:fill="auto"/>
                  <w:vAlign w:val="center"/>
                </w:tcPr>
                <w:p w14:paraId="74D289E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sz w:val="21"/>
                      <w:szCs w:val="21"/>
                      <w:highlight w:val="none"/>
                      <w:lang w:val="en-US" w:eastAsia="zh-CN"/>
                    </w:rPr>
                    <w:t>昼夜</w:t>
                  </w:r>
                </w:p>
              </w:tc>
            </w:tr>
            <w:tr w14:paraId="43D4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0CFCC0CC">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23</w:t>
                  </w:r>
                </w:p>
              </w:tc>
              <w:tc>
                <w:tcPr>
                  <w:tcW w:w="255" w:type="pct"/>
                  <w:vMerge w:val="continue"/>
                  <w:vAlign w:val="center"/>
                </w:tcPr>
                <w:p w14:paraId="654AEBB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59D1E5E1">
                  <w:pPr>
                    <w:keepNext w:val="0"/>
                    <w:keepLines w:val="0"/>
                    <w:suppressLineNumbers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冷水机</w:t>
                  </w:r>
                </w:p>
              </w:tc>
              <w:tc>
                <w:tcPr>
                  <w:tcW w:w="518" w:type="pct"/>
                  <w:shd w:val="clear" w:color="auto" w:fill="auto"/>
                  <w:vAlign w:val="center"/>
                </w:tcPr>
                <w:p w14:paraId="6693A6B4">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lang w:val="en-US" w:eastAsia="zh-CN"/>
                    </w:rPr>
                    <w:t>WD-5AC</w:t>
                  </w:r>
                </w:p>
              </w:tc>
              <w:tc>
                <w:tcPr>
                  <w:tcW w:w="331" w:type="pct"/>
                  <w:vAlign w:val="center"/>
                </w:tcPr>
                <w:p w14:paraId="7A49F929">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ascii="Times New Roman" w:hAnsi="Times New Roman"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55AD3B67">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3EF40A6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40.17</w:t>
                  </w:r>
                </w:p>
              </w:tc>
              <w:tc>
                <w:tcPr>
                  <w:tcW w:w="317" w:type="pct"/>
                  <w:shd w:val="clear" w:color="auto" w:fill="auto"/>
                  <w:vAlign w:val="center"/>
                </w:tcPr>
                <w:p w14:paraId="589D006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10.43</w:t>
                  </w:r>
                </w:p>
              </w:tc>
              <w:tc>
                <w:tcPr>
                  <w:tcW w:w="360" w:type="pct"/>
                  <w:vAlign w:val="center"/>
                </w:tcPr>
                <w:p w14:paraId="1E57AC6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1.2</w:t>
                  </w:r>
                </w:p>
              </w:tc>
              <w:tc>
                <w:tcPr>
                  <w:tcW w:w="317" w:type="pct"/>
                  <w:vAlign w:val="center"/>
                </w:tcPr>
                <w:p w14:paraId="5CCC819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2.16</w:t>
                  </w:r>
                </w:p>
              </w:tc>
              <w:tc>
                <w:tcPr>
                  <w:tcW w:w="317" w:type="pct"/>
                  <w:vAlign w:val="center"/>
                </w:tcPr>
                <w:p w14:paraId="3C611D4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66.86</w:t>
                  </w:r>
                </w:p>
              </w:tc>
              <w:tc>
                <w:tcPr>
                  <w:tcW w:w="425" w:type="pct"/>
                  <w:vAlign w:val="center"/>
                </w:tcPr>
                <w:p w14:paraId="45A2968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2C324D0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40.86</w:t>
                  </w:r>
                </w:p>
              </w:tc>
              <w:tc>
                <w:tcPr>
                  <w:tcW w:w="256" w:type="pct"/>
                  <w:vAlign w:val="center"/>
                </w:tcPr>
                <w:p w14:paraId="7B97BD36">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A3C5816">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4F46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354CFA69">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24</w:t>
                  </w:r>
                </w:p>
              </w:tc>
              <w:tc>
                <w:tcPr>
                  <w:tcW w:w="255" w:type="pct"/>
                  <w:vMerge w:val="continue"/>
                  <w:vAlign w:val="center"/>
                </w:tcPr>
                <w:p w14:paraId="23C0E8AA">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86E6EAF">
                  <w:pPr>
                    <w:keepNext w:val="0"/>
                    <w:keepLines w:val="0"/>
                    <w:suppressLineNumbers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攻丝机</w:t>
                  </w:r>
                </w:p>
              </w:tc>
              <w:tc>
                <w:tcPr>
                  <w:tcW w:w="518" w:type="pct"/>
                  <w:shd w:val="clear" w:color="auto" w:fill="auto"/>
                  <w:vAlign w:val="center"/>
                </w:tcPr>
                <w:p w14:paraId="4580A6F2">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GT1-203</w:t>
                  </w:r>
                </w:p>
              </w:tc>
              <w:tc>
                <w:tcPr>
                  <w:tcW w:w="331" w:type="pct"/>
                  <w:vAlign w:val="center"/>
                </w:tcPr>
                <w:p w14:paraId="3CA8D23A">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ascii="Times New Roman" w:hAnsi="Times New Roman"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6F2CF71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6194B5B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shd w:val="clear" w:color="auto" w:fill="auto"/>
                  <w:vAlign w:val="center"/>
                </w:tcPr>
                <w:p w14:paraId="0AB18D5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6.3</w:t>
                  </w:r>
                </w:p>
              </w:tc>
              <w:tc>
                <w:tcPr>
                  <w:tcW w:w="360" w:type="pct"/>
                  <w:vAlign w:val="center"/>
                </w:tcPr>
                <w:p w14:paraId="23482589">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w:t>
                  </w:r>
                </w:p>
              </w:tc>
              <w:tc>
                <w:tcPr>
                  <w:tcW w:w="317" w:type="pct"/>
                  <w:vAlign w:val="center"/>
                </w:tcPr>
                <w:p w14:paraId="696E71F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1.97</w:t>
                  </w:r>
                </w:p>
              </w:tc>
              <w:tc>
                <w:tcPr>
                  <w:tcW w:w="317" w:type="pct"/>
                  <w:vAlign w:val="center"/>
                </w:tcPr>
                <w:p w14:paraId="29B7F1D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66.96</w:t>
                  </w:r>
                </w:p>
              </w:tc>
              <w:tc>
                <w:tcPr>
                  <w:tcW w:w="425" w:type="pct"/>
                  <w:vAlign w:val="center"/>
                </w:tcPr>
                <w:p w14:paraId="1F57317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4E9CE48D">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40.96</w:t>
                  </w:r>
                </w:p>
              </w:tc>
              <w:tc>
                <w:tcPr>
                  <w:tcW w:w="256" w:type="pct"/>
                  <w:vAlign w:val="center"/>
                </w:tcPr>
                <w:p w14:paraId="597EA55C">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3F641517">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54F7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0688E364">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25</w:t>
                  </w:r>
                </w:p>
              </w:tc>
              <w:tc>
                <w:tcPr>
                  <w:tcW w:w="255" w:type="pct"/>
                  <w:vMerge w:val="continue"/>
                  <w:vAlign w:val="center"/>
                </w:tcPr>
                <w:p w14:paraId="4A1ECF1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67058BCC">
                  <w:pPr>
                    <w:keepNext w:val="0"/>
                    <w:keepLines w:val="0"/>
                    <w:suppressLineNumbers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车床</w:t>
                  </w:r>
                </w:p>
              </w:tc>
              <w:tc>
                <w:tcPr>
                  <w:tcW w:w="518" w:type="pct"/>
                  <w:shd w:val="clear" w:color="auto" w:fill="auto"/>
                  <w:vAlign w:val="center"/>
                </w:tcPr>
                <w:p w14:paraId="1ACDC3D2">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CA6140</w:t>
                  </w:r>
                </w:p>
              </w:tc>
              <w:tc>
                <w:tcPr>
                  <w:tcW w:w="331" w:type="pct"/>
                  <w:vAlign w:val="center"/>
                </w:tcPr>
                <w:p w14:paraId="7C34AB20">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85</w:t>
                  </w:r>
                </w:p>
              </w:tc>
              <w:tc>
                <w:tcPr>
                  <w:tcW w:w="308" w:type="pct"/>
                  <w:vMerge w:val="continue"/>
                  <w:vAlign w:val="center"/>
                </w:tcPr>
                <w:p w14:paraId="5C20868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11CDC5C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-0.46</w:t>
                  </w:r>
                </w:p>
              </w:tc>
              <w:tc>
                <w:tcPr>
                  <w:tcW w:w="317" w:type="pct"/>
                  <w:shd w:val="clear" w:color="auto" w:fill="auto"/>
                  <w:vAlign w:val="center"/>
                </w:tcPr>
                <w:p w14:paraId="54EB11A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5.34</w:t>
                  </w:r>
                </w:p>
              </w:tc>
              <w:tc>
                <w:tcPr>
                  <w:tcW w:w="360" w:type="pct"/>
                  <w:vAlign w:val="center"/>
                </w:tcPr>
                <w:p w14:paraId="3BB4ECA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2A851EA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2.93</w:t>
                  </w:r>
                </w:p>
              </w:tc>
              <w:tc>
                <w:tcPr>
                  <w:tcW w:w="317" w:type="pct"/>
                  <w:vAlign w:val="center"/>
                </w:tcPr>
                <w:p w14:paraId="1B4C5DD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76.64</w:t>
                  </w:r>
                </w:p>
              </w:tc>
              <w:tc>
                <w:tcPr>
                  <w:tcW w:w="425" w:type="pct"/>
                  <w:vAlign w:val="center"/>
                </w:tcPr>
                <w:p w14:paraId="0717496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2A5002E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50.64</w:t>
                  </w:r>
                </w:p>
              </w:tc>
              <w:tc>
                <w:tcPr>
                  <w:tcW w:w="256" w:type="pct"/>
                  <w:vAlign w:val="center"/>
                </w:tcPr>
                <w:p w14:paraId="08BBAE3D">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1F2EBC72">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4EE3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shd w:val="clear" w:color="auto" w:fill="auto"/>
                  <w:vAlign w:val="center"/>
                </w:tcPr>
                <w:p w14:paraId="5A39EB1B">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26</w:t>
                  </w:r>
                </w:p>
              </w:tc>
              <w:tc>
                <w:tcPr>
                  <w:tcW w:w="255" w:type="pct"/>
                  <w:vMerge w:val="continue"/>
                  <w:vAlign w:val="center"/>
                </w:tcPr>
                <w:p w14:paraId="71EC4A0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49D41856">
                  <w:pPr>
                    <w:keepNext w:val="0"/>
                    <w:keepLines w:val="0"/>
                    <w:suppressLineNumbers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车床</w:t>
                  </w:r>
                </w:p>
              </w:tc>
              <w:tc>
                <w:tcPr>
                  <w:tcW w:w="518" w:type="pct"/>
                  <w:shd w:val="clear" w:color="auto" w:fill="auto"/>
                  <w:vAlign w:val="center"/>
                </w:tcPr>
                <w:p w14:paraId="0260342A">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CA6140</w:t>
                  </w:r>
                </w:p>
              </w:tc>
              <w:tc>
                <w:tcPr>
                  <w:tcW w:w="331" w:type="pct"/>
                  <w:vAlign w:val="center"/>
                </w:tcPr>
                <w:p w14:paraId="61E3A439">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85</w:t>
                  </w:r>
                </w:p>
              </w:tc>
              <w:tc>
                <w:tcPr>
                  <w:tcW w:w="308" w:type="pct"/>
                  <w:vMerge w:val="continue"/>
                  <w:vAlign w:val="center"/>
                </w:tcPr>
                <w:p w14:paraId="6B2B1AF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3ED9CF1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-0.32</w:t>
                  </w:r>
                </w:p>
              </w:tc>
              <w:tc>
                <w:tcPr>
                  <w:tcW w:w="317" w:type="pct"/>
                  <w:shd w:val="clear" w:color="auto" w:fill="auto"/>
                  <w:vAlign w:val="center"/>
                </w:tcPr>
                <w:p w14:paraId="52AC7A9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4.44</w:t>
                  </w:r>
                </w:p>
              </w:tc>
              <w:tc>
                <w:tcPr>
                  <w:tcW w:w="360" w:type="pct"/>
                  <w:vAlign w:val="center"/>
                </w:tcPr>
                <w:p w14:paraId="45A4092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3B456B7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3.83</w:t>
                  </w:r>
                </w:p>
              </w:tc>
              <w:tc>
                <w:tcPr>
                  <w:tcW w:w="317" w:type="pct"/>
                  <w:vAlign w:val="center"/>
                </w:tcPr>
                <w:p w14:paraId="30FDD72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76.52</w:t>
                  </w:r>
                </w:p>
              </w:tc>
              <w:tc>
                <w:tcPr>
                  <w:tcW w:w="425" w:type="pct"/>
                  <w:vAlign w:val="center"/>
                </w:tcPr>
                <w:p w14:paraId="5A4D8A7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424A56A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50.52</w:t>
                  </w:r>
                </w:p>
              </w:tc>
              <w:tc>
                <w:tcPr>
                  <w:tcW w:w="256" w:type="pct"/>
                  <w:vAlign w:val="center"/>
                </w:tcPr>
                <w:p w14:paraId="737BFAEA">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12C7D37F">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40EB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CA3BF8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27</w:t>
                  </w:r>
                </w:p>
              </w:tc>
              <w:tc>
                <w:tcPr>
                  <w:tcW w:w="255" w:type="pct"/>
                  <w:vMerge w:val="continue"/>
                  <w:vAlign w:val="center"/>
                </w:tcPr>
                <w:p w14:paraId="2E9AA42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6102CF9A">
                  <w:pPr>
                    <w:keepNext w:val="0"/>
                    <w:keepLines w:val="0"/>
                    <w:suppressLineNumbers w:val="0"/>
                    <w:spacing w:before="0" w:beforeAutospacing="0" w:after="0" w:afterAutospacing="0" w:line="312" w:lineRule="atLeast"/>
                    <w:ind w:left="0" w:leftChars="0" w:right="0" w:rightChars="0"/>
                    <w:jc w:val="center"/>
                    <w:textAlignment w:val="baseline"/>
                    <w:rPr>
                      <w:rFonts w:hint="eastAsia"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铣床</w:t>
                  </w:r>
                </w:p>
              </w:tc>
              <w:tc>
                <w:tcPr>
                  <w:tcW w:w="518" w:type="pct"/>
                  <w:shd w:val="clear" w:color="auto" w:fill="auto"/>
                  <w:vAlign w:val="center"/>
                </w:tcPr>
                <w:p w14:paraId="1F78A2B4">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X63</w:t>
                  </w:r>
                  <w:r>
                    <w:rPr>
                      <w:rFonts w:hint="default" w:ascii="Times New Roman" w:hAnsi="Times New Roman" w:eastAsia="宋体" w:cs="Times New Roman"/>
                      <w:color w:val="auto"/>
                      <w:kern w:val="0"/>
                      <w:szCs w:val="21"/>
                      <w:highlight w:val="none"/>
                      <w:lang w:val="en-US" w:eastAsia="zh-CN"/>
                    </w:rPr>
                    <w:t>25</w:t>
                  </w:r>
                </w:p>
              </w:tc>
              <w:tc>
                <w:tcPr>
                  <w:tcW w:w="331" w:type="pct"/>
                  <w:vAlign w:val="center"/>
                </w:tcPr>
                <w:p w14:paraId="67C409E4">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85</w:t>
                  </w:r>
                </w:p>
              </w:tc>
              <w:tc>
                <w:tcPr>
                  <w:tcW w:w="308" w:type="pct"/>
                  <w:vMerge w:val="continue"/>
                  <w:vAlign w:val="center"/>
                </w:tcPr>
                <w:p w14:paraId="79F83A9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3A05678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-0.18</w:t>
                  </w:r>
                </w:p>
              </w:tc>
              <w:tc>
                <w:tcPr>
                  <w:tcW w:w="317" w:type="pct"/>
                  <w:shd w:val="clear" w:color="auto" w:fill="auto"/>
                  <w:vAlign w:val="center"/>
                </w:tcPr>
                <w:p w14:paraId="02603F0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3.62</w:t>
                  </w:r>
                </w:p>
              </w:tc>
              <w:tc>
                <w:tcPr>
                  <w:tcW w:w="360" w:type="pct"/>
                  <w:vAlign w:val="center"/>
                </w:tcPr>
                <w:p w14:paraId="1DEE4F2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38C9678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4.09</w:t>
                  </w:r>
                </w:p>
              </w:tc>
              <w:tc>
                <w:tcPr>
                  <w:tcW w:w="317" w:type="pct"/>
                  <w:vAlign w:val="center"/>
                </w:tcPr>
                <w:p w14:paraId="60CF95E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76.5</w:t>
                  </w:r>
                </w:p>
              </w:tc>
              <w:tc>
                <w:tcPr>
                  <w:tcW w:w="425" w:type="pct"/>
                  <w:vAlign w:val="center"/>
                </w:tcPr>
                <w:p w14:paraId="2162D47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A60555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50.5</w:t>
                  </w:r>
                </w:p>
              </w:tc>
              <w:tc>
                <w:tcPr>
                  <w:tcW w:w="256" w:type="pct"/>
                  <w:vAlign w:val="center"/>
                </w:tcPr>
                <w:p w14:paraId="4F8456AF">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A79F285">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210B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527B081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28</w:t>
                  </w:r>
                </w:p>
              </w:tc>
              <w:tc>
                <w:tcPr>
                  <w:tcW w:w="255" w:type="pct"/>
                  <w:vMerge w:val="continue"/>
                  <w:vAlign w:val="center"/>
                </w:tcPr>
                <w:p w14:paraId="111FA44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35AF1FC">
                  <w:pPr>
                    <w:keepNext w:val="0"/>
                    <w:keepLines w:val="0"/>
                    <w:suppressLineNumbers w:val="0"/>
                    <w:spacing w:before="0" w:beforeAutospacing="0" w:after="0" w:afterAutospacing="0" w:line="312" w:lineRule="atLeast"/>
                    <w:ind w:left="0" w:leftChars="0" w:right="0" w:rightChars="0"/>
                    <w:jc w:val="center"/>
                    <w:textAlignment w:val="baseline"/>
                    <w:rPr>
                      <w:rFonts w:hint="eastAsia"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Cs w:val="21"/>
                      <w:highlight w:val="none"/>
                    </w:rPr>
                    <w:t>铣床</w:t>
                  </w:r>
                </w:p>
              </w:tc>
              <w:tc>
                <w:tcPr>
                  <w:tcW w:w="518" w:type="pct"/>
                  <w:shd w:val="clear" w:color="auto" w:fill="auto"/>
                  <w:vAlign w:val="center"/>
                </w:tcPr>
                <w:p w14:paraId="3826F8CC">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X63</w:t>
                  </w:r>
                  <w:r>
                    <w:rPr>
                      <w:rFonts w:hint="default" w:ascii="Times New Roman" w:hAnsi="Times New Roman" w:eastAsia="宋体" w:cs="Times New Roman"/>
                      <w:color w:val="auto"/>
                      <w:kern w:val="0"/>
                      <w:szCs w:val="21"/>
                      <w:highlight w:val="none"/>
                      <w:lang w:val="en-US" w:eastAsia="zh-CN"/>
                    </w:rPr>
                    <w:t>25</w:t>
                  </w:r>
                </w:p>
              </w:tc>
              <w:tc>
                <w:tcPr>
                  <w:tcW w:w="331" w:type="pct"/>
                  <w:vAlign w:val="center"/>
                </w:tcPr>
                <w:p w14:paraId="276BFB5B">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85</w:t>
                  </w:r>
                </w:p>
              </w:tc>
              <w:tc>
                <w:tcPr>
                  <w:tcW w:w="308" w:type="pct"/>
                  <w:vMerge w:val="continue"/>
                  <w:vAlign w:val="center"/>
                </w:tcPr>
                <w:p w14:paraId="339973C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3536BF0">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0.51</w:t>
                  </w:r>
                </w:p>
              </w:tc>
              <w:tc>
                <w:tcPr>
                  <w:tcW w:w="317" w:type="pct"/>
                  <w:shd w:val="clear" w:color="auto" w:fill="auto"/>
                  <w:vAlign w:val="center"/>
                </w:tcPr>
                <w:p w14:paraId="51FABE9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6.58</w:t>
                  </w:r>
                </w:p>
              </w:tc>
              <w:tc>
                <w:tcPr>
                  <w:tcW w:w="360" w:type="pct"/>
                  <w:vAlign w:val="center"/>
                </w:tcPr>
                <w:p w14:paraId="289EA7D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3A6BD41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1.69</w:t>
                  </w:r>
                </w:p>
              </w:tc>
              <w:tc>
                <w:tcPr>
                  <w:tcW w:w="317" w:type="pct"/>
                  <w:vAlign w:val="center"/>
                </w:tcPr>
                <w:p w14:paraId="632305E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77.16</w:t>
                  </w:r>
                </w:p>
              </w:tc>
              <w:tc>
                <w:tcPr>
                  <w:tcW w:w="425" w:type="pct"/>
                  <w:vAlign w:val="center"/>
                </w:tcPr>
                <w:p w14:paraId="161C5FD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DA276B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51.16</w:t>
                  </w:r>
                </w:p>
              </w:tc>
              <w:tc>
                <w:tcPr>
                  <w:tcW w:w="256" w:type="pct"/>
                  <w:vAlign w:val="center"/>
                </w:tcPr>
                <w:p w14:paraId="1B9E17A8">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22C28E70">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362C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5D226C15">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29</w:t>
                  </w:r>
                </w:p>
              </w:tc>
              <w:tc>
                <w:tcPr>
                  <w:tcW w:w="255" w:type="pct"/>
                  <w:vMerge w:val="continue"/>
                  <w:vAlign w:val="center"/>
                </w:tcPr>
                <w:p w14:paraId="149B6EA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5180FA74">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钻床</w:t>
                  </w:r>
                </w:p>
              </w:tc>
              <w:tc>
                <w:tcPr>
                  <w:tcW w:w="518" w:type="pct"/>
                  <w:shd w:val="clear" w:color="auto" w:fill="auto"/>
                  <w:vAlign w:val="center"/>
                </w:tcPr>
                <w:p w14:paraId="40830E26">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Z</w:t>
                  </w:r>
                  <w:r>
                    <w:rPr>
                      <w:rFonts w:hint="default" w:ascii="Times New Roman" w:hAnsi="Times New Roman" w:eastAsia="宋体" w:cs="Times New Roman"/>
                      <w:color w:val="auto"/>
                      <w:kern w:val="0"/>
                      <w:szCs w:val="21"/>
                      <w:highlight w:val="none"/>
                      <w:lang w:val="en-US" w:eastAsia="zh-CN"/>
                    </w:rPr>
                    <w:t>516</w:t>
                  </w:r>
                </w:p>
              </w:tc>
              <w:tc>
                <w:tcPr>
                  <w:tcW w:w="331" w:type="pct"/>
                  <w:vAlign w:val="center"/>
                </w:tcPr>
                <w:p w14:paraId="64BC198A">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6382E71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0E8EBAD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0.71</w:t>
                  </w:r>
                </w:p>
              </w:tc>
              <w:tc>
                <w:tcPr>
                  <w:tcW w:w="317" w:type="pct"/>
                  <w:shd w:val="clear" w:color="auto" w:fill="auto"/>
                  <w:vAlign w:val="center"/>
                </w:tcPr>
                <w:p w14:paraId="52C28B3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5.82</w:t>
                  </w:r>
                </w:p>
              </w:tc>
              <w:tc>
                <w:tcPr>
                  <w:tcW w:w="360" w:type="pct"/>
                  <w:vAlign w:val="center"/>
                </w:tcPr>
                <w:p w14:paraId="3DAAB84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89AFF3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2.45</w:t>
                  </w:r>
                </w:p>
              </w:tc>
              <w:tc>
                <w:tcPr>
                  <w:tcW w:w="317" w:type="pct"/>
                  <w:vAlign w:val="center"/>
                </w:tcPr>
                <w:p w14:paraId="5731155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86.75</w:t>
                  </w:r>
                </w:p>
              </w:tc>
              <w:tc>
                <w:tcPr>
                  <w:tcW w:w="425" w:type="pct"/>
                  <w:vAlign w:val="center"/>
                </w:tcPr>
                <w:p w14:paraId="05B412C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189C107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60.75</w:t>
                  </w:r>
                </w:p>
              </w:tc>
              <w:tc>
                <w:tcPr>
                  <w:tcW w:w="256" w:type="pct"/>
                  <w:vAlign w:val="center"/>
                </w:tcPr>
                <w:p w14:paraId="0A21564C">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159E0659">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1005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0CE6D049">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30</w:t>
                  </w:r>
                </w:p>
              </w:tc>
              <w:tc>
                <w:tcPr>
                  <w:tcW w:w="255" w:type="pct"/>
                  <w:vMerge w:val="continue"/>
                  <w:vAlign w:val="center"/>
                </w:tcPr>
                <w:p w14:paraId="086C753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27758747">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钻床</w:t>
                  </w:r>
                </w:p>
              </w:tc>
              <w:tc>
                <w:tcPr>
                  <w:tcW w:w="518" w:type="pct"/>
                  <w:shd w:val="clear" w:color="auto" w:fill="auto"/>
                  <w:vAlign w:val="center"/>
                </w:tcPr>
                <w:p w14:paraId="5E8E1E53">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Z</w:t>
                  </w:r>
                  <w:r>
                    <w:rPr>
                      <w:rFonts w:hint="default" w:ascii="Times New Roman" w:hAnsi="Times New Roman" w:eastAsia="宋体" w:cs="Times New Roman"/>
                      <w:color w:val="auto"/>
                      <w:kern w:val="0"/>
                      <w:szCs w:val="21"/>
                      <w:highlight w:val="none"/>
                      <w:lang w:val="en-US" w:eastAsia="zh-CN"/>
                    </w:rPr>
                    <w:t>516</w:t>
                  </w:r>
                </w:p>
              </w:tc>
              <w:tc>
                <w:tcPr>
                  <w:tcW w:w="331" w:type="pct"/>
                  <w:vAlign w:val="center"/>
                </w:tcPr>
                <w:p w14:paraId="2A42BB45">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0675D35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60A268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0.92</w:t>
                  </w:r>
                </w:p>
              </w:tc>
              <w:tc>
                <w:tcPr>
                  <w:tcW w:w="317" w:type="pct"/>
                  <w:shd w:val="clear" w:color="auto" w:fill="auto"/>
                  <w:vAlign w:val="center"/>
                </w:tcPr>
                <w:p w14:paraId="516EE60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4.86</w:t>
                  </w:r>
                </w:p>
              </w:tc>
              <w:tc>
                <w:tcPr>
                  <w:tcW w:w="360" w:type="pct"/>
                  <w:vAlign w:val="center"/>
                </w:tcPr>
                <w:p w14:paraId="25C2B280">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24BD980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3.38</w:t>
                  </w:r>
                </w:p>
              </w:tc>
              <w:tc>
                <w:tcPr>
                  <w:tcW w:w="317" w:type="pct"/>
                  <w:vAlign w:val="center"/>
                </w:tcPr>
                <w:p w14:paraId="687CBCD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86.57</w:t>
                  </w:r>
                </w:p>
              </w:tc>
              <w:tc>
                <w:tcPr>
                  <w:tcW w:w="425" w:type="pct"/>
                  <w:vAlign w:val="center"/>
                </w:tcPr>
                <w:p w14:paraId="3160A39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109CABE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60.57</w:t>
                  </w:r>
                </w:p>
              </w:tc>
              <w:tc>
                <w:tcPr>
                  <w:tcW w:w="256" w:type="pct"/>
                  <w:vAlign w:val="center"/>
                </w:tcPr>
                <w:p w14:paraId="0AACD583">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2BAC96C9">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1A01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6BE63C4">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31</w:t>
                  </w:r>
                </w:p>
              </w:tc>
              <w:tc>
                <w:tcPr>
                  <w:tcW w:w="255" w:type="pct"/>
                  <w:vMerge w:val="continue"/>
                  <w:vAlign w:val="center"/>
                </w:tcPr>
                <w:p w14:paraId="02B5099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0DA19572">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钻床</w:t>
                  </w:r>
                </w:p>
              </w:tc>
              <w:tc>
                <w:tcPr>
                  <w:tcW w:w="518" w:type="pct"/>
                  <w:shd w:val="clear" w:color="auto" w:fill="auto"/>
                  <w:vAlign w:val="center"/>
                </w:tcPr>
                <w:p w14:paraId="5B439069">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Z</w:t>
                  </w:r>
                  <w:r>
                    <w:rPr>
                      <w:rFonts w:hint="default" w:ascii="Times New Roman" w:hAnsi="Times New Roman" w:eastAsia="宋体" w:cs="Times New Roman"/>
                      <w:color w:val="auto"/>
                      <w:kern w:val="0"/>
                      <w:szCs w:val="21"/>
                      <w:highlight w:val="none"/>
                      <w:lang w:val="en-US" w:eastAsia="zh-CN"/>
                    </w:rPr>
                    <w:t>516</w:t>
                  </w:r>
                </w:p>
              </w:tc>
              <w:tc>
                <w:tcPr>
                  <w:tcW w:w="331" w:type="pct"/>
                  <w:vAlign w:val="center"/>
                </w:tcPr>
                <w:p w14:paraId="6C668F71">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74A52B18">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7EDBA8D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1.26</w:t>
                  </w:r>
                </w:p>
              </w:tc>
              <w:tc>
                <w:tcPr>
                  <w:tcW w:w="317" w:type="pct"/>
                  <w:shd w:val="clear" w:color="auto" w:fill="auto"/>
                  <w:vAlign w:val="center"/>
                </w:tcPr>
                <w:p w14:paraId="6197D79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3.69</w:t>
                  </w:r>
                </w:p>
              </w:tc>
              <w:tc>
                <w:tcPr>
                  <w:tcW w:w="360" w:type="pct"/>
                  <w:vAlign w:val="center"/>
                </w:tcPr>
                <w:p w14:paraId="74156C26">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052CE47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2.19</w:t>
                  </w:r>
                </w:p>
              </w:tc>
              <w:tc>
                <w:tcPr>
                  <w:tcW w:w="317" w:type="pct"/>
                  <w:vAlign w:val="center"/>
                </w:tcPr>
                <w:p w14:paraId="7C262D5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86.85</w:t>
                  </w:r>
                </w:p>
              </w:tc>
              <w:tc>
                <w:tcPr>
                  <w:tcW w:w="425" w:type="pct"/>
                  <w:vAlign w:val="center"/>
                </w:tcPr>
                <w:p w14:paraId="3A1CC5D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70D0315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60.85</w:t>
                  </w:r>
                </w:p>
              </w:tc>
              <w:tc>
                <w:tcPr>
                  <w:tcW w:w="256" w:type="pct"/>
                  <w:vAlign w:val="center"/>
                </w:tcPr>
                <w:p w14:paraId="5D8BC0C1">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1B874856">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28AC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22732931">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32</w:t>
                  </w:r>
                </w:p>
              </w:tc>
              <w:tc>
                <w:tcPr>
                  <w:tcW w:w="255" w:type="pct"/>
                  <w:vMerge w:val="continue"/>
                  <w:vAlign w:val="center"/>
                </w:tcPr>
                <w:p w14:paraId="1ADC76B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3DC8A598">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磨床</w:t>
                  </w:r>
                </w:p>
              </w:tc>
              <w:tc>
                <w:tcPr>
                  <w:tcW w:w="518" w:type="pct"/>
                  <w:shd w:val="clear" w:color="auto" w:fill="auto"/>
                  <w:vAlign w:val="center"/>
                </w:tcPr>
                <w:p w14:paraId="0AB8523F">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M250</w:t>
                  </w:r>
                </w:p>
              </w:tc>
              <w:tc>
                <w:tcPr>
                  <w:tcW w:w="331" w:type="pct"/>
                  <w:vAlign w:val="center"/>
                </w:tcPr>
                <w:p w14:paraId="4E6E8E50">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114823F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59A290D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1.68</w:t>
                  </w:r>
                </w:p>
              </w:tc>
              <w:tc>
                <w:tcPr>
                  <w:tcW w:w="317" w:type="pct"/>
                  <w:shd w:val="clear" w:color="auto" w:fill="auto"/>
                  <w:vAlign w:val="center"/>
                </w:tcPr>
                <w:p w14:paraId="71268E1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6.86</w:t>
                  </w:r>
                </w:p>
              </w:tc>
              <w:tc>
                <w:tcPr>
                  <w:tcW w:w="360" w:type="pct"/>
                  <w:vAlign w:val="center"/>
                </w:tcPr>
                <w:p w14:paraId="3E74594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DBD726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1.41</w:t>
                  </w:r>
                </w:p>
              </w:tc>
              <w:tc>
                <w:tcPr>
                  <w:tcW w:w="317" w:type="pct"/>
                  <w:vAlign w:val="center"/>
                </w:tcPr>
                <w:p w14:paraId="5CF1341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87.47</w:t>
                  </w:r>
                </w:p>
              </w:tc>
              <w:tc>
                <w:tcPr>
                  <w:tcW w:w="425" w:type="pct"/>
                  <w:vAlign w:val="center"/>
                </w:tcPr>
                <w:p w14:paraId="29342B1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05CE947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61.47</w:t>
                  </w:r>
                </w:p>
              </w:tc>
              <w:tc>
                <w:tcPr>
                  <w:tcW w:w="256" w:type="pct"/>
                  <w:vAlign w:val="center"/>
                </w:tcPr>
                <w:p w14:paraId="5B1442D6">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05DB2C1">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1855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536F4459">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33</w:t>
                  </w:r>
                </w:p>
              </w:tc>
              <w:tc>
                <w:tcPr>
                  <w:tcW w:w="255" w:type="pct"/>
                  <w:vMerge w:val="continue"/>
                  <w:vAlign w:val="center"/>
                </w:tcPr>
                <w:p w14:paraId="1A396E9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1B891F9E">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线切割</w:t>
                  </w:r>
                </w:p>
              </w:tc>
              <w:tc>
                <w:tcPr>
                  <w:tcW w:w="518" w:type="pct"/>
                  <w:shd w:val="clear" w:color="auto" w:fill="auto"/>
                  <w:vAlign w:val="center"/>
                </w:tcPr>
                <w:p w14:paraId="6658D500">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DK77</w:t>
                  </w:r>
                  <w:r>
                    <w:rPr>
                      <w:rFonts w:hint="default" w:ascii="Times New Roman" w:hAnsi="Times New Roman" w:eastAsia="宋体" w:cs="Times New Roman"/>
                      <w:color w:val="auto"/>
                      <w:kern w:val="0"/>
                      <w:szCs w:val="21"/>
                      <w:highlight w:val="none"/>
                      <w:lang w:val="en-US" w:eastAsia="zh-CN"/>
                    </w:rPr>
                    <w:t>35</w:t>
                  </w:r>
                </w:p>
              </w:tc>
              <w:tc>
                <w:tcPr>
                  <w:tcW w:w="331" w:type="pct"/>
                  <w:vAlign w:val="center"/>
                </w:tcPr>
                <w:p w14:paraId="16F5CD5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5C29EDAF">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9382D2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2.09</w:t>
                  </w:r>
                </w:p>
              </w:tc>
              <w:tc>
                <w:tcPr>
                  <w:tcW w:w="317" w:type="pct"/>
                  <w:shd w:val="clear" w:color="auto" w:fill="auto"/>
                  <w:vAlign w:val="center"/>
                </w:tcPr>
                <w:p w14:paraId="2E719B3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5.75</w:t>
                  </w:r>
                </w:p>
              </w:tc>
              <w:tc>
                <w:tcPr>
                  <w:tcW w:w="360" w:type="pct"/>
                  <w:vAlign w:val="center"/>
                </w:tcPr>
                <w:p w14:paraId="7061CF2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688C427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2.52</w:t>
                  </w:r>
                </w:p>
              </w:tc>
              <w:tc>
                <w:tcPr>
                  <w:tcW w:w="317" w:type="pct"/>
                  <w:vAlign w:val="center"/>
                </w:tcPr>
                <w:p w14:paraId="623D193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86.73</w:t>
                  </w:r>
                </w:p>
              </w:tc>
              <w:tc>
                <w:tcPr>
                  <w:tcW w:w="425" w:type="pct"/>
                  <w:vAlign w:val="center"/>
                </w:tcPr>
                <w:p w14:paraId="0EB55BA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2C139F8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60.73</w:t>
                  </w:r>
                </w:p>
              </w:tc>
              <w:tc>
                <w:tcPr>
                  <w:tcW w:w="256" w:type="pct"/>
                  <w:vAlign w:val="center"/>
                </w:tcPr>
                <w:p w14:paraId="7856FB29">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2BB938EC">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68A7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7D663650">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34</w:t>
                  </w:r>
                </w:p>
              </w:tc>
              <w:tc>
                <w:tcPr>
                  <w:tcW w:w="255" w:type="pct"/>
                  <w:vMerge w:val="continue"/>
                  <w:vAlign w:val="center"/>
                </w:tcPr>
                <w:p w14:paraId="4533DCC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2393E62F">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气泵</w:t>
                  </w:r>
                </w:p>
              </w:tc>
              <w:tc>
                <w:tcPr>
                  <w:tcW w:w="518" w:type="pct"/>
                  <w:shd w:val="clear" w:color="auto" w:fill="auto"/>
                  <w:vAlign w:val="center"/>
                </w:tcPr>
                <w:p w14:paraId="39DC12F2">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XR7.5A-8</w:t>
                  </w:r>
                </w:p>
              </w:tc>
              <w:tc>
                <w:tcPr>
                  <w:tcW w:w="331" w:type="pct"/>
                  <w:vAlign w:val="center"/>
                </w:tcPr>
                <w:p w14:paraId="772EFAE0">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80</w:t>
                  </w:r>
                </w:p>
              </w:tc>
              <w:tc>
                <w:tcPr>
                  <w:tcW w:w="308" w:type="pct"/>
                  <w:vMerge w:val="continue"/>
                  <w:vAlign w:val="center"/>
                </w:tcPr>
                <w:p w14:paraId="3D5DDFF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016D10B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2.23</w:t>
                  </w:r>
                </w:p>
              </w:tc>
              <w:tc>
                <w:tcPr>
                  <w:tcW w:w="317" w:type="pct"/>
                  <w:shd w:val="clear" w:color="auto" w:fill="auto"/>
                  <w:vAlign w:val="center"/>
                </w:tcPr>
                <w:p w14:paraId="3103688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4.79</w:t>
                  </w:r>
                </w:p>
              </w:tc>
              <w:tc>
                <w:tcPr>
                  <w:tcW w:w="360" w:type="pct"/>
                  <w:vAlign w:val="center"/>
                </w:tcPr>
                <w:p w14:paraId="1E1421C8">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1B4CA7B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3.22</w:t>
                  </w:r>
                </w:p>
              </w:tc>
              <w:tc>
                <w:tcPr>
                  <w:tcW w:w="317" w:type="pct"/>
                  <w:vAlign w:val="center"/>
                </w:tcPr>
                <w:p w14:paraId="3D443A6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71.59</w:t>
                  </w:r>
                </w:p>
              </w:tc>
              <w:tc>
                <w:tcPr>
                  <w:tcW w:w="425" w:type="pct"/>
                  <w:vAlign w:val="center"/>
                </w:tcPr>
                <w:p w14:paraId="386526C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443BA9D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45.59</w:t>
                  </w:r>
                </w:p>
              </w:tc>
              <w:tc>
                <w:tcPr>
                  <w:tcW w:w="256" w:type="pct"/>
                  <w:vAlign w:val="center"/>
                </w:tcPr>
                <w:p w14:paraId="1FBB45EA">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42BB459E">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0312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B4CE03C">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35</w:t>
                  </w:r>
                </w:p>
              </w:tc>
              <w:tc>
                <w:tcPr>
                  <w:tcW w:w="255" w:type="pct"/>
                  <w:vMerge w:val="continue"/>
                  <w:vAlign w:val="center"/>
                </w:tcPr>
                <w:p w14:paraId="5808528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407A1C5D">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气泵</w:t>
                  </w:r>
                </w:p>
              </w:tc>
              <w:tc>
                <w:tcPr>
                  <w:tcW w:w="518" w:type="pct"/>
                  <w:shd w:val="clear" w:color="auto" w:fill="auto"/>
                  <w:vAlign w:val="center"/>
                </w:tcPr>
                <w:p w14:paraId="7420F41C">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XR7.5A-8</w:t>
                  </w:r>
                </w:p>
              </w:tc>
              <w:tc>
                <w:tcPr>
                  <w:tcW w:w="331" w:type="pct"/>
                  <w:vAlign w:val="center"/>
                </w:tcPr>
                <w:p w14:paraId="064F2EA0">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80</w:t>
                  </w:r>
                </w:p>
              </w:tc>
              <w:tc>
                <w:tcPr>
                  <w:tcW w:w="308" w:type="pct"/>
                  <w:vMerge w:val="continue"/>
                  <w:vAlign w:val="center"/>
                </w:tcPr>
                <w:p w14:paraId="546010C5">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2249620">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2.57</w:t>
                  </w:r>
                </w:p>
              </w:tc>
              <w:tc>
                <w:tcPr>
                  <w:tcW w:w="317" w:type="pct"/>
                  <w:shd w:val="clear" w:color="auto" w:fill="auto"/>
                  <w:vAlign w:val="center"/>
                </w:tcPr>
                <w:p w14:paraId="66775DF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3.82</w:t>
                  </w:r>
                </w:p>
              </w:tc>
              <w:tc>
                <w:tcPr>
                  <w:tcW w:w="360" w:type="pct"/>
                  <w:vAlign w:val="center"/>
                </w:tcPr>
                <w:p w14:paraId="6F8583EB">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369E1F7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2.22</w:t>
                  </w:r>
                </w:p>
              </w:tc>
              <w:tc>
                <w:tcPr>
                  <w:tcW w:w="317" w:type="pct"/>
                  <w:vAlign w:val="center"/>
                </w:tcPr>
                <w:p w14:paraId="2B62CF1D">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71.84</w:t>
                  </w:r>
                </w:p>
              </w:tc>
              <w:tc>
                <w:tcPr>
                  <w:tcW w:w="425" w:type="pct"/>
                  <w:vAlign w:val="center"/>
                </w:tcPr>
                <w:p w14:paraId="097ED45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67157A10">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45.84</w:t>
                  </w:r>
                </w:p>
              </w:tc>
              <w:tc>
                <w:tcPr>
                  <w:tcW w:w="256" w:type="pct"/>
                  <w:vAlign w:val="center"/>
                </w:tcPr>
                <w:p w14:paraId="23B64BDA">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28FB845C">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63A4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006578C4">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36</w:t>
                  </w:r>
                </w:p>
              </w:tc>
              <w:tc>
                <w:tcPr>
                  <w:tcW w:w="255" w:type="pct"/>
                  <w:vMerge w:val="continue"/>
                  <w:vAlign w:val="center"/>
                </w:tcPr>
                <w:p w14:paraId="6D9C74E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69938CF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模具维修设备</w:t>
                  </w:r>
                </w:p>
              </w:tc>
              <w:tc>
                <w:tcPr>
                  <w:tcW w:w="518" w:type="pct"/>
                  <w:shd w:val="clear" w:color="auto" w:fill="auto"/>
                  <w:vAlign w:val="center"/>
                </w:tcPr>
                <w:p w14:paraId="0446F38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ZNC430</w:t>
                  </w:r>
                </w:p>
              </w:tc>
              <w:tc>
                <w:tcPr>
                  <w:tcW w:w="331" w:type="pct"/>
                  <w:vAlign w:val="center"/>
                </w:tcPr>
                <w:p w14:paraId="167E41D6">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670EF36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776CA0E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2.99</w:t>
                  </w:r>
                </w:p>
              </w:tc>
              <w:tc>
                <w:tcPr>
                  <w:tcW w:w="317" w:type="pct"/>
                  <w:shd w:val="clear" w:color="auto" w:fill="auto"/>
                  <w:vAlign w:val="center"/>
                </w:tcPr>
                <w:p w14:paraId="4E863F4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6.79</w:t>
                  </w:r>
                </w:p>
              </w:tc>
              <w:tc>
                <w:tcPr>
                  <w:tcW w:w="360" w:type="pct"/>
                  <w:vAlign w:val="center"/>
                </w:tcPr>
                <w:p w14:paraId="33454657">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0F55FC6D">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1.48</w:t>
                  </w:r>
                </w:p>
              </w:tc>
              <w:tc>
                <w:tcPr>
                  <w:tcW w:w="317" w:type="pct"/>
                  <w:vAlign w:val="center"/>
                </w:tcPr>
                <w:p w14:paraId="1AE3611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67.38</w:t>
                  </w:r>
                </w:p>
              </w:tc>
              <w:tc>
                <w:tcPr>
                  <w:tcW w:w="425" w:type="pct"/>
                  <w:vAlign w:val="center"/>
                </w:tcPr>
                <w:p w14:paraId="744206C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0834FEF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41.38</w:t>
                  </w:r>
                </w:p>
              </w:tc>
              <w:tc>
                <w:tcPr>
                  <w:tcW w:w="256" w:type="pct"/>
                  <w:vAlign w:val="center"/>
                </w:tcPr>
                <w:p w14:paraId="09C63668">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70962786">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1882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4466D403">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37</w:t>
                  </w:r>
                </w:p>
              </w:tc>
              <w:tc>
                <w:tcPr>
                  <w:tcW w:w="255" w:type="pct"/>
                  <w:vMerge w:val="continue"/>
                  <w:vAlign w:val="center"/>
                </w:tcPr>
                <w:p w14:paraId="6067D08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135FBFF8">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518" w:type="pct"/>
                  <w:shd w:val="clear" w:color="auto" w:fill="auto"/>
                  <w:vAlign w:val="center"/>
                </w:tcPr>
                <w:p w14:paraId="170C8ECB">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JC16T</w:t>
                  </w:r>
                </w:p>
              </w:tc>
              <w:tc>
                <w:tcPr>
                  <w:tcW w:w="331" w:type="pct"/>
                  <w:vAlign w:val="center"/>
                </w:tcPr>
                <w:p w14:paraId="4E3CF51C">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4497081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5B4A278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3.54</w:t>
                  </w:r>
                </w:p>
              </w:tc>
              <w:tc>
                <w:tcPr>
                  <w:tcW w:w="317" w:type="pct"/>
                  <w:shd w:val="clear" w:color="auto" w:fill="auto"/>
                  <w:vAlign w:val="center"/>
                </w:tcPr>
                <w:p w14:paraId="300CA77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5.75</w:t>
                  </w:r>
                </w:p>
              </w:tc>
              <w:tc>
                <w:tcPr>
                  <w:tcW w:w="360" w:type="pct"/>
                  <w:vAlign w:val="center"/>
                </w:tcPr>
                <w:p w14:paraId="6038EFBD">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0F3760A2">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2.52</w:t>
                  </w:r>
                </w:p>
              </w:tc>
              <w:tc>
                <w:tcPr>
                  <w:tcW w:w="317" w:type="pct"/>
                  <w:vAlign w:val="center"/>
                </w:tcPr>
                <w:p w14:paraId="6476EC8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86.73</w:t>
                  </w:r>
                </w:p>
              </w:tc>
              <w:tc>
                <w:tcPr>
                  <w:tcW w:w="425" w:type="pct"/>
                  <w:vAlign w:val="center"/>
                </w:tcPr>
                <w:p w14:paraId="16E622C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2BEDBE5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60.73</w:t>
                  </w:r>
                </w:p>
              </w:tc>
              <w:tc>
                <w:tcPr>
                  <w:tcW w:w="256" w:type="pct"/>
                  <w:vAlign w:val="center"/>
                </w:tcPr>
                <w:p w14:paraId="7498AD43">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52C68E90">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4C73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1F81B822">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38</w:t>
                  </w:r>
                </w:p>
              </w:tc>
              <w:tc>
                <w:tcPr>
                  <w:tcW w:w="255" w:type="pct"/>
                  <w:vMerge w:val="continue"/>
                  <w:vAlign w:val="center"/>
                </w:tcPr>
                <w:p w14:paraId="3D5BB022">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79DA1FB0">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518" w:type="pct"/>
                  <w:shd w:val="clear" w:color="auto" w:fill="auto"/>
                  <w:vAlign w:val="center"/>
                </w:tcPr>
                <w:p w14:paraId="57379826">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JC16T</w:t>
                  </w:r>
                </w:p>
              </w:tc>
              <w:tc>
                <w:tcPr>
                  <w:tcW w:w="331" w:type="pct"/>
                  <w:vAlign w:val="center"/>
                </w:tcPr>
                <w:p w14:paraId="25F9F07E">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3FA079E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7C03441A">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3.61</w:t>
                  </w:r>
                </w:p>
              </w:tc>
              <w:tc>
                <w:tcPr>
                  <w:tcW w:w="317" w:type="pct"/>
                  <w:shd w:val="clear" w:color="auto" w:fill="auto"/>
                  <w:vAlign w:val="center"/>
                </w:tcPr>
                <w:p w14:paraId="7557C27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4.79</w:t>
                  </w:r>
                </w:p>
              </w:tc>
              <w:tc>
                <w:tcPr>
                  <w:tcW w:w="360" w:type="pct"/>
                  <w:vAlign w:val="center"/>
                </w:tcPr>
                <w:p w14:paraId="04C8707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3847F819">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2.57</w:t>
                  </w:r>
                </w:p>
              </w:tc>
              <w:tc>
                <w:tcPr>
                  <w:tcW w:w="317" w:type="pct"/>
                  <w:vAlign w:val="center"/>
                </w:tcPr>
                <w:p w14:paraId="4D360EA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86.72</w:t>
                  </w:r>
                </w:p>
              </w:tc>
              <w:tc>
                <w:tcPr>
                  <w:tcW w:w="425" w:type="pct"/>
                  <w:vAlign w:val="center"/>
                </w:tcPr>
                <w:p w14:paraId="016B2F1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1F85EA6F">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60.72</w:t>
                  </w:r>
                </w:p>
              </w:tc>
              <w:tc>
                <w:tcPr>
                  <w:tcW w:w="256" w:type="pct"/>
                  <w:vAlign w:val="center"/>
                </w:tcPr>
                <w:p w14:paraId="551593B9">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1912E339">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12CC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612D046D">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39</w:t>
                  </w:r>
                </w:p>
              </w:tc>
              <w:tc>
                <w:tcPr>
                  <w:tcW w:w="255" w:type="pct"/>
                  <w:vMerge w:val="continue"/>
                  <w:vAlign w:val="center"/>
                </w:tcPr>
                <w:p w14:paraId="05B404E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735C2076">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518" w:type="pct"/>
                  <w:shd w:val="clear" w:color="auto" w:fill="auto"/>
                  <w:vAlign w:val="center"/>
                </w:tcPr>
                <w:p w14:paraId="0426C250">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JC16T</w:t>
                  </w:r>
                </w:p>
              </w:tc>
              <w:tc>
                <w:tcPr>
                  <w:tcW w:w="331" w:type="pct"/>
                  <w:vAlign w:val="center"/>
                </w:tcPr>
                <w:p w14:paraId="7A4F2174">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737D21E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43CD344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3.88</w:t>
                  </w:r>
                </w:p>
              </w:tc>
              <w:tc>
                <w:tcPr>
                  <w:tcW w:w="317" w:type="pct"/>
                  <w:shd w:val="clear" w:color="auto" w:fill="auto"/>
                  <w:vAlign w:val="center"/>
                </w:tcPr>
                <w:p w14:paraId="19EED90D">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3.82</w:t>
                  </w:r>
                </w:p>
              </w:tc>
              <w:tc>
                <w:tcPr>
                  <w:tcW w:w="360" w:type="pct"/>
                  <w:vAlign w:val="center"/>
                </w:tcPr>
                <w:p w14:paraId="6623065C">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0184D990">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2.13</w:t>
                  </w:r>
                </w:p>
              </w:tc>
              <w:tc>
                <w:tcPr>
                  <w:tcW w:w="317" w:type="pct"/>
                  <w:vAlign w:val="center"/>
                </w:tcPr>
                <w:p w14:paraId="44516708">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86.88</w:t>
                  </w:r>
                </w:p>
              </w:tc>
              <w:tc>
                <w:tcPr>
                  <w:tcW w:w="425" w:type="pct"/>
                  <w:vAlign w:val="center"/>
                </w:tcPr>
                <w:p w14:paraId="3A26AAF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523C3B11">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60.88</w:t>
                  </w:r>
                </w:p>
              </w:tc>
              <w:tc>
                <w:tcPr>
                  <w:tcW w:w="256" w:type="pct"/>
                  <w:vAlign w:val="center"/>
                </w:tcPr>
                <w:p w14:paraId="5DFC56B5">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04581435">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2C42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5F6B4CA1">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40</w:t>
                  </w:r>
                </w:p>
              </w:tc>
              <w:tc>
                <w:tcPr>
                  <w:tcW w:w="255" w:type="pct"/>
                  <w:vMerge w:val="continue"/>
                  <w:vAlign w:val="center"/>
                </w:tcPr>
                <w:p w14:paraId="4FC7B154">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11073B16">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冲床</w:t>
                  </w:r>
                </w:p>
              </w:tc>
              <w:tc>
                <w:tcPr>
                  <w:tcW w:w="518" w:type="pct"/>
                  <w:shd w:val="clear" w:color="auto" w:fill="auto"/>
                  <w:vAlign w:val="center"/>
                </w:tcPr>
                <w:p w14:paraId="3DDD90CB">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JC16T</w:t>
                  </w:r>
                </w:p>
              </w:tc>
              <w:tc>
                <w:tcPr>
                  <w:tcW w:w="331" w:type="pct"/>
                  <w:vAlign w:val="center"/>
                </w:tcPr>
                <w:p w14:paraId="306D0E0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eastAsia"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95</w:t>
                  </w:r>
                </w:p>
              </w:tc>
              <w:tc>
                <w:tcPr>
                  <w:tcW w:w="308" w:type="pct"/>
                  <w:vMerge w:val="continue"/>
                  <w:vAlign w:val="center"/>
                </w:tcPr>
                <w:p w14:paraId="395DCBE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A9DA4B2">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-2.11</w:t>
                  </w:r>
                </w:p>
              </w:tc>
              <w:tc>
                <w:tcPr>
                  <w:tcW w:w="317" w:type="pct"/>
                  <w:shd w:val="clear" w:color="auto" w:fill="auto"/>
                  <w:vAlign w:val="center"/>
                </w:tcPr>
                <w:p w14:paraId="3E3494A6">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6.17</w:t>
                  </w:r>
                </w:p>
              </w:tc>
              <w:tc>
                <w:tcPr>
                  <w:tcW w:w="360" w:type="pct"/>
                  <w:vAlign w:val="center"/>
                </w:tcPr>
                <w:p w14:paraId="35F2BC15">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044C052">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2.1</w:t>
                  </w:r>
                </w:p>
              </w:tc>
              <w:tc>
                <w:tcPr>
                  <w:tcW w:w="317" w:type="pct"/>
                  <w:vAlign w:val="center"/>
                </w:tcPr>
                <w:p w14:paraId="283FF8E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86.89</w:t>
                  </w:r>
                </w:p>
              </w:tc>
              <w:tc>
                <w:tcPr>
                  <w:tcW w:w="425" w:type="pct"/>
                  <w:vAlign w:val="center"/>
                </w:tcPr>
                <w:p w14:paraId="5D0F056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4F358E5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60.89</w:t>
                  </w:r>
                </w:p>
              </w:tc>
              <w:tc>
                <w:tcPr>
                  <w:tcW w:w="256" w:type="pct"/>
                  <w:vAlign w:val="center"/>
                </w:tcPr>
                <w:p w14:paraId="044B0580">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546FF87D">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5FA0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49010887">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41</w:t>
                  </w:r>
                </w:p>
              </w:tc>
              <w:tc>
                <w:tcPr>
                  <w:tcW w:w="255" w:type="pct"/>
                  <w:vMerge w:val="continue"/>
                  <w:vAlign w:val="center"/>
                </w:tcPr>
                <w:p w14:paraId="308ED20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094DF79B">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剪板机</w:t>
                  </w:r>
                </w:p>
              </w:tc>
              <w:tc>
                <w:tcPr>
                  <w:tcW w:w="518" w:type="pct"/>
                  <w:shd w:val="clear" w:color="auto" w:fill="auto"/>
                  <w:vAlign w:val="center"/>
                </w:tcPr>
                <w:p w14:paraId="0469C5F4">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Q</w:t>
                  </w:r>
                  <w:r>
                    <w:rPr>
                      <w:rFonts w:hint="default" w:ascii="Times New Roman" w:hAnsi="Times New Roman" w:eastAsia="宋体" w:cs="Times New Roman"/>
                      <w:color w:val="auto"/>
                      <w:kern w:val="0"/>
                      <w:szCs w:val="21"/>
                      <w:highlight w:val="none"/>
                      <w:lang w:val="en-US" w:eastAsia="zh-CN"/>
                    </w:rPr>
                    <w:t>11-2X15</w:t>
                  </w:r>
                  <w:r>
                    <w:rPr>
                      <w:rFonts w:hint="default" w:ascii="Times New Roman" w:hAnsi="Times New Roman" w:eastAsia="宋体" w:cs="Times New Roman"/>
                      <w:color w:val="auto"/>
                      <w:kern w:val="0"/>
                      <w:szCs w:val="21"/>
                      <w:highlight w:val="none"/>
                    </w:rPr>
                    <w:t>00</w:t>
                  </w:r>
                </w:p>
              </w:tc>
              <w:tc>
                <w:tcPr>
                  <w:tcW w:w="331" w:type="pct"/>
                  <w:vAlign w:val="center"/>
                </w:tcPr>
                <w:p w14:paraId="49B72DB3">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85</w:t>
                  </w:r>
                </w:p>
              </w:tc>
              <w:tc>
                <w:tcPr>
                  <w:tcW w:w="308" w:type="pct"/>
                  <w:vMerge w:val="continue"/>
                  <w:vAlign w:val="center"/>
                </w:tcPr>
                <w:p w14:paraId="0957EF1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2399FBAC">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-1.98</w:t>
                  </w:r>
                </w:p>
              </w:tc>
              <w:tc>
                <w:tcPr>
                  <w:tcW w:w="317" w:type="pct"/>
                  <w:shd w:val="clear" w:color="auto" w:fill="auto"/>
                  <w:vAlign w:val="center"/>
                </w:tcPr>
                <w:p w14:paraId="5FF56E77">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4.99</w:t>
                  </w:r>
                </w:p>
              </w:tc>
              <w:tc>
                <w:tcPr>
                  <w:tcW w:w="360" w:type="pct"/>
                  <w:vAlign w:val="center"/>
                </w:tcPr>
                <w:p w14:paraId="2F25A6F3">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484AA9F2">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2.59</w:t>
                  </w:r>
                </w:p>
              </w:tc>
              <w:tc>
                <w:tcPr>
                  <w:tcW w:w="317" w:type="pct"/>
                  <w:vAlign w:val="center"/>
                </w:tcPr>
                <w:p w14:paraId="080D52A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76.71</w:t>
                  </w:r>
                </w:p>
              </w:tc>
              <w:tc>
                <w:tcPr>
                  <w:tcW w:w="425" w:type="pct"/>
                  <w:vAlign w:val="center"/>
                </w:tcPr>
                <w:p w14:paraId="5C193B6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5ED65FA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50.71</w:t>
                  </w:r>
                </w:p>
              </w:tc>
              <w:tc>
                <w:tcPr>
                  <w:tcW w:w="256" w:type="pct"/>
                  <w:vAlign w:val="center"/>
                </w:tcPr>
                <w:p w14:paraId="631AD440">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67E03300">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r w14:paraId="79DF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 w:type="pct"/>
                  <w:vAlign w:val="center"/>
                </w:tcPr>
                <w:p w14:paraId="363617C6">
                  <w:pPr>
                    <w:pStyle w:val="67"/>
                    <w:keepNext w:val="0"/>
                    <w:keepLines w:val="0"/>
                    <w:suppressLineNumbers w:val="0"/>
                    <w:spacing w:before="0" w:beforeAutospacing="0" w:after="0" w:afterAutospacing="0"/>
                    <w:ind w:left="0" w:right="0"/>
                    <w:jc w:val="center"/>
                    <w:rPr>
                      <w:rFonts w:hint="default" w:cs="Times New Roman"/>
                      <w:bCs/>
                      <w:smallCaps w:val="0"/>
                      <w:color w:val="auto"/>
                      <w:spacing w:val="0"/>
                      <w:w w:val="100"/>
                      <w:kern w:val="0"/>
                      <w:sz w:val="21"/>
                      <w:szCs w:val="21"/>
                      <w:highlight w:val="none"/>
                      <w:lang w:val="en-US" w:eastAsia="zh-CN" w:bidi="ar-SA"/>
                    </w:rPr>
                  </w:pPr>
                  <w:r>
                    <w:rPr>
                      <w:rFonts w:hint="eastAsia" w:cs="Times New Roman"/>
                      <w:bCs/>
                      <w:smallCaps w:val="0"/>
                      <w:color w:val="auto"/>
                      <w:spacing w:val="0"/>
                      <w:w w:val="100"/>
                      <w:kern w:val="0"/>
                      <w:sz w:val="21"/>
                      <w:szCs w:val="21"/>
                      <w:highlight w:val="none"/>
                      <w:lang w:val="en-US" w:eastAsia="zh-CN" w:bidi="ar-SA"/>
                    </w:rPr>
                    <w:t>42</w:t>
                  </w:r>
                </w:p>
              </w:tc>
              <w:tc>
                <w:tcPr>
                  <w:tcW w:w="255" w:type="pct"/>
                  <w:vMerge w:val="continue"/>
                  <w:vAlign w:val="center"/>
                </w:tcPr>
                <w:p w14:paraId="6DBD45EB">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419" w:type="pct"/>
                  <w:shd w:val="clear" w:color="auto" w:fill="auto"/>
                  <w:vAlign w:val="center"/>
                </w:tcPr>
                <w:p w14:paraId="290BDB75">
                  <w:pPr>
                    <w:keepNext w:val="0"/>
                    <w:keepLines w:val="0"/>
                    <w:suppressLineNumbers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精密逆变电阻焊</w:t>
                  </w:r>
                </w:p>
              </w:tc>
              <w:tc>
                <w:tcPr>
                  <w:tcW w:w="518" w:type="pct"/>
                  <w:shd w:val="clear" w:color="auto" w:fill="auto"/>
                  <w:vAlign w:val="center"/>
                </w:tcPr>
                <w:p w14:paraId="0652C830">
                  <w:pPr>
                    <w:keepNext w:val="0"/>
                    <w:keepLines w:val="0"/>
                    <w:suppressLineNumbers w:val="0"/>
                    <w:autoSpaceDE w:val="0"/>
                    <w:autoSpaceDN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MFC-007</w:t>
                  </w:r>
                </w:p>
              </w:tc>
              <w:tc>
                <w:tcPr>
                  <w:tcW w:w="331" w:type="pct"/>
                  <w:vAlign w:val="center"/>
                </w:tcPr>
                <w:p w14:paraId="1A38C3E5">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cs="Times New Roman"/>
                      <w:smallCaps w:val="0"/>
                      <w:color w:val="auto"/>
                      <w:spacing w:val="0"/>
                      <w:w w:val="100"/>
                      <w:kern w:val="2"/>
                      <w:sz w:val="21"/>
                      <w:szCs w:val="21"/>
                      <w:highlight w:val="none"/>
                      <w:lang w:val="en-US" w:eastAsia="zh-CN" w:bidi="ar-SA"/>
                    </w:rPr>
                  </w:pPr>
                  <w:r>
                    <w:rPr>
                      <w:rFonts w:hint="eastAsia" w:cs="Times New Roman"/>
                      <w:smallCaps w:val="0"/>
                      <w:color w:val="auto"/>
                      <w:spacing w:val="0"/>
                      <w:w w:val="100"/>
                      <w:kern w:val="2"/>
                      <w:sz w:val="21"/>
                      <w:szCs w:val="21"/>
                      <w:highlight w:val="none"/>
                      <w:lang w:val="en-US" w:eastAsia="zh-CN" w:bidi="ar-SA"/>
                    </w:rPr>
                    <w:t>75</w:t>
                  </w:r>
                </w:p>
              </w:tc>
              <w:tc>
                <w:tcPr>
                  <w:tcW w:w="308" w:type="pct"/>
                  <w:vMerge w:val="continue"/>
                  <w:vAlign w:val="center"/>
                </w:tcPr>
                <w:p w14:paraId="1A109C6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rPr>
                  </w:pPr>
                </w:p>
              </w:tc>
              <w:tc>
                <w:tcPr>
                  <w:tcW w:w="317" w:type="pct"/>
                  <w:vAlign w:val="center"/>
                </w:tcPr>
                <w:p w14:paraId="31E0EABB">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-1.56</w:t>
                  </w:r>
                </w:p>
              </w:tc>
              <w:tc>
                <w:tcPr>
                  <w:tcW w:w="317" w:type="pct"/>
                  <w:shd w:val="clear" w:color="auto" w:fill="auto"/>
                  <w:vAlign w:val="center"/>
                </w:tcPr>
                <w:p w14:paraId="54341D7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3.89</w:t>
                  </w:r>
                </w:p>
              </w:tc>
              <w:tc>
                <w:tcPr>
                  <w:tcW w:w="360" w:type="pct"/>
                  <w:vAlign w:val="center"/>
                </w:tcPr>
                <w:p w14:paraId="167AFC0A">
                  <w:pPr>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0.8</w:t>
                  </w:r>
                </w:p>
              </w:tc>
              <w:tc>
                <w:tcPr>
                  <w:tcW w:w="317" w:type="pct"/>
                  <w:vAlign w:val="center"/>
                </w:tcPr>
                <w:p w14:paraId="6CD5F664">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2.6</w:t>
                  </w:r>
                </w:p>
              </w:tc>
              <w:tc>
                <w:tcPr>
                  <w:tcW w:w="317" w:type="pct"/>
                  <w:vAlign w:val="center"/>
                </w:tcPr>
                <w:p w14:paraId="5F1203F5">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66.71</w:t>
                  </w:r>
                </w:p>
              </w:tc>
              <w:tc>
                <w:tcPr>
                  <w:tcW w:w="425" w:type="pct"/>
                  <w:vAlign w:val="center"/>
                </w:tcPr>
                <w:p w14:paraId="614005F3">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20</w:t>
                  </w:r>
                </w:p>
              </w:tc>
              <w:tc>
                <w:tcPr>
                  <w:tcW w:w="344" w:type="pct"/>
                  <w:vAlign w:val="center"/>
                </w:tcPr>
                <w:p w14:paraId="4AB14BBE">
                  <w:pPr>
                    <w:keepNext w:val="0"/>
                    <w:keepLines w:val="0"/>
                    <w:suppressLineNumbers w:val="0"/>
                    <w:spacing w:before="0" w:beforeAutospacing="0" w:after="0" w:afterAutospacing="0"/>
                    <w:ind w:left="0" w:right="0"/>
                    <w:jc w:val="center"/>
                    <w:rPr>
                      <w:rFonts w:hint="eastAsia" w:ascii="Times New Roman" w:hAnsi="Times New Roman" w:eastAsia="宋体" w:cs="Times New Roman"/>
                      <w:smallCaps w:val="0"/>
                      <w:color w:val="auto"/>
                      <w:spacing w:val="0"/>
                      <w:w w:val="100"/>
                      <w:kern w:val="2"/>
                      <w:sz w:val="21"/>
                      <w:szCs w:val="21"/>
                      <w:highlight w:val="none"/>
                      <w:lang w:val="en-US" w:eastAsia="zh-CN"/>
                    </w:rPr>
                  </w:pPr>
                  <w:r>
                    <w:rPr>
                      <w:rFonts w:hint="eastAsia" w:ascii="Times New Roman" w:hAnsi="Times New Roman" w:eastAsia="宋体" w:cs="Times New Roman"/>
                      <w:smallCaps w:val="0"/>
                      <w:color w:val="auto"/>
                      <w:spacing w:val="0"/>
                      <w:w w:val="100"/>
                      <w:kern w:val="2"/>
                      <w:sz w:val="21"/>
                      <w:szCs w:val="21"/>
                      <w:highlight w:val="none"/>
                      <w:lang w:val="en-US" w:eastAsia="zh-CN"/>
                    </w:rPr>
                    <w:t>40.71</w:t>
                  </w:r>
                </w:p>
              </w:tc>
              <w:tc>
                <w:tcPr>
                  <w:tcW w:w="256" w:type="pct"/>
                  <w:vAlign w:val="center"/>
                </w:tcPr>
                <w:p w14:paraId="508FCC28">
                  <w:pPr>
                    <w:keepNext w:val="0"/>
                    <w:keepLines w:val="0"/>
                    <w:widowControl/>
                    <w:suppressLineNumbers w:val="0"/>
                    <w:spacing w:before="0" w:beforeAutospacing="0" w:after="0" w:afterAutospacing="0"/>
                    <w:ind w:left="0" w:leftChars="0" w:right="0" w:rightChars="0"/>
                    <w:jc w:val="center"/>
                    <w:textAlignment w:val="center"/>
                    <w:rPr>
                      <w:rFonts w:hint="default" w:cs="Times New Roman"/>
                      <w:smallCaps w:val="0"/>
                      <w:color w:val="auto"/>
                      <w:spacing w:val="0"/>
                      <w:w w:val="100"/>
                      <w:kern w:val="2"/>
                      <w:sz w:val="21"/>
                      <w:szCs w:val="21"/>
                      <w:highlight w:val="none"/>
                      <w:lang w:val="en-US" w:eastAsia="zh-CN"/>
                    </w:rPr>
                  </w:pPr>
                  <w:r>
                    <w:rPr>
                      <w:rFonts w:hint="default" w:cs="Times New Roman"/>
                      <w:smallCaps w:val="0"/>
                      <w:color w:val="auto"/>
                      <w:spacing w:val="0"/>
                      <w:w w:val="100"/>
                      <w:kern w:val="2"/>
                      <w:sz w:val="21"/>
                      <w:szCs w:val="21"/>
                      <w:highlight w:val="none"/>
                      <w:lang w:val="en-US" w:eastAsia="zh-CN"/>
                    </w:rPr>
                    <w:t>1</w:t>
                  </w:r>
                </w:p>
              </w:tc>
              <w:tc>
                <w:tcPr>
                  <w:tcW w:w="347" w:type="pct"/>
                  <w:vAlign w:val="center"/>
                </w:tcPr>
                <w:p w14:paraId="51BBC4F5">
                  <w:pPr>
                    <w:keepNext w:val="0"/>
                    <w:keepLines w:val="0"/>
                    <w:suppressLineNumbers w:val="0"/>
                    <w:spacing w:before="0" w:beforeAutospacing="0" w:after="0" w:afterAutospacing="0"/>
                    <w:ind w:left="0" w:leftChars="0" w:right="0" w:rightChars="0"/>
                    <w:jc w:val="center"/>
                    <w:rPr>
                      <w:rFonts w:hint="eastAsia" w:cs="Times New Roman"/>
                      <w:smallCaps w:val="0"/>
                      <w:color w:val="auto"/>
                      <w:spacing w:val="0"/>
                      <w:w w:val="100"/>
                      <w:sz w:val="21"/>
                      <w:szCs w:val="21"/>
                      <w:highlight w:val="none"/>
                      <w:lang w:val="en-US" w:eastAsia="zh-CN"/>
                    </w:rPr>
                  </w:pPr>
                  <w:r>
                    <w:rPr>
                      <w:rFonts w:hint="eastAsia" w:cs="Times New Roman"/>
                      <w:smallCaps w:val="0"/>
                      <w:color w:val="auto"/>
                      <w:spacing w:val="0"/>
                      <w:w w:val="100"/>
                      <w:sz w:val="21"/>
                      <w:szCs w:val="21"/>
                      <w:highlight w:val="none"/>
                      <w:lang w:val="en-US" w:eastAsia="zh-CN"/>
                    </w:rPr>
                    <w:t>昼夜</w:t>
                  </w:r>
                </w:p>
              </w:tc>
            </w:tr>
          </w:tbl>
          <w:p w14:paraId="775B7D69">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smallCaps w:val="0"/>
                <w:color w:val="auto"/>
                <w:spacing w:val="0"/>
                <w:highlight w:val="none"/>
                <w:lang w:val="en-US" w:eastAsia="zh-CN"/>
              </w:rPr>
            </w:pPr>
            <w:r>
              <w:rPr>
                <w:rFonts w:hint="default" w:ascii="Times New Roman" w:hAnsi="Times New Roman" w:eastAsia="宋体" w:cs="Times New Roman"/>
                <w:b/>
                <w:smallCaps w:val="0"/>
                <w:color w:val="auto"/>
                <w:spacing w:val="0"/>
                <w:highlight w:val="none"/>
                <w:lang w:val="en-US" w:eastAsia="zh-CN"/>
              </w:rPr>
              <w:t>表4-</w:t>
            </w:r>
            <w:r>
              <w:rPr>
                <w:rFonts w:hint="eastAsia" w:ascii="Times New Roman" w:hAnsi="Times New Roman" w:cs="Times New Roman"/>
                <w:b/>
                <w:smallCaps w:val="0"/>
                <w:color w:val="auto"/>
                <w:spacing w:val="0"/>
                <w:highlight w:val="none"/>
                <w:lang w:val="en-US" w:eastAsia="zh-CN"/>
              </w:rPr>
              <w:t>1</w:t>
            </w:r>
            <w:r>
              <w:rPr>
                <w:rFonts w:hint="eastAsia" w:cs="Times New Roman"/>
                <w:b/>
                <w:smallCaps w:val="0"/>
                <w:color w:val="auto"/>
                <w:spacing w:val="0"/>
                <w:highlight w:val="none"/>
                <w:lang w:val="en-US" w:eastAsia="zh-CN"/>
              </w:rPr>
              <w:t>0</w:t>
            </w:r>
            <w:r>
              <w:rPr>
                <w:rFonts w:hint="default" w:ascii="Times New Roman" w:hAnsi="Times New Roman" w:eastAsia="宋体" w:cs="Times New Roman"/>
                <w:b/>
                <w:smallCaps w:val="0"/>
                <w:color w:val="auto"/>
                <w:spacing w:val="0"/>
                <w:highlight w:val="none"/>
                <w:lang w:val="en-US" w:eastAsia="zh-CN"/>
              </w:rPr>
              <w:t xml:space="preserve">   项目主要噪声源及控制措施一览表（室外声源，坐标原点：厂区西南角）</w:t>
            </w:r>
          </w:p>
          <w:tbl>
            <w:tblPr>
              <w:tblStyle w:val="47"/>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6"/>
              <w:gridCol w:w="1772"/>
              <w:gridCol w:w="1087"/>
              <w:gridCol w:w="2043"/>
              <w:gridCol w:w="3703"/>
              <w:gridCol w:w="1007"/>
              <w:gridCol w:w="1007"/>
              <w:gridCol w:w="1012"/>
              <w:gridCol w:w="1175"/>
            </w:tblGrid>
            <w:tr w14:paraId="31D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1" w:type="pct"/>
                  <w:vMerge w:val="restart"/>
                  <w:noWrap w:val="0"/>
                  <w:vAlign w:val="center"/>
                </w:tcPr>
                <w:p w14:paraId="75AD7E2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序号</w:t>
                  </w:r>
                </w:p>
              </w:tc>
              <w:tc>
                <w:tcPr>
                  <w:tcW w:w="664" w:type="pct"/>
                  <w:vMerge w:val="restart"/>
                  <w:noWrap w:val="0"/>
                  <w:vAlign w:val="center"/>
                </w:tcPr>
                <w:p w14:paraId="7C935751">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声源名称</w:t>
                  </w:r>
                </w:p>
              </w:tc>
              <w:tc>
                <w:tcPr>
                  <w:tcW w:w="407" w:type="pct"/>
                  <w:vMerge w:val="restart"/>
                  <w:noWrap w:val="0"/>
                  <w:vAlign w:val="center"/>
                </w:tcPr>
                <w:p w14:paraId="1FA5D57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型号</w:t>
                  </w:r>
                </w:p>
              </w:tc>
              <w:tc>
                <w:tcPr>
                  <w:tcW w:w="765" w:type="pct"/>
                  <w:noWrap w:val="0"/>
                  <w:vAlign w:val="center"/>
                </w:tcPr>
                <w:p w14:paraId="11A6741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声源源强</w:t>
                  </w:r>
                </w:p>
              </w:tc>
              <w:tc>
                <w:tcPr>
                  <w:tcW w:w="1387" w:type="pct"/>
                  <w:vMerge w:val="restart"/>
                  <w:noWrap w:val="0"/>
                  <w:vAlign w:val="center"/>
                </w:tcPr>
                <w:p w14:paraId="48350A98">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声源控制措施</w:t>
                  </w:r>
                </w:p>
              </w:tc>
              <w:tc>
                <w:tcPr>
                  <w:tcW w:w="1133" w:type="pct"/>
                  <w:gridSpan w:val="3"/>
                  <w:noWrap w:val="0"/>
                  <w:vAlign w:val="center"/>
                </w:tcPr>
                <w:p w14:paraId="35ABD57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空间相对位置/m</w:t>
                  </w:r>
                </w:p>
              </w:tc>
              <w:tc>
                <w:tcPr>
                  <w:tcW w:w="440" w:type="pct"/>
                  <w:vMerge w:val="restart"/>
                  <w:noWrap w:val="0"/>
                  <w:vAlign w:val="center"/>
                </w:tcPr>
                <w:p w14:paraId="465E2B7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90"/>
                      <w:highlight w:val="none"/>
                      <w:lang w:val="en-US" w:eastAsia="zh-CN"/>
                    </w:rPr>
                  </w:pPr>
                  <w:r>
                    <w:rPr>
                      <w:rFonts w:hint="default" w:ascii="Times New Roman" w:hAnsi="Times New Roman" w:eastAsia="宋体" w:cs="Times New Roman"/>
                      <w:smallCaps w:val="0"/>
                      <w:color w:val="auto"/>
                      <w:spacing w:val="0"/>
                      <w:w w:val="90"/>
                      <w:highlight w:val="none"/>
                      <w:lang w:val="en-US" w:eastAsia="zh-CN"/>
                    </w:rPr>
                    <w:t>运行时段/h</w:t>
                  </w:r>
                </w:p>
              </w:tc>
            </w:tr>
            <w:tr w14:paraId="58F8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01" w:type="pct"/>
                  <w:vMerge w:val="continue"/>
                  <w:noWrap w:val="0"/>
                  <w:vAlign w:val="center"/>
                </w:tcPr>
                <w:p w14:paraId="689AD29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p>
              </w:tc>
              <w:tc>
                <w:tcPr>
                  <w:tcW w:w="664" w:type="pct"/>
                  <w:vMerge w:val="continue"/>
                  <w:noWrap w:val="0"/>
                  <w:vAlign w:val="center"/>
                </w:tcPr>
                <w:p w14:paraId="16479283">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p>
              </w:tc>
              <w:tc>
                <w:tcPr>
                  <w:tcW w:w="407" w:type="pct"/>
                  <w:vMerge w:val="continue"/>
                  <w:noWrap w:val="0"/>
                  <w:vAlign w:val="center"/>
                </w:tcPr>
                <w:p w14:paraId="7E3B2CE9">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p>
              </w:tc>
              <w:tc>
                <w:tcPr>
                  <w:tcW w:w="765" w:type="pct"/>
                  <w:noWrap w:val="0"/>
                  <w:vAlign w:val="center"/>
                </w:tcPr>
                <w:p w14:paraId="76829C2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lang w:val="en-US" w:eastAsia="zh-CN"/>
                    </w:rPr>
                    <w:t>声功率级</w:t>
                  </w:r>
                  <w:r>
                    <w:rPr>
                      <w:rFonts w:hint="default" w:ascii="Times New Roman" w:hAnsi="Times New Roman" w:eastAsia="宋体" w:cs="Times New Roman"/>
                      <w:smallCaps w:val="0"/>
                      <w:color w:val="auto"/>
                      <w:spacing w:val="0"/>
                      <w:highlight w:val="none"/>
                    </w:rPr>
                    <w:t>/dB(A)</w:t>
                  </w:r>
                </w:p>
              </w:tc>
              <w:tc>
                <w:tcPr>
                  <w:tcW w:w="1387" w:type="pct"/>
                  <w:vMerge w:val="continue"/>
                  <w:noWrap w:val="0"/>
                  <w:vAlign w:val="center"/>
                </w:tcPr>
                <w:p w14:paraId="43887F0E">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p>
              </w:tc>
              <w:tc>
                <w:tcPr>
                  <w:tcW w:w="377" w:type="pct"/>
                  <w:noWrap w:val="0"/>
                  <w:vAlign w:val="center"/>
                </w:tcPr>
                <w:p w14:paraId="7B33704F">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X</w:t>
                  </w:r>
                </w:p>
              </w:tc>
              <w:tc>
                <w:tcPr>
                  <w:tcW w:w="377" w:type="pct"/>
                  <w:noWrap w:val="0"/>
                  <w:vAlign w:val="center"/>
                </w:tcPr>
                <w:p w14:paraId="2619B0BC">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Y</w:t>
                  </w:r>
                </w:p>
              </w:tc>
              <w:tc>
                <w:tcPr>
                  <w:tcW w:w="378" w:type="pct"/>
                  <w:noWrap w:val="0"/>
                  <w:vAlign w:val="center"/>
                </w:tcPr>
                <w:p w14:paraId="7ACEF663">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highlight w:val="none"/>
                    </w:rPr>
                  </w:pPr>
                  <w:r>
                    <w:rPr>
                      <w:rFonts w:hint="default" w:ascii="Times New Roman" w:hAnsi="Times New Roman" w:eastAsia="宋体" w:cs="Times New Roman"/>
                      <w:smallCaps w:val="0"/>
                      <w:color w:val="auto"/>
                      <w:spacing w:val="0"/>
                      <w:highlight w:val="none"/>
                    </w:rPr>
                    <w:t>Z</w:t>
                  </w:r>
                </w:p>
              </w:tc>
              <w:tc>
                <w:tcPr>
                  <w:tcW w:w="440" w:type="pct"/>
                  <w:vMerge w:val="continue"/>
                  <w:noWrap w:val="0"/>
                  <w:vAlign w:val="center"/>
                </w:tcPr>
                <w:p w14:paraId="6A0BC670">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w w:val="90"/>
                      <w:highlight w:val="none"/>
                    </w:rPr>
                  </w:pPr>
                </w:p>
              </w:tc>
            </w:tr>
            <w:tr w14:paraId="506B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1" w:type="pct"/>
                  <w:noWrap w:val="0"/>
                  <w:vAlign w:val="center"/>
                </w:tcPr>
                <w:p w14:paraId="4A39636D">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eastAsia="宋体" w:cs="Times New Roman"/>
                      <w:smallCaps w:val="0"/>
                      <w:color w:val="auto"/>
                      <w:spacing w:val="0"/>
                      <w:highlight w:val="none"/>
                      <w:lang w:val="en-US" w:eastAsia="zh-CN"/>
                    </w:rPr>
                    <w:t>1</w:t>
                  </w:r>
                </w:p>
              </w:tc>
              <w:tc>
                <w:tcPr>
                  <w:tcW w:w="664" w:type="pct"/>
                  <w:noWrap w:val="0"/>
                  <w:vAlign w:val="center"/>
                </w:tcPr>
                <w:p w14:paraId="15D8BCC5">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default" w:ascii="Times New Roman" w:hAnsi="Times New Roman" w:eastAsia="宋体" w:cs="Times New Roman"/>
                      <w:smallCaps w:val="0"/>
                      <w:color w:val="auto"/>
                      <w:spacing w:val="0"/>
                      <w:szCs w:val="20"/>
                      <w:highlight w:val="none"/>
                      <w:lang w:val="en-US" w:eastAsia="zh-CN"/>
                    </w:rPr>
                    <w:t>风机</w:t>
                  </w:r>
                </w:p>
              </w:tc>
              <w:tc>
                <w:tcPr>
                  <w:tcW w:w="407" w:type="pct"/>
                  <w:noWrap w:val="0"/>
                  <w:vAlign w:val="center"/>
                </w:tcPr>
                <w:p w14:paraId="21727561">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c>
                <w:tcPr>
                  <w:tcW w:w="765" w:type="pct"/>
                  <w:noWrap w:val="0"/>
                  <w:vAlign w:val="center"/>
                </w:tcPr>
                <w:p w14:paraId="5DB593FD">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2"/>
                      <w:sz w:val="21"/>
                      <w:szCs w:val="20"/>
                      <w:highlight w:val="none"/>
                      <w:lang w:val="en-US" w:eastAsia="zh-CN" w:bidi="ar-SA"/>
                    </w:rPr>
                  </w:pPr>
                  <w:r>
                    <w:rPr>
                      <w:rFonts w:hint="default" w:ascii="Times New Roman" w:hAnsi="Times New Roman" w:eastAsia="宋体" w:cs="Times New Roman"/>
                      <w:smallCaps w:val="0"/>
                      <w:color w:val="auto"/>
                      <w:spacing w:val="0"/>
                      <w:kern w:val="2"/>
                      <w:highlight w:val="none"/>
                      <w:lang w:val="en-US" w:eastAsia="zh-CN"/>
                    </w:rPr>
                    <w:t>95</w:t>
                  </w:r>
                </w:p>
              </w:tc>
              <w:tc>
                <w:tcPr>
                  <w:tcW w:w="1387" w:type="pct"/>
                  <w:noWrap w:val="0"/>
                  <w:vAlign w:val="center"/>
                </w:tcPr>
                <w:p w14:paraId="70009A76">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rPr>
                  </w:pPr>
                  <w:r>
                    <w:rPr>
                      <w:rFonts w:hint="eastAsia" w:ascii="Times New Roman" w:hAnsi="Times New Roman" w:cs="Times New Roman"/>
                      <w:smallCaps w:val="0"/>
                      <w:color w:val="auto"/>
                      <w:spacing w:val="0"/>
                      <w:highlight w:val="none"/>
                      <w:lang w:val="en-US" w:eastAsia="zh-CN"/>
                    </w:rPr>
                    <w:t>加装隔声罩，</w:t>
                  </w:r>
                  <w:r>
                    <w:rPr>
                      <w:rFonts w:hint="default" w:ascii="Times New Roman" w:hAnsi="Times New Roman" w:eastAsia="宋体" w:cs="Times New Roman"/>
                      <w:smallCaps w:val="0"/>
                      <w:color w:val="auto"/>
                      <w:spacing w:val="0"/>
                      <w:highlight w:val="none"/>
                    </w:rPr>
                    <w:t>选用低噪声设备</w:t>
                  </w:r>
                  <w:r>
                    <w:rPr>
                      <w:rFonts w:hint="default" w:ascii="Times New Roman" w:hAnsi="Times New Roman" w:eastAsia="宋体" w:cs="Times New Roman"/>
                      <w:smallCaps w:val="0"/>
                      <w:color w:val="auto"/>
                      <w:spacing w:val="0"/>
                      <w:highlight w:val="none"/>
                      <w:lang w:eastAsia="zh-CN"/>
                    </w:rPr>
                    <w:t>，</w:t>
                  </w:r>
                  <w:r>
                    <w:rPr>
                      <w:rFonts w:hint="default" w:ascii="Times New Roman" w:hAnsi="Times New Roman" w:eastAsia="宋体" w:cs="Times New Roman"/>
                      <w:smallCaps w:val="0"/>
                      <w:color w:val="auto"/>
                      <w:spacing w:val="0"/>
                      <w:highlight w:val="none"/>
                    </w:rPr>
                    <w:t>基础减振等措施</w:t>
                  </w:r>
                </w:p>
              </w:tc>
              <w:tc>
                <w:tcPr>
                  <w:tcW w:w="1007" w:type="dxa"/>
                  <w:noWrap w:val="0"/>
                  <w:vAlign w:val="center"/>
                </w:tcPr>
                <w:p w14:paraId="079357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2"/>
                      <w:sz w:val="21"/>
                      <w:szCs w:val="20"/>
                      <w:highlight w:val="none"/>
                      <w:lang w:val="en-US" w:eastAsia="zh-CN" w:bidi="ar-SA"/>
                    </w:rPr>
                  </w:pPr>
                  <w:r>
                    <w:rPr>
                      <w:rFonts w:hint="eastAsia" w:ascii="Times New Roman" w:hAnsi="Times New Roman" w:eastAsia="宋体" w:cs="Times New Roman"/>
                      <w:smallCaps w:val="0"/>
                      <w:color w:val="auto"/>
                      <w:spacing w:val="0"/>
                      <w:w w:val="100"/>
                      <w:kern w:val="2"/>
                      <w:sz w:val="21"/>
                      <w:szCs w:val="21"/>
                      <w:highlight w:val="none"/>
                      <w:lang w:val="en-US" w:eastAsia="zh-CN"/>
                    </w:rPr>
                    <w:t>31.04</w:t>
                  </w:r>
                </w:p>
              </w:tc>
              <w:tc>
                <w:tcPr>
                  <w:tcW w:w="1007" w:type="dxa"/>
                  <w:noWrap w:val="0"/>
                  <w:vAlign w:val="center"/>
                </w:tcPr>
                <w:p w14:paraId="3A3212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mallCaps w:val="0"/>
                      <w:color w:val="auto"/>
                      <w:spacing w:val="0"/>
                      <w:kern w:val="2"/>
                      <w:sz w:val="21"/>
                      <w:szCs w:val="20"/>
                      <w:highlight w:val="none"/>
                      <w:lang w:val="en-US" w:eastAsia="zh-CN" w:bidi="ar-SA"/>
                    </w:rPr>
                  </w:pPr>
                  <w:r>
                    <w:rPr>
                      <w:rFonts w:hint="eastAsia" w:ascii="Times New Roman" w:hAnsi="Times New Roman" w:eastAsia="宋体" w:cs="Times New Roman"/>
                      <w:smallCaps w:val="0"/>
                      <w:color w:val="auto"/>
                      <w:spacing w:val="0"/>
                      <w:w w:val="100"/>
                      <w:kern w:val="2"/>
                      <w:sz w:val="21"/>
                      <w:szCs w:val="21"/>
                      <w:highlight w:val="none"/>
                      <w:lang w:val="en-US" w:eastAsia="zh-CN"/>
                    </w:rPr>
                    <w:t>15.54</w:t>
                  </w:r>
                </w:p>
              </w:tc>
              <w:tc>
                <w:tcPr>
                  <w:tcW w:w="1012" w:type="dxa"/>
                  <w:noWrap w:val="0"/>
                  <w:vAlign w:val="center"/>
                </w:tcPr>
                <w:p w14:paraId="55CF17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0"/>
                      <w:highlight w:val="none"/>
                      <w:lang w:val="en-US" w:eastAsia="zh-CN" w:bidi="ar-SA"/>
                    </w:rPr>
                  </w:pPr>
                  <w:r>
                    <w:rPr>
                      <w:rFonts w:hint="eastAsia" w:ascii="Times New Roman" w:hAnsi="Times New Roman" w:eastAsia="宋体" w:cs="Times New Roman"/>
                      <w:smallCaps w:val="0"/>
                      <w:color w:val="auto"/>
                      <w:spacing w:val="0"/>
                      <w:w w:val="100"/>
                      <w:kern w:val="2"/>
                      <w:sz w:val="21"/>
                      <w:szCs w:val="21"/>
                      <w:highlight w:val="none"/>
                      <w:lang w:val="en-US" w:eastAsia="zh-CN"/>
                    </w:rPr>
                    <w:t>1.5</w:t>
                  </w:r>
                </w:p>
              </w:tc>
              <w:tc>
                <w:tcPr>
                  <w:tcW w:w="440" w:type="pct"/>
                  <w:noWrap w:val="0"/>
                  <w:vAlign w:val="center"/>
                </w:tcPr>
                <w:p w14:paraId="289D83AC">
                  <w:pPr>
                    <w:pStyle w:val="67"/>
                    <w:keepNext w:val="0"/>
                    <w:keepLines w:val="0"/>
                    <w:suppressLineNumbers w:val="0"/>
                    <w:spacing w:before="0" w:beforeAutospacing="0" w:after="0" w:afterAutospacing="0"/>
                    <w:ind w:left="0" w:right="0"/>
                    <w:jc w:val="center"/>
                    <w:rPr>
                      <w:rFonts w:hint="default" w:ascii="Times New Roman" w:hAnsi="Times New Roman" w:eastAsia="宋体" w:cs="Times New Roman"/>
                      <w:smallCaps w:val="0"/>
                      <w:color w:val="auto"/>
                      <w:spacing w:val="0"/>
                      <w:highlight w:val="none"/>
                      <w:lang w:val="en-US" w:eastAsia="zh-CN"/>
                    </w:rPr>
                  </w:pPr>
                  <w:r>
                    <w:rPr>
                      <w:rFonts w:hint="eastAsia" w:ascii="Times New Roman" w:hAnsi="Times New Roman" w:cs="Times New Roman"/>
                      <w:smallCaps w:val="0"/>
                      <w:color w:val="auto"/>
                      <w:spacing w:val="0"/>
                      <w:highlight w:val="none"/>
                      <w:lang w:val="en-US" w:eastAsia="zh-CN"/>
                    </w:rPr>
                    <w:t>4800</w:t>
                  </w:r>
                </w:p>
              </w:tc>
            </w:tr>
          </w:tbl>
          <w:p w14:paraId="62FBB56A">
            <w:pPr>
              <w:pStyle w:val="187"/>
              <w:keepNext w:val="0"/>
              <w:keepLines w:val="0"/>
              <w:suppressLineNumbers w:val="0"/>
              <w:spacing w:before="0" w:beforeAutospacing="0" w:after="0" w:afterAutospacing="0"/>
              <w:ind w:left="0" w:right="0"/>
              <w:rPr>
                <w:rFonts w:hint="eastAsia" w:cs="Times New Roman"/>
                <w:smallCaps w:val="0"/>
                <w:color w:val="auto"/>
                <w:spacing w:val="0"/>
                <w:highlight w:val="none"/>
                <w:vertAlign w:val="baseline"/>
                <w:lang w:eastAsia="zh-CN"/>
              </w:rPr>
            </w:pPr>
          </w:p>
          <w:p w14:paraId="2763C949">
            <w:pPr>
              <w:pStyle w:val="187"/>
              <w:keepNext w:val="0"/>
              <w:keepLines w:val="0"/>
              <w:suppressLineNumbers w:val="0"/>
              <w:spacing w:before="0" w:beforeAutospacing="0" w:after="0" w:afterAutospacing="0"/>
              <w:ind w:left="0" w:right="0"/>
              <w:rPr>
                <w:rFonts w:hint="eastAsia" w:cs="Times New Roman"/>
                <w:smallCaps w:val="0"/>
                <w:color w:val="auto"/>
                <w:spacing w:val="0"/>
                <w:highlight w:val="none"/>
                <w:vertAlign w:val="baseline"/>
                <w:lang w:eastAsia="zh-CN"/>
              </w:rPr>
            </w:pPr>
          </w:p>
          <w:p w14:paraId="12E158FD">
            <w:pPr>
              <w:pStyle w:val="187"/>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highlight w:val="none"/>
                <w:vertAlign w:val="baseline"/>
                <w:lang w:eastAsia="zh-CN"/>
              </w:rPr>
            </w:pPr>
          </w:p>
        </w:tc>
      </w:tr>
    </w:tbl>
    <w:p w14:paraId="03DA3108">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p>
    <w:p w14:paraId="469A2EC0">
      <w:pPr>
        <w:pStyle w:val="5"/>
        <w:keepNext w:val="0"/>
        <w:keepLines w:val="0"/>
        <w:suppressLineNumbers w:val="0"/>
        <w:spacing w:before="0" w:beforeAutospacing="0" w:after="0" w:afterAutospacing="0"/>
        <w:ind w:left="0" w:right="0"/>
        <w:rPr>
          <w:rFonts w:hint="default" w:ascii="Times New Roman" w:hAnsi="Times New Roman" w:cs="Times New Roman"/>
          <w:color w:val="auto"/>
          <w:szCs w:val="20"/>
          <w:highlight w:val="none"/>
        </w:rPr>
        <w:sectPr>
          <w:pgSz w:w="16840" w:h="11907" w:orient="landscape"/>
          <w:pgMar w:top="1800" w:right="1440" w:bottom="1800" w:left="1440" w:header="851" w:footer="992" w:gutter="0"/>
          <w:cols w:space="720" w:num="1"/>
          <w:docGrid w:type="linesAndChars" w:linePitch="319" w:charSpace="0"/>
        </w:sectPr>
      </w:pP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
        <w:gridCol w:w="8204"/>
      </w:tblGrid>
      <w:tr w14:paraId="4768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 w:type="pct"/>
            <w:vAlign w:val="center"/>
          </w:tcPr>
          <w:p w14:paraId="3A2BFFFA">
            <w:pPr>
              <w:pStyle w:val="6"/>
              <w:keepNext w:val="0"/>
              <w:keepLines w:val="0"/>
              <w:suppressLineNumbers w:val="0"/>
              <w:spacing w:before="0" w:beforeAutospacing="0" w:after="0" w:afterAutospacing="0"/>
              <w:ind w:left="0" w:right="0"/>
              <w:rPr>
                <w:rFonts w:hint="default"/>
                <w:color w:val="auto"/>
                <w:highlight w:val="none"/>
              </w:rPr>
            </w:pPr>
          </w:p>
        </w:tc>
        <w:tc>
          <w:tcPr>
            <w:tcW w:w="4812" w:type="pct"/>
            <w:vAlign w:val="center"/>
          </w:tcPr>
          <w:p w14:paraId="7075ECE3">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（2）声环境影响预测</w:t>
            </w:r>
          </w:p>
          <w:p w14:paraId="04F4E7E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32"/>
                <w:highlight w:val="none"/>
              </w:rPr>
            </w:pPr>
            <w:r>
              <w:rPr>
                <w:rFonts w:hint="default" w:ascii="Times New Roman" w:hAnsi="Times New Roman" w:cs="Times New Roman"/>
                <w:smallCaps w:val="0"/>
                <w:color w:val="auto"/>
                <w:spacing w:val="0"/>
                <w:szCs w:val="32"/>
                <w:highlight w:val="none"/>
              </w:rPr>
              <w:t>1）预测因子、方位</w:t>
            </w:r>
          </w:p>
          <w:p w14:paraId="02E2492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①预测因子</w:t>
            </w:r>
          </w:p>
          <w:p w14:paraId="744C186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等效连续A声级。</w:t>
            </w:r>
          </w:p>
          <w:p w14:paraId="334E327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②预测位置</w:t>
            </w:r>
          </w:p>
          <w:p w14:paraId="651F3F7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厂区东、西、南、北厂界作为评价点。</w:t>
            </w:r>
          </w:p>
          <w:p w14:paraId="05A3AAF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szCs w:val="32"/>
                <w:highlight w:val="none"/>
              </w:rPr>
            </w:pPr>
            <w:r>
              <w:rPr>
                <w:rFonts w:hint="default" w:ascii="Times New Roman" w:hAnsi="Times New Roman" w:cs="Times New Roman"/>
                <w:smallCaps w:val="0"/>
                <w:color w:val="auto"/>
                <w:spacing w:val="0"/>
                <w:szCs w:val="32"/>
                <w:highlight w:val="none"/>
              </w:rPr>
              <w:t>2）预测模式</w:t>
            </w:r>
          </w:p>
          <w:p w14:paraId="1391F33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本次预测采用的《环境影响评价技术导则  声环境》（HJ2.4-2021）附录B中典型行业噪声预测模型进行预测</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具体公式如下：</w:t>
            </w:r>
          </w:p>
          <w:p w14:paraId="528A5D4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①单个室外点声源在预测点产生的声级计算基本公式</w:t>
            </w:r>
          </w:p>
          <w:p w14:paraId="0A30558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已知声源的倍频带声功率级(从63Hz到8000Hz标称频带中心频率的8个倍频带)</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预测点位置的倍频带声压级</w:t>
            </w:r>
            <w:r>
              <w:rPr>
                <w:rFonts w:hint="default" w:ascii="Times New Roman" w:hAnsi="Times New Roman" w:cs="Times New Roman"/>
                <w:smallCaps w:val="0"/>
                <w:color w:val="auto"/>
                <w:spacing w:val="0"/>
                <w:highlight w:val="none"/>
              </w:rPr>
              <w:drawing>
                <wp:inline distT="0" distB="0" distL="0" distR="0">
                  <wp:extent cx="292100" cy="165735"/>
                  <wp:effectExtent l="0" t="0" r="12700" b="508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4206" cy="167281"/>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可按下式计算：</w:t>
            </w:r>
          </w:p>
          <w:p w14:paraId="2A7EC72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329055" cy="233680"/>
                  <wp:effectExtent l="0" t="0" r="4445" b="14605"/>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29055" cy="233680"/>
                          </a:xfrm>
                          <a:prstGeom prst="rect">
                            <a:avLst/>
                          </a:prstGeom>
                          <a:noFill/>
                          <a:ln>
                            <a:noFill/>
                          </a:ln>
                        </pic:spPr>
                      </pic:pic>
                    </a:graphicData>
                  </a:graphic>
                </wp:inline>
              </w:drawing>
            </w:r>
          </w:p>
          <w:p w14:paraId="30793DA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105025" cy="233680"/>
                  <wp:effectExtent l="0" t="0" r="9525" b="14605"/>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05025" cy="233680"/>
                          </a:xfrm>
                          <a:prstGeom prst="rect">
                            <a:avLst/>
                          </a:prstGeom>
                          <a:noFill/>
                          <a:ln>
                            <a:noFill/>
                          </a:ln>
                        </pic:spPr>
                      </pic:pic>
                    </a:graphicData>
                  </a:graphic>
                </wp:inline>
              </w:drawing>
            </w:r>
          </w:p>
          <w:p w14:paraId="1BDD557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smallCaps w:val="0"/>
                <w:color w:val="auto"/>
                <w:spacing w:val="0"/>
                <w:highlight w:val="none"/>
              </w:rPr>
              <w:drawing>
                <wp:inline distT="0" distB="0" distL="0" distR="0">
                  <wp:extent cx="393700" cy="233680"/>
                  <wp:effectExtent l="0" t="0" r="6350" b="14605"/>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3700"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——距离声源r处的倍频带声压级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070637D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01930" cy="223520"/>
                  <wp:effectExtent l="0" t="0" r="7620" b="4445"/>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1930"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——倍频带声功率级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637D6FD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01930" cy="233680"/>
                  <wp:effectExtent l="0" t="0" r="7620" b="1460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1930"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——指向性校正</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4474717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48590" cy="170180"/>
                  <wp:effectExtent l="0" t="0" r="3810" b="127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85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48D8FA29">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66065" cy="223520"/>
                  <wp:effectExtent l="0" t="0" r="635" b="4445"/>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065"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——几何发散引起的倍频带衰减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40230E5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33680" cy="255270"/>
                  <wp:effectExtent l="0" t="0" r="13970" b="1270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3680" cy="25527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——地面效应引起的倍频带衰减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7B5F0FF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76225" cy="223520"/>
                  <wp:effectExtent l="0" t="0" r="9525" b="444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6225"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——大气吸收引起的倍频带衰减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1E123F3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76225" cy="223520"/>
                  <wp:effectExtent l="0" t="0" r="9525" b="444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6225"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——声屏障引起的倍频带衰减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059BA8C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318770" cy="223520"/>
                  <wp:effectExtent l="0" t="0" r="5080" b="4445"/>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8770"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——其它多方面效应引起的倍频带衰减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63A4567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②室内点声源对厂界噪声预测点贡献值预测模式</w:t>
            </w:r>
          </w:p>
          <w:p w14:paraId="06128CE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室内声源首先换算为等效室外声源</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再按各类声源模式计算。</w:t>
            </w:r>
          </w:p>
          <w:p w14:paraId="6AA5020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A首先计算出某个室内声源靠近围护结构处的倍频带声压级：</w:t>
            </w:r>
          </w:p>
          <w:p w14:paraId="2EC853FD">
            <w:pPr>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Cs w:val="20"/>
                <w:highlight w:val="none"/>
              </w:rPr>
            </w:pPr>
          </w:p>
          <w:p w14:paraId="72D72FB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anchor distT="0" distB="0" distL="0" distR="0" simplePos="0" relativeHeight="251662336" behindDoc="1" locked="0" layoutInCell="1" allowOverlap="1">
                  <wp:simplePos x="0" y="0"/>
                  <wp:positionH relativeFrom="column">
                    <wp:posOffset>304800</wp:posOffset>
                  </wp:positionH>
                  <wp:positionV relativeFrom="paragraph">
                    <wp:posOffset>-176530</wp:posOffset>
                  </wp:positionV>
                  <wp:extent cx="1701165" cy="393700"/>
                  <wp:effectExtent l="0" t="0" r="13335" b="5715"/>
                  <wp:wrapNone/>
                  <wp:docPr id="395" name="图片 395" descr="说明: 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说明: 形状&#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01165" cy="393700"/>
                          </a:xfrm>
                          <a:prstGeom prst="rect">
                            <a:avLst/>
                          </a:prstGeom>
                          <a:noFill/>
                          <a:ln>
                            <a:noFill/>
                          </a:ln>
                        </pic:spPr>
                      </pic:pic>
                    </a:graphicData>
                  </a:graphic>
                </wp:anchor>
              </w:drawing>
            </w:r>
          </w:p>
          <w:p w14:paraId="0E387CD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smallCaps w:val="0"/>
                <w:color w:val="auto"/>
                <w:spacing w:val="0"/>
                <w:highlight w:val="none"/>
              </w:rPr>
              <w:drawing>
                <wp:inline distT="0" distB="0" distL="0" distR="0">
                  <wp:extent cx="223520" cy="233680"/>
                  <wp:effectExtent l="0" t="0" r="5080" b="14605"/>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3520"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——室内声源在靠近围护结构处产生的倍频带声压级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21B9217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01930" cy="223520"/>
                  <wp:effectExtent l="0" t="0" r="7620" b="4445"/>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1930" cy="22352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——声源的倍频带声功率级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287B8E1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16840" cy="127635"/>
                  <wp:effectExtent l="0" t="0" r="16510" b="508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6840" cy="127635"/>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——声源到靠近围护结构某点处的距离</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m；</w:t>
            </w:r>
          </w:p>
          <w:p w14:paraId="1517A0C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48590" cy="201930"/>
                  <wp:effectExtent l="0" t="0" r="3810" b="635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8590" cy="20193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——指向性因子；</w:t>
            </w:r>
          </w:p>
          <w:p w14:paraId="79B5E23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48590" cy="170180"/>
                  <wp:effectExtent l="0" t="0" r="3810" b="127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85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——房间常数</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drawing>
                <wp:inline distT="0" distB="0" distL="0" distR="0">
                  <wp:extent cx="876300" cy="182880"/>
                  <wp:effectExtent l="0" t="0" r="0" b="698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76588" cy="18291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drawing>
                <wp:inline distT="0" distB="0" distL="0" distR="0">
                  <wp:extent cx="138430" cy="180975"/>
                  <wp:effectExtent l="0" t="0" r="13970" b="762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8430" cy="180975"/>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为房间内表面面积</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m</w:t>
            </w:r>
            <w:r>
              <w:rPr>
                <w:rFonts w:hint="default" w:ascii="Times New Roman" w:hAnsi="Times New Roman" w:cs="Times New Roman"/>
                <w:smallCaps w:val="0"/>
                <w:color w:val="auto"/>
                <w:spacing w:val="0"/>
                <w:highlight w:val="none"/>
                <w:vertAlign w:val="superscript"/>
              </w:rPr>
              <w:t>2</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drawing>
                <wp:inline distT="0" distB="0" distL="0" distR="0">
                  <wp:extent cx="148590" cy="138430"/>
                  <wp:effectExtent l="0" t="0" r="3810" b="14605"/>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8590" cy="13843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为平均吸声系数。</w:t>
            </w:r>
          </w:p>
          <w:p w14:paraId="4354ADB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B计算出所有室内声源在靠近围护结构处产生的</w:t>
            </w:r>
            <w:r>
              <w:rPr>
                <w:rFonts w:hint="default" w:ascii="Times New Roman" w:hAnsi="Times New Roman" w:cs="Times New Roman"/>
                <w:smallCaps w:val="0"/>
                <w:color w:val="auto"/>
                <w:spacing w:val="0"/>
                <w:highlight w:val="none"/>
              </w:rPr>
              <w:drawing>
                <wp:inline distT="0" distB="0" distL="0" distR="0">
                  <wp:extent cx="85090" cy="170180"/>
                  <wp:effectExtent l="0" t="0" r="10160" b="127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50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倍频带叠加声压级：</w:t>
            </w:r>
          </w:p>
          <w:p w14:paraId="236A2100">
            <w:pPr>
              <w:pStyle w:val="39"/>
              <w:keepNext w:val="0"/>
              <w:keepLines w:val="0"/>
              <w:suppressLineNumbers w:val="0"/>
              <w:spacing w:before="0" w:beforeAutospacing="0" w:after="0" w:afterAutospacing="0"/>
              <w:ind w:right="0"/>
              <w:rPr>
                <w:rFonts w:hint="default"/>
                <w:color w:val="auto"/>
                <w:highlight w:val="none"/>
              </w:rPr>
            </w:pPr>
          </w:p>
          <w:p w14:paraId="61F8AE6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anchor distT="0" distB="0" distL="0" distR="0" simplePos="0" relativeHeight="251661312" behindDoc="1" locked="0" layoutInCell="1" allowOverlap="1">
                  <wp:simplePos x="0" y="0"/>
                  <wp:positionH relativeFrom="column">
                    <wp:posOffset>304800</wp:posOffset>
                  </wp:positionH>
                  <wp:positionV relativeFrom="paragraph">
                    <wp:posOffset>-222885</wp:posOffset>
                  </wp:positionV>
                  <wp:extent cx="1658620" cy="446405"/>
                  <wp:effectExtent l="0" t="0" r="0" b="11430"/>
                  <wp:wrapNone/>
                  <wp:docPr id="385" name="图片 385" descr="说明: 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说明: 形状&#10;&#10;中度可信度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58620" cy="446405"/>
                          </a:xfrm>
                          <a:prstGeom prst="rect">
                            <a:avLst/>
                          </a:prstGeom>
                          <a:noFill/>
                          <a:ln>
                            <a:noFill/>
                          </a:ln>
                        </pic:spPr>
                      </pic:pic>
                    </a:graphicData>
                  </a:graphic>
                </wp:anchor>
              </w:drawing>
            </w:r>
          </w:p>
          <w:p w14:paraId="58B5828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smallCaps w:val="0"/>
                <w:color w:val="auto"/>
                <w:spacing w:val="0"/>
                <w:highlight w:val="none"/>
              </w:rPr>
              <w:drawing>
                <wp:inline distT="0" distB="0" distL="0" distR="0">
                  <wp:extent cx="467995" cy="233680"/>
                  <wp:effectExtent l="0" t="0" r="8255" b="1460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7995"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——靠近围护结构处室内N个声源</w:t>
            </w:r>
            <w:r>
              <w:rPr>
                <w:rFonts w:hint="default" w:ascii="Times New Roman" w:hAnsi="Times New Roman" w:cs="Times New Roman"/>
                <w:smallCaps w:val="0"/>
                <w:color w:val="auto"/>
                <w:spacing w:val="0"/>
                <w:highlight w:val="none"/>
              </w:rPr>
              <w:drawing>
                <wp:inline distT="0" distB="0" distL="0" distR="0">
                  <wp:extent cx="85090" cy="170180"/>
                  <wp:effectExtent l="0" t="0" r="1016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50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倍频带的叠加声压级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56D179C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287020" cy="233680"/>
                  <wp:effectExtent l="0" t="0" r="17780" b="146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7020"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——室内</w:t>
            </w:r>
            <w:r>
              <w:rPr>
                <w:rFonts w:hint="default" w:ascii="Times New Roman" w:hAnsi="Times New Roman" w:cs="Times New Roman"/>
                <w:smallCaps w:val="0"/>
                <w:color w:val="auto"/>
                <w:spacing w:val="0"/>
                <w:highlight w:val="none"/>
              </w:rPr>
              <w:drawing>
                <wp:inline distT="0" distB="0" distL="0" distR="0">
                  <wp:extent cx="127635" cy="191135"/>
                  <wp:effectExtent l="0" t="0" r="5715" b="184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7635" cy="191135"/>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声源</w:t>
            </w:r>
            <w:r>
              <w:rPr>
                <w:rFonts w:hint="default" w:ascii="Times New Roman" w:hAnsi="Times New Roman" w:cs="Times New Roman"/>
                <w:smallCaps w:val="0"/>
                <w:color w:val="auto"/>
                <w:spacing w:val="0"/>
                <w:highlight w:val="none"/>
              </w:rPr>
              <w:drawing>
                <wp:inline distT="0" distB="0" distL="0" distR="0">
                  <wp:extent cx="85090" cy="170180"/>
                  <wp:effectExtent l="0" t="0" r="1016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50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倍频带的声压级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16FDF99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80975" cy="180975"/>
                  <wp:effectExtent l="0" t="0" r="9525"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——室内声源总数。</w:t>
            </w:r>
          </w:p>
          <w:p w14:paraId="5E714F9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C计算出室外靠近围护结构处的声压级：</w:t>
            </w:r>
          </w:p>
          <w:p w14:paraId="239DECA9">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775460" cy="233680"/>
                  <wp:effectExtent l="0" t="0" r="15240"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75460" cy="233680"/>
                          </a:xfrm>
                          <a:prstGeom prst="rect">
                            <a:avLst/>
                          </a:prstGeom>
                          <a:noFill/>
                          <a:ln>
                            <a:noFill/>
                          </a:ln>
                        </pic:spPr>
                      </pic:pic>
                    </a:graphicData>
                  </a:graphic>
                </wp:inline>
              </w:drawing>
            </w:r>
          </w:p>
          <w:p w14:paraId="6134AC2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smallCaps w:val="0"/>
                <w:color w:val="auto"/>
                <w:spacing w:val="0"/>
                <w:highlight w:val="none"/>
              </w:rPr>
              <w:drawing>
                <wp:inline distT="0" distB="0" distL="0" distR="0">
                  <wp:extent cx="499745" cy="233680"/>
                  <wp:effectExtent l="0" t="0" r="14605" b="146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9745" cy="2336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——靠近围护结构处室外N个声源</w:t>
            </w:r>
            <w:r>
              <w:rPr>
                <w:rFonts w:hint="default" w:ascii="Times New Roman" w:hAnsi="Times New Roman" w:cs="Times New Roman"/>
                <w:smallCaps w:val="0"/>
                <w:color w:val="auto"/>
                <w:spacing w:val="0"/>
                <w:highlight w:val="none"/>
              </w:rPr>
              <w:drawing>
                <wp:inline distT="0" distB="0" distL="0" distR="0">
                  <wp:extent cx="85090" cy="170180"/>
                  <wp:effectExtent l="0" t="0" r="1016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50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倍频带的叠加声压级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50E0FBAF">
            <w:pPr>
              <w:pStyle w:val="172"/>
              <w:keepNext w:val="0"/>
              <w:keepLines w:val="0"/>
              <w:suppressLineNumbers w:val="0"/>
              <w:spacing w:before="0" w:beforeAutospacing="0" w:after="0" w:afterAutospacing="0"/>
              <w:ind w:left="0" w:right="0" w:firstLine="50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TL</w:t>
            </w:r>
            <w:r>
              <w:rPr>
                <w:rFonts w:hint="default" w:ascii="Times New Roman" w:hAnsi="Times New Roman" w:cs="Times New Roman"/>
                <w:i/>
                <w:smallCaps w:val="0"/>
                <w:color w:val="auto"/>
                <w:spacing w:val="0"/>
                <w:highlight w:val="none"/>
                <w:vertAlign w:val="subscript"/>
              </w:rPr>
              <w:t>i</w:t>
            </w:r>
            <w:r>
              <w:rPr>
                <w:rFonts w:hint="default" w:ascii="Times New Roman" w:hAnsi="Times New Roman" w:cs="Times New Roman"/>
                <w:smallCaps w:val="0"/>
                <w:color w:val="auto"/>
                <w:spacing w:val="0"/>
                <w:highlight w:val="none"/>
              </w:rPr>
              <w:t>——围护结构</w:t>
            </w:r>
            <w:r>
              <w:rPr>
                <w:rFonts w:hint="default" w:ascii="Times New Roman" w:hAnsi="Times New Roman" w:cs="Times New Roman"/>
                <w:smallCaps w:val="0"/>
                <w:color w:val="auto"/>
                <w:spacing w:val="0"/>
                <w:highlight w:val="none"/>
              </w:rPr>
              <w:drawing>
                <wp:inline distT="0" distB="0" distL="0" distR="0">
                  <wp:extent cx="85090" cy="170180"/>
                  <wp:effectExtent l="0" t="0" r="1016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5090" cy="170180"/>
                          </a:xfrm>
                          <a:prstGeom prst="rect">
                            <a:avLst/>
                          </a:prstGeom>
                          <a:noFill/>
                          <a:ln>
                            <a:noFill/>
                          </a:ln>
                        </pic:spPr>
                      </pic:pic>
                    </a:graphicData>
                  </a:graphic>
                </wp:inline>
              </w:drawing>
            </w:r>
            <w:r>
              <w:rPr>
                <w:rFonts w:hint="default" w:ascii="Times New Roman" w:hAnsi="Times New Roman" w:cs="Times New Roman"/>
                <w:smallCaps w:val="0"/>
                <w:color w:val="auto"/>
                <w:spacing w:val="0"/>
                <w:highlight w:val="none"/>
              </w:rPr>
              <w:t>倍频带的隔声量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253DFD62">
            <w:pPr>
              <w:pStyle w:val="172"/>
              <w:keepNext w:val="0"/>
              <w:keepLines w:val="0"/>
              <w:suppressLineNumbers w:val="0"/>
              <w:spacing w:before="0" w:beforeAutospacing="0" w:after="0" w:afterAutospacing="0"/>
              <w:ind w:left="0" w:right="0" w:firstLine="50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D将室外声源的声压级和透过面积换算成等效的室外声源</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计算出中心位置位于透声面积(S)处的等效声源的倍频带声功率级。</w:t>
            </w:r>
          </w:p>
          <w:p w14:paraId="218D6BE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inline distT="0" distB="0" distL="0" distR="0">
                  <wp:extent cx="1339850" cy="233680"/>
                  <wp:effectExtent l="0" t="0" r="1270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41331" cy="233938"/>
                          </a:xfrm>
                          <a:prstGeom prst="rect">
                            <a:avLst/>
                          </a:prstGeom>
                          <a:noFill/>
                          <a:ln>
                            <a:noFill/>
                          </a:ln>
                        </pic:spPr>
                      </pic:pic>
                    </a:graphicData>
                  </a:graphic>
                </wp:inline>
              </w:drawing>
            </w:r>
          </w:p>
          <w:p w14:paraId="73BCDDA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i/>
                <w:iCs/>
                <w:smallCaps w:val="0"/>
                <w:color w:val="auto"/>
                <w:spacing w:val="0"/>
                <w:highlight w:val="none"/>
              </w:rPr>
              <w:t>L</w:t>
            </w:r>
            <w:r>
              <w:rPr>
                <w:rFonts w:hint="default" w:ascii="Times New Roman" w:hAnsi="Times New Roman" w:cs="Times New Roman"/>
                <w:i/>
                <w:iCs/>
                <w:smallCaps w:val="0"/>
                <w:color w:val="auto"/>
                <w:spacing w:val="0"/>
                <w:sz w:val="14"/>
                <w:szCs w:val="14"/>
                <w:highlight w:val="none"/>
              </w:rPr>
              <w:t xml:space="preserve">w </w:t>
            </w:r>
            <w:r>
              <w:rPr>
                <w:rFonts w:hint="default" w:ascii="Times New Roman" w:hAnsi="Times New Roman" w:cs="Times New Roman"/>
                <w:smallCaps w:val="0"/>
                <w:color w:val="auto"/>
                <w:spacing w:val="0"/>
                <w:highlight w:val="none"/>
              </w:rPr>
              <w:t>——中心位置位于透声面积（</w:t>
            </w:r>
            <w:r>
              <w:rPr>
                <w:rFonts w:hint="default" w:ascii="Times New Roman" w:hAnsi="Times New Roman" w:cs="Times New Roman"/>
                <w:i/>
                <w:iCs/>
                <w:smallCaps w:val="0"/>
                <w:color w:val="auto"/>
                <w:spacing w:val="0"/>
                <w:highlight w:val="none"/>
              </w:rPr>
              <w:t>S</w:t>
            </w:r>
            <w:r>
              <w:rPr>
                <w:rFonts w:hint="default" w:ascii="Times New Roman" w:hAnsi="Times New Roman" w:cs="Times New Roman"/>
                <w:smallCaps w:val="0"/>
                <w:color w:val="auto"/>
                <w:spacing w:val="0"/>
                <w:highlight w:val="none"/>
              </w:rPr>
              <w:t>）处的等效声源的倍频带声功率级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41CE1C2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iCs/>
                <w:smallCaps w:val="0"/>
                <w:color w:val="auto"/>
                <w:spacing w:val="0"/>
                <w:highlight w:val="none"/>
              </w:rPr>
              <w:t>L</w:t>
            </w:r>
            <w:r>
              <w:rPr>
                <w:rFonts w:hint="default" w:ascii="Times New Roman" w:hAnsi="Times New Roman" w:cs="Times New Roman"/>
                <w:i/>
                <w:iCs/>
                <w:smallCaps w:val="0"/>
                <w:color w:val="auto"/>
                <w:spacing w:val="0"/>
                <w:sz w:val="14"/>
                <w:szCs w:val="14"/>
                <w:highlight w:val="none"/>
              </w:rPr>
              <w:t>p</w:t>
            </w:r>
            <w:r>
              <w:rPr>
                <w:rFonts w:hint="default" w:ascii="Times New Roman" w:hAnsi="Times New Roman" w:cs="Times New Roman"/>
                <w:smallCaps w:val="0"/>
                <w:color w:val="auto"/>
                <w:spacing w:val="0"/>
                <w:sz w:val="14"/>
                <w:szCs w:val="14"/>
                <w:highlight w:val="none"/>
              </w:rPr>
              <w:t>2</w:t>
            </w:r>
            <w:r>
              <w:rPr>
                <w:rFonts w:hint="default" w:ascii="Times New Roman" w:hAnsi="Times New Roman" w:cs="Times New Roman"/>
                <w:smallCaps w:val="0"/>
                <w:color w:val="auto"/>
                <w:spacing w:val="0"/>
                <w:highlight w:val="none"/>
              </w:rPr>
              <w:t>(</w:t>
            </w:r>
            <w:r>
              <w:rPr>
                <w:rFonts w:hint="default" w:ascii="Times New Roman" w:hAnsi="Times New Roman" w:cs="Times New Roman"/>
                <w:i/>
                <w:iCs/>
                <w:smallCaps w:val="0"/>
                <w:color w:val="auto"/>
                <w:spacing w:val="0"/>
                <w:highlight w:val="none"/>
              </w:rPr>
              <w:t>T</w:t>
            </w:r>
            <w:r>
              <w:rPr>
                <w:rFonts w:hint="default" w:ascii="Times New Roman" w:hAnsi="Times New Roman" w:cs="Times New Roman"/>
                <w:smallCaps w:val="0"/>
                <w:color w:val="auto"/>
                <w:spacing w:val="0"/>
                <w:highlight w:val="none"/>
              </w:rPr>
              <w:t>)——靠近围护结构处室外声源的声压级</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 xml:space="preserve">dB； </w:t>
            </w:r>
          </w:p>
          <w:p w14:paraId="1351171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iCs/>
                <w:smallCaps w:val="0"/>
                <w:color w:val="auto"/>
                <w:spacing w:val="0"/>
                <w:highlight w:val="none"/>
              </w:rPr>
              <w:t>S</w:t>
            </w:r>
            <w:r>
              <w:rPr>
                <w:rFonts w:hint="default" w:ascii="Times New Roman" w:hAnsi="Times New Roman" w:cs="Times New Roman"/>
                <w:smallCaps w:val="0"/>
                <w:color w:val="auto"/>
                <w:spacing w:val="0"/>
                <w:highlight w:val="none"/>
              </w:rPr>
              <w:t>——透声面积</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m</w:t>
            </w:r>
            <w:r>
              <w:rPr>
                <w:rFonts w:hint="default" w:ascii="Times New Roman" w:hAnsi="Times New Roman" w:cs="Times New Roman"/>
                <w:smallCaps w:val="0"/>
                <w:color w:val="auto"/>
                <w:spacing w:val="0"/>
                <w:highlight w:val="none"/>
                <w:vertAlign w:val="superscript"/>
              </w:rPr>
              <w:t>2</w:t>
            </w:r>
            <w:r>
              <w:rPr>
                <w:rFonts w:hint="default" w:ascii="Times New Roman" w:hAnsi="Times New Roman" w:cs="Times New Roman"/>
                <w:smallCaps w:val="0"/>
                <w:color w:val="auto"/>
                <w:spacing w:val="0"/>
                <w:highlight w:val="none"/>
              </w:rPr>
              <w:t xml:space="preserve">。 </w:t>
            </w:r>
          </w:p>
          <w:p w14:paraId="65CADDEC">
            <w:pPr>
              <w:pStyle w:val="172"/>
              <w:keepNext w:val="0"/>
              <w:keepLines w:val="0"/>
              <w:suppressLineNumbers w:val="0"/>
              <w:spacing w:before="0" w:beforeAutospacing="0" w:after="0" w:afterAutospacing="0"/>
              <w:ind w:left="0" w:right="0" w:firstLine="480"/>
              <w:rPr>
                <w:rFonts w:hint="default" w:ascii="Times New Roman" w:hAnsi="Times New Roman" w:cs="Times New Roman"/>
                <w:bCs/>
                <w:smallCaps w:val="0"/>
                <w:color w:val="auto"/>
                <w:spacing w:val="0"/>
                <w:szCs w:val="32"/>
                <w:highlight w:val="none"/>
              </w:rPr>
            </w:pPr>
            <w:r>
              <w:rPr>
                <w:rFonts w:hint="default" w:ascii="Times New Roman" w:hAnsi="Times New Roman" w:cs="Times New Roman"/>
                <w:smallCaps w:val="0"/>
                <w:color w:val="auto"/>
                <w:spacing w:val="0"/>
                <w:szCs w:val="32"/>
                <w:highlight w:val="none"/>
              </w:rPr>
              <w:t>3）预测步骤</w:t>
            </w:r>
          </w:p>
          <w:p w14:paraId="739C023E">
            <w:pPr>
              <w:pStyle w:val="172"/>
              <w:keepNext w:val="0"/>
              <w:keepLines w:val="0"/>
              <w:suppressLineNumbers w:val="0"/>
              <w:spacing w:before="0" w:beforeAutospacing="0" w:after="0" w:afterAutospacing="0"/>
              <w:ind w:left="0" w:right="0" w:firstLine="484"/>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①计算各室外噪声源和各含噪声源厂房对各预测点噪声贡献值</w:t>
            </w:r>
          </w:p>
          <w:p w14:paraId="25013B4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设第</w:t>
            </w:r>
            <w:r>
              <w:rPr>
                <w:rFonts w:hint="default" w:ascii="Times New Roman" w:hAnsi="Times New Roman" w:cs="Times New Roman"/>
                <w:i/>
                <w:smallCaps w:val="0"/>
                <w:color w:val="auto"/>
                <w:spacing w:val="0"/>
                <w:highlight w:val="none"/>
              </w:rPr>
              <w:t>i</w:t>
            </w:r>
            <w:r>
              <w:rPr>
                <w:rFonts w:hint="default" w:ascii="Times New Roman" w:hAnsi="Times New Roman" w:cs="Times New Roman"/>
                <w:smallCaps w:val="0"/>
                <w:color w:val="auto"/>
                <w:spacing w:val="0"/>
                <w:highlight w:val="none"/>
              </w:rPr>
              <w:t>个室外声源在预测点产生的A声级为</w:t>
            </w: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Aj</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在T时间内该声源工作时间为</w:t>
            </w:r>
            <w:r>
              <w:rPr>
                <w:rFonts w:hint="default" w:ascii="Times New Roman" w:hAnsi="Times New Roman" w:cs="Times New Roman"/>
                <w:i/>
                <w:smallCaps w:val="0"/>
                <w:color w:val="auto"/>
                <w:spacing w:val="0"/>
                <w:highlight w:val="none"/>
              </w:rPr>
              <w:t>t</w:t>
            </w:r>
            <w:r>
              <w:rPr>
                <w:rFonts w:hint="default" w:ascii="Times New Roman" w:hAnsi="Times New Roman" w:cs="Times New Roman"/>
                <w:i/>
                <w:smallCaps w:val="0"/>
                <w:color w:val="auto"/>
                <w:spacing w:val="0"/>
                <w:highlight w:val="none"/>
                <w:vertAlign w:val="subscript"/>
              </w:rPr>
              <w:t>i</w:t>
            </w:r>
            <w:r>
              <w:rPr>
                <w:rFonts w:hint="default" w:ascii="Times New Roman" w:hAnsi="Times New Roman" w:cs="Times New Roman"/>
                <w:smallCaps w:val="0"/>
                <w:color w:val="auto"/>
                <w:spacing w:val="0"/>
                <w:highlight w:val="none"/>
              </w:rPr>
              <w:t>；第</w:t>
            </w:r>
            <w:r>
              <w:rPr>
                <w:rFonts w:hint="default" w:ascii="Times New Roman" w:hAnsi="Times New Roman" w:cs="Times New Roman"/>
                <w:i/>
                <w:smallCaps w:val="0"/>
                <w:color w:val="auto"/>
                <w:spacing w:val="0"/>
                <w:highlight w:val="none"/>
              </w:rPr>
              <w:t>j</w:t>
            </w:r>
            <w:r>
              <w:rPr>
                <w:rFonts w:hint="default" w:ascii="Times New Roman" w:hAnsi="Times New Roman" w:cs="Times New Roman"/>
                <w:smallCaps w:val="0"/>
                <w:color w:val="auto"/>
                <w:spacing w:val="0"/>
                <w:highlight w:val="none"/>
              </w:rPr>
              <w:t>个等效室外声源在预测点产生的A声级为</w:t>
            </w: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Aj</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在T时间内该声源工作时间为</w:t>
            </w:r>
            <w:r>
              <w:rPr>
                <w:rFonts w:hint="default" w:ascii="Times New Roman" w:hAnsi="Times New Roman" w:cs="Times New Roman"/>
                <w:i/>
                <w:smallCaps w:val="0"/>
                <w:color w:val="auto"/>
                <w:spacing w:val="0"/>
                <w:highlight w:val="none"/>
              </w:rPr>
              <w:t>t</w:t>
            </w:r>
            <w:r>
              <w:rPr>
                <w:rFonts w:hint="default" w:ascii="Times New Roman" w:hAnsi="Times New Roman" w:cs="Times New Roman"/>
                <w:i/>
                <w:smallCaps w:val="0"/>
                <w:color w:val="auto"/>
                <w:spacing w:val="0"/>
                <w:highlight w:val="none"/>
                <w:vertAlign w:val="subscript"/>
              </w:rPr>
              <w:t>j</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则本项目声源对预测点产生的贡献值(</w:t>
            </w: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eqg</w:t>
            </w:r>
            <w:r>
              <w:rPr>
                <w:rFonts w:hint="default" w:ascii="Times New Roman" w:hAnsi="Times New Roman" w:cs="Times New Roman"/>
                <w:smallCaps w:val="0"/>
                <w:color w:val="auto"/>
                <w:spacing w:val="0"/>
                <w:highlight w:val="none"/>
              </w:rPr>
              <w:t>)为</w:t>
            </w:r>
            <w:r>
              <w:rPr>
                <w:rFonts w:hint="default" w:ascii="Times New Roman" w:hAnsi="Times New Roman" w:cs="Times New Roman"/>
                <w:smallCaps w:val="0"/>
                <w:color w:val="auto"/>
                <w:spacing w:val="0"/>
                <w:highlight w:val="none"/>
                <w:lang w:eastAsia="zh-CN"/>
              </w:rPr>
              <w:t>：</w:t>
            </w:r>
          </w:p>
          <w:p w14:paraId="7C1C13C5">
            <w:pPr>
              <w:pStyle w:val="172"/>
              <w:keepNext w:val="0"/>
              <w:keepLines w:val="0"/>
              <w:suppressLineNumbers w:val="0"/>
              <w:spacing w:before="0" w:beforeAutospacing="0" w:after="0" w:afterAutospacing="0" w:line="240" w:lineRule="auto"/>
              <w:ind w:left="0" w:right="0" w:firstLine="480"/>
              <w:rPr>
                <w:rFonts w:hint="default" w:ascii="Times New Roman" w:hAnsi="Times New Roman" w:cs="Times New Roman"/>
                <w:smallCaps w:val="0"/>
                <w:color w:val="auto"/>
                <w:spacing w:val="0"/>
                <w:kern w:val="0"/>
                <w:highlight w:val="none"/>
              </w:rPr>
            </w:pPr>
            <m:oMathPara>
              <m:oMath>
                <m:sSub>
                  <m:sSubPr>
                    <m:ctrlPr>
                      <w:rPr>
                        <w:rFonts w:hint="default" w:ascii="Cambria Math" w:hAnsi="Cambria Math" w:cs="Times New Roman"/>
                        <w:smallCaps w:val="0"/>
                        <w:color w:val="auto"/>
                        <w:spacing w:val="0"/>
                        <w:kern w:val="0"/>
                        <w:highlight w:val="none"/>
                      </w:rPr>
                    </m:ctrlPr>
                  </m:sSubPr>
                  <m:e>
                    <m:r>
                      <m:rPr/>
                      <w:rPr>
                        <w:rFonts w:hint="default" w:ascii="Cambria Math" w:hAnsi="Cambria Math" w:cs="Times New Roman"/>
                        <w:smallCaps w:val="0"/>
                        <w:color w:val="auto"/>
                        <w:spacing w:val="0"/>
                        <w:kern w:val="0"/>
                        <w:highlight w:val="none"/>
                      </w:rPr>
                      <m:t>L</m:t>
                    </m:r>
                    <m:ctrlPr>
                      <w:rPr>
                        <w:rFonts w:hint="default" w:ascii="Cambria Math" w:hAnsi="Cambria Math" w:cs="Times New Roman"/>
                        <w:smallCaps w:val="0"/>
                        <w:color w:val="auto"/>
                        <w:spacing w:val="0"/>
                        <w:kern w:val="0"/>
                        <w:highlight w:val="none"/>
                      </w:rPr>
                    </m:ctrlPr>
                  </m:e>
                  <m:sub>
                    <m:r>
                      <m:rPr/>
                      <w:rPr>
                        <w:rFonts w:hint="default" w:ascii="Cambria Math" w:hAnsi="Cambria Math" w:cs="Times New Roman"/>
                        <w:smallCaps w:val="0"/>
                        <w:color w:val="auto"/>
                        <w:spacing w:val="0"/>
                        <w:kern w:val="0"/>
                        <w:highlight w:val="none"/>
                      </w:rPr>
                      <m:t>eqg</m:t>
                    </m:r>
                    <m:ctrlPr>
                      <w:rPr>
                        <w:rFonts w:hint="default" w:ascii="Cambria Math" w:hAnsi="Cambria Math" w:cs="Times New Roman"/>
                        <w:smallCaps w:val="0"/>
                        <w:color w:val="auto"/>
                        <w:spacing w:val="0"/>
                        <w:kern w:val="0"/>
                        <w:highlight w:val="none"/>
                      </w:rPr>
                    </m:ctrlPr>
                  </m:sub>
                </m:sSub>
                <m:r>
                  <m:rPr/>
                  <w:rPr>
                    <w:rFonts w:hint="default" w:ascii="Cambria Math" w:hAnsi="Cambria Math" w:cs="Times New Roman"/>
                    <w:smallCaps w:val="0"/>
                    <w:color w:val="auto"/>
                    <w:spacing w:val="0"/>
                    <w:kern w:val="0"/>
                    <w:highlight w:val="none"/>
                  </w:rPr>
                  <m:t>=10lg</m:t>
                </m:r>
                <m:d>
                  <m:dPr>
                    <m:begChr m:val="["/>
                    <m:endChr m:val="]"/>
                    <m:ctrlPr>
                      <w:rPr>
                        <w:rFonts w:hint="default" w:ascii="Cambria Math" w:hAnsi="Cambria Math" w:cs="Times New Roman"/>
                        <w:i/>
                        <w:smallCaps w:val="0"/>
                        <w:color w:val="auto"/>
                        <w:spacing w:val="0"/>
                        <w:kern w:val="0"/>
                        <w:highlight w:val="none"/>
                      </w:rPr>
                    </m:ctrlPr>
                  </m:dPr>
                  <m:e>
                    <m:f>
                      <m:fPr>
                        <m:ctrlPr>
                          <w:rPr>
                            <w:rFonts w:hint="default" w:ascii="Cambria Math" w:hAnsi="Cambria Math" w:cs="Times New Roman"/>
                            <w:i/>
                            <w:smallCaps w:val="0"/>
                            <w:color w:val="auto"/>
                            <w:spacing w:val="0"/>
                            <w:kern w:val="0"/>
                            <w:highlight w:val="none"/>
                          </w:rPr>
                        </m:ctrlPr>
                      </m:fPr>
                      <m:num>
                        <m:r>
                          <m:rPr/>
                          <w:rPr>
                            <w:rFonts w:hint="default" w:ascii="Cambria Math" w:hAnsi="Cambria Math" w:cs="Times New Roman"/>
                            <w:smallCaps w:val="0"/>
                            <w:color w:val="auto"/>
                            <w:spacing w:val="0"/>
                            <w:kern w:val="0"/>
                            <w:highlight w:val="none"/>
                          </w:rPr>
                          <m:t>1</m:t>
                        </m:r>
                        <m:ctrlPr>
                          <w:rPr>
                            <w:rFonts w:hint="default" w:ascii="Cambria Math" w:hAnsi="Cambria Math" w:cs="Times New Roman"/>
                            <w:i/>
                            <w:smallCaps w:val="0"/>
                            <w:color w:val="auto"/>
                            <w:spacing w:val="0"/>
                            <w:kern w:val="0"/>
                            <w:highlight w:val="none"/>
                          </w:rPr>
                        </m:ctrlPr>
                      </m:num>
                      <m:den>
                        <m:r>
                          <m:rPr/>
                          <w:rPr>
                            <w:rFonts w:hint="default" w:ascii="Cambria Math" w:hAnsi="Cambria Math" w:cs="Times New Roman"/>
                            <w:smallCaps w:val="0"/>
                            <w:color w:val="auto"/>
                            <w:spacing w:val="0"/>
                            <w:kern w:val="0"/>
                            <w:highlight w:val="none"/>
                          </w:rPr>
                          <m:t>T</m:t>
                        </m:r>
                        <m:ctrlPr>
                          <w:rPr>
                            <w:rFonts w:hint="default" w:ascii="Cambria Math" w:hAnsi="Cambria Math" w:cs="Times New Roman"/>
                            <w:i/>
                            <w:smallCaps w:val="0"/>
                            <w:color w:val="auto"/>
                            <w:spacing w:val="0"/>
                            <w:kern w:val="0"/>
                            <w:highlight w:val="none"/>
                          </w:rPr>
                        </m:ctrlPr>
                      </m:den>
                    </m:f>
                    <m:d>
                      <m:dPr>
                        <m:ctrlPr>
                          <w:rPr>
                            <w:rFonts w:hint="default" w:ascii="Cambria Math" w:hAnsi="Cambria Math" w:cs="Times New Roman"/>
                            <w:i/>
                            <w:smallCaps w:val="0"/>
                            <w:color w:val="auto"/>
                            <w:spacing w:val="0"/>
                            <w:kern w:val="0"/>
                            <w:highlight w:val="none"/>
                          </w:rPr>
                        </m:ctrlPr>
                      </m:dPr>
                      <m:e>
                        <m:nary>
                          <m:naryPr>
                            <m:chr m:val="∑"/>
                            <m:limLoc m:val="undOvr"/>
                            <m:ctrlPr>
                              <w:rPr>
                                <w:rFonts w:hint="default" w:ascii="Cambria Math" w:hAnsi="Cambria Math" w:cs="Times New Roman"/>
                                <w:i/>
                                <w:smallCaps w:val="0"/>
                                <w:color w:val="auto"/>
                                <w:spacing w:val="0"/>
                                <w:kern w:val="0"/>
                                <w:highlight w:val="none"/>
                              </w:rPr>
                            </m:ctrlPr>
                          </m:naryPr>
                          <m:sub>
                            <m:r>
                              <m:rPr/>
                              <w:rPr>
                                <w:rFonts w:hint="default" w:ascii="Cambria Math" w:hAnsi="Cambria Math" w:cs="Times New Roman"/>
                                <w:smallCaps w:val="0"/>
                                <w:color w:val="auto"/>
                                <w:spacing w:val="0"/>
                                <w:kern w:val="0"/>
                                <w:highlight w:val="none"/>
                              </w:rPr>
                              <m:t>i=1</m:t>
                            </m:r>
                            <m:ctrlPr>
                              <w:rPr>
                                <w:rFonts w:hint="default" w:ascii="Cambria Math" w:hAnsi="Cambria Math" w:cs="Times New Roman"/>
                                <w:i/>
                                <w:smallCaps w:val="0"/>
                                <w:color w:val="auto"/>
                                <w:spacing w:val="0"/>
                                <w:kern w:val="0"/>
                                <w:highlight w:val="none"/>
                              </w:rPr>
                            </m:ctrlPr>
                          </m:sub>
                          <m:sup>
                            <m:argPr>
                              <m:argSz m:val="-1"/>
                            </m:argPr>
                            <m:r>
                              <m:rPr/>
                              <w:rPr>
                                <w:rFonts w:hint="default" w:ascii="Cambria Math" w:hAnsi="Cambria Math" w:cs="Times New Roman"/>
                                <w:smallCaps w:val="0"/>
                                <w:color w:val="auto"/>
                                <w:spacing w:val="0"/>
                                <w:kern w:val="0"/>
                                <w:highlight w:val="none"/>
                              </w:rPr>
                              <m:t>N</m:t>
                            </m:r>
                            <m:ctrlPr>
                              <w:rPr>
                                <w:rFonts w:hint="default" w:ascii="Cambria Math" w:hAnsi="Cambria Math" w:cs="Times New Roman"/>
                                <w:i/>
                                <w:smallCaps w:val="0"/>
                                <w:color w:val="auto"/>
                                <w:spacing w:val="0"/>
                                <w:kern w:val="0"/>
                                <w:highlight w:val="none"/>
                              </w:rPr>
                            </m:ctrlPr>
                          </m:sup>
                          <m:e>
                            <m:sSub>
                              <m:sSubPr>
                                <m:ctrlPr>
                                  <w:rPr>
                                    <w:rFonts w:hint="default" w:ascii="Cambria Math" w:hAnsi="Cambria Math" w:cs="Times New Roman"/>
                                    <w:i/>
                                    <w:smallCaps w:val="0"/>
                                    <w:color w:val="auto"/>
                                    <w:spacing w:val="0"/>
                                    <w:kern w:val="0"/>
                                    <w:highlight w:val="none"/>
                                  </w:rPr>
                                </m:ctrlPr>
                              </m:sSubPr>
                              <m:e>
                                <m:r>
                                  <m:rPr/>
                                  <w:rPr>
                                    <w:rFonts w:hint="default" w:ascii="Cambria Math" w:hAnsi="Cambria Math" w:cs="Times New Roman"/>
                                    <w:smallCaps w:val="0"/>
                                    <w:color w:val="auto"/>
                                    <w:spacing w:val="0"/>
                                    <w:kern w:val="0"/>
                                    <w:highlight w:val="none"/>
                                  </w:rPr>
                                  <m:t>t</m:t>
                                </m:r>
                                <m:ctrlPr>
                                  <w:rPr>
                                    <w:rFonts w:hint="default" w:ascii="Cambria Math" w:hAnsi="Cambria Math" w:cs="Times New Roman"/>
                                    <w:i/>
                                    <w:smallCaps w:val="0"/>
                                    <w:color w:val="auto"/>
                                    <w:spacing w:val="0"/>
                                    <w:kern w:val="0"/>
                                    <w:highlight w:val="none"/>
                                  </w:rPr>
                                </m:ctrlPr>
                              </m:e>
                              <m:sub>
                                <m:r>
                                  <m:rPr/>
                                  <w:rPr>
                                    <w:rFonts w:hint="default" w:ascii="Cambria Math" w:hAnsi="Cambria Math" w:cs="Times New Roman"/>
                                    <w:smallCaps w:val="0"/>
                                    <w:color w:val="auto"/>
                                    <w:spacing w:val="0"/>
                                    <w:kern w:val="0"/>
                                    <w:highlight w:val="none"/>
                                  </w:rPr>
                                  <m:t>i</m:t>
                                </m:r>
                                <m:ctrlPr>
                                  <w:rPr>
                                    <w:rFonts w:hint="default" w:ascii="Cambria Math" w:hAnsi="Cambria Math" w:cs="Times New Roman"/>
                                    <w:i/>
                                    <w:smallCaps w:val="0"/>
                                    <w:color w:val="auto"/>
                                    <w:spacing w:val="0"/>
                                    <w:kern w:val="0"/>
                                    <w:highlight w:val="none"/>
                                  </w:rPr>
                                </m:ctrlPr>
                              </m:sub>
                            </m:sSub>
                            <m:ctrlPr>
                              <w:rPr>
                                <w:rFonts w:hint="default" w:ascii="Cambria Math" w:hAnsi="Cambria Math" w:cs="Times New Roman"/>
                                <w:i/>
                                <w:smallCaps w:val="0"/>
                                <w:color w:val="auto"/>
                                <w:spacing w:val="0"/>
                                <w:kern w:val="0"/>
                                <w:highlight w:val="none"/>
                              </w:rPr>
                            </m:ctrlPr>
                          </m:e>
                        </m:nary>
                        <m:sSup>
                          <m:sSupPr>
                            <m:ctrlPr>
                              <w:rPr>
                                <w:rFonts w:hint="default" w:ascii="Cambria Math" w:hAnsi="Cambria Math" w:cs="Times New Roman"/>
                                <w:i/>
                                <w:smallCaps w:val="0"/>
                                <w:color w:val="auto"/>
                                <w:spacing w:val="0"/>
                                <w:kern w:val="0"/>
                                <w:highlight w:val="none"/>
                              </w:rPr>
                            </m:ctrlPr>
                          </m:sSupPr>
                          <m:e>
                            <m:r>
                              <m:rPr/>
                              <w:rPr>
                                <w:rFonts w:hint="default" w:ascii="Cambria Math" w:hAnsi="Cambria Math" w:cs="Times New Roman"/>
                                <w:smallCaps w:val="0"/>
                                <w:color w:val="auto"/>
                                <w:spacing w:val="0"/>
                                <w:kern w:val="0"/>
                                <w:highlight w:val="none"/>
                              </w:rPr>
                              <m:t>10</m:t>
                            </m:r>
                            <m:ctrlPr>
                              <w:rPr>
                                <w:rFonts w:hint="default" w:ascii="Cambria Math" w:hAnsi="Cambria Math" w:cs="Times New Roman"/>
                                <w:i/>
                                <w:smallCaps w:val="0"/>
                                <w:color w:val="auto"/>
                                <w:spacing w:val="0"/>
                                <w:kern w:val="0"/>
                                <w:highlight w:val="none"/>
                              </w:rPr>
                            </m:ctrlPr>
                          </m:e>
                          <m:sup>
                            <m:sSub>
                              <m:sSubPr>
                                <m:ctrlPr>
                                  <w:rPr>
                                    <w:rFonts w:hint="default" w:ascii="Cambria Math" w:hAnsi="Cambria Math" w:cs="Times New Roman"/>
                                    <w:i/>
                                    <w:smallCaps w:val="0"/>
                                    <w:color w:val="auto"/>
                                    <w:spacing w:val="0"/>
                                    <w:kern w:val="0"/>
                                    <w:highlight w:val="none"/>
                                  </w:rPr>
                                </m:ctrlPr>
                              </m:sSubPr>
                              <m:e>
                                <m:r>
                                  <m:rPr/>
                                  <w:rPr>
                                    <w:rFonts w:hint="default" w:ascii="Cambria Math" w:hAnsi="Cambria Math" w:cs="Times New Roman"/>
                                    <w:smallCaps w:val="0"/>
                                    <w:color w:val="auto"/>
                                    <w:spacing w:val="0"/>
                                    <w:kern w:val="0"/>
                                    <w:highlight w:val="none"/>
                                  </w:rPr>
                                  <m:t>0.1L</m:t>
                                </m:r>
                                <m:ctrlPr>
                                  <w:rPr>
                                    <w:rFonts w:hint="default" w:ascii="Cambria Math" w:hAnsi="Cambria Math" w:cs="Times New Roman"/>
                                    <w:i/>
                                    <w:smallCaps w:val="0"/>
                                    <w:color w:val="auto"/>
                                    <w:spacing w:val="0"/>
                                    <w:kern w:val="0"/>
                                    <w:highlight w:val="none"/>
                                  </w:rPr>
                                </m:ctrlPr>
                              </m:e>
                              <m:sub>
                                <m:r>
                                  <m:rPr/>
                                  <w:rPr>
                                    <w:rFonts w:hint="default" w:ascii="Cambria Math" w:hAnsi="Cambria Math" w:cs="Times New Roman"/>
                                    <w:smallCaps w:val="0"/>
                                    <w:color w:val="auto"/>
                                    <w:spacing w:val="0"/>
                                    <w:kern w:val="0"/>
                                    <w:highlight w:val="none"/>
                                  </w:rPr>
                                  <m:t>Ai</m:t>
                                </m:r>
                                <m:ctrlPr>
                                  <w:rPr>
                                    <w:rFonts w:hint="default" w:ascii="Cambria Math" w:hAnsi="Cambria Math" w:cs="Times New Roman"/>
                                    <w:i/>
                                    <w:smallCaps w:val="0"/>
                                    <w:color w:val="auto"/>
                                    <w:spacing w:val="0"/>
                                    <w:kern w:val="0"/>
                                    <w:highlight w:val="none"/>
                                  </w:rPr>
                                </m:ctrlPr>
                              </m:sub>
                            </m:sSub>
                            <m:ctrlPr>
                              <w:rPr>
                                <w:rFonts w:hint="default" w:ascii="Cambria Math" w:hAnsi="Cambria Math" w:cs="Times New Roman"/>
                                <w:i/>
                                <w:smallCaps w:val="0"/>
                                <w:color w:val="auto"/>
                                <w:spacing w:val="0"/>
                                <w:kern w:val="0"/>
                                <w:highlight w:val="none"/>
                              </w:rPr>
                            </m:ctrlPr>
                          </m:sup>
                        </m:sSup>
                        <m:r>
                          <m:rPr/>
                          <w:rPr>
                            <w:rFonts w:hint="default" w:ascii="Cambria Math" w:hAnsi="Cambria Math" w:cs="Times New Roman"/>
                            <w:smallCaps w:val="0"/>
                            <w:color w:val="auto"/>
                            <w:spacing w:val="0"/>
                            <w:kern w:val="0"/>
                            <w:highlight w:val="none"/>
                          </w:rPr>
                          <m:t>+</m:t>
                        </m:r>
                        <m:nary>
                          <m:naryPr>
                            <m:chr m:val="∑"/>
                            <m:limLoc m:val="undOvr"/>
                            <m:ctrlPr>
                              <w:rPr>
                                <w:rFonts w:hint="default" w:ascii="Cambria Math" w:hAnsi="Cambria Math" w:cs="Times New Roman"/>
                                <w:i/>
                                <w:smallCaps w:val="0"/>
                                <w:color w:val="auto"/>
                                <w:spacing w:val="0"/>
                                <w:kern w:val="0"/>
                                <w:highlight w:val="none"/>
                              </w:rPr>
                            </m:ctrlPr>
                          </m:naryPr>
                          <m:sub>
                            <m:r>
                              <m:rPr/>
                              <w:rPr>
                                <w:rFonts w:hint="default" w:ascii="Cambria Math" w:hAnsi="Cambria Math" w:cs="Times New Roman"/>
                                <w:smallCaps w:val="0"/>
                                <w:color w:val="auto"/>
                                <w:spacing w:val="0"/>
                                <w:kern w:val="0"/>
                                <w:highlight w:val="none"/>
                              </w:rPr>
                              <m:t>j=1</m:t>
                            </m:r>
                            <m:ctrlPr>
                              <w:rPr>
                                <w:rFonts w:hint="default" w:ascii="Cambria Math" w:hAnsi="Cambria Math" w:cs="Times New Roman"/>
                                <w:i/>
                                <w:smallCaps w:val="0"/>
                                <w:color w:val="auto"/>
                                <w:spacing w:val="0"/>
                                <w:kern w:val="0"/>
                                <w:highlight w:val="none"/>
                              </w:rPr>
                            </m:ctrlPr>
                          </m:sub>
                          <m:sup>
                            <m:r>
                              <m:rPr/>
                              <w:rPr>
                                <w:rFonts w:hint="default" w:ascii="Cambria Math" w:hAnsi="Cambria Math" w:cs="Times New Roman"/>
                                <w:smallCaps w:val="0"/>
                                <w:color w:val="auto"/>
                                <w:spacing w:val="0"/>
                                <w:kern w:val="0"/>
                                <w:highlight w:val="none"/>
                              </w:rPr>
                              <m:t>M</m:t>
                            </m:r>
                            <m:ctrlPr>
                              <w:rPr>
                                <w:rFonts w:hint="default" w:ascii="Cambria Math" w:hAnsi="Cambria Math" w:cs="Times New Roman"/>
                                <w:i/>
                                <w:smallCaps w:val="0"/>
                                <w:color w:val="auto"/>
                                <w:spacing w:val="0"/>
                                <w:kern w:val="0"/>
                                <w:highlight w:val="none"/>
                              </w:rPr>
                            </m:ctrlPr>
                          </m:sup>
                          <m:e>
                            <m:sSub>
                              <m:sSubPr>
                                <m:ctrlPr>
                                  <w:rPr>
                                    <w:rFonts w:hint="default" w:ascii="Cambria Math" w:hAnsi="Cambria Math" w:cs="Times New Roman"/>
                                    <w:i/>
                                    <w:smallCaps w:val="0"/>
                                    <w:color w:val="auto"/>
                                    <w:spacing w:val="0"/>
                                    <w:kern w:val="0"/>
                                    <w:highlight w:val="none"/>
                                  </w:rPr>
                                </m:ctrlPr>
                              </m:sSubPr>
                              <m:e>
                                <m:r>
                                  <m:rPr/>
                                  <w:rPr>
                                    <w:rFonts w:hint="default" w:ascii="Cambria Math" w:hAnsi="Cambria Math" w:cs="Times New Roman"/>
                                    <w:smallCaps w:val="0"/>
                                    <w:color w:val="auto"/>
                                    <w:spacing w:val="0"/>
                                    <w:kern w:val="0"/>
                                    <w:highlight w:val="none"/>
                                  </w:rPr>
                                  <m:t>t</m:t>
                                </m:r>
                                <m:ctrlPr>
                                  <w:rPr>
                                    <w:rFonts w:hint="default" w:ascii="Cambria Math" w:hAnsi="Cambria Math" w:cs="Times New Roman"/>
                                    <w:i/>
                                    <w:smallCaps w:val="0"/>
                                    <w:color w:val="auto"/>
                                    <w:spacing w:val="0"/>
                                    <w:kern w:val="0"/>
                                    <w:highlight w:val="none"/>
                                  </w:rPr>
                                </m:ctrlPr>
                              </m:e>
                              <m:sub>
                                <m:r>
                                  <m:rPr/>
                                  <w:rPr>
                                    <w:rFonts w:hint="default" w:ascii="Cambria Math" w:hAnsi="Cambria Math" w:cs="Times New Roman"/>
                                    <w:smallCaps w:val="0"/>
                                    <w:color w:val="auto"/>
                                    <w:spacing w:val="0"/>
                                    <w:kern w:val="0"/>
                                    <w:highlight w:val="none"/>
                                  </w:rPr>
                                  <m:t>j</m:t>
                                </m:r>
                                <m:ctrlPr>
                                  <w:rPr>
                                    <w:rFonts w:hint="default" w:ascii="Cambria Math" w:hAnsi="Cambria Math" w:cs="Times New Roman"/>
                                    <w:i/>
                                    <w:smallCaps w:val="0"/>
                                    <w:color w:val="auto"/>
                                    <w:spacing w:val="0"/>
                                    <w:kern w:val="0"/>
                                    <w:highlight w:val="none"/>
                                  </w:rPr>
                                </m:ctrlPr>
                              </m:sub>
                            </m:sSub>
                            <m:ctrlPr>
                              <w:rPr>
                                <w:rFonts w:hint="default" w:ascii="Cambria Math" w:hAnsi="Cambria Math" w:cs="Times New Roman"/>
                                <w:i/>
                                <w:smallCaps w:val="0"/>
                                <w:color w:val="auto"/>
                                <w:spacing w:val="0"/>
                                <w:kern w:val="0"/>
                                <w:highlight w:val="none"/>
                              </w:rPr>
                            </m:ctrlPr>
                          </m:e>
                        </m:nary>
                        <m:sSup>
                          <m:sSupPr>
                            <m:ctrlPr>
                              <w:rPr>
                                <w:rFonts w:hint="default" w:ascii="Cambria Math" w:hAnsi="Cambria Math" w:cs="Times New Roman"/>
                                <w:i/>
                                <w:smallCaps w:val="0"/>
                                <w:color w:val="auto"/>
                                <w:spacing w:val="0"/>
                                <w:kern w:val="0"/>
                                <w:highlight w:val="none"/>
                              </w:rPr>
                            </m:ctrlPr>
                          </m:sSupPr>
                          <m:e>
                            <m:r>
                              <m:rPr/>
                              <w:rPr>
                                <w:rFonts w:hint="default" w:ascii="Cambria Math" w:hAnsi="Cambria Math" w:cs="Times New Roman"/>
                                <w:smallCaps w:val="0"/>
                                <w:color w:val="auto"/>
                                <w:spacing w:val="0"/>
                                <w:kern w:val="0"/>
                                <w:highlight w:val="none"/>
                              </w:rPr>
                              <m:t>10</m:t>
                            </m:r>
                            <m:ctrlPr>
                              <w:rPr>
                                <w:rFonts w:hint="default" w:ascii="Cambria Math" w:hAnsi="Cambria Math" w:cs="Times New Roman"/>
                                <w:i/>
                                <w:smallCaps w:val="0"/>
                                <w:color w:val="auto"/>
                                <w:spacing w:val="0"/>
                                <w:kern w:val="0"/>
                                <w:highlight w:val="none"/>
                              </w:rPr>
                            </m:ctrlPr>
                          </m:e>
                          <m:sup>
                            <m:sSub>
                              <m:sSubPr>
                                <m:ctrlPr>
                                  <w:rPr>
                                    <w:rFonts w:hint="default" w:ascii="Cambria Math" w:hAnsi="Cambria Math" w:cs="Times New Roman"/>
                                    <w:i/>
                                    <w:smallCaps w:val="0"/>
                                    <w:color w:val="auto"/>
                                    <w:spacing w:val="0"/>
                                    <w:kern w:val="0"/>
                                    <w:highlight w:val="none"/>
                                  </w:rPr>
                                </m:ctrlPr>
                              </m:sSubPr>
                              <m:e>
                                <m:r>
                                  <m:rPr/>
                                  <w:rPr>
                                    <w:rFonts w:hint="default" w:ascii="Cambria Math" w:hAnsi="Cambria Math" w:cs="Times New Roman"/>
                                    <w:smallCaps w:val="0"/>
                                    <w:color w:val="auto"/>
                                    <w:spacing w:val="0"/>
                                    <w:kern w:val="0"/>
                                    <w:highlight w:val="none"/>
                                  </w:rPr>
                                  <m:t>0.1L</m:t>
                                </m:r>
                                <m:ctrlPr>
                                  <w:rPr>
                                    <w:rFonts w:hint="default" w:ascii="Cambria Math" w:hAnsi="Cambria Math" w:cs="Times New Roman"/>
                                    <w:i/>
                                    <w:smallCaps w:val="0"/>
                                    <w:color w:val="auto"/>
                                    <w:spacing w:val="0"/>
                                    <w:kern w:val="0"/>
                                    <w:highlight w:val="none"/>
                                  </w:rPr>
                                </m:ctrlPr>
                              </m:e>
                              <m:sub>
                                <m:r>
                                  <m:rPr/>
                                  <w:rPr>
                                    <w:rFonts w:hint="default" w:ascii="Cambria Math" w:hAnsi="Cambria Math" w:cs="Times New Roman"/>
                                    <w:smallCaps w:val="0"/>
                                    <w:color w:val="auto"/>
                                    <w:spacing w:val="0"/>
                                    <w:kern w:val="0"/>
                                    <w:highlight w:val="none"/>
                                  </w:rPr>
                                  <m:t>Aj</m:t>
                                </m:r>
                                <m:ctrlPr>
                                  <w:rPr>
                                    <w:rFonts w:hint="default" w:ascii="Cambria Math" w:hAnsi="Cambria Math" w:cs="Times New Roman"/>
                                    <w:i/>
                                    <w:smallCaps w:val="0"/>
                                    <w:color w:val="auto"/>
                                    <w:spacing w:val="0"/>
                                    <w:kern w:val="0"/>
                                    <w:highlight w:val="none"/>
                                  </w:rPr>
                                </m:ctrlPr>
                              </m:sub>
                            </m:sSub>
                            <m:ctrlPr>
                              <w:rPr>
                                <w:rFonts w:hint="default" w:ascii="Cambria Math" w:hAnsi="Cambria Math" w:cs="Times New Roman"/>
                                <w:i/>
                                <w:smallCaps w:val="0"/>
                                <w:color w:val="auto"/>
                                <w:spacing w:val="0"/>
                                <w:kern w:val="0"/>
                                <w:highlight w:val="none"/>
                              </w:rPr>
                            </m:ctrlPr>
                          </m:sup>
                        </m:sSup>
                        <m:ctrlPr>
                          <w:rPr>
                            <w:rFonts w:hint="default" w:ascii="Cambria Math" w:hAnsi="Cambria Math" w:cs="Times New Roman"/>
                            <w:i/>
                            <w:smallCaps w:val="0"/>
                            <w:color w:val="auto"/>
                            <w:spacing w:val="0"/>
                            <w:kern w:val="0"/>
                            <w:highlight w:val="none"/>
                          </w:rPr>
                        </m:ctrlPr>
                      </m:e>
                    </m:d>
                    <m:ctrlPr>
                      <w:rPr>
                        <w:rFonts w:hint="default" w:ascii="Cambria Math" w:hAnsi="Cambria Math" w:cs="Times New Roman"/>
                        <w:i/>
                        <w:smallCaps w:val="0"/>
                        <w:color w:val="auto"/>
                        <w:spacing w:val="0"/>
                        <w:kern w:val="0"/>
                        <w:highlight w:val="none"/>
                      </w:rPr>
                    </m:ctrlPr>
                  </m:e>
                </m:d>
              </m:oMath>
            </m:oMathPara>
          </w:p>
          <w:p w14:paraId="6145E03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eqg</w:t>
            </w:r>
            <w:r>
              <w:rPr>
                <w:rFonts w:hint="default" w:ascii="Times New Roman" w:hAnsi="Times New Roman" w:cs="Times New Roman"/>
                <w:smallCaps w:val="0"/>
                <w:color w:val="auto"/>
                <w:spacing w:val="0"/>
                <w:highlight w:val="none"/>
              </w:rPr>
              <w:t>——建设项目声源在预测点产生的噪声贡献值</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 xml:space="preserve">dB； </w:t>
            </w:r>
          </w:p>
          <w:p w14:paraId="1EC119D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T</w:t>
            </w:r>
            <w:r>
              <w:rPr>
                <w:rFonts w:hint="default" w:ascii="Times New Roman" w:hAnsi="Times New Roman" w:cs="Times New Roman"/>
                <w:smallCaps w:val="0"/>
                <w:color w:val="auto"/>
                <w:spacing w:val="0"/>
                <w:highlight w:val="none"/>
              </w:rPr>
              <w:t xml:space="preserve"> ——用于计算等效声级的时间</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s；</w:t>
            </w:r>
          </w:p>
          <w:p w14:paraId="4910509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N</w:t>
            </w:r>
            <w:r>
              <w:rPr>
                <w:rFonts w:hint="default" w:ascii="Times New Roman" w:hAnsi="Times New Roman" w:cs="Times New Roman"/>
                <w:smallCaps w:val="0"/>
                <w:color w:val="auto"/>
                <w:spacing w:val="0"/>
                <w:highlight w:val="none"/>
              </w:rPr>
              <w:t xml:space="preserve"> ——室外声源个数；</w:t>
            </w:r>
          </w:p>
          <w:p w14:paraId="0BD335F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t</w:t>
            </w:r>
            <w:r>
              <w:rPr>
                <w:rFonts w:hint="default" w:ascii="Times New Roman" w:hAnsi="Times New Roman" w:cs="Times New Roman"/>
                <w:i/>
                <w:smallCaps w:val="0"/>
                <w:color w:val="auto"/>
                <w:spacing w:val="0"/>
                <w:highlight w:val="none"/>
                <w:vertAlign w:val="subscript"/>
              </w:rPr>
              <w:t>i</w:t>
            </w:r>
            <w:r>
              <w:rPr>
                <w:rFonts w:hint="default" w:ascii="Times New Roman" w:hAnsi="Times New Roman" w:cs="Times New Roman"/>
                <w:smallCaps w:val="0"/>
                <w:color w:val="auto"/>
                <w:spacing w:val="0"/>
                <w:highlight w:val="none"/>
              </w:rPr>
              <w:t xml:space="preserve"> ——在 T 时间内i声源工作时间</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s；</w:t>
            </w:r>
          </w:p>
          <w:p w14:paraId="7C3B909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M</w:t>
            </w:r>
            <w:r>
              <w:rPr>
                <w:rFonts w:hint="default" w:ascii="Times New Roman" w:hAnsi="Times New Roman" w:cs="Times New Roman"/>
                <w:smallCaps w:val="0"/>
                <w:color w:val="auto"/>
                <w:spacing w:val="0"/>
                <w:highlight w:val="none"/>
              </w:rPr>
              <w:t xml:space="preserve"> ——等效室外声源个数；</w:t>
            </w:r>
          </w:p>
          <w:p w14:paraId="017187AE">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eastAsia="zh-CN"/>
              </w:rPr>
            </w:pPr>
            <w:r>
              <w:rPr>
                <w:rFonts w:hint="default" w:ascii="Times New Roman" w:hAnsi="Times New Roman" w:cs="Times New Roman"/>
                <w:i/>
                <w:smallCaps w:val="0"/>
                <w:color w:val="auto"/>
                <w:spacing w:val="0"/>
                <w:highlight w:val="none"/>
              </w:rPr>
              <w:t>t</w:t>
            </w:r>
            <w:r>
              <w:rPr>
                <w:rFonts w:hint="default" w:ascii="Times New Roman" w:hAnsi="Times New Roman" w:cs="Times New Roman"/>
                <w:i/>
                <w:smallCaps w:val="0"/>
                <w:color w:val="auto"/>
                <w:spacing w:val="0"/>
                <w:highlight w:val="none"/>
                <w:vertAlign w:val="subscript"/>
              </w:rPr>
              <w:t>j</w:t>
            </w:r>
            <w:r>
              <w:rPr>
                <w:rFonts w:hint="default" w:ascii="Times New Roman" w:hAnsi="Times New Roman" w:cs="Times New Roman"/>
                <w:smallCaps w:val="0"/>
                <w:color w:val="auto"/>
                <w:spacing w:val="0"/>
                <w:highlight w:val="none"/>
              </w:rPr>
              <w:t>——在T时间内j声源工作时间</w:t>
            </w:r>
            <w:r>
              <w:rPr>
                <w:rFonts w:hint="default" w:ascii="Times New Roman" w:hAnsi="Times New Roman" w:cs="Times New Roman"/>
                <w:smallCaps w:val="0"/>
                <w:color w:val="auto"/>
                <w:spacing w:val="0"/>
                <w:highlight w:val="none"/>
                <w:lang w:eastAsia="zh-CN"/>
              </w:rPr>
              <w:t>，</w:t>
            </w:r>
          </w:p>
          <w:p w14:paraId="254AA69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drawing>
                <wp:anchor distT="0" distB="0" distL="114300" distR="114300" simplePos="0" relativeHeight="251660288" behindDoc="0" locked="0" layoutInCell="1" allowOverlap="1">
                  <wp:simplePos x="0" y="0"/>
                  <wp:positionH relativeFrom="column">
                    <wp:posOffset>427990</wp:posOffset>
                  </wp:positionH>
                  <wp:positionV relativeFrom="paragraph">
                    <wp:posOffset>433705</wp:posOffset>
                  </wp:positionV>
                  <wp:extent cx="1905000" cy="304800"/>
                  <wp:effectExtent l="0" t="0" r="0" b="0"/>
                  <wp:wrapTopAndBottom/>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05000" cy="304800"/>
                          </a:xfrm>
                          <a:prstGeom prst="rect">
                            <a:avLst/>
                          </a:prstGeom>
                          <a:noFill/>
                          <a:ln>
                            <a:noFill/>
                          </a:ln>
                        </pic:spPr>
                      </pic:pic>
                    </a:graphicData>
                  </a:graphic>
                </wp:anchor>
              </w:drawing>
            </w:r>
            <w:r>
              <w:rPr>
                <w:rFonts w:hint="default" w:ascii="Times New Roman" w:hAnsi="Times New Roman" w:cs="Times New Roman"/>
                <w:smallCaps w:val="0"/>
                <w:color w:val="auto"/>
                <w:spacing w:val="0"/>
                <w:highlight w:val="none"/>
              </w:rPr>
              <w:t>②保护目标噪声预测值计算</w:t>
            </w:r>
          </w:p>
          <w:p w14:paraId="0C97C7F9">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将厂址周边噪声环境保护目标现状监测值与噪声贡献值叠加即得噪声预测值。</w:t>
            </w:r>
          </w:p>
          <w:p w14:paraId="70838DD1">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式中：</w:t>
            </w: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eq</w:t>
            </w:r>
            <w:r>
              <w:rPr>
                <w:rFonts w:hint="default" w:ascii="Times New Roman" w:hAnsi="Times New Roman" w:cs="Times New Roman"/>
                <w:smallCaps w:val="0"/>
                <w:color w:val="auto"/>
                <w:spacing w:val="0"/>
                <w:highlight w:val="none"/>
              </w:rPr>
              <w:t>——预测点的噪声预测值</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59C053D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eqg</w:t>
            </w:r>
            <w:r>
              <w:rPr>
                <w:rFonts w:hint="default" w:ascii="Times New Roman" w:hAnsi="Times New Roman" w:cs="Times New Roman"/>
                <w:smallCaps w:val="0"/>
                <w:color w:val="auto"/>
                <w:spacing w:val="0"/>
                <w:highlight w:val="none"/>
              </w:rPr>
              <w:t>——建设项目声源在预测点的等效声级贡献值</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6F66139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i/>
                <w:smallCaps w:val="0"/>
                <w:color w:val="auto"/>
                <w:spacing w:val="0"/>
                <w:highlight w:val="none"/>
              </w:rPr>
              <w:t>L</w:t>
            </w:r>
            <w:r>
              <w:rPr>
                <w:rFonts w:hint="default" w:ascii="Times New Roman" w:hAnsi="Times New Roman" w:cs="Times New Roman"/>
                <w:i/>
                <w:smallCaps w:val="0"/>
                <w:color w:val="auto"/>
                <w:spacing w:val="0"/>
                <w:highlight w:val="none"/>
                <w:vertAlign w:val="subscript"/>
              </w:rPr>
              <w:t>eqb</w:t>
            </w:r>
            <w:r>
              <w:rPr>
                <w:rFonts w:hint="default" w:ascii="Times New Roman" w:hAnsi="Times New Roman" w:cs="Times New Roman"/>
                <w:smallCaps w:val="0"/>
                <w:color w:val="auto"/>
                <w:spacing w:val="0"/>
                <w:highlight w:val="none"/>
              </w:rPr>
              <w:t>——预测点的背景值</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dB。</w:t>
            </w:r>
          </w:p>
          <w:p w14:paraId="137C68C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本项目50m范围内没有声环境保护目标</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因此仅预测厂界贡献值</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不进行声环境保护目标预测。</w:t>
            </w:r>
          </w:p>
          <w:p w14:paraId="7F4AEC63">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（3）预测结果及分析</w:t>
            </w:r>
          </w:p>
          <w:p w14:paraId="0CBC566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各预测点噪声预测结果见表4-</w:t>
            </w:r>
            <w:r>
              <w:rPr>
                <w:rFonts w:hint="eastAsia" w:cs="Times New Roman"/>
                <w:smallCaps w:val="0"/>
                <w:color w:val="auto"/>
                <w:spacing w:val="0"/>
                <w:highlight w:val="none"/>
                <w:lang w:val="en-US" w:eastAsia="zh-CN"/>
              </w:rPr>
              <w:t>11</w:t>
            </w:r>
            <w:r>
              <w:rPr>
                <w:rFonts w:hint="default" w:ascii="Times New Roman" w:hAnsi="Times New Roman" w:cs="Times New Roman"/>
                <w:smallCaps w:val="0"/>
                <w:color w:val="auto"/>
                <w:spacing w:val="0"/>
                <w:highlight w:val="none"/>
              </w:rPr>
              <w:t>。</w:t>
            </w:r>
          </w:p>
          <w:p w14:paraId="6C4AAF17">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表4-</w:t>
            </w:r>
            <w:r>
              <w:rPr>
                <w:rFonts w:hint="eastAsia" w:cs="Times New Roman"/>
                <w:smallCaps w:val="0"/>
                <w:color w:val="auto"/>
                <w:spacing w:val="0"/>
                <w:highlight w:val="none"/>
                <w:lang w:val="en-US" w:eastAsia="zh-CN"/>
              </w:rPr>
              <w:t>11</w:t>
            </w:r>
            <w:r>
              <w:rPr>
                <w:rFonts w:hint="default" w:ascii="Times New Roman" w:hAnsi="Times New Roman" w:cs="Times New Roman"/>
                <w:smallCaps w:val="0"/>
                <w:color w:val="auto"/>
                <w:spacing w:val="0"/>
                <w:highlight w:val="none"/>
              </w:rPr>
              <w:t xml:space="preserve">    预测点噪声预测结果表单位：dB（A）</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996"/>
              <w:gridCol w:w="1570"/>
              <w:gridCol w:w="1546"/>
              <w:gridCol w:w="1291"/>
              <w:gridCol w:w="1311"/>
            </w:tblGrid>
            <w:tr w14:paraId="26AC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5" w:type="pct"/>
                  <w:gridSpan w:val="2"/>
                  <w:vMerge w:val="restart"/>
                  <w:tcBorders>
                    <w:tl2br w:val="single" w:color="auto" w:sz="4" w:space="0"/>
                  </w:tcBorders>
                  <w:noWrap w:val="0"/>
                  <w:vAlign w:val="center"/>
                </w:tcPr>
                <w:p w14:paraId="3FAD4232">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 xml:space="preserve">        预测点</w:t>
                  </w:r>
                </w:p>
                <w:p w14:paraId="6608ADE5">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jc w:val="both"/>
                    <w:textAlignment w:val="baseline"/>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时间</w:t>
                  </w:r>
                </w:p>
              </w:tc>
              <w:tc>
                <w:tcPr>
                  <w:tcW w:w="3584" w:type="pct"/>
                  <w:gridSpan w:val="4"/>
                  <w:noWrap w:val="0"/>
                  <w:vAlign w:val="center"/>
                </w:tcPr>
                <w:p w14:paraId="060AE9ED">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贡献</w:t>
                  </w:r>
                  <w:r>
                    <w:rPr>
                      <w:rFonts w:hint="default" w:ascii="Times New Roman" w:hAnsi="Times New Roman" w:cs="Times New Roman"/>
                      <w:smallCaps w:val="0"/>
                      <w:color w:val="auto"/>
                      <w:spacing w:val="0"/>
                      <w:highlight w:val="none"/>
                    </w:rPr>
                    <w:t>值</w:t>
                  </w:r>
                </w:p>
              </w:tc>
            </w:tr>
            <w:tr w14:paraId="5CC6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5" w:type="pct"/>
                  <w:gridSpan w:val="2"/>
                  <w:vMerge w:val="continue"/>
                  <w:tcBorders>
                    <w:tl2br w:val="single" w:color="auto" w:sz="4" w:space="0"/>
                  </w:tcBorders>
                  <w:noWrap w:val="0"/>
                  <w:vAlign w:val="center"/>
                </w:tcPr>
                <w:p w14:paraId="6B591C6A">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p>
              </w:tc>
              <w:tc>
                <w:tcPr>
                  <w:tcW w:w="984" w:type="pct"/>
                  <w:noWrap w:val="0"/>
                  <w:vAlign w:val="center"/>
                </w:tcPr>
                <w:p w14:paraId="294BF9E1">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东厂界</w:t>
                  </w:r>
                </w:p>
              </w:tc>
              <w:tc>
                <w:tcPr>
                  <w:tcW w:w="969" w:type="pct"/>
                  <w:noWrap w:val="0"/>
                  <w:vAlign w:val="center"/>
                </w:tcPr>
                <w:p w14:paraId="4DA6A1D1">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南厂界</w:t>
                  </w:r>
                </w:p>
              </w:tc>
              <w:tc>
                <w:tcPr>
                  <w:tcW w:w="809" w:type="pct"/>
                  <w:noWrap w:val="0"/>
                  <w:vAlign w:val="center"/>
                </w:tcPr>
                <w:p w14:paraId="0BEC1E1E">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西厂界</w:t>
                  </w:r>
                </w:p>
              </w:tc>
              <w:tc>
                <w:tcPr>
                  <w:tcW w:w="821" w:type="pct"/>
                  <w:noWrap w:val="0"/>
                  <w:vAlign w:val="center"/>
                </w:tcPr>
                <w:p w14:paraId="72338017">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北厂界</w:t>
                  </w:r>
                </w:p>
              </w:tc>
            </w:tr>
            <w:tr w14:paraId="3F0D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1415" w:type="pct"/>
                  <w:gridSpan w:val="2"/>
                  <w:noWrap w:val="0"/>
                  <w:vAlign w:val="center"/>
                </w:tcPr>
                <w:p w14:paraId="73BBA530">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贡献值</w:t>
                  </w:r>
                  <w:r>
                    <w:rPr>
                      <w:rFonts w:hint="default" w:ascii="Times New Roman" w:hAnsi="Times New Roman" w:cs="Times New Roman"/>
                      <w:smallCaps w:val="0"/>
                      <w:color w:val="auto"/>
                      <w:spacing w:val="0"/>
                      <w:highlight w:val="none"/>
                    </w:rPr>
                    <w:t>dB(A)</w:t>
                  </w:r>
                </w:p>
              </w:tc>
              <w:tc>
                <w:tcPr>
                  <w:tcW w:w="984" w:type="pct"/>
                  <w:noWrap w:val="0"/>
                  <w:vAlign w:val="center"/>
                </w:tcPr>
                <w:p w14:paraId="2991481C">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47.5</w:t>
                  </w:r>
                </w:p>
              </w:tc>
              <w:tc>
                <w:tcPr>
                  <w:tcW w:w="969" w:type="pct"/>
                  <w:noWrap w:val="0"/>
                  <w:vAlign w:val="center"/>
                </w:tcPr>
                <w:p w14:paraId="1203A37F">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50.13</w:t>
                  </w:r>
                </w:p>
              </w:tc>
              <w:tc>
                <w:tcPr>
                  <w:tcW w:w="809" w:type="pct"/>
                  <w:noWrap w:val="0"/>
                  <w:vAlign w:val="center"/>
                </w:tcPr>
                <w:p w14:paraId="0E517C84">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44.96</w:t>
                  </w:r>
                </w:p>
              </w:tc>
              <w:tc>
                <w:tcPr>
                  <w:tcW w:w="821" w:type="pct"/>
                  <w:noWrap w:val="0"/>
                  <w:vAlign w:val="center"/>
                </w:tcPr>
                <w:p w14:paraId="770F1710">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49.97</w:t>
                  </w:r>
                </w:p>
              </w:tc>
            </w:tr>
            <w:tr w14:paraId="4778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791" w:type="pct"/>
                  <w:vMerge w:val="restart"/>
                  <w:noWrap w:val="0"/>
                  <w:vAlign w:val="center"/>
                </w:tcPr>
                <w:p w14:paraId="740D149E">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eastAsia="宋体" w:cs="Times New Roman"/>
                      <w:bCs/>
                      <w:smallCaps w:val="0"/>
                      <w:color w:val="auto"/>
                      <w:spacing w:val="0"/>
                      <w:highlight w:val="none"/>
                    </w:rPr>
                  </w:pPr>
                  <w:r>
                    <w:rPr>
                      <w:rFonts w:hint="default" w:ascii="Times New Roman" w:hAnsi="Times New Roman" w:eastAsia="宋体" w:cs="Times New Roman"/>
                      <w:bCs/>
                      <w:smallCaps w:val="0"/>
                      <w:color w:val="auto"/>
                      <w:spacing w:val="0"/>
                      <w:highlight w:val="none"/>
                    </w:rPr>
                    <w:t>评价标准dB(A)</w:t>
                  </w:r>
                </w:p>
              </w:tc>
              <w:tc>
                <w:tcPr>
                  <w:tcW w:w="623" w:type="pct"/>
                  <w:noWrap w:val="0"/>
                  <w:vAlign w:val="center"/>
                </w:tcPr>
                <w:p w14:paraId="39F1886D">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eastAsia="宋体" w:cs="Times New Roman"/>
                      <w:bCs/>
                      <w:smallCaps w:val="0"/>
                      <w:color w:val="auto"/>
                      <w:spacing w:val="0"/>
                      <w:highlight w:val="none"/>
                      <w:lang w:val="en-US" w:eastAsia="zh-CN"/>
                    </w:rPr>
                  </w:pPr>
                  <w:r>
                    <w:rPr>
                      <w:rFonts w:hint="default" w:ascii="Times New Roman" w:hAnsi="Times New Roman" w:eastAsia="宋体" w:cs="Times New Roman"/>
                      <w:bCs/>
                      <w:smallCaps w:val="0"/>
                      <w:color w:val="auto"/>
                      <w:spacing w:val="0"/>
                      <w:highlight w:val="none"/>
                      <w:lang w:val="en-US" w:eastAsia="zh-CN"/>
                    </w:rPr>
                    <w:t>昼间</w:t>
                  </w:r>
                </w:p>
              </w:tc>
              <w:tc>
                <w:tcPr>
                  <w:tcW w:w="984" w:type="pct"/>
                  <w:noWrap w:val="0"/>
                  <w:vAlign w:val="center"/>
                </w:tcPr>
                <w:p w14:paraId="1D1898E3">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65</w:t>
                  </w:r>
                </w:p>
              </w:tc>
              <w:tc>
                <w:tcPr>
                  <w:tcW w:w="1546" w:type="dxa"/>
                  <w:noWrap w:val="0"/>
                  <w:vAlign w:val="center"/>
                </w:tcPr>
                <w:p w14:paraId="055726C9">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szCs w:val="20"/>
                      <w:highlight w:val="none"/>
                      <w:lang w:val="en-US" w:eastAsia="zh-CN"/>
                    </w:rPr>
                    <w:t>65</w:t>
                  </w:r>
                </w:p>
              </w:tc>
              <w:tc>
                <w:tcPr>
                  <w:tcW w:w="1291" w:type="dxa"/>
                  <w:noWrap w:val="0"/>
                  <w:vAlign w:val="center"/>
                </w:tcPr>
                <w:p w14:paraId="47450C08">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65</w:t>
                  </w:r>
                </w:p>
              </w:tc>
              <w:tc>
                <w:tcPr>
                  <w:tcW w:w="1311" w:type="dxa"/>
                  <w:noWrap w:val="0"/>
                  <w:vAlign w:val="center"/>
                </w:tcPr>
                <w:p w14:paraId="1BEF6707">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65</w:t>
                  </w:r>
                </w:p>
              </w:tc>
            </w:tr>
            <w:tr w14:paraId="347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791" w:type="pct"/>
                  <w:vMerge w:val="continue"/>
                  <w:noWrap w:val="0"/>
                  <w:vAlign w:val="center"/>
                </w:tcPr>
                <w:p w14:paraId="717847D0">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eastAsia="宋体" w:cs="Times New Roman"/>
                      <w:bCs/>
                      <w:smallCaps w:val="0"/>
                      <w:color w:val="auto"/>
                      <w:spacing w:val="0"/>
                      <w:highlight w:val="none"/>
                    </w:rPr>
                  </w:pPr>
                </w:p>
              </w:tc>
              <w:tc>
                <w:tcPr>
                  <w:tcW w:w="623" w:type="pct"/>
                  <w:noWrap w:val="0"/>
                  <w:vAlign w:val="center"/>
                </w:tcPr>
                <w:p w14:paraId="58D5A52D">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eastAsia="宋体" w:cs="Times New Roman"/>
                      <w:bCs/>
                      <w:smallCaps w:val="0"/>
                      <w:color w:val="auto"/>
                      <w:spacing w:val="0"/>
                      <w:highlight w:val="none"/>
                      <w:lang w:val="en-US" w:eastAsia="zh-CN"/>
                    </w:rPr>
                  </w:pPr>
                  <w:r>
                    <w:rPr>
                      <w:rFonts w:hint="eastAsia" w:cs="Times New Roman"/>
                      <w:bCs/>
                      <w:smallCaps w:val="0"/>
                      <w:color w:val="auto"/>
                      <w:spacing w:val="0"/>
                      <w:highlight w:val="none"/>
                      <w:lang w:val="en-US" w:eastAsia="zh-CN"/>
                    </w:rPr>
                    <w:t>夜间</w:t>
                  </w:r>
                </w:p>
              </w:tc>
              <w:tc>
                <w:tcPr>
                  <w:tcW w:w="984" w:type="pct"/>
                  <w:noWrap w:val="0"/>
                  <w:vAlign w:val="center"/>
                </w:tcPr>
                <w:p w14:paraId="7D1FCD0D">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jc w:val="center"/>
                    <w:textAlignment w:val="baseline"/>
                    <w:rPr>
                      <w:rFonts w:hint="default"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55</w:t>
                  </w:r>
                </w:p>
              </w:tc>
              <w:tc>
                <w:tcPr>
                  <w:tcW w:w="1546" w:type="dxa"/>
                  <w:noWrap w:val="0"/>
                  <w:vAlign w:val="center"/>
                </w:tcPr>
                <w:p w14:paraId="4A87FDD6">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55</w:t>
                  </w:r>
                </w:p>
              </w:tc>
              <w:tc>
                <w:tcPr>
                  <w:tcW w:w="1291" w:type="dxa"/>
                  <w:noWrap w:val="0"/>
                  <w:vAlign w:val="center"/>
                </w:tcPr>
                <w:p w14:paraId="548CE02A">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55</w:t>
                  </w:r>
                </w:p>
              </w:tc>
              <w:tc>
                <w:tcPr>
                  <w:tcW w:w="1311" w:type="dxa"/>
                  <w:noWrap w:val="0"/>
                  <w:vAlign w:val="center"/>
                </w:tcPr>
                <w:p w14:paraId="1D580A01">
                  <w:pPr>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cs="Times New Roman"/>
                      <w:bCs/>
                      <w:smallCaps w:val="0"/>
                      <w:color w:val="auto"/>
                      <w:spacing w:val="0"/>
                      <w:szCs w:val="20"/>
                      <w:highlight w:val="none"/>
                      <w:lang w:val="en-US" w:eastAsia="zh-CN"/>
                    </w:rPr>
                  </w:pPr>
                  <w:r>
                    <w:rPr>
                      <w:rFonts w:hint="eastAsia" w:cs="Times New Roman"/>
                      <w:bCs/>
                      <w:smallCaps w:val="0"/>
                      <w:color w:val="auto"/>
                      <w:spacing w:val="0"/>
                      <w:szCs w:val="20"/>
                      <w:highlight w:val="none"/>
                      <w:lang w:val="en-US" w:eastAsia="zh-CN"/>
                    </w:rPr>
                    <w:t>55</w:t>
                  </w:r>
                </w:p>
              </w:tc>
            </w:tr>
            <w:tr w14:paraId="5018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5" w:type="pct"/>
                  <w:gridSpan w:val="2"/>
                  <w:noWrap w:val="0"/>
                  <w:vAlign w:val="center"/>
                </w:tcPr>
                <w:p w14:paraId="0F96C3E3">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评价结果</w:t>
                  </w:r>
                </w:p>
              </w:tc>
              <w:tc>
                <w:tcPr>
                  <w:tcW w:w="984" w:type="pct"/>
                  <w:noWrap w:val="0"/>
                  <w:vAlign w:val="center"/>
                </w:tcPr>
                <w:p w14:paraId="310562B5">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达标</w:t>
                  </w:r>
                </w:p>
              </w:tc>
              <w:tc>
                <w:tcPr>
                  <w:tcW w:w="969" w:type="pct"/>
                  <w:noWrap w:val="0"/>
                  <w:vAlign w:val="center"/>
                </w:tcPr>
                <w:p w14:paraId="5D3EB4BC">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达标</w:t>
                  </w:r>
                </w:p>
              </w:tc>
              <w:tc>
                <w:tcPr>
                  <w:tcW w:w="809" w:type="pct"/>
                  <w:noWrap w:val="0"/>
                  <w:vAlign w:val="center"/>
                </w:tcPr>
                <w:p w14:paraId="5026584E">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达标</w:t>
                  </w:r>
                </w:p>
              </w:tc>
              <w:tc>
                <w:tcPr>
                  <w:tcW w:w="821" w:type="pct"/>
                  <w:noWrap w:val="0"/>
                  <w:vAlign w:val="center"/>
                </w:tcPr>
                <w:p w14:paraId="390888EC">
                  <w:pPr>
                    <w:pStyle w:val="67"/>
                    <w:keepNext w:val="0"/>
                    <w:keepLines w:val="0"/>
                    <w:pageBreakBefore w:val="0"/>
                    <w:widowControl w:val="0"/>
                    <w:suppressLineNumbers w:val="0"/>
                    <w:kinsoku/>
                    <w:wordWrap/>
                    <w:overflowPunct/>
                    <w:topLinePunct/>
                    <w:autoSpaceDE w:val="0"/>
                    <w:autoSpaceDN w:val="0"/>
                    <w:bidi w:val="0"/>
                    <w:adjustRightInd w:val="0"/>
                    <w:snapToGrid w:val="0"/>
                    <w:spacing w:before="0" w:beforeAutospacing="0" w:after="0" w:afterAutospacing="0" w:line="360" w:lineRule="exact"/>
                    <w:ind w:left="0" w:right="0"/>
                    <w:textAlignment w:val="baseline"/>
                    <w:rPr>
                      <w:rFonts w:hint="default" w:ascii="Times New Roman" w:hAnsi="Times New Roman"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达标</w:t>
                  </w:r>
                </w:p>
              </w:tc>
            </w:tr>
          </w:tbl>
          <w:p w14:paraId="26FFFC2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根据预测结果可知</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在采取相关防治措施后</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项目运营期间</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厂界噪声</w:t>
            </w:r>
            <w:r>
              <w:rPr>
                <w:rFonts w:hint="eastAsia" w:cs="Times New Roman"/>
                <w:smallCaps w:val="0"/>
                <w:color w:val="auto"/>
                <w:spacing w:val="0"/>
                <w:highlight w:val="none"/>
                <w:lang w:val="en-US" w:eastAsia="zh-CN"/>
              </w:rPr>
              <w:t>贡献值</w:t>
            </w:r>
            <w:r>
              <w:rPr>
                <w:rFonts w:hint="default" w:ascii="Times New Roman" w:hAnsi="Times New Roman" w:cs="Times New Roman"/>
                <w:smallCaps w:val="0"/>
                <w:color w:val="auto"/>
                <w:spacing w:val="0"/>
                <w:highlight w:val="none"/>
                <w:lang w:val="en-US" w:eastAsia="zh-CN"/>
              </w:rPr>
              <w:t>为</w:t>
            </w:r>
            <w:r>
              <w:rPr>
                <w:rFonts w:hint="eastAsia" w:cs="Times New Roman"/>
                <w:smallCaps w:val="0"/>
                <w:color w:val="auto"/>
                <w:spacing w:val="0"/>
                <w:highlight w:val="none"/>
                <w:lang w:val="en-US" w:eastAsia="zh-CN"/>
              </w:rPr>
              <w:t>44.96~50.13</w:t>
            </w:r>
            <w:r>
              <w:rPr>
                <w:rFonts w:hint="default" w:ascii="Times New Roman" w:hAnsi="Times New Roman" w:cs="Times New Roman"/>
                <w:smallCaps w:val="0"/>
                <w:color w:val="auto"/>
                <w:spacing w:val="0"/>
                <w:highlight w:val="none"/>
                <w:lang w:val="en-US" w:eastAsia="zh-CN"/>
              </w:rPr>
              <w:t>dB(A)，</w:t>
            </w:r>
            <w:r>
              <w:rPr>
                <w:rFonts w:hint="default" w:ascii="Times New Roman" w:hAnsi="Times New Roman" w:cs="Times New Roman"/>
                <w:smallCaps w:val="0"/>
                <w:color w:val="auto"/>
                <w:spacing w:val="0"/>
                <w:highlight w:val="none"/>
              </w:rPr>
              <w:t>满足《工业企业厂界环境噪声排放标准》（GB12348-2008）</w:t>
            </w:r>
            <w:r>
              <w:rPr>
                <w:rFonts w:hint="eastAsia" w:cs="Times New Roman"/>
                <w:smallCaps w:val="0"/>
                <w:color w:val="auto"/>
                <w:spacing w:val="0"/>
                <w:highlight w:val="none"/>
                <w:lang w:val="en-US" w:eastAsia="zh-CN"/>
              </w:rPr>
              <w:t>3类</w:t>
            </w:r>
            <w:r>
              <w:rPr>
                <w:rFonts w:hint="default" w:ascii="Times New Roman" w:hAnsi="Times New Roman" w:cs="Times New Roman"/>
                <w:smallCaps w:val="0"/>
                <w:color w:val="auto"/>
                <w:spacing w:val="0"/>
                <w:highlight w:val="none"/>
              </w:rPr>
              <w:t>标准的要求。</w:t>
            </w:r>
          </w:p>
          <w:p w14:paraId="0903E6CF">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（4）噪声监测计划</w:t>
            </w:r>
          </w:p>
          <w:p w14:paraId="19A9665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项目噪声监测计划见下表：</w:t>
            </w:r>
          </w:p>
          <w:p w14:paraId="5752979E">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表4-</w:t>
            </w:r>
            <w:r>
              <w:rPr>
                <w:rFonts w:hint="eastAsia" w:cs="Times New Roman"/>
                <w:smallCaps w:val="0"/>
                <w:color w:val="auto"/>
                <w:spacing w:val="0"/>
                <w:highlight w:val="none"/>
                <w:lang w:val="en-US" w:eastAsia="zh-CN"/>
              </w:rPr>
              <w:t>12</w:t>
            </w:r>
            <w:r>
              <w:rPr>
                <w:rFonts w:hint="default" w:ascii="Times New Roman" w:hAnsi="Times New Roman" w:cs="Times New Roman"/>
                <w:smallCaps w:val="0"/>
                <w:color w:val="auto"/>
                <w:spacing w:val="0"/>
                <w:highlight w:val="none"/>
              </w:rPr>
              <w:t xml:space="preserve">    噪声监测计划一览表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721"/>
              <w:gridCol w:w="1730"/>
              <w:gridCol w:w="1730"/>
              <w:gridCol w:w="2412"/>
              <w:gridCol w:w="1385"/>
            </w:tblGrid>
            <w:tr w14:paraId="701E09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452" w:type="pct"/>
                  <w:vAlign w:val="center"/>
                </w:tcPr>
                <w:p w14:paraId="1CA5179D">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序号</w:t>
                  </w:r>
                </w:p>
              </w:tc>
              <w:tc>
                <w:tcPr>
                  <w:tcW w:w="1084" w:type="pct"/>
                  <w:vAlign w:val="center"/>
                </w:tcPr>
                <w:p w14:paraId="6B599AB1">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监测项目</w:t>
                  </w:r>
                </w:p>
              </w:tc>
              <w:tc>
                <w:tcPr>
                  <w:tcW w:w="1084" w:type="pct"/>
                  <w:vAlign w:val="center"/>
                </w:tcPr>
                <w:p w14:paraId="369B1CF4">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监测因子</w:t>
                  </w:r>
                </w:p>
              </w:tc>
              <w:tc>
                <w:tcPr>
                  <w:tcW w:w="1511" w:type="pct"/>
                  <w:vAlign w:val="center"/>
                </w:tcPr>
                <w:p w14:paraId="338FAE6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取样位置</w:t>
                  </w:r>
                </w:p>
              </w:tc>
              <w:tc>
                <w:tcPr>
                  <w:tcW w:w="868" w:type="pct"/>
                  <w:vAlign w:val="center"/>
                </w:tcPr>
                <w:p w14:paraId="7D7F6A8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监测频率</w:t>
                  </w:r>
                </w:p>
              </w:tc>
            </w:tr>
            <w:tr w14:paraId="0593FA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452" w:type="pct"/>
                  <w:vAlign w:val="center"/>
                </w:tcPr>
                <w:p w14:paraId="3D800B2E">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w:t>
                  </w:r>
                </w:p>
              </w:tc>
              <w:tc>
                <w:tcPr>
                  <w:tcW w:w="1084" w:type="pct"/>
                  <w:vAlign w:val="center"/>
                </w:tcPr>
                <w:p w14:paraId="60A968D1">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厂界噪声</w:t>
                  </w:r>
                </w:p>
              </w:tc>
              <w:tc>
                <w:tcPr>
                  <w:tcW w:w="1084" w:type="pct"/>
                  <w:vAlign w:val="center"/>
                </w:tcPr>
                <w:p w14:paraId="6EB2A524">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等效声级、最大声级</w:t>
                  </w:r>
                </w:p>
              </w:tc>
              <w:tc>
                <w:tcPr>
                  <w:tcW w:w="1511" w:type="pct"/>
                  <w:vAlign w:val="center"/>
                </w:tcPr>
                <w:p w14:paraId="7CA9EF1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厂界外1m处</w:t>
                  </w:r>
                </w:p>
              </w:tc>
              <w:tc>
                <w:tcPr>
                  <w:tcW w:w="868" w:type="pct"/>
                  <w:vAlign w:val="center"/>
                </w:tcPr>
                <w:p w14:paraId="2D6827CF">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1次/季度</w:t>
                  </w:r>
                </w:p>
              </w:tc>
            </w:tr>
          </w:tbl>
          <w:p w14:paraId="793E3FD2">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4、固体废物</w:t>
            </w:r>
          </w:p>
          <w:p w14:paraId="42CE0AC2">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（1）固体废物产生及处置情况</w:t>
            </w:r>
          </w:p>
          <w:p w14:paraId="5C7F5AF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根据工程分析</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本项目运行期产生的固体废物主要为</w:t>
            </w:r>
            <w:r>
              <w:rPr>
                <w:rFonts w:hint="eastAsia" w:cs="Times New Roman"/>
                <w:smallCaps w:val="0"/>
                <w:color w:val="auto"/>
                <w:spacing w:val="0"/>
                <w:highlight w:val="none"/>
                <w:lang w:val="en-US" w:eastAsia="zh-CN"/>
              </w:rPr>
              <w:t>废包装材料、废布袋、除尘灰、废活性炭、废塑料边角料、废切削液、废切削液桶、不合格品、金属下脚料、不合格电极片、含油金属屑、废润滑油、废润滑油桶、含油抹布及废劳保用品和职工生活垃圾</w:t>
            </w:r>
            <w:r>
              <w:rPr>
                <w:rFonts w:hint="default" w:ascii="Times New Roman" w:hAnsi="Times New Roman" w:cs="Times New Roman"/>
                <w:smallCaps w:val="0"/>
                <w:color w:val="auto"/>
                <w:spacing w:val="0"/>
                <w:highlight w:val="none"/>
                <w:lang w:val="en-US" w:eastAsia="zh-CN"/>
              </w:rPr>
              <w:t>。</w:t>
            </w:r>
          </w:p>
          <w:p w14:paraId="3D965B9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废包装材料、废塑料边角料、不合格品、金属下脚料、不合格电极片收集后外售；废布袋、除尘灰、废活性炭、废切削液、废切削液桶、含油金属屑、废润滑油、废润滑油桶、含油抹布及废劳保用品，分类收集后暂存于危废间，定期交由有资质的单位处理；职工生活垃圾收集后由环卫部门统一处置</w:t>
            </w:r>
            <w:r>
              <w:rPr>
                <w:rFonts w:hint="default" w:ascii="Times New Roman" w:hAnsi="Times New Roman" w:cs="Times New Roman"/>
                <w:smallCaps w:val="0"/>
                <w:color w:val="auto"/>
                <w:spacing w:val="0"/>
                <w:highlight w:val="none"/>
                <w:lang w:val="en-US" w:eastAsia="zh-CN"/>
              </w:rPr>
              <w:t>。</w:t>
            </w:r>
          </w:p>
          <w:p w14:paraId="062DB124">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rPr>
              <w:t>1）</w:t>
            </w:r>
            <w:r>
              <w:rPr>
                <w:rFonts w:hint="eastAsia" w:cs="Times New Roman"/>
                <w:smallCaps w:val="0"/>
                <w:color w:val="auto"/>
                <w:spacing w:val="0"/>
                <w:highlight w:val="none"/>
                <w:lang w:val="en-US" w:eastAsia="zh-CN"/>
              </w:rPr>
              <w:t>废包装材料</w:t>
            </w:r>
          </w:p>
          <w:p w14:paraId="34ABA2AA">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废包装材料主要为拆包时产生的废包装材料，产生量为0.353t/a，收集后外售</w:t>
            </w:r>
            <w:r>
              <w:rPr>
                <w:rFonts w:hint="default" w:ascii="Times New Roman" w:hAnsi="Times New Roman" w:cs="Times New Roman"/>
                <w:smallCaps w:val="0"/>
                <w:color w:val="auto"/>
                <w:spacing w:val="0"/>
                <w:highlight w:val="none"/>
                <w:lang w:val="en-US" w:eastAsia="zh-CN"/>
              </w:rPr>
              <w:t>。</w:t>
            </w:r>
          </w:p>
          <w:p w14:paraId="703D1C6B">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val="en-US" w:eastAsia="zh-CN"/>
              </w:rPr>
            </w:pPr>
            <w:r>
              <w:rPr>
                <w:rFonts w:hint="default" w:ascii="Times New Roman" w:hAnsi="Times New Roman" w:cs="Times New Roman"/>
                <w:smallCaps w:val="0"/>
                <w:color w:val="auto"/>
                <w:spacing w:val="0"/>
                <w:highlight w:val="none"/>
                <w:lang w:val="en-US" w:eastAsia="zh-CN"/>
              </w:rPr>
              <w:t>2</w:t>
            </w:r>
            <w:r>
              <w:rPr>
                <w:rFonts w:hint="default" w:ascii="Times New Roman" w:hAnsi="Times New Roman" w:cs="Times New Roman"/>
                <w:smallCaps w:val="0"/>
                <w:color w:val="auto"/>
                <w:spacing w:val="0"/>
                <w:highlight w:val="none"/>
              </w:rPr>
              <w:t>）</w:t>
            </w:r>
            <w:r>
              <w:rPr>
                <w:rFonts w:hint="eastAsia" w:cs="Times New Roman"/>
                <w:smallCaps w:val="0"/>
                <w:color w:val="auto"/>
                <w:spacing w:val="0"/>
                <w:highlight w:val="none"/>
                <w:lang w:val="en-US" w:eastAsia="zh-CN"/>
              </w:rPr>
              <w:t>废塑料边角料</w:t>
            </w:r>
          </w:p>
          <w:p w14:paraId="342D1D06">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注塑时会有少量的边角料产生，产生量为0.1t/a，收集后外售。</w:t>
            </w:r>
          </w:p>
          <w:p w14:paraId="5D9B0DA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rPr>
            </w:pPr>
            <w:r>
              <w:rPr>
                <w:rFonts w:hint="eastAsia" w:cs="Times New Roman"/>
                <w:smallCaps w:val="0"/>
                <w:color w:val="auto"/>
                <w:spacing w:val="0"/>
                <w:highlight w:val="none"/>
                <w:lang w:val="en-US" w:eastAsia="zh-CN"/>
              </w:rPr>
              <w:t>3）不合格品</w:t>
            </w:r>
          </w:p>
          <w:p w14:paraId="424EF556">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 xml:space="preserve">检验过程会有少量汽车塑料配件不合格品产生，产生量为0.1t/a，收集后外售。 </w:t>
            </w:r>
          </w:p>
          <w:p w14:paraId="30F484BC">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4）金属下脚料</w:t>
            </w:r>
          </w:p>
          <w:p w14:paraId="3A700842">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剪板过程会有少量金属下脚料产生，产生量为0.03t/a，收集后外售。</w:t>
            </w:r>
          </w:p>
          <w:p w14:paraId="1BAB72CC">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5）不合格电极片</w:t>
            </w:r>
          </w:p>
          <w:p w14:paraId="5C577E2D">
            <w:pPr>
              <w:pStyle w:val="172"/>
              <w:keepNext w:val="0"/>
              <w:keepLines w:val="0"/>
              <w:suppressLineNumbers w:val="0"/>
              <w:spacing w:before="0" w:beforeAutospacing="0" w:after="0" w:afterAutospacing="0"/>
              <w:ind w:left="0" w:right="0" w:firstLine="480"/>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检验过程会有少量不合格电极片产生，产生量为0.03t/a，收集后外售。</w:t>
            </w:r>
          </w:p>
          <w:p w14:paraId="52DE04D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6</w:t>
            </w:r>
            <w:r>
              <w:rPr>
                <w:rFonts w:hint="default" w:ascii="Times New Roman" w:hAnsi="Times New Roman" w:cs="Times New Roman"/>
                <w:smallCaps w:val="0"/>
                <w:color w:val="auto"/>
                <w:spacing w:val="0"/>
                <w:highlight w:val="none"/>
                <w:lang w:eastAsia="zh-CN"/>
              </w:rPr>
              <w:t>）</w:t>
            </w:r>
            <w:r>
              <w:rPr>
                <w:rFonts w:hint="eastAsia" w:cs="Times New Roman"/>
                <w:smallCaps w:val="0"/>
                <w:color w:val="auto"/>
                <w:spacing w:val="0"/>
                <w:highlight w:val="none"/>
                <w:lang w:val="en-US" w:eastAsia="zh-CN"/>
              </w:rPr>
              <w:t>废布袋、除尘灰、废活性炭、废切削液、废切削液桶、含油金属屑、废润滑油、废润滑油桶、含油抹布及废劳保用品</w:t>
            </w:r>
          </w:p>
          <w:p w14:paraId="7B73FE06">
            <w:pPr>
              <w:pStyle w:val="172"/>
              <w:keepNext w:val="0"/>
              <w:keepLines w:val="0"/>
              <w:suppressLineNumbers w:val="0"/>
              <w:spacing w:before="0" w:beforeAutospacing="0" w:after="0" w:afterAutospacing="0"/>
              <w:ind w:left="0" w:right="0"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《国家危险废物名录》（2025年版）</w:t>
            </w:r>
            <w:r>
              <w:rPr>
                <w:rFonts w:hint="default" w:ascii="Times New Roman" w:hAnsi="Times New Roman" w:cs="Times New Roman"/>
                <w:color w:val="auto"/>
                <w:sz w:val="24"/>
                <w:highlight w:val="none"/>
              </w:rPr>
              <w:t>，设备维护产生的废润滑油（废物类别：HW08废矿物油与含矿物油废物；行业来源：非特定行业；废物代码：900-217-08）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废润滑油桶（废物类别：HW08废矿物油与含矿物油废物；行业来源：非特定行业；废物代码：900-249-08）</w:t>
            </w:r>
            <w:r>
              <w:rPr>
                <w:rFonts w:hint="eastAsia" w:cs="Times New Roman"/>
                <w:color w:val="auto"/>
                <w:sz w:val="24"/>
                <w:highlight w:val="none"/>
                <w:lang w:eastAsia="zh-CN"/>
              </w:rPr>
              <w:t>；</w:t>
            </w:r>
            <w:r>
              <w:rPr>
                <w:rFonts w:hint="eastAsia" w:cs="Times New Roman"/>
                <w:color w:val="auto"/>
                <w:sz w:val="24"/>
                <w:highlight w:val="none"/>
                <w:lang w:val="en-US" w:eastAsia="zh-CN"/>
              </w:rPr>
              <w:t>含油抹布及废劳保用品（废物类别：</w:t>
            </w:r>
            <w:r>
              <w:rPr>
                <w:rFonts w:hint="default" w:ascii="Times New Roman" w:hAnsi="Times New Roman" w:cs="Times New Roman"/>
                <w:color w:val="auto"/>
                <w:sz w:val="24"/>
                <w:highlight w:val="none"/>
              </w:rPr>
              <w:t>HW</w:t>
            </w:r>
            <w:r>
              <w:rPr>
                <w:rFonts w:hint="eastAsia" w:cs="Times New Roman"/>
                <w:color w:val="auto"/>
                <w:sz w:val="24"/>
                <w:highlight w:val="none"/>
                <w:lang w:val="en-US" w:eastAsia="zh-CN"/>
              </w:rPr>
              <w:t>49其他废物</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行业来源：非特定行业；废物代码9</w:t>
            </w:r>
            <w:r>
              <w:rPr>
                <w:rFonts w:hint="eastAsia" w:cs="Times New Roman"/>
                <w:color w:val="auto"/>
                <w:sz w:val="24"/>
                <w:highlight w:val="none"/>
                <w:lang w:val="en-US" w:eastAsia="zh-CN"/>
              </w:rPr>
              <w:t>00-041-49）；废布袋（废物类别：</w:t>
            </w:r>
            <w:r>
              <w:rPr>
                <w:rFonts w:hint="default" w:ascii="Times New Roman" w:hAnsi="Times New Roman" w:cs="Times New Roman"/>
                <w:color w:val="auto"/>
                <w:sz w:val="24"/>
                <w:highlight w:val="none"/>
              </w:rPr>
              <w:t>HW</w:t>
            </w:r>
            <w:r>
              <w:rPr>
                <w:rFonts w:hint="eastAsia" w:cs="Times New Roman"/>
                <w:color w:val="auto"/>
                <w:sz w:val="24"/>
                <w:highlight w:val="none"/>
                <w:lang w:val="en-US" w:eastAsia="zh-CN"/>
              </w:rPr>
              <w:t>49其他废物</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行业来源：非特定行业；废物代码9</w:t>
            </w:r>
            <w:r>
              <w:rPr>
                <w:rFonts w:hint="eastAsia" w:cs="Times New Roman"/>
                <w:color w:val="auto"/>
                <w:sz w:val="24"/>
                <w:highlight w:val="none"/>
                <w:lang w:val="en-US" w:eastAsia="zh-CN"/>
              </w:rPr>
              <w:t>00-041-49）；除尘灰（废物类别：</w:t>
            </w:r>
            <w:r>
              <w:rPr>
                <w:rFonts w:hint="default" w:ascii="Times New Roman" w:hAnsi="Times New Roman" w:cs="Times New Roman"/>
                <w:color w:val="auto"/>
                <w:sz w:val="24"/>
                <w:highlight w:val="none"/>
              </w:rPr>
              <w:t>HW</w:t>
            </w:r>
            <w:r>
              <w:rPr>
                <w:rFonts w:hint="eastAsia" w:cs="Times New Roman"/>
                <w:color w:val="auto"/>
                <w:sz w:val="24"/>
                <w:highlight w:val="none"/>
                <w:lang w:val="en-US" w:eastAsia="zh-CN"/>
              </w:rPr>
              <w:t>49其他废物</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行业来源：非特定行业；废物代码9</w:t>
            </w:r>
            <w:r>
              <w:rPr>
                <w:rFonts w:hint="eastAsia" w:cs="Times New Roman"/>
                <w:color w:val="auto"/>
                <w:sz w:val="24"/>
                <w:highlight w:val="none"/>
                <w:lang w:val="en-US" w:eastAsia="zh-CN"/>
              </w:rPr>
              <w:t>00-041-49）；废活性炭（废物类别：</w:t>
            </w:r>
            <w:r>
              <w:rPr>
                <w:rFonts w:hint="default" w:ascii="Times New Roman" w:hAnsi="Times New Roman" w:cs="Times New Roman"/>
                <w:color w:val="auto"/>
                <w:sz w:val="24"/>
                <w:highlight w:val="none"/>
              </w:rPr>
              <w:t>HW</w:t>
            </w:r>
            <w:r>
              <w:rPr>
                <w:rFonts w:hint="eastAsia" w:cs="Times New Roman"/>
                <w:color w:val="auto"/>
                <w:sz w:val="24"/>
                <w:highlight w:val="none"/>
                <w:lang w:val="en-US" w:eastAsia="zh-CN"/>
              </w:rPr>
              <w:t>49其他废物</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行业来源：非特定行业；废物代码9</w:t>
            </w:r>
            <w:r>
              <w:rPr>
                <w:rFonts w:hint="eastAsia" w:cs="Times New Roman"/>
                <w:color w:val="auto"/>
                <w:sz w:val="24"/>
                <w:highlight w:val="none"/>
                <w:lang w:val="en-US" w:eastAsia="zh-CN"/>
              </w:rPr>
              <w:t>00-039-49）、废切削液（废物类别：</w:t>
            </w:r>
            <w:r>
              <w:rPr>
                <w:rFonts w:hint="default" w:ascii="Times New Roman" w:hAnsi="Times New Roman" w:cs="Times New Roman"/>
                <w:color w:val="auto"/>
                <w:sz w:val="24"/>
                <w:highlight w:val="none"/>
              </w:rPr>
              <w:t>HW09油/水、烃/水混合物或者乳化液；</w:t>
            </w:r>
            <w:r>
              <w:rPr>
                <w:rFonts w:hint="eastAsia" w:ascii="Times New Roman" w:hAnsi="Times New Roman" w:cs="Times New Roman"/>
                <w:color w:val="auto"/>
                <w:sz w:val="24"/>
                <w:highlight w:val="none"/>
                <w:lang w:val="en-US" w:eastAsia="zh-CN"/>
              </w:rPr>
              <w:t>行业来源：非特定行业；废物代码900-006-09</w:t>
            </w:r>
            <w:r>
              <w:rPr>
                <w:rFonts w:hint="eastAsia" w:cs="Times New Roman"/>
                <w:color w:val="auto"/>
                <w:sz w:val="24"/>
                <w:highlight w:val="none"/>
                <w:lang w:val="en-US" w:eastAsia="zh-CN"/>
              </w:rPr>
              <w:t>）；废切削液桶（废物类别：</w:t>
            </w:r>
            <w:r>
              <w:rPr>
                <w:rFonts w:hint="default" w:ascii="Times New Roman" w:hAnsi="Times New Roman" w:cs="Times New Roman"/>
                <w:color w:val="auto"/>
                <w:sz w:val="24"/>
                <w:highlight w:val="none"/>
              </w:rPr>
              <w:t>HW</w:t>
            </w:r>
            <w:r>
              <w:rPr>
                <w:rFonts w:hint="eastAsia" w:cs="Times New Roman"/>
                <w:color w:val="auto"/>
                <w:sz w:val="24"/>
                <w:highlight w:val="none"/>
                <w:lang w:val="en-US" w:eastAsia="zh-CN"/>
              </w:rPr>
              <w:t>49其他废物</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行业来源：非特定行业；废物代码9</w:t>
            </w:r>
            <w:r>
              <w:rPr>
                <w:rFonts w:hint="eastAsia" w:cs="Times New Roman"/>
                <w:color w:val="auto"/>
                <w:sz w:val="24"/>
                <w:highlight w:val="none"/>
                <w:lang w:val="en-US" w:eastAsia="zh-CN"/>
              </w:rPr>
              <w:t>00-041-49）；含油金属屑（废物类别：</w:t>
            </w:r>
            <w:r>
              <w:rPr>
                <w:rFonts w:hint="default" w:ascii="Times New Roman" w:hAnsi="Times New Roman" w:cs="Times New Roman"/>
                <w:color w:val="auto"/>
                <w:sz w:val="24"/>
                <w:highlight w:val="none"/>
              </w:rPr>
              <w:t>HW08废矿物油与含矿物油废物；</w:t>
            </w:r>
            <w:r>
              <w:rPr>
                <w:rFonts w:hint="eastAsia" w:ascii="Times New Roman" w:hAnsi="Times New Roman" w:cs="Times New Roman"/>
                <w:color w:val="auto"/>
                <w:sz w:val="24"/>
                <w:highlight w:val="none"/>
                <w:lang w:val="en-US" w:eastAsia="zh-CN"/>
              </w:rPr>
              <w:t>行业来源：非特定行业；废物代码900-200-08</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均属于危险废物。</w:t>
            </w:r>
          </w:p>
          <w:p w14:paraId="7390B6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根据《</w:t>
            </w:r>
            <w:r>
              <w:rPr>
                <w:rFonts w:hint="eastAsia" w:ascii="Times New Roman" w:hAnsi="Times New Roman" w:eastAsia="宋体" w:cs="Times New Roman"/>
                <w:color w:val="auto"/>
                <w:sz w:val="24"/>
                <w:szCs w:val="20"/>
                <w:highlight w:val="none"/>
                <w:lang w:val="en-US" w:eastAsia="zh-CN"/>
              </w:rPr>
              <w:t>河北省涉VOCS工业企业常用治理技术指南</w:t>
            </w: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（冀环应急[2022]140号）、</w:t>
            </w:r>
            <w:r>
              <w:rPr>
                <w:rFonts w:hint="default" w:ascii="Times New Roman" w:hAnsi="Times New Roman" w:eastAsia="宋体" w:cs="Times New Roman"/>
                <w:color w:val="auto"/>
                <w:sz w:val="24"/>
                <w:szCs w:val="20"/>
                <w:highlight w:val="none"/>
                <w:lang w:val="en-US" w:eastAsia="zh-CN"/>
              </w:rPr>
              <w:fldChar w:fldCharType="begin"/>
            </w:r>
            <w:r>
              <w:rPr>
                <w:rFonts w:hint="default" w:ascii="Times New Roman" w:hAnsi="Times New Roman" w:eastAsia="宋体" w:cs="Times New Roman"/>
                <w:color w:val="auto"/>
                <w:sz w:val="24"/>
                <w:szCs w:val="20"/>
                <w:highlight w:val="none"/>
                <w:lang w:val="en-US" w:eastAsia="zh-CN"/>
              </w:rPr>
              <w:instrText xml:space="preserve"> HYPERLINK "http://mp.weixin.qq.com/s?src=11&amp;timestamp=1716271312&amp;ver=5273&amp;signature=8gACGz4yWQlXuVsf3r6RAUHJHzn4tTDTVA5t7uoYCv1WIO**3w8Bx8ICDst6AEZSIteJuyXaKnqdwAe5CMpFON24-Wm4gHSxL6*dYSF635YsxGGwNtUEAymJKC7Rn--W&amp;new=1" \t "https://www.sogou.com/_blank" </w:instrText>
            </w:r>
            <w:r>
              <w:rPr>
                <w:rFonts w:hint="default" w:ascii="Times New Roman" w:hAnsi="Times New Roman" w:eastAsia="宋体" w:cs="Times New Roman"/>
                <w:color w:val="auto"/>
                <w:sz w:val="24"/>
                <w:szCs w:val="20"/>
                <w:highlight w:val="none"/>
                <w:lang w:val="en-US" w:eastAsia="zh-CN"/>
              </w:rPr>
              <w:fldChar w:fldCharType="separate"/>
            </w: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石家庄市涉VOCs企业活性炭吸附脱附技术指南》</w:t>
            </w:r>
            <w:r>
              <w:rPr>
                <w:rFonts w:hint="default" w:ascii="Times New Roman" w:hAnsi="Times New Roman" w:eastAsia="宋体" w:cs="Times New Roman"/>
                <w:color w:val="auto"/>
                <w:sz w:val="24"/>
                <w:szCs w:val="20"/>
                <w:highlight w:val="none"/>
                <w:lang w:val="en-US" w:eastAsia="zh-CN"/>
              </w:rPr>
              <w:fldChar w:fldCharType="end"/>
            </w:r>
            <w:r>
              <w:rPr>
                <w:rFonts w:hint="eastAsia" w:cs="Times New Roman"/>
                <w:color w:val="auto"/>
                <w:sz w:val="24"/>
                <w:szCs w:val="20"/>
                <w:highlight w:val="none"/>
                <w:lang w:val="en-US" w:eastAsia="zh-CN"/>
              </w:rPr>
              <w:t>、《石家庄市2025年挥发性有机物治理工作实施方案的通知》</w:t>
            </w:r>
            <w:r>
              <w:rPr>
                <w:rFonts w:hint="default"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颗粒</w:t>
            </w:r>
            <w:r>
              <w:rPr>
                <w:rFonts w:hint="default" w:ascii="Times New Roman" w:hAnsi="Times New Roman" w:eastAsia="宋体" w:cs="Times New Roman"/>
                <w:color w:val="auto"/>
                <w:sz w:val="24"/>
                <w:szCs w:val="20"/>
                <w:highlight w:val="none"/>
                <w:lang w:val="en-US" w:eastAsia="zh-CN"/>
              </w:rPr>
              <w:t>活性炭每小时废气量体积比应不小于1</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5000</w:t>
            </w:r>
            <w:r>
              <w:rPr>
                <w:rFonts w:hint="default" w:ascii="Times New Roman" w:hAnsi="Times New Roman" w:eastAsia="宋体" w:cs="Times New Roman"/>
                <w:color w:val="auto"/>
                <w:sz w:val="24"/>
                <w:szCs w:val="20"/>
                <w:highlight w:val="none"/>
                <w:lang w:val="en-US" w:eastAsia="zh-CN"/>
              </w:rPr>
              <w:t>、活性炭碘值≥800mg/g。项目</w:t>
            </w:r>
            <w:r>
              <w:rPr>
                <w:rFonts w:hint="eastAsia" w:cs="Times New Roman"/>
                <w:color w:val="auto"/>
                <w:sz w:val="24"/>
                <w:szCs w:val="20"/>
                <w:highlight w:val="none"/>
                <w:lang w:val="en-US" w:eastAsia="zh-CN"/>
              </w:rPr>
              <w:t>DA002</w:t>
            </w:r>
            <w:r>
              <w:rPr>
                <w:rFonts w:hint="default" w:ascii="Times New Roman" w:hAnsi="Times New Roman" w:eastAsia="宋体" w:cs="Times New Roman"/>
                <w:color w:val="auto"/>
                <w:sz w:val="24"/>
                <w:szCs w:val="20"/>
                <w:highlight w:val="none"/>
                <w:lang w:val="en-US" w:eastAsia="zh-CN"/>
              </w:rPr>
              <w:t>废气量为</w:t>
            </w:r>
            <w:r>
              <w:rPr>
                <w:rFonts w:hint="eastAsia" w:cs="Times New Roman"/>
                <w:color w:val="auto"/>
                <w:sz w:val="24"/>
                <w:szCs w:val="20"/>
                <w:highlight w:val="none"/>
                <w:lang w:val="en-US" w:eastAsia="zh-CN"/>
              </w:rPr>
              <w:t>10</w:t>
            </w:r>
            <w:r>
              <w:rPr>
                <w:rFonts w:hint="eastAsia" w:ascii="Times New Roman" w:hAnsi="Times New Roman" w:cs="Times New Roman"/>
                <w:color w:val="auto"/>
                <w:sz w:val="24"/>
                <w:szCs w:val="20"/>
                <w:highlight w:val="none"/>
                <w:lang w:val="en-US" w:eastAsia="zh-CN"/>
              </w:rPr>
              <w:t>000</w:t>
            </w:r>
            <w:r>
              <w:rPr>
                <w:rFonts w:hint="default" w:ascii="Times New Roman" w:hAnsi="Times New Roman" w:eastAsia="宋体" w:cs="Times New Roman"/>
                <w:color w:val="auto"/>
                <w:sz w:val="24"/>
                <w:szCs w:val="20"/>
                <w:highlight w:val="none"/>
                <w:lang w:val="en-US" w:eastAsia="zh-CN"/>
              </w:rPr>
              <w:t>m</w:t>
            </w:r>
            <w:r>
              <w:rPr>
                <w:rFonts w:hint="default" w:ascii="Times New Roman" w:hAnsi="Times New Roman" w:eastAsia="宋体"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/h</w:t>
            </w:r>
            <w:r>
              <w:rPr>
                <w:rFonts w:hint="eastAsia"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bCs/>
                <w:color w:val="auto"/>
                <w:sz w:val="24"/>
                <w:szCs w:val="24"/>
                <w:highlight w:val="none"/>
                <w:lang w:val="en-US" w:eastAsia="zh-CN"/>
              </w:rPr>
              <w:t>需要活性炭</w:t>
            </w:r>
            <w:r>
              <w:rPr>
                <w:rFonts w:hint="eastAsia"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。项目采取“两级活性炭吸附设备”，</w:t>
            </w:r>
            <w:r>
              <w:rPr>
                <w:rFonts w:hint="default" w:ascii="Times New Roman" w:hAnsi="Times New Roman" w:eastAsia="宋体" w:cs="Times New Roman"/>
                <w:bCs/>
                <w:color w:val="auto"/>
                <w:sz w:val="24"/>
                <w:szCs w:val="24"/>
                <w:highlight w:val="none"/>
                <w:lang w:val="en-US" w:eastAsia="zh-CN"/>
              </w:rPr>
              <w:t>则需要活性炭</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color w:val="auto"/>
                <w:sz w:val="24"/>
                <w:szCs w:val="20"/>
                <w:highlight w:val="none"/>
                <w:lang w:val="en-US" w:eastAsia="zh-CN"/>
              </w:rPr>
              <w:t>活性炭密度为650kg/m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vertAlign w:val="baseline"/>
                <w:lang w:val="en-US" w:eastAsia="zh-CN"/>
              </w:rPr>
              <w:t>，</w:t>
            </w:r>
            <w:r>
              <w:rPr>
                <w:rFonts w:hint="eastAsia" w:ascii="Times New Roman" w:hAnsi="Times New Roman" w:eastAsia="宋体" w:cs="Times New Roman"/>
                <w:color w:val="auto"/>
                <w:sz w:val="24"/>
                <w:szCs w:val="20"/>
                <w:highlight w:val="none"/>
                <w:lang w:val="en-US" w:eastAsia="zh-CN"/>
              </w:rPr>
              <w:t>因此</w:t>
            </w:r>
            <w:r>
              <w:rPr>
                <w:rFonts w:hint="eastAsia" w:ascii="Times New Roman" w:hAnsi="Times New Roman" w:eastAsia="宋体" w:cs="Times New Roman"/>
                <w:bCs/>
                <w:color w:val="auto"/>
                <w:sz w:val="24"/>
                <w:szCs w:val="24"/>
                <w:highlight w:val="none"/>
                <w:lang w:val="en-US" w:eastAsia="zh-CN"/>
              </w:rPr>
              <w:t>“两级活性炭吸附设备”</w:t>
            </w:r>
            <w:r>
              <w:rPr>
                <w:rFonts w:hint="eastAsia" w:ascii="Times New Roman" w:hAnsi="Times New Roman" w:eastAsia="宋体" w:cs="Times New Roman"/>
                <w:color w:val="auto"/>
                <w:sz w:val="24"/>
                <w:szCs w:val="20"/>
                <w:highlight w:val="none"/>
                <w:lang w:val="en-US" w:eastAsia="zh-CN"/>
              </w:rPr>
              <w:t>填充量为</w:t>
            </w:r>
            <w:r>
              <w:rPr>
                <w:rFonts w:hint="eastAsia" w:cs="Times New Roman"/>
                <w:color w:val="auto"/>
                <w:sz w:val="24"/>
                <w:szCs w:val="20"/>
                <w:highlight w:val="none"/>
                <w:lang w:val="en-US" w:eastAsia="zh-CN"/>
              </w:rPr>
              <w:t>2.6</w:t>
            </w:r>
            <w:r>
              <w:rPr>
                <w:rFonts w:hint="eastAsia" w:ascii="Times New Roman" w:hAnsi="Times New Roman" w:eastAsia="宋体" w:cs="Times New Roman"/>
                <w:color w:val="auto"/>
                <w:sz w:val="24"/>
                <w:szCs w:val="20"/>
                <w:highlight w:val="none"/>
                <w:lang w:val="en-US" w:eastAsia="zh-CN"/>
              </w:rPr>
              <w:t>t；</w:t>
            </w:r>
          </w:p>
          <w:p w14:paraId="49E26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根据活性炭更换周期计算公式：</w:t>
            </w:r>
          </w:p>
          <w:p w14:paraId="2E618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jc w:val="center"/>
              <w:textAlignment w:val="auto"/>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T=G×10%×10</w:t>
            </w:r>
            <w:r>
              <w:rPr>
                <w:rFonts w:hint="eastAsia" w:ascii="Times New Roman" w:hAnsi="Times New Roman" w:eastAsia="宋体" w:cs="Times New Roman"/>
                <w:color w:val="auto"/>
                <w:sz w:val="24"/>
                <w:szCs w:val="20"/>
                <w:highlight w:val="none"/>
                <w:vertAlign w:val="superscript"/>
                <w:lang w:val="en-US" w:eastAsia="zh-CN"/>
              </w:rPr>
              <w:t>9</w:t>
            </w:r>
            <w:r>
              <w:rPr>
                <w:rFonts w:hint="eastAsia" w:ascii="Times New Roman" w:hAnsi="Times New Roman" w:eastAsia="宋体" w:cs="Times New Roman"/>
                <w:color w:val="auto"/>
                <w:sz w:val="24"/>
                <w:szCs w:val="20"/>
                <w:highlight w:val="none"/>
                <w:lang w:val="en-US" w:eastAsia="zh-CN"/>
              </w:rPr>
              <w:t>÷（C×Q×T</w:t>
            </w:r>
            <w:r>
              <w:rPr>
                <w:rFonts w:hint="eastAsia" w:ascii="Times New Roman" w:hAnsi="Times New Roman" w:eastAsia="宋体" w:cs="Times New Roman"/>
                <w:color w:val="auto"/>
                <w:sz w:val="24"/>
                <w:szCs w:val="20"/>
                <w:highlight w:val="none"/>
                <w:vertAlign w:val="subscript"/>
                <w:lang w:val="en-US" w:eastAsia="zh-CN"/>
              </w:rPr>
              <w:t>1</w:t>
            </w:r>
            <w:r>
              <w:rPr>
                <w:rFonts w:hint="eastAsia" w:ascii="Times New Roman" w:hAnsi="Times New Roman" w:eastAsia="宋体" w:cs="Times New Roman"/>
                <w:color w:val="auto"/>
                <w:sz w:val="24"/>
                <w:szCs w:val="20"/>
                <w:highlight w:val="none"/>
                <w:lang w:val="en-US" w:eastAsia="zh-CN"/>
              </w:rPr>
              <w:t>）</w:t>
            </w:r>
          </w:p>
          <w:p w14:paraId="30C06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式中：T——更换周期，d；</w:t>
            </w:r>
          </w:p>
          <w:p w14:paraId="42EE66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1200" w:firstLineChars="500"/>
              <w:textAlignment w:val="auto"/>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G——活性炭的重量，t；项目取值</w:t>
            </w:r>
            <w:r>
              <w:rPr>
                <w:rFonts w:hint="eastAsia" w:cs="Times New Roman"/>
                <w:color w:val="auto"/>
                <w:sz w:val="24"/>
                <w:szCs w:val="20"/>
                <w:highlight w:val="none"/>
                <w:lang w:val="en-US" w:eastAsia="zh-CN"/>
              </w:rPr>
              <w:t>2.6</w:t>
            </w:r>
            <w:r>
              <w:rPr>
                <w:rFonts w:hint="eastAsia" w:ascii="Times New Roman" w:hAnsi="Times New Roman" w:eastAsia="宋体" w:cs="Times New Roman"/>
                <w:color w:val="auto"/>
                <w:sz w:val="24"/>
                <w:szCs w:val="20"/>
                <w:highlight w:val="none"/>
                <w:lang w:val="en-US" w:eastAsia="zh-CN"/>
              </w:rPr>
              <w:t>t；</w:t>
            </w:r>
          </w:p>
          <w:p w14:paraId="7F336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1200" w:firstLineChars="5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0"/>
                <w:highlight w:val="none"/>
                <w:lang w:val="en-US" w:eastAsia="zh-CN"/>
              </w:rPr>
              <w:t>C——废气</w:t>
            </w:r>
            <w:r>
              <w:rPr>
                <w:rFonts w:hint="eastAsia" w:cs="Times New Roman"/>
                <w:color w:val="auto"/>
                <w:sz w:val="24"/>
                <w:szCs w:val="20"/>
                <w:highlight w:val="none"/>
                <w:lang w:val="en-US" w:eastAsia="zh-CN"/>
              </w:rPr>
              <w:t>去除</w:t>
            </w:r>
            <w:r>
              <w:rPr>
                <w:rFonts w:hint="eastAsia" w:ascii="Times New Roman" w:hAnsi="Times New Roman" w:eastAsia="宋体" w:cs="Times New Roman"/>
                <w:color w:val="auto"/>
                <w:sz w:val="24"/>
                <w:szCs w:val="20"/>
                <w:highlight w:val="none"/>
                <w:lang w:val="en-US" w:eastAsia="zh-CN"/>
              </w:rPr>
              <w:t>浓度，mg/m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lang w:val="en-US" w:eastAsia="zh-CN"/>
              </w:rPr>
              <w:t>；项目</w:t>
            </w:r>
            <w:r>
              <w:rPr>
                <w:rFonts w:hint="eastAsia" w:ascii="Times New Roman" w:hAnsi="Times New Roman" w:eastAsia="宋体" w:cs="Times New Roman"/>
                <w:bCs/>
                <w:color w:val="auto"/>
                <w:sz w:val="24"/>
                <w:szCs w:val="24"/>
                <w:highlight w:val="none"/>
                <w:lang w:val="en-US" w:eastAsia="zh-CN"/>
              </w:rPr>
              <w:t>非甲烷总烃</w:t>
            </w:r>
            <w:r>
              <w:rPr>
                <w:rFonts w:hint="eastAsia" w:cs="Times New Roman"/>
                <w:bCs/>
                <w:color w:val="auto"/>
                <w:sz w:val="24"/>
                <w:szCs w:val="24"/>
                <w:highlight w:val="none"/>
                <w:lang w:val="en-US" w:eastAsia="zh-CN"/>
              </w:rPr>
              <w:t>去除</w:t>
            </w:r>
            <w:r>
              <w:rPr>
                <w:rFonts w:hint="eastAsia" w:ascii="Times New Roman" w:hAnsi="Times New Roman" w:eastAsia="宋体" w:cs="Times New Roman"/>
                <w:bCs/>
                <w:color w:val="auto"/>
                <w:sz w:val="24"/>
                <w:szCs w:val="24"/>
                <w:highlight w:val="none"/>
                <w:lang w:val="en-US" w:eastAsia="zh-CN"/>
              </w:rPr>
              <w:t>浓度</w:t>
            </w:r>
            <w:r>
              <w:rPr>
                <w:rFonts w:hint="eastAsia" w:cs="Times New Roman"/>
                <w:color w:val="auto"/>
                <w:sz w:val="24"/>
                <w:szCs w:val="20"/>
                <w:highlight w:val="none"/>
                <w:lang w:val="en-US" w:eastAsia="zh-CN"/>
              </w:rPr>
              <w:t>6.338</w:t>
            </w:r>
            <w:r>
              <w:rPr>
                <w:rFonts w:hint="eastAsia" w:ascii="Times New Roman" w:hAnsi="Times New Roman" w:eastAsia="宋体" w:cs="Times New Roman"/>
                <w:color w:val="auto"/>
                <w:sz w:val="24"/>
                <w:szCs w:val="20"/>
                <w:highlight w:val="none"/>
                <w:lang w:val="en-US" w:eastAsia="zh-CN"/>
              </w:rPr>
              <w:t>mg/m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vertAlign w:val="baseline"/>
                <w:lang w:val="en-US" w:eastAsia="zh-CN"/>
              </w:rPr>
              <w:t>；</w:t>
            </w:r>
          </w:p>
          <w:p w14:paraId="558D58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1200" w:firstLineChars="500"/>
              <w:textAlignment w:val="auto"/>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Q——风量，单位m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lang w:val="en-US" w:eastAsia="zh-CN"/>
              </w:rPr>
              <w:t>/h；项目取值</w:t>
            </w:r>
            <w:r>
              <w:rPr>
                <w:rFonts w:hint="eastAsia" w:cs="Times New Roman"/>
                <w:color w:val="auto"/>
                <w:sz w:val="24"/>
                <w:szCs w:val="20"/>
                <w:highlight w:val="none"/>
                <w:lang w:val="en-US" w:eastAsia="zh-CN"/>
              </w:rPr>
              <w:t>10</w:t>
            </w:r>
            <w:r>
              <w:rPr>
                <w:rFonts w:hint="eastAsia" w:ascii="Times New Roman" w:hAnsi="Times New Roman" w:cs="Times New Roman"/>
                <w:color w:val="auto"/>
                <w:sz w:val="24"/>
                <w:szCs w:val="20"/>
                <w:highlight w:val="none"/>
                <w:lang w:val="en-US" w:eastAsia="zh-CN"/>
              </w:rPr>
              <w:t>000</w:t>
            </w:r>
            <w:r>
              <w:rPr>
                <w:rFonts w:hint="eastAsia" w:ascii="Times New Roman" w:hAnsi="Times New Roman" w:eastAsia="宋体" w:cs="Times New Roman"/>
                <w:color w:val="auto"/>
                <w:sz w:val="24"/>
                <w:szCs w:val="20"/>
                <w:highlight w:val="none"/>
                <w:lang w:val="en-US" w:eastAsia="zh-CN"/>
              </w:rPr>
              <w:t>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lang w:val="en-US" w:eastAsia="zh-CN"/>
              </w:rPr>
              <w:t>/h；</w:t>
            </w:r>
          </w:p>
          <w:p w14:paraId="716B2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1200" w:firstLineChars="500"/>
              <w:textAlignment w:val="auto"/>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T</w:t>
            </w:r>
            <w:r>
              <w:rPr>
                <w:rFonts w:hint="eastAsia" w:ascii="Times New Roman" w:hAnsi="Times New Roman" w:eastAsia="宋体" w:cs="Times New Roman"/>
                <w:color w:val="auto"/>
                <w:sz w:val="24"/>
                <w:szCs w:val="20"/>
                <w:highlight w:val="none"/>
                <w:vertAlign w:val="subscript"/>
                <w:lang w:val="en-US" w:eastAsia="zh-CN"/>
              </w:rPr>
              <w:t>1</w:t>
            </w:r>
            <w:r>
              <w:rPr>
                <w:rFonts w:hint="eastAsia" w:ascii="Times New Roman" w:hAnsi="Times New Roman" w:eastAsia="宋体" w:cs="Times New Roman"/>
                <w:color w:val="auto"/>
                <w:sz w:val="24"/>
                <w:szCs w:val="20"/>
                <w:highlight w:val="none"/>
                <w:lang w:val="en-US" w:eastAsia="zh-CN"/>
              </w:rPr>
              <w:t>——运行时间，单位h/d；项目取值</w:t>
            </w:r>
            <w:r>
              <w:rPr>
                <w:rFonts w:hint="eastAsia" w:cs="Times New Roman"/>
                <w:color w:val="auto"/>
                <w:sz w:val="24"/>
                <w:szCs w:val="20"/>
                <w:highlight w:val="none"/>
                <w:lang w:val="en-US" w:eastAsia="zh-CN"/>
              </w:rPr>
              <w:t>16</w:t>
            </w:r>
            <w:r>
              <w:rPr>
                <w:rFonts w:hint="eastAsia" w:ascii="Times New Roman" w:hAnsi="Times New Roman" w:eastAsia="宋体" w:cs="Times New Roman"/>
                <w:color w:val="auto"/>
                <w:sz w:val="24"/>
                <w:szCs w:val="20"/>
                <w:highlight w:val="none"/>
                <w:lang w:val="en-US" w:eastAsia="zh-CN"/>
              </w:rPr>
              <w:t>h/d。</w:t>
            </w:r>
          </w:p>
          <w:p w14:paraId="56235D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经计算可知：</w:t>
            </w:r>
          </w:p>
          <w:p w14:paraId="25237B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T</w:t>
            </w:r>
            <w:r>
              <w:rPr>
                <w:rFonts w:hint="eastAsia" w:cs="Times New Roman"/>
                <w:color w:val="auto"/>
                <w:sz w:val="24"/>
                <w:szCs w:val="20"/>
                <w:highlight w:val="none"/>
                <w:vertAlign w:val="subscript"/>
                <w:lang w:val="en-US" w:eastAsia="zh-CN"/>
              </w:rPr>
              <w:t>DA002</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2.6</w:t>
            </w:r>
            <w:r>
              <w:rPr>
                <w:rFonts w:hint="eastAsia" w:ascii="Times New Roman" w:hAnsi="Times New Roman" w:eastAsia="宋体" w:cs="Times New Roman"/>
                <w:color w:val="auto"/>
                <w:sz w:val="24"/>
                <w:szCs w:val="20"/>
                <w:highlight w:val="none"/>
                <w:lang w:val="en-US" w:eastAsia="zh-CN"/>
              </w:rPr>
              <w:t>×10%×10</w:t>
            </w:r>
            <w:r>
              <w:rPr>
                <w:rFonts w:hint="eastAsia" w:ascii="Times New Roman" w:hAnsi="Times New Roman" w:eastAsia="宋体" w:cs="Times New Roman"/>
                <w:color w:val="auto"/>
                <w:sz w:val="24"/>
                <w:szCs w:val="20"/>
                <w:highlight w:val="none"/>
                <w:vertAlign w:val="superscript"/>
                <w:lang w:val="en-US" w:eastAsia="zh-CN"/>
              </w:rPr>
              <w:t>9</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6.338</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10</w:t>
            </w:r>
            <w:r>
              <w:rPr>
                <w:rFonts w:hint="eastAsia" w:ascii="Times New Roman" w:hAnsi="Times New Roman" w:eastAsia="宋体" w:cs="Times New Roman"/>
                <w:color w:val="auto"/>
                <w:sz w:val="24"/>
                <w:szCs w:val="20"/>
                <w:highlight w:val="none"/>
                <w:lang w:val="en-US" w:eastAsia="zh-CN"/>
              </w:rPr>
              <w:t>000×</w:t>
            </w:r>
            <w:r>
              <w:rPr>
                <w:rFonts w:hint="eastAsia" w:cs="Times New Roman"/>
                <w:color w:val="auto"/>
                <w:sz w:val="24"/>
                <w:szCs w:val="20"/>
                <w:highlight w:val="none"/>
                <w:lang w:val="en-US" w:eastAsia="zh-CN"/>
              </w:rPr>
              <w:t>16</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256</w:t>
            </w:r>
            <w:r>
              <w:rPr>
                <w:rFonts w:hint="eastAsia" w:ascii="Times New Roman" w:hAnsi="Times New Roman" w:eastAsia="宋体" w:cs="Times New Roman"/>
                <w:color w:val="auto"/>
                <w:sz w:val="24"/>
                <w:szCs w:val="20"/>
                <w:highlight w:val="none"/>
                <w:lang w:val="en-US" w:eastAsia="zh-CN"/>
              </w:rPr>
              <w:t>天，</w:t>
            </w:r>
          </w:p>
          <w:p w14:paraId="3DE3C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活性炭吸附装置需定期更换活性炭，根据上述计算，</w:t>
            </w:r>
            <w:r>
              <w:rPr>
                <w:rFonts w:hint="eastAsia" w:ascii="Times New Roman" w:hAnsi="Times New Roman" w:eastAsia="宋体" w:cs="Times New Roman"/>
                <w:bCs/>
                <w:color w:val="auto"/>
                <w:sz w:val="24"/>
                <w:szCs w:val="24"/>
                <w:highlight w:val="none"/>
                <w:lang w:val="en-US" w:eastAsia="zh-CN"/>
              </w:rPr>
              <w:t>两</w:t>
            </w:r>
            <w:r>
              <w:rPr>
                <w:rFonts w:hint="eastAsia" w:ascii="Times New Roman" w:hAnsi="Times New Roman" w:eastAsia="宋体" w:cs="Times New Roman"/>
                <w:color w:val="auto"/>
                <w:sz w:val="24"/>
                <w:szCs w:val="24"/>
                <w:highlight w:val="none"/>
                <w:lang w:val="en-US" w:eastAsia="zh-CN"/>
              </w:rPr>
              <w:t>级活性碳吸附箱填充量为</w:t>
            </w:r>
            <w:r>
              <w:rPr>
                <w:rFonts w:hint="eastAsia" w:cs="Times New Roman"/>
                <w:color w:val="auto"/>
                <w:sz w:val="24"/>
                <w:szCs w:val="24"/>
                <w:highlight w:val="none"/>
                <w:lang w:val="en-US" w:eastAsia="zh-CN"/>
              </w:rPr>
              <w:t>2.6</w:t>
            </w:r>
            <w:r>
              <w:rPr>
                <w:rFonts w:hint="eastAsia" w:ascii="Times New Roman" w:hAnsi="Times New Roman" w:eastAsia="宋体" w:cs="Times New Roman"/>
                <w:color w:val="auto"/>
                <w:sz w:val="24"/>
                <w:szCs w:val="24"/>
                <w:highlight w:val="none"/>
                <w:lang w:val="en-US" w:eastAsia="zh-CN"/>
              </w:rPr>
              <w:t>t，则活性炭产生量为</w:t>
            </w:r>
            <w:r>
              <w:rPr>
                <w:rFonts w:hint="eastAsia" w:cs="Times New Roman"/>
                <w:color w:val="auto"/>
                <w:sz w:val="24"/>
                <w:szCs w:val="24"/>
                <w:highlight w:val="none"/>
                <w:lang w:val="en-US" w:eastAsia="zh-CN"/>
              </w:rPr>
              <w:t>3.047</w:t>
            </w:r>
            <w:r>
              <w:rPr>
                <w:rFonts w:hint="eastAsia"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（2.6t÷256天×300天≈3.047t）</w:t>
            </w:r>
            <w:r>
              <w:rPr>
                <w:rFonts w:hint="eastAsia" w:ascii="Times New Roman" w:hAnsi="Times New Roman" w:cs="Times New Roman"/>
                <w:color w:val="auto"/>
                <w:sz w:val="24"/>
                <w:szCs w:val="24"/>
                <w:highlight w:val="none"/>
                <w:lang w:val="en-US" w:eastAsia="zh-CN"/>
              </w:rPr>
              <w:t>，活性炭吸附量为</w:t>
            </w:r>
            <w:r>
              <w:rPr>
                <w:rFonts w:hint="eastAsia" w:cs="Times New Roman"/>
                <w:color w:val="auto"/>
                <w:sz w:val="24"/>
                <w:szCs w:val="24"/>
                <w:highlight w:val="none"/>
                <w:lang w:val="en-US" w:eastAsia="zh-CN"/>
              </w:rPr>
              <w:t>0.304</w:t>
            </w:r>
            <w:r>
              <w:rPr>
                <w:rFonts w:hint="eastAsia" w:ascii="Times New Roman" w:hAnsi="Times New Roman" w:cs="Times New Roman"/>
                <w:color w:val="auto"/>
                <w:sz w:val="24"/>
                <w:szCs w:val="24"/>
                <w:highlight w:val="none"/>
                <w:lang w:val="en-US" w:eastAsia="zh-CN"/>
              </w:rPr>
              <w:t>t，则废活性炭产生量为</w:t>
            </w:r>
            <w:r>
              <w:rPr>
                <w:rFonts w:hint="eastAsia" w:cs="Times New Roman"/>
                <w:color w:val="auto"/>
                <w:sz w:val="24"/>
                <w:szCs w:val="24"/>
                <w:highlight w:val="none"/>
                <w:lang w:val="en-US" w:eastAsia="zh-CN"/>
              </w:rPr>
              <w:t>3.351</w:t>
            </w:r>
            <w:r>
              <w:rPr>
                <w:rFonts w:hint="eastAsia" w:ascii="Times New Roman" w:hAnsi="Times New Roman"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14:paraId="6A72E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cs="Times New Roman"/>
                <w:smallCaps w:val="0"/>
                <w:color w:val="auto"/>
                <w:spacing w:val="0"/>
                <w:sz w:val="24"/>
                <w:szCs w:val="24"/>
                <w:highlight w:val="none"/>
              </w:rPr>
            </w:pPr>
            <w:r>
              <w:rPr>
                <w:rFonts w:hint="eastAsia" w:cs="Times New Roman"/>
                <w:color w:val="auto"/>
                <w:sz w:val="24"/>
                <w:szCs w:val="24"/>
                <w:highlight w:val="none"/>
                <w:lang w:val="en-US" w:eastAsia="zh-CN"/>
              </w:rPr>
              <w:t>废布袋</w:t>
            </w:r>
            <w:r>
              <w:rPr>
                <w:rFonts w:hint="eastAsia" w:ascii="Times New Roman" w:hAnsi="Times New Roman" w:eastAsia="宋体" w:cs="Times New Roman"/>
                <w:color w:val="auto"/>
                <w:sz w:val="24"/>
                <w:szCs w:val="24"/>
                <w:highlight w:val="none"/>
                <w:lang w:val="en-US" w:eastAsia="zh-CN"/>
              </w:rPr>
              <w:t>产生量为</w:t>
            </w:r>
            <w:r>
              <w:rPr>
                <w:rFonts w:hint="eastAsia" w:cs="Times New Roman"/>
                <w:color w:val="auto"/>
                <w:sz w:val="24"/>
                <w:szCs w:val="24"/>
                <w:highlight w:val="none"/>
                <w:lang w:val="en-US" w:eastAsia="zh-CN"/>
              </w:rPr>
              <w:t>0.131</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，除尘灰产生量为0.225t/a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0"/>
                <w:highlight w:val="none"/>
              </w:rPr>
              <w:t>设备维护产生的废润滑油产生量为</w:t>
            </w:r>
            <w:r>
              <w:rPr>
                <w:rFonts w:hint="eastAsia" w:cs="Times New Roman"/>
                <w:color w:val="auto"/>
                <w:sz w:val="24"/>
                <w:szCs w:val="20"/>
                <w:highlight w:val="none"/>
                <w:lang w:val="en-US" w:eastAsia="zh-CN"/>
              </w:rPr>
              <w:t>0.005</w:t>
            </w:r>
            <w:r>
              <w:rPr>
                <w:rFonts w:hint="default" w:ascii="Times New Roman" w:hAnsi="Times New Roman" w:cs="Times New Roman"/>
                <w:color w:val="auto"/>
                <w:sz w:val="24"/>
                <w:szCs w:val="20"/>
                <w:highlight w:val="none"/>
              </w:rPr>
              <w:t>t/a，废润滑油桶产生量为</w:t>
            </w:r>
            <w:r>
              <w:rPr>
                <w:rFonts w:hint="eastAsia" w:cs="Times New Roman"/>
                <w:color w:val="auto"/>
                <w:sz w:val="24"/>
                <w:szCs w:val="20"/>
                <w:highlight w:val="none"/>
                <w:lang w:val="en-US" w:eastAsia="zh-CN"/>
              </w:rPr>
              <w:t>0.001</w:t>
            </w:r>
            <w:r>
              <w:rPr>
                <w:rFonts w:hint="default" w:ascii="Times New Roman" w:hAnsi="Times New Roman" w:cs="Times New Roman"/>
                <w:color w:val="auto"/>
                <w:sz w:val="24"/>
                <w:szCs w:val="20"/>
                <w:highlight w:val="none"/>
              </w:rPr>
              <w:t>t/a</w:t>
            </w:r>
            <w:r>
              <w:rPr>
                <w:rFonts w:hint="eastAsia" w:cs="Times New Roman"/>
                <w:color w:val="auto"/>
                <w:sz w:val="24"/>
                <w:szCs w:val="20"/>
                <w:highlight w:val="none"/>
                <w:lang w:eastAsia="zh-CN"/>
              </w:rPr>
              <w:t>，含油抹布及废劳保用品</w:t>
            </w:r>
            <w:r>
              <w:rPr>
                <w:rFonts w:hint="eastAsia" w:cs="Times New Roman"/>
                <w:color w:val="auto"/>
                <w:sz w:val="24"/>
                <w:szCs w:val="20"/>
                <w:highlight w:val="none"/>
                <w:lang w:val="en-US" w:eastAsia="zh-CN"/>
              </w:rPr>
              <w:t>产生量为0.001t/a，废切削液产生量为0.005t/a，废切削液桶桶产生量为0.001t/a，含油金属屑产生量0.005t/a</w:t>
            </w:r>
            <w:r>
              <w:rPr>
                <w:rFonts w:hint="default" w:ascii="Times New Roman" w:hAnsi="Times New Roman" w:cs="Times New Roman"/>
                <w:color w:val="auto"/>
                <w:sz w:val="24"/>
                <w:szCs w:val="24"/>
                <w:highlight w:val="none"/>
              </w:rPr>
              <w:t>，</w:t>
            </w:r>
            <w:r>
              <w:rPr>
                <w:rFonts w:hint="eastAsia"/>
                <w:color w:val="auto"/>
                <w:sz w:val="24"/>
                <w:szCs w:val="24"/>
                <w:highlight w:val="none"/>
              </w:rPr>
              <w:t>分类</w:t>
            </w:r>
            <w:r>
              <w:rPr>
                <w:rFonts w:hint="eastAsia" w:ascii="Times New Roman"/>
                <w:color w:val="auto"/>
                <w:sz w:val="24"/>
                <w:szCs w:val="24"/>
                <w:highlight w:val="none"/>
                <w:lang w:val="zh-CN"/>
              </w:rPr>
              <w:t>收集后暂存于</w:t>
            </w:r>
            <w:r>
              <w:rPr>
                <w:rFonts w:hint="eastAsia"/>
                <w:color w:val="auto"/>
                <w:sz w:val="24"/>
                <w:szCs w:val="24"/>
                <w:highlight w:val="none"/>
                <w:lang w:val="zh-CN"/>
              </w:rPr>
              <w:t>危废间</w:t>
            </w:r>
            <w:r>
              <w:rPr>
                <w:rFonts w:hint="eastAsia" w:ascii="Times New Roman"/>
                <w:color w:val="auto"/>
                <w:sz w:val="24"/>
                <w:szCs w:val="24"/>
                <w:highlight w:val="none"/>
                <w:lang w:val="zh-CN"/>
              </w:rPr>
              <w:t>，定期交由有资质的单位处理</w:t>
            </w:r>
            <w:r>
              <w:rPr>
                <w:rFonts w:hint="default" w:ascii="Times New Roman" w:hAnsi="Times New Roman" w:cs="Times New Roman"/>
                <w:smallCaps w:val="0"/>
                <w:color w:val="auto"/>
                <w:spacing w:val="0"/>
                <w:sz w:val="24"/>
                <w:szCs w:val="24"/>
                <w:highlight w:val="none"/>
              </w:rPr>
              <w:t>。</w:t>
            </w:r>
          </w:p>
          <w:p w14:paraId="49B7AB11">
            <w:pPr>
              <w:pStyle w:val="172"/>
              <w:keepNext w:val="0"/>
              <w:keepLines w:val="0"/>
              <w:suppressLineNumbers w:val="0"/>
              <w:spacing w:before="0" w:beforeAutospacing="0" w:after="0" w:afterAutospacing="0"/>
              <w:ind w:left="0" w:right="0" w:firstLine="48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7</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职工生活垃圾</w:t>
            </w:r>
          </w:p>
          <w:p w14:paraId="0E57AD9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职工生活垃圾产生量按0.5kg/人·天计算，项目劳动定员</w:t>
            </w:r>
            <w:r>
              <w:rPr>
                <w:rFonts w:hint="eastAsia" w:cs="Times New Roman"/>
                <w:smallCaps w:val="0"/>
                <w:color w:val="auto"/>
                <w:spacing w:val="0"/>
                <w:highlight w:val="none"/>
                <w:lang w:val="en-US" w:eastAsia="zh-CN"/>
              </w:rPr>
              <w:t>20</w:t>
            </w:r>
            <w:r>
              <w:rPr>
                <w:rFonts w:hint="default" w:ascii="Times New Roman" w:hAnsi="Times New Roman" w:cs="Times New Roman"/>
                <w:smallCaps w:val="0"/>
                <w:color w:val="auto"/>
                <w:spacing w:val="0"/>
                <w:highlight w:val="none"/>
              </w:rPr>
              <w:t>人，年工作300天，则项目生活垃圾产生量为</w:t>
            </w:r>
            <w:r>
              <w:rPr>
                <w:rFonts w:hint="eastAsia" w:cs="Times New Roman"/>
                <w:smallCaps w:val="0"/>
                <w:color w:val="auto"/>
                <w:spacing w:val="0"/>
                <w:highlight w:val="none"/>
                <w:lang w:val="en-US" w:eastAsia="zh-CN"/>
              </w:rPr>
              <w:t>3</w:t>
            </w:r>
            <w:r>
              <w:rPr>
                <w:rFonts w:hint="default" w:ascii="Times New Roman" w:hAnsi="Times New Roman" w:cs="Times New Roman"/>
                <w:smallCaps w:val="0"/>
                <w:color w:val="auto"/>
                <w:spacing w:val="0"/>
                <w:highlight w:val="none"/>
              </w:rPr>
              <w:t>t/a，收集后由环卫部门统一处置。</w:t>
            </w:r>
          </w:p>
          <w:p w14:paraId="08AF38E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本项目固体废物产生与处置情况汇总</w:t>
            </w:r>
            <w:r>
              <w:rPr>
                <w:rFonts w:hint="default" w:ascii="Times New Roman" w:hAnsi="Times New Roman" w:cs="Times New Roman"/>
                <w:smallCaps w:val="0"/>
                <w:color w:val="auto"/>
                <w:spacing w:val="0"/>
                <w:highlight w:val="none"/>
                <w:lang w:val="en-US" w:eastAsia="zh-CN"/>
              </w:rPr>
              <w:t>见下表</w:t>
            </w:r>
            <w:r>
              <w:rPr>
                <w:rFonts w:hint="default" w:ascii="Times New Roman" w:hAnsi="Times New Roman" w:cs="Times New Roman"/>
                <w:smallCaps w:val="0"/>
                <w:color w:val="auto"/>
                <w:spacing w:val="0"/>
                <w:highlight w:val="none"/>
              </w:rPr>
              <w:t>。</w:t>
            </w:r>
          </w:p>
          <w:p w14:paraId="6349E66A">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表4-</w:t>
            </w:r>
            <w:r>
              <w:rPr>
                <w:rFonts w:hint="eastAsia" w:cs="Times New Roman"/>
                <w:smallCaps w:val="0"/>
                <w:color w:val="auto"/>
                <w:spacing w:val="0"/>
                <w:highlight w:val="none"/>
                <w:lang w:val="en-US" w:eastAsia="zh-CN"/>
              </w:rPr>
              <w:t xml:space="preserve">13 </w:t>
            </w:r>
            <w:r>
              <w:rPr>
                <w:rFonts w:hint="default" w:ascii="Times New Roman" w:hAnsi="Times New Roman" w:cs="Times New Roman"/>
                <w:smallCaps w:val="0"/>
                <w:color w:val="auto"/>
                <w:spacing w:val="0"/>
                <w:highlight w:val="none"/>
              </w:rPr>
              <w:t xml:space="preserve">  </w:t>
            </w:r>
            <w:r>
              <w:rPr>
                <w:rFonts w:hint="eastAsia" w:cs="Times New Roman"/>
                <w:smallCaps w:val="0"/>
                <w:color w:val="auto"/>
                <w:spacing w:val="0"/>
                <w:highlight w:val="none"/>
                <w:lang w:val="en-US" w:eastAsia="zh-CN"/>
              </w:rPr>
              <w:t>项目</w:t>
            </w:r>
            <w:r>
              <w:rPr>
                <w:rFonts w:hint="default" w:ascii="Times New Roman" w:hAnsi="Times New Roman" w:cs="Times New Roman"/>
                <w:smallCaps w:val="0"/>
                <w:color w:val="auto"/>
                <w:spacing w:val="0"/>
                <w:highlight w:val="none"/>
              </w:rPr>
              <w:t>固体废物产生量与处置措施一览表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3"/>
              <w:gridCol w:w="1550"/>
              <w:gridCol w:w="1202"/>
              <w:gridCol w:w="790"/>
              <w:gridCol w:w="654"/>
              <w:gridCol w:w="5"/>
              <w:gridCol w:w="1377"/>
              <w:gridCol w:w="1754"/>
            </w:tblGrid>
            <w:tr w14:paraId="25B5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noWrap w:val="0"/>
                  <w:vAlign w:val="center"/>
                </w:tcPr>
                <w:p w14:paraId="32417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序号</w:t>
                  </w:r>
                </w:p>
              </w:tc>
              <w:tc>
                <w:tcPr>
                  <w:tcW w:w="971" w:type="pct"/>
                  <w:noWrap w:val="0"/>
                  <w:vAlign w:val="center"/>
                </w:tcPr>
                <w:p w14:paraId="6783B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lang w:val="en-US" w:eastAsia="zh-CN"/>
                    </w:rPr>
                    <w:t>污染物</w:t>
                  </w:r>
                </w:p>
              </w:tc>
              <w:tc>
                <w:tcPr>
                  <w:tcW w:w="753" w:type="pct"/>
                  <w:noWrap w:val="0"/>
                  <w:vAlign w:val="center"/>
                </w:tcPr>
                <w:p w14:paraId="3D720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rPr>
                    <w:t>产生量</w:t>
                  </w:r>
                </w:p>
              </w:tc>
              <w:tc>
                <w:tcPr>
                  <w:tcW w:w="495" w:type="pct"/>
                  <w:noWrap w:val="0"/>
                  <w:vAlign w:val="center"/>
                </w:tcPr>
                <w:p w14:paraId="5C0DA3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eastAsia="zh-CN"/>
                    </w:rPr>
                  </w:pPr>
                  <w:r>
                    <w:rPr>
                      <w:rFonts w:hint="default" w:ascii="Times New Roman" w:hAnsi="Times New Roman" w:cs="Times New Roman"/>
                      <w:smallCaps w:val="0"/>
                      <w:color w:val="auto"/>
                      <w:spacing w:val="0"/>
                      <w:sz w:val="21"/>
                      <w:szCs w:val="21"/>
                      <w:highlight w:val="none"/>
                      <w:lang w:val="en-US" w:eastAsia="zh-CN"/>
                    </w:rPr>
                    <w:t>类别</w:t>
                  </w:r>
                </w:p>
              </w:tc>
              <w:tc>
                <w:tcPr>
                  <w:tcW w:w="1276" w:type="pct"/>
                  <w:gridSpan w:val="3"/>
                  <w:noWrap w:val="0"/>
                  <w:vAlign w:val="center"/>
                </w:tcPr>
                <w:p w14:paraId="00B0F7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固废代码</w:t>
                  </w:r>
                </w:p>
              </w:tc>
              <w:tc>
                <w:tcPr>
                  <w:tcW w:w="1099" w:type="pct"/>
                  <w:noWrap w:val="0"/>
                  <w:vAlign w:val="center"/>
                </w:tcPr>
                <w:p w14:paraId="5FC040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sz w:val="21"/>
                      <w:szCs w:val="21"/>
                      <w:highlight w:val="none"/>
                      <w:lang w:val="en-US" w:eastAsia="zh-CN"/>
                    </w:rPr>
                    <w:t>处置措施</w:t>
                  </w:r>
                </w:p>
              </w:tc>
            </w:tr>
            <w:tr w14:paraId="307E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noWrap w:val="0"/>
                  <w:vAlign w:val="center"/>
                </w:tcPr>
                <w:p w14:paraId="4DE54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1</w:t>
                  </w:r>
                </w:p>
              </w:tc>
              <w:tc>
                <w:tcPr>
                  <w:tcW w:w="971" w:type="pct"/>
                  <w:shd w:val="clear" w:color="auto" w:fill="auto"/>
                  <w:noWrap w:val="0"/>
                  <w:vAlign w:val="center"/>
                </w:tcPr>
                <w:p w14:paraId="74E8EA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废包装材料</w:t>
                  </w:r>
                </w:p>
              </w:tc>
              <w:tc>
                <w:tcPr>
                  <w:tcW w:w="753" w:type="pct"/>
                  <w:shd w:val="clear" w:color="auto" w:fill="auto"/>
                  <w:noWrap w:val="0"/>
                  <w:vAlign w:val="center"/>
                </w:tcPr>
                <w:p w14:paraId="2A731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0.353</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shd w:val="clear" w:color="auto" w:fill="auto"/>
                  <w:noWrap w:val="0"/>
                  <w:vAlign w:val="center"/>
                </w:tcPr>
                <w:p w14:paraId="4E2B6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包装袋</w:t>
                  </w:r>
                </w:p>
              </w:tc>
              <w:tc>
                <w:tcPr>
                  <w:tcW w:w="413" w:type="pct"/>
                  <w:gridSpan w:val="2"/>
                  <w:shd w:val="clear" w:color="auto" w:fill="auto"/>
                  <w:noWrap w:val="0"/>
                  <w:vAlign w:val="center"/>
                </w:tcPr>
                <w:p w14:paraId="7279A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SW17</w:t>
                  </w:r>
                </w:p>
              </w:tc>
              <w:tc>
                <w:tcPr>
                  <w:tcW w:w="863" w:type="pct"/>
                  <w:shd w:val="clear" w:color="auto" w:fill="auto"/>
                  <w:noWrap w:val="0"/>
                  <w:vAlign w:val="center"/>
                </w:tcPr>
                <w:p w14:paraId="6F0EE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900-003-S17</w:t>
                  </w:r>
                </w:p>
              </w:tc>
              <w:tc>
                <w:tcPr>
                  <w:tcW w:w="1099" w:type="pct"/>
                  <w:shd w:val="clear" w:color="auto" w:fill="auto"/>
                  <w:noWrap w:val="0"/>
                  <w:vAlign w:val="center"/>
                </w:tcPr>
                <w:p w14:paraId="50082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收集后外售</w:t>
                  </w:r>
                </w:p>
              </w:tc>
            </w:tr>
            <w:tr w14:paraId="75AA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noWrap w:val="0"/>
                  <w:vAlign w:val="center"/>
                </w:tcPr>
                <w:p w14:paraId="19361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2</w:t>
                  </w:r>
                </w:p>
              </w:tc>
              <w:tc>
                <w:tcPr>
                  <w:tcW w:w="971" w:type="pct"/>
                  <w:noWrap w:val="0"/>
                  <w:vAlign w:val="center"/>
                </w:tcPr>
                <w:p w14:paraId="26AA3D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废塑料边角料</w:t>
                  </w:r>
                </w:p>
              </w:tc>
              <w:tc>
                <w:tcPr>
                  <w:tcW w:w="753" w:type="pct"/>
                  <w:noWrap w:val="0"/>
                  <w:vAlign w:val="center"/>
                </w:tcPr>
                <w:p w14:paraId="4C2C8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64D55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塑料</w:t>
                  </w:r>
                </w:p>
              </w:tc>
              <w:tc>
                <w:tcPr>
                  <w:tcW w:w="413" w:type="pct"/>
                  <w:gridSpan w:val="2"/>
                  <w:noWrap w:val="0"/>
                  <w:vAlign w:val="center"/>
                </w:tcPr>
                <w:p w14:paraId="6F442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SW17</w:t>
                  </w:r>
                </w:p>
              </w:tc>
              <w:tc>
                <w:tcPr>
                  <w:tcW w:w="863" w:type="pct"/>
                  <w:noWrap w:val="0"/>
                  <w:vAlign w:val="center"/>
                </w:tcPr>
                <w:p w14:paraId="2F4323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900-003-S17</w:t>
                  </w:r>
                </w:p>
              </w:tc>
              <w:tc>
                <w:tcPr>
                  <w:tcW w:w="1099" w:type="pct"/>
                  <w:noWrap w:val="0"/>
                  <w:vAlign w:val="center"/>
                </w:tcPr>
                <w:p w14:paraId="0735CF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收集后外售</w:t>
                  </w:r>
                </w:p>
              </w:tc>
            </w:tr>
            <w:tr w14:paraId="6026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5FA9B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w:t>
                  </w:r>
                </w:p>
              </w:tc>
              <w:tc>
                <w:tcPr>
                  <w:tcW w:w="971" w:type="pct"/>
                  <w:noWrap w:val="0"/>
                  <w:vAlign w:val="center"/>
                </w:tcPr>
                <w:p w14:paraId="3712E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不合格品</w:t>
                  </w:r>
                </w:p>
              </w:tc>
              <w:tc>
                <w:tcPr>
                  <w:tcW w:w="753" w:type="pct"/>
                  <w:noWrap w:val="0"/>
                  <w:vAlign w:val="center"/>
                </w:tcPr>
                <w:p w14:paraId="2F1BA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0.1t/a</w:t>
                  </w:r>
                </w:p>
              </w:tc>
              <w:tc>
                <w:tcPr>
                  <w:tcW w:w="495" w:type="pct"/>
                  <w:noWrap w:val="0"/>
                  <w:vAlign w:val="center"/>
                </w:tcPr>
                <w:p w14:paraId="565BAEB9">
                  <w:pPr>
                    <w:keepNext w:val="0"/>
                    <w:keepLines w:val="0"/>
                    <w:pageBreakBefore w:val="0"/>
                    <w:widowControl w:val="0"/>
                    <w:suppressLineNumbers w:val="0"/>
                    <w:tabs>
                      <w:tab w:val="left" w:pos="253"/>
                    </w:tabs>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塑料</w:t>
                  </w:r>
                </w:p>
              </w:tc>
              <w:tc>
                <w:tcPr>
                  <w:tcW w:w="413" w:type="pct"/>
                  <w:gridSpan w:val="2"/>
                  <w:shd w:val="clear" w:color="auto" w:fill="auto"/>
                  <w:noWrap w:val="0"/>
                  <w:vAlign w:val="center"/>
                </w:tcPr>
                <w:p w14:paraId="27A787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SW17</w:t>
                  </w:r>
                </w:p>
              </w:tc>
              <w:tc>
                <w:tcPr>
                  <w:tcW w:w="863" w:type="pct"/>
                  <w:shd w:val="clear" w:color="auto" w:fill="auto"/>
                  <w:noWrap w:val="0"/>
                  <w:vAlign w:val="center"/>
                </w:tcPr>
                <w:p w14:paraId="18B864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900-003-S17</w:t>
                  </w:r>
                </w:p>
              </w:tc>
              <w:tc>
                <w:tcPr>
                  <w:tcW w:w="1099" w:type="pct"/>
                  <w:noWrap w:val="0"/>
                  <w:vAlign w:val="center"/>
                </w:tcPr>
                <w:p w14:paraId="675DA0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收集后外售</w:t>
                  </w:r>
                </w:p>
              </w:tc>
            </w:tr>
            <w:tr w14:paraId="1DA0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7C2932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4</w:t>
                  </w:r>
                </w:p>
              </w:tc>
              <w:tc>
                <w:tcPr>
                  <w:tcW w:w="971" w:type="pct"/>
                  <w:noWrap w:val="0"/>
                  <w:vAlign w:val="center"/>
                </w:tcPr>
                <w:p w14:paraId="14C88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金属下脚料</w:t>
                  </w:r>
                </w:p>
              </w:tc>
              <w:tc>
                <w:tcPr>
                  <w:tcW w:w="753" w:type="pct"/>
                  <w:noWrap w:val="0"/>
                  <w:vAlign w:val="center"/>
                </w:tcPr>
                <w:p w14:paraId="34BB6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495" w:type="pct"/>
                  <w:noWrap w:val="0"/>
                  <w:vAlign w:val="center"/>
                </w:tcPr>
                <w:p w14:paraId="34BDBCA9">
                  <w:pPr>
                    <w:keepNext w:val="0"/>
                    <w:keepLines w:val="0"/>
                    <w:pageBreakBefore w:val="0"/>
                    <w:widowControl w:val="0"/>
                    <w:suppressLineNumbers w:val="0"/>
                    <w:tabs>
                      <w:tab w:val="left" w:pos="253"/>
                    </w:tabs>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w:t>
                  </w:r>
                </w:p>
              </w:tc>
              <w:tc>
                <w:tcPr>
                  <w:tcW w:w="413" w:type="pct"/>
                  <w:gridSpan w:val="2"/>
                  <w:shd w:val="clear" w:color="auto" w:fill="auto"/>
                  <w:noWrap w:val="0"/>
                  <w:vAlign w:val="center"/>
                </w:tcPr>
                <w:p w14:paraId="62B66F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SW17</w:t>
                  </w:r>
                </w:p>
              </w:tc>
              <w:tc>
                <w:tcPr>
                  <w:tcW w:w="863" w:type="pct"/>
                  <w:shd w:val="clear" w:color="auto" w:fill="auto"/>
                  <w:noWrap w:val="0"/>
                  <w:vAlign w:val="center"/>
                </w:tcPr>
                <w:p w14:paraId="35F9E4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900-001-S17</w:t>
                  </w:r>
                </w:p>
              </w:tc>
              <w:tc>
                <w:tcPr>
                  <w:tcW w:w="1099" w:type="pct"/>
                  <w:noWrap w:val="0"/>
                  <w:vAlign w:val="center"/>
                </w:tcPr>
                <w:p w14:paraId="47B62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收集后外售</w:t>
                  </w:r>
                </w:p>
              </w:tc>
            </w:tr>
            <w:tr w14:paraId="70FE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449E6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5</w:t>
                  </w:r>
                </w:p>
              </w:tc>
              <w:tc>
                <w:tcPr>
                  <w:tcW w:w="971" w:type="pct"/>
                  <w:noWrap w:val="0"/>
                  <w:vAlign w:val="center"/>
                </w:tcPr>
                <w:p w14:paraId="5F423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不合格电极片</w:t>
                  </w:r>
                </w:p>
              </w:tc>
              <w:tc>
                <w:tcPr>
                  <w:tcW w:w="753" w:type="pct"/>
                  <w:noWrap w:val="0"/>
                  <w:vAlign w:val="center"/>
                </w:tcPr>
                <w:p w14:paraId="0EB6E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495" w:type="pct"/>
                  <w:noWrap w:val="0"/>
                  <w:vAlign w:val="center"/>
                </w:tcPr>
                <w:p w14:paraId="049F0D76">
                  <w:pPr>
                    <w:keepNext w:val="0"/>
                    <w:keepLines w:val="0"/>
                    <w:pageBreakBefore w:val="0"/>
                    <w:widowControl w:val="0"/>
                    <w:suppressLineNumbers w:val="0"/>
                    <w:tabs>
                      <w:tab w:val="left" w:pos="253"/>
                    </w:tabs>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w:t>
                  </w:r>
                </w:p>
              </w:tc>
              <w:tc>
                <w:tcPr>
                  <w:tcW w:w="413" w:type="pct"/>
                  <w:gridSpan w:val="2"/>
                  <w:shd w:val="clear" w:color="auto" w:fill="auto"/>
                  <w:noWrap w:val="0"/>
                  <w:vAlign w:val="center"/>
                </w:tcPr>
                <w:p w14:paraId="33E72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SW17</w:t>
                  </w:r>
                </w:p>
              </w:tc>
              <w:tc>
                <w:tcPr>
                  <w:tcW w:w="863" w:type="pct"/>
                  <w:shd w:val="clear" w:color="auto" w:fill="auto"/>
                  <w:noWrap w:val="0"/>
                  <w:vAlign w:val="center"/>
                </w:tcPr>
                <w:p w14:paraId="0A6D82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900-001-S17</w:t>
                  </w:r>
                </w:p>
              </w:tc>
              <w:tc>
                <w:tcPr>
                  <w:tcW w:w="1099" w:type="pct"/>
                  <w:noWrap w:val="0"/>
                  <w:vAlign w:val="center"/>
                </w:tcPr>
                <w:p w14:paraId="3422F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收集后外售</w:t>
                  </w:r>
                </w:p>
              </w:tc>
            </w:tr>
            <w:tr w14:paraId="568C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6D040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6</w:t>
                  </w:r>
                </w:p>
              </w:tc>
              <w:tc>
                <w:tcPr>
                  <w:tcW w:w="971" w:type="pct"/>
                  <w:noWrap w:val="0"/>
                  <w:vAlign w:val="center"/>
                </w:tcPr>
                <w:p w14:paraId="500D6433">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w:t>
                  </w:r>
                </w:p>
              </w:tc>
              <w:tc>
                <w:tcPr>
                  <w:tcW w:w="753" w:type="pct"/>
                  <w:noWrap w:val="0"/>
                  <w:vAlign w:val="center"/>
                </w:tcPr>
                <w:p w14:paraId="65160A26">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173CF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矿物油</w:t>
                  </w:r>
                </w:p>
              </w:tc>
              <w:tc>
                <w:tcPr>
                  <w:tcW w:w="410" w:type="pct"/>
                  <w:noWrap w:val="0"/>
                  <w:vAlign w:val="center"/>
                </w:tcPr>
                <w:p w14:paraId="05E6FCB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HW08</w:t>
                  </w:r>
                </w:p>
              </w:tc>
              <w:tc>
                <w:tcPr>
                  <w:tcW w:w="866" w:type="pct"/>
                  <w:gridSpan w:val="2"/>
                  <w:noWrap w:val="0"/>
                  <w:vAlign w:val="center"/>
                </w:tcPr>
                <w:p w14:paraId="15808F71">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217-08</w:t>
                  </w:r>
                </w:p>
              </w:tc>
              <w:tc>
                <w:tcPr>
                  <w:tcW w:w="1099" w:type="pct"/>
                  <w:vMerge w:val="restart"/>
                  <w:noWrap w:val="0"/>
                  <w:vAlign w:val="center"/>
                </w:tcPr>
                <w:p w14:paraId="5DF83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危废间暂存后交由有资质单位处置</w:t>
                  </w:r>
                </w:p>
              </w:tc>
            </w:tr>
            <w:tr w14:paraId="617D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11256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7</w:t>
                  </w:r>
                </w:p>
              </w:tc>
              <w:tc>
                <w:tcPr>
                  <w:tcW w:w="971" w:type="pct"/>
                  <w:noWrap w:val="0"/>
                  <w:vAlign w:val="center"/>
                </w:tcPr>
                <w:p w14:paraId="531499A9">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废润滑油桶</w:t>
                  </w:r>
                </w:p>
              </w:tc>
              <w:tc>
                <w:tcPr>
                  <w:tcW w:w="753" w:type="pct"/>
                  <w:noWrap w:val="0"/>
                  <w:vAlign w:val="center"/>
                </w:tcPr>
                <w:p w14:paraId="63E8F864">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76EBB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矿物油</w:t>
                  </w:r>
                </w:p>
              </w:tc>
              <w:tc>
                <w:tcPr>
                  <w:tcW w:w="410" w:type="pct"/>
                  <w:noWrap w:val="0"/>
                  <w:vAlign w:val="center"/>
                </w:tcPr>
                <w:p w14:paraId="0EE143E5">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08</w:t>
                  </w:r>
                </w:p>
              </w:tc>
              <w:tc>
                <w:tcPr>
                  <w:tcW w:w="866" w:type="pct"/>
                  <w:gridSpan w:val="2"/>
                  <w:noWrap w:val="0"/>
                  <w:vAlign w:val="center"/>
                </w:tcPr>
                <w:p w14:paraId="0D16F5C8">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249</w:t>
                  </w:r>
                  <w:r>
                    <w:rPr>
                      <w:rFonts w:hint="default"/>
                      <w:bCs/>
                      <w:color w:val="auto"/>
                      <w:sz w:val="21"/>
                      <w:szCs w:val="21"/>
                      <w:highlight w:val="none"/>
                      <w:lang w:val="pt-BR"/>
                    </w:rPr>
                    <w:t>-</w:t>
                  </w:r>
                  <w:r>
                    <w:rPr>
                      <w:rFonts w:hint="eastAsia"/>
                      <w:bCs/>
                      <w:color w:val="auto"/>
                      <w:sz w:val="21"/>
                      <w:szCs w:val="21"/>
                      <w:highlight w:val="none"/>
                      <w:lang w:val="en-US" w:eastAsia="zh-CN"/>
                    </w:rPr>
                    <w:t>08</w:t>
                  </w:r>
                </w:p>
              </w:tc>
              <w:tc>
                <w:tcPr>
                  <w:tcW w:w="1099" w:type="pct"/>
                  <w:vMerge w:val="continue"/>
                  <w:noWrap w:val="0"/>
                  <w:vAlign w:val="center"/>
                </w:tcPr>
                <w:p w14:paraId="0A85BA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7DA3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627CD1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8</w:t>
                  </w:r>
                </w:p>
              </w:tc>
              <w:tc>
                <w:tcPr>
                  <w:tcW w:w="971" w:type="pct"/>
                  <w:noWrap w:val="0"/>
                  <w:vAlign w:val="center"/>
                </w:tcPr>
                <w:p w14:paraId="2F0B5A67">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含油抹布及废劳保用品</w:t>
                  </w:r>
                </w:p>
              </w:tc>
              <w:tc>
                <w:tcPr>
                  <w:tcW w:w="753" w:type="pct"/>
                  <w:noWrap w:val="0"/>
                  <w:vAlign w:val="center"/>
                </w:tcPr>
                <w:p w14:paraId="28EAC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429061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矿物油</w:t>
                  </w:r>
                </w:p>
              </w:tc>
              <w:tc>
                <w:tcPr>
                  <w:tcW w:w="410" w:type="pct"/>
                  <w:noWrap w:val="0"/>
                  <w:vAlign w:val="center"/>
                </w:tcPr>
                <w:p w14:paraId="1F220A88">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866" w:type="pct"/>
                  <w:gridSpan w:val="2"/>
                  <w:noWrap w:val="0"/>
                  <w:vAlign w:val="center"/>
                </w:tcPr>
                <w:p w14:paraId="6F2456A9">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900-041-49</w:t>
                  </w:r>
                </w:p>
              </w:tc>
              <w:tc>
                <w:tcPr>
                  <w:tcW w:w="1099" w:type="pct"/>
                  <w:vMerge w:val="continue"/>
                  <w:noWrap w:val="0"/>
                  <w:vAlign w:val="center"/>
                </w:tcPr>
                <w:p w14:paraId="28D5B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03A4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189019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9</w:t>
                  </w:r>
                </w:p>
              </w:tc>
              <w:tc>
                <w:tcPr>
                  <w:tcW w:w="971" w:type="pct"/>
                  <w:noWrap w:val="0"/>
                  <w:vAlign w:val="center"/>
                </w:tcPr>
                <w:p w14:paraId="3313AC76">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含油金属屑</w:t>
                  </w:r>
                </w:p>
              </w:tc>
              <w:tc>
                <w:tcPr>
                  <w:tcW w:w="753" w:type="pct"/>
                  <w:noWrap w:val="0"/>
                  <w:vAlign w:val="center"/>
                </w:tcPr>
                <w:p w14:paraId="3EC08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495" w:type="pct"/>
                  <w:noWrap w:val="0"/>
                  <w:vAlign w:val="center"/>
                </w:tcPr>
                <w:p w14:paraId="28B0F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矿物油</w:t>
                  </w:r>
                </w:p>
              </w:tc>
              <w:tc>
                <w:tcPr>
                  <w:tcW w:w="410" w:type="pct"/>
                  <w:noWrap w:val="0"/>
                  <w:vAlign w:val="center"/>
                </w:tcPr>
                <w:p w14:paraId="1E6C32F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HW08</w:t>
                  </w:r>
                </w:p>
              </w:tc>
              <w:tc>
                <w:tcPr>
                  <w:tcW w:w="866" w:type="pct"/>
                  <w:gridSpan w:val="2"/>
                  <w:noWrap w:val="0"/>
                  <w:vAlign w:val="center"/>
                </w:tcPr>
                <w:p w14:paraId="3136660F">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900-200-08</w:t>
                  </w:r>
                </w:p>
              </w:tc>
              <w:tc>
                <w:tcPr>
                  <w:tcW w:w="1099" w:type="pct"/>
                  <w:vMerge w:val="continue"/>
                  <w:noWrap w:val="0"/>
                  <w:vAlign w:val="center"/>
                </w:tcPr>
                <w:p w14:paraId="1471A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403A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35171C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10</w:t>
                  </w:r>
                </w:p>
              </w:tc>
              <w:tc>
                <w:tcPr>
                  <w:tcW w:w="971" w:type="pct"/>
                  <w:noWrap w:val="0"/>
                  <w:vAlign w:val="center"/>
                </w:tcPr>
                <w:p w14:paraId="28EDE033">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废切削液</w:t>
                  </w:r>
                </w:p>
              </w:tc>
              <w:tc>
                <w:tcPr>
                  <w:tcW w:w="753" w:type="pct"/>
                  <w:shd w:val="clear" w:color="auto" w:fill="auto"/>
                  <w:noWrap w:val="0"/>
                  <w:vAlign w:val="center"/>
                </w:tcPr>
                <w:p w14:paraId="00704188">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33789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切削液</w:t>
                  </w:r>
                </w:p>
              </w:tc>
              <w:tc>
                <w:tcPr>
                  <w:tcW w:w="410" w:type="pct"/>
                  <w:shd w:val="clear" w:color="auto" w:fill="auto"/>
                  <w:noWrap w:val="0"/>
                  <w:vAlign w:val="center"/>
                </w:tcPr>
                <w:p w14:paraId="5D8DC8D0">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09</w:t>
                  </w:r>
                </w:p>
              </w:tc>
              <w:tc>
                <w:tcPr>
                  <w:tcW w:w="866" w:type="pct"/>
                  <w:gridSpan w:val="2"/>
                  <w:shd w:val="clear" w:color="auto" w:fill="auto"/>
                  <w:noWrap w:val="0"/>
                  <w:vAlign w:val="center"/>
                </w:tcPr>
                <w:p w14:paraId="65AAF60F">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900-006-09</w:t>
                  </w:r>
                </w:p>
              </w:tc>
              <w:tc>
                <w:tcPr>
                  <w:tcW w:w="1099" w:type="pct"/>
                  <w:vMerge w:val="continue"/>
                  <w:noWrap w:val="0"/>
                  <w:vAlign w:val="center"/>
                </w:tcPr>
                <w:p w14:paraId="6CFE4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4640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25ABA8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11</w:t>
                  </w:r>
                </w:p>
              </w:tc>
              <w:tc>
                <w:tcPr>
                  <w:tcW w:w="971" w:type="pct"/>
                  <w:noWrap w:val="0"/>
                  <w:vAlign w:val="center"/>
                </w:tcPr>
                <w:p w14:paraId="517ED02E">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废切削液桶</w:t>
                  </w:r>
                </w:p>
              </w:tc>
              <w:tc>
                <w:tcPr>
                  <w:tcW w:w="753" w:type="pct"/>
                  <w:shd w:val="clear" w:color="auto" w:fill="auto"/>
                  <w:noWrap w:val="0"/>
                  <w:vAlign w:val="center"/>
                </w:tcPr>
                <w:p w14:paraId="7C2390B6">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95" w:type="pct"/>
                  <w:noWrap w:val="0"/>
                  <w:vAlign w:val="center"/>
                </w:tcPr>
                <w:p w14:paraId="0F5CBA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切削液</w:t>
                  </w:r>
                </w:p>
              </w:tc>
              <w:tc>
                <w:tcPr>
                  <w:tcW w:w="410" w:type="pct"/>
                  <w:shd w:val="clear" w:color="auto" w:fill="auto"/>
                  <w:noWrap w:val="0"/>
                  <w:vAlign w:val="center"/>
                </w:tcPr>
                <w:p w14:paraId="30AFC4F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HW49</w:t>
                  </w:r>
                </w:p>
              </w:tc>
              <w:tc>
                <w:tcPr>
                  <w:tcW w:w="866" w:type="pct"/>
                  <w:gridSpan w:val="2"/>
                  <w:shd w:val="clear" w:color="auto" w:fill="auto"/>
                  <w:noWrap w:val="0"/>
                  <w:vAlign w:val="center"/>
                </w:tcPr>
                <w:p w14:paraId="54D8F1AE">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1099" w:type="pct"/>
                  <w:vMerge w:val="continue"/>
                  <w:noWrap w:val="0"/>
                  <w:vAlign w:val="center"/>
                </w:tcPr>
                <w:p w14:paraId="2D4A0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2887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37FD5A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12</w:t>
                  </w:r>
                </w:p>
              </w:tc>
              <w:tc>
                <w:tcPr>
                  <w:tcW w:w="971" w:type="pct"/>
                  <w:noWrap w:val="0"/>
                  <w:vAlign w:val="center"/>
                </w:tcPr>
                <w:p w14:paraId="0AFEECFE">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废布袋</w:t>
                  </w:r>
                </w:p>
              </w:tc>
              <w:tc>
                <w:tcPr>
                  <w:tcW w:w="753" w:type="pct"/>
                  <w:noWrap w:val="0"/>
                  <w:vAlign w:val="center"/>
                </w:tcPr>
                <w:p w14:paraId="4C4CE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495" w:type="pct"/>
                  <w:noWrap w:val="0"/>
                  <w:vAlign w:val="center"/>
                </w:tcPr>
                <w:p w14:paraId="41FB8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沾染挥发性有机物</w:t>
                  </w:r>
                </w:p>
              </w:tc>
              <w:tc>
                <w:tcPr>
                  <w:tcW w:w="410" w:type="pct"/>
                  <w:shd w:val="clear" w:color="auto" w:fill="auto"/>
                  <w:noWrap w:val="0"/>
                  <w:vAlign w:val="center"/>
                </w:tcPr>
                <w:p w14:paraId="7853846D">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866" w:type="pct"/>
                  <w:gridSpan w:val="2"/>
                  <w:shd w:val="clear" w:color="auto" w:fill="auto"/>
                  <w:noWrap w:val="0"/>
                  <w:vAlign w:val="center"/>
                </w:tcPr>
                <w:p w14:paraId="42CA8063">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1099" w:type="pct"/>
                  <w:vMerge w:val="continue"/>
                  <w:noWrap w:val="0"/>
                  <w:vAlign w:val="center"/>
                </w:tcPr>
                <w:p w14:paraId="145D12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2B51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45FCB4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13</w:t>
                  </w:r>
                </w:p>
              </w:tc>
              <w:tc>
                <w:tcPr>
                  <w:tcW w:w="971" w:type="pct"/>
                  <w:shd w:val="clear" w:color="auto" w:fill="auto"/>
                  <w:noWrap w:val="0"/>
                  <w:vAlign w:val="center"/>
                </w:tcPr>
                <w:p w14:paraId="3178CDB5">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除尘灰</w:t>
                  </w:r>
                </w:p>
              </w:tc>
              <w:tc>
                <w:tcPr>
                  <w:tcW w:w="753" w:type="pct"/>
                  <w:shd w:val="clear" w:color="auto" w:fill="auto"/>
                  <w:noWrap w:val="0"/>
                  <w:vAlign w:val="center"/>
                </w:tcPr>
                <w:p w14:paraId="6AC95E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495" w:type="pct"/>
                  <w:shd w:val="clear" w:color="auto" w:fill="auto"/>
                  <w:noWrap w:val="0"/>
                  <w:vAlign w:val="center"/>
                </w:tcPr>
                <w:p w14:paraId="71F296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 w:val="21"/>
                      <w:szCs w:val="21"/>
                      <w:highlight w:val="none"/>
                      <w:lang w:val="en-US" w:eastAsia="zh-CN"/>
                    </w:rPr>
                    <w:t>沾染挥发性有机物</w:t>
                  </w:r>
                </w:p>
              </w:tc>
              <w:tc>
                <w:tcPr>
                  <w:tcW w:w="410" w:type="pct"/>
                  <w:shd w:val="clear" w:color="auto" w:fill="auto"/>
                  <w:noWrap w:val="0"/>
                  <w:vAlign w:val="center"/>
                </w:tcPr>
                <w:p w14:paraId="386881F4">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HW49</w:t>
                  </w:r>
                </w:p>
              </w:tc>
              <w:tc>
                <w:tcPr>
                  <w:tcW w:w="866" w:type="pct"/>
                  <w:gridSpan w:val="2"/>
                  <w:shd w:val="clear" w:color="auto" w:fill="auto"/>
                  <w:noWrap w:val="0"/>
                  <w:vAlign w:val="center"/>
                </w:tcPr>
                <w:p w14:paraId="0C8FEAF7">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1099" w:type="pct"/>
                  <w:vMerge w:val="continue"/>
                  <w:noWrap w:val="0"/>
                  <w:vAlign w:val="center"/>
                </w:tcPr>
                <w:p w14:paraId="0A247C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7801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55964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14</w:t>
                  </w:r>
                </w:p>
              </w:tc>
              <w:tc>
                <w:tcPr>
                  <w:tcW w:w="971" w:type="pct"/>
                  <w:noWrap w:val="0"/>
                  <w:vAlign w:val="center"/>
                </w:tcPr>
                <w:p w14:paraId="542D8969">
                  <w:pPr>
                    <w:pStyle w:val="39"/>
                    <w:keepNext w:val="0"/>
                    <w:keepLines w:val="0"/>
                    <w:suppressLineNumbers w:val="0"/>
                    <w:spacing w:before="0" w:beforeAutospacing="0" w:after="0" w:afterAutospacing="0" w:line="360" w:lineRule="exact"/>
                    <w:ind w:left="0" w:leftChars="0" w:right="0" w:rightChars="0"/>
                    <w:jc w:val="center"/>
                    <w:rPr>
                      <w:rFonts w:hint="eastAsia"/>
                      <w:color w:val="auto"/>
                      <w:sz w:val="21"/>
                      <w:szCs w:val="22"/>
                      <w:highlight w:val="none"/>
                      <w:lang w:val="en-US" w:eastAsia="zh-CN"/>
                    </w:rPr>
                  </w:pPr>
                  <w:r>
                    <w:rPr>
                      <w:rFonts w:hint="eastAsia"/>
                      <w:color w:val="auto"/>
                      <w:sz w:val="21"/>
                      <w:szCs w:val="22"/>
                      <w:highlight w:val="none"/>
                      <w:lang w:val="en-US" w:eastAsia="zh-CN"/>
                    </w:rPr>
                    <w:t>废活性炭</w:t>
                  </w:r>
                </w:p>
              </w:tc>
              <w:tc>
                <w:tcPr>
                  <w:tcW w:w="753" w:type="pct"/>
                  <w:noWrap w:val="0"/>
                  <w:vAlign w:val="center"/>
                </w:tcPr>
                <w:p w14:paraId="118B1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495" w:type="pct"/>
                  <w:noWrap w:val="0"/>
                  <w:vAlign w:val="center"/>
                </w:tcPr>
                <w:p w14:paraId="2E8E7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沾染挥发性有机物</w:t>
                  </w:r>
                </w:p>
              </w:tc>
              <w:tc>
                <w:tcPr>
                  <w:tcW w:w="410" w:type="pct"/>
                  <w:shd w:val="clear" w:color="auto" w:fill="auto"/>
                  <w:noWrap w:val="0"/>
                  <w:vAlign w:val="center"/>
                </w:tcPr>
                <w:p w14:paraId="0FE3050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HW49</w:t>
                  </w:r>
                </w:p>
              </w:tc>
              <w:tc>
                <w:tcPr>
                  <w:tcW w:w="866" w:type="pct"/>
                  <w:gridSpan w:val="2"/>
                  <w:shd w:val="clear" w:color="auto" w:fill="auto"/>
                  <w:noWrap w:val="0"/>
                  <w:vAlign w:val="center"/>
                </w:tcPr>
                <w:p w14:paraId="38B81232">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bCs/>
                      <w:color w:val="auto"/>
                      <w:sz w:val="21"/>
                      <w:szCs w:val="21"/>
                      <w:highlight w:val="none"/>
                      <w:lang w:val="pt-BR" w:eastAsia="zh-CN"/>
                    </w:rPr>
                  </w:pPr>
                  <w:r>
                    <w:rPr>
                      <w:rFonts w:hint="default"/>
                      <w:bCs/>
                      <w:color w:val="auto"/>
                      <w:sz w:val="21"/>
                      <w:szCs w:val="21"/>
                      <w:highlight w:val="none"/>
                      <w:lang w:val="pt-BR"/>
                    </w:rPr>
                    <w:t>900-0</w:t>
                  </w:r>
                  <w:r>
                    <w:rPr>
                      <w:rFonts w:hint="eastAsia"/>
                      <w:bCs/>
                      <w:color w:val="auto"/>
                      <w:sz w:val="21"/>
                      <w:szCs w:val="21"/>
                      <w:highlight w:val="none"/>
                      <w:lang w:val="en-US" w:eastAsia="zh-CN"/>
                    </w:rPr>
                    <w:t>39</w:t>
                  </w:r>
                  <w:r>
                    <w:rPr>
                      <w:rFonts w:hint="default"/>
                      <w:bCs/>
                      <w:color w:val="auto"/>
                      <w:sz w:val="21"/>
                      <w:szCs w:val="21"/>
                      <w:highlight w:val="none"/>
                      <w:lang w:val="pt-BR"/>
                    </w:rPr>
                    <w:t>-49</w:t>
                  </w:r>
                </w:p>
              </w:tc>
              <w:tc>
                <w:tcPr>
                  <w:tcW w:w="1099" w:type="pct"/>
                  <w:vMerge w:val="continue"/>
                  <w:noWrap w:val="0"/>
                  <w:vAlign w:val="center"/>
                </w:tcPr>
                <w:p w14:paraId="605F92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p>
              </w:tc>
            </w:tr>
            <w:tr w14:paraId="7DE2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3" w:type="pct"/>
                  <w:shd w:val="clear" w:color="auto" w:fill="auto"/>
                  <w:noWrap w:val="0"/>
                  <w:vAlign w:val="center"/>
                </w:tcPr>
                <w:p w14:paraId="149D8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15</w:t>
                  </w:r>
                </w:p>
              </w:tc>
              <w:tc>
                <w:tcPr>
                  <w:tcW w:w="971" w:type="pct"/>
                  <w:noWrap w:val="0"/>
                  <w:vAlign w:val="center"/>
                </w:tcPr>
                <w:p w14:paraId="794761AF">
                  <w:pPr>
                    <w:pStyle w:val="39"/>
                    <w:keepNext w:val="0"/>
                    <w:keepLines w:val="0"/>
                    <w:suppressLineNumbers w:val="0"/>
                    <w:spacing w:before="0" w:beforeAutospacing="0" w:after="0" w:afterAutospacing="0" w:line="360" w:lineRule="exact"/>
                    <w:ind w:left="0" w:leftChars="0" w:right="0" w:rightChars="0"/>
                    <w:jc w:val="center"/>
                    <w:rPr>
                      <w:rFonts w:hint="default" w:cs="Times New Roman"/>
                      <w:smallCaps/>
                      <w:color w:val="auto"/>
                      <w:kern w:val="0"/>
                      <w:sz w:val="21"/>
                      <w:szCs w:val="22"/>
                      <w:highlight w:val="none"/>
                      <w:lang w:val="en-US" w:eastAsia="zh-CN" w:bidi="ar-SA"/>
                    </w:rPr>
                  </w:pPr>
                  <w:r>
                    <w:rPr>
                      <w:rFonts w:hint="eastAsia" w:cs="Times New Roman"/>
                      <w:smallCaps/>
                      <w:color w:val="auto"/>
                      <w:kern w:val="0"/>
                      <w:sz w:val="21"/>
                      <w:szCs w:val="22"/>
                      <w:highlight w:val="none"/>
                      <w:lang w:val="en-US" w:eastAsia="zh-CN" w:bidi="ar-SA"/>
                    </w:rPr>
                    <w:t>职工生活垃圾</w:t>
                  </w:r>
                </w:p>
              </w:tc>
              <w:tc>
                <w:tcPr>
                  <w:tcW w:w="753" w:type="pct"/>
                  <w:noWrap w:val="0"/>
                  <w:vAlign w:val="center"/>
                </w:tcPr>
                <w:p w14:paraId="7A632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3t/a</w:t>
                  </w:r>
                </w:p>
              </w:tc>
              <w:tc>
                <w:tcPr>
                  <w:tcW w:w="495" w:type="pct"/>
                  <w:noWrap w:val="0"/>
                  <w:vAlign w:val="center"/>
                </w:tcPr>
                <w:p w14:paraId="3B386C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瓜果皮等</w:t>
                  </w:r>
                </w:p>
              </w:tc>
              <w:tc>
                <w:tcPr>
                  <w:tcW w:w="410" w:type="pct"/>
                  <w:noWrap w:val="0"/>
                  <w:vAlign w:val="center"/>
                </w:tcPr>
                <w:p w14:paraId="25DA9D1A">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866" w:type="pct"/>
                  <w:gridSpan w:val="2"/>
                  <w:noWrap w:val="0"/>
                  <w:vAlign w:val="center"/>
                </w:tcPr>
                <w:p w14:paraId="06B84A64">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1099" w:type="pct"/>
                  <w:noWrap w:val="0"/>
                  <w:vAlign w:val="center"/>
                </w:tcPr>
                <w:p w14:paraId="6EA04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交由环卫部门统一处理</w:t>
                  </w:r>
                </w:p>
              </w:tc>
            </w:tr>
          </w:tbl>
          <w:p w14:paraId="1ABF201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综上所述，项目固废均得到处理或得到综合利用、无害化处理，不产生二次污染，不会对周围环境造成明显影响。</w:t>
            </w:r>
          </w:p>
          <w:p w14:paraId="642C1F4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（2）固废暂存场所（设施）环境影响分析</w:t>
            </w:r>
          </w:p>
          <w:p w14:paraId="465C9D2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A、一般工业固体废物贮存场所（设施）影响分析：</w:t>
            </w:r>
          </w:p>
          <w:p w14:paraId="713638A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采用库房贮存一般工业固体废物的，贮存过程应满足相应防渗漏、防雨淋、防扬尘等环境保护要求；贮存场、填埋场应设置清晰、完整的—般工业固体废物标志牌等。</w:t>
            </w:r>
          </w:p>
          <w:p w14:paraId="3267DAD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本项目固废暂存区（位于</w:t>
            </w:r>
            <w:r>
              <w:rPr>
                <w:rFonts w:hint="eastAsia" w:cs="Times New Roman"/>
                <w:smallCaps w:val="0"/>
                <w:color w:val="auto"/>
                <w:spacing w:val="0"/>
                <w:highlight w:val="none"/>
                <w:lang w:val="en-US" w:eastAsia="zh-CN"/>
              </w:rPr>
              <w:t>生产区北侧</w:t>
            </w:r>
            <w:r>
              <w:rPr>
                <w:rFonts w:hint="default" w:ascii="Times New Roman" w:hAnsi="Times New Roman" w:cs="Times New Roman"/>
                <w:smallCaps w:val="0"/>
                <w:color w:val="auto"/>
                <w:spacing w:val="0"/>
                <w:highlight w:val="none"/>
              </w:rPr>
              <w:t>），占地面积约为</w:t>
            </w:r>
            <w:r>
              <w:rPr>
                <w:rFonts w:hint="eastAsia" w:cs="Times New Roman"/>
                <w:smallCaps w:val="0"/>
                <w:color w:val="auto"/>
                <w:spacing w:val="0"/>
                <w:highlight w:val="none"/>
                <w:lang w:val="en-US" w:eastAsia="zh-CN"/>
              </w:rPr>
              <w:t>10</w:t>
            </w:r>
            <w:r>
              <w:rPr>
                <w:rFonts w:hint="default" w:ascii="Times New Roman" w:hAnsi="Times New Roman" w:cs="Times New Roman"/>
                <w:smallCaps w:val="0"/>
                <w:color w:val="auto"/>
                <w:spacing w:val="0"/>
                <w:highlight w:val="none"/>
              </w:rPr>
              <w:t>m</w:t>
            </w:r>
            <w:r>
              <w:rPr>
                <w:rFonts w:hint="default" w:ascii="Times New Roman" w:hAnsi="Times New Roman" w:cs="Times New Roman"/>
                <w:smallCaps w:val="0"/>
                <w:color w:val="auto"/>
                <w:spacing w:val="0"/>
                <w:highlight w:val="none"/>
                <w:vertAlign w:val="superscript"/>
              </w:rPr>
              <w:t>2</w:t>
            </w:r>
            <w:r>
              <w:rPr>
                <w:rFonts w:hint="default" w:ascii="Times New Roman" w:hAnsi="Times New Roman" w:cs="Times New Roman"/>
                <w:smallCaps w:val="0"/>
                <w:color w:val="auto"/>
                <w:spacing w:val="0"/>
                <w:highlight w:val="none"/>
              </w:rPr>
              <w:t>，储量为</w:t>
            </w:r>
            <w:r>
              <w:rPr>
                <w:rFonts w:hint="eastAsia" w:cs="Times New Roman"/>
                <w:smallCaps w:val="0"/>
                <w:color w:val="auto"/>
                <w:spacing w:val="0"/>
                <w:highlight w:val="none"/>
                <w:lang w:val="en-US" w:eastAsia="zh-CN"/>
              </w:rPr>
              <w:t>8</w:t>
            </w:r>
            <w:r>
              <w:rPr>
                <w:rFonts w:hint="default" w:ascii="Times New Roman" w:hAnsi="Times New Roman" w:cs="Times New Roman"/>
                <w:smallCaps w:val="0"/>
                <w:color w:val="auto"/>
                <w:spacing w:val="0"/>
                <w:highlight w:val="none"/>
              </w:rPr>
              <w:t>吨。</w:t>
            </w:r>
          </w:p>
          <w:p w14:paraId="332C772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排污单位生产运营期间一般工业固体废物自行贮存/利用设施的环境管理和相关设施运行维护要求还应符合GB15562.2、GB 18599、GB 30485和HJ2035等相关标准规范要求。</w:t>
            </w:r>
          </w:p>
          <w:p w14:paraId="1AA967E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B、危险废物贮存场所（设施）环境影响分析</w:t>
            </w:r>
          </w:p>
          <w:p w14:paraId="30A7C94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w:t>
            </w:r>
            <w:r>
              <w:rPr>
                <w:rFonts w:hint="eastAsia" w:cs="Times New Roman"/>
                <w:smallCaps w:val="0"/>
                <w:color w:val="auto"/>
                <w:spacing w:val="0"/>
                <w:highlight w:val="none"/>
                <w:lang w:val="en-US" w:eastAsia="zh-CN"/>
              </w:rPr>
              <w:t>利用现有</w:t>
            </w:r>
            <w:r>
              <w:rPr>
                <w:rFonts w:hint="default" w:ascii="Times New Roman" w:hAnsi="Times New Roman" w:cs="Times New Roman"/>
                <w:smallCaps w:val="0"/>
                <w:color w:val="auto"/>
                <w:spacing w:val="0"/>
                <w:highlight w:val="none"/>
              </w:rPr>
              <w:t>1座</w:t>
            </w:r>
            <w:r>
              <w:rPr>
                <w:rFonts w:hint="eastAsia" w:cs="Times New Roman"/>
                <w:smallCaps w:val="0"/>
                <w:color w:val="auto"/>
                <w:spacing w:val="0"/>
                <w:highlight w:val="none"/>
                <w:lang w:val="en-US" w:eastAsia="zh-CN"/>
              </w:rPr>
              <w:t>6.21</w:t>
            </w:r>
            <w:r>
              <w:rPr>
                <w:rFonts w:hint="default" w:ascii="Times New Roman" w:hAnsi="Times New Roman" w:cs="Times New Roman"/>
                <w:smallCaps w:val="0"/>
                <w:color w:val="auto"/>
                <w:spacing w:val="0"/>
                <w:highlight w:val="none"/>
              </w:rPr>
              <w:t>m</w:t>
            </w:r>
            <w:r>
              <w:rPr>
                <w:rFonts w:hint="default" w:ascii="Times New Roman" w:hAnsi="Times New Roman" w:cs="Times New Roman"/>
                <w:smallCaps w:val="0"/>
                <w:color w:val="auto"/>
                <w:spacing w:val="0"/>
                <w:highlight w:val="none"/>
                <w:vertAlign w:val="superscript"/>
              </w:rPr>
              <w:t>2</w:t>
            </w:r>
            <w:r>
              <w:rPr>
                <w:rFonts w:hint="default" w:ascii="Times New Roman" w:hAnsi="Times New Roman" w:cs="Times New Roman"/>
                <w:smallCaps w:val="0"/>
                <w:color w:val="auto"/>
                <w:spacing w:val="0"/>
                <w:highlight w:val="none"/>
              </w:rPr>
              <w:t>的危废间</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位于杂物间东侧</w:t>
            </w:r>
            <w:r>
              <w:rPr>
                <w:rFonts w:hint="default" w:ascii="Times New Roman" w:hAnsi="Times New Roman" w:cs="Times New Roman"/>
                <w:smallCaps w:val="0"/>
                <w:color w:val="auto"/>
                <w:spacing w:val="0"/>
                <w:highlight w:val="none"/>
              </w:rPr>
              <w:t>，用于储存危险废物。</w:t>
            </w:r>
            <w:r>
              <w:rPr>
                <w:rFonts w:hint="eastAsia" w:cs="Times New Roman"/>
                <w:smallCaps w:val="0"/>
                <w:color w:val="auto"/>
                <w:spacing w:val="0"/>
                <w:highlight w:val="none"/>
                <w:lang w:val="en-US" w:eastAsia="zh-CN"/>
              </w:rPr>
              <w:t>项目危废间储存废布袋、除尘灰、废活性炭、废切削液、废切削液桶、含油金属屑、废润滑油、废润滑油桶、含油抹布及废劳保用品，最大储存量为4t/a，6.21m</w:t>
            </w:r>
            <w:r>
              <w:rPr>
                <w:rFonts w:hint="eastAsia" w:cs="Times New Roman"/>
                <w:smallCaps w:val="0"/>
                <w:color w:val="auto"/>
                <w:spacing w:val="0"/>
                <w:highlight w:val="none"/>
                <w:vertAlign w:val="superscript"/>
                <w:lang w:val="en-US" w:eastAsia="zh-CN"/>
              </w:rPr>
              <w:t>2</w:t>
            </w:r>
            <w:r>
              <w:rPr>
                <w:rFonts w:hint="eastAsia" w:cs="Times New Roman"/>
                <w:smallCaps w:val="0"/>
                <w:color w:val="auto"/>
                <w:spacing w:val="0"/>
                <w:highlight w:val="none"/>
                <w:lang w:val="en-US" w:eastAsia="zh-CN"/>
              </w:rPr>
              <w:t>危废间可满足项目危险废物暂存需求，</w:t>
            </w:r>
            <w:r>
              <w:rPr>
                <w:rFonts w:hint="eastAsia" w:cs="Times New Roman"/>
                <w:smallCaps w:val="0"/>
                <w:color w:val="auto"/>
                <w:spacing w:val="0"/>
                <w:highlight w:val="none"/>
                <w:lang w:eastAsia="zh-CN"/>
              </w:rPr>
              <w:t>危废间</w:t>
            </w:r>
            <w:r>
              <w:rPr>
                <w:rFonts w:hint="default" w:ascii="Times New Roman" w:hAnsi="Times New Roman" w:cs="Times New Roman"/>
                <w:smallCaps w:val="0"/>
                <w:color w:val="auto"/>
                <w:spacing w:val="0"/>
                <w:highlight w:val="none"/>
              </w:rPr>
              <w:t>进行防渗处理，满足《危险废物贮存污染控制标准》（GB18597-2023）的相关要求。</w:t>
            </w:r>
          </w:p>
          <w:p w14:paraId="176F909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（3）危险废物暂存间贮存要求</w:t>
            </w:r>
          </w:p>
          <w:p w14:paraId="5D0AC6C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项目危险废物收集和临时储存措施按《危险废物贮存污染控制标准》（GB18597-2023）规定进行：</w:t>
            </w:r>
          </w:p>
          <w:p w14:paraId="71DE56D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l）贮存设施应根据危险废物的形态、物理化学性质、包装形式和污染物迁移途径，采取必要的防风、防晒、防雨、防漏、防渗、防腐以及其他环境污染防治措施，不应露天堆放危险废物。</w:t>
            </w:r>
          </w:p>
          <w:p w14:paraId="2FDFC4B1">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2）贮存设施应根据危险废物的类别、数量、形态、物理化学性质和污染防治等要求设置必要的贮存分区，避免不相容的危险废物接触、混合。</w:t>
            </w:r>
          </w:p>
          <w:p w14:paraId="47F9B42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3）贮存设施或贮存分区内地面、墙面裙脚、堵截泄漏的围堰、接触危险废物的隔板和墙体等应采用坚固的材料建造，表面无裂缝。</w:t>
            </w:r>
          </w:p>
          <w:p w14:paraId="48687007">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smallCaps w:val="0"/>
                <w:color w:val="auto"/>
                <w:spacing w:val="0"/>
                <w:highlight w:val="none"/>
                <w:vertAlign w:val="superscript"/>
              </w:rPr>
              <w:t>-7</w:t>
            </w:r>
            <w:r>
              <w:rPr>
                <w:rFonts w:hint="default" w:ascii="Times New Roman" w:hAnsi="Times New Roman" w:cs="Times New Roman"/>
                <w:smallCaps w:val="0"/>
                <w:color w:val="auto"/>
                <w:spacing w:val="0"/>
                <w:highlight w:val="none"/>
              </w:rPr>
              <w:t>cm/s），或至少2mm厚高密度聚乙烯膜等人工防渗材料（渗透系数不大于10</w:t>
            </w:r>
            <w:r>
              <w:rPr>
                <w:rFonts w:hint="default" w:ascii="Times New Roman" w:hAnsi="Times New Roman" w:cs="Times New Roman"/>
                <w:smallCaps w:val="0"/>
                <w:color w:val="auto"/>
                <w:spacing w:val="0"/>
                <w:highlight w:val="none"/>
                <w:vertAlign w:val="superscript"/>
              </w:rPr>
              <w:t>-10</w:t>
            </w:r>
            <w:r>
              <w:rPr>
                <w:rFonts w:hint="default" w:ascii="Times New Roman" w:hAnsi="Times New Roman" w:cs="Times New Roman"/>
                <w:smallCaps w:val="0"/>
                <w:color w:val="auto"/>
                <w:spacing w:val="0"/>
                <w:highlight w:val="none"/>
              </w:rPr>
              <w:t>cm/s），或其他防渗性能等效的材料。</w:t>
            </w:r>
          </w:p>
          <w:p w14:paraId="41FCDAA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5）同一贮存设施宜采用相同的防渗、防腐工艺（包括防渗、防腐结构或材料），防渗、防腐材料应覆盖所有可能与废物及其渗滤液、渗漏液等接触的构筑物表面；采用不同防渗、防腐工艺应分别建设贮存分区。</w:t>
            </w:r>
          </w:p>
          <w:p w14:paraId="5E45E39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6）贮存设施应采取技术和管理措施防止无关人员进入。</w:t>
            </w:r>
          </w:p>
          <w:p w14:paraId="6D45329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7）贮存库内不同贮存分区之间应采取隔离措施。隔离措施可根据危险废物特性采用过道、隔板或隔墙等方式。</w:t>
            </w:r>
          </w:p>
          <w:p w14:paraId="40F42AEE">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8）在贮存库内或通过贮存分区方式贮存液态危险废物的，应具有液体泄漏堵截设施，堵截设施最小容积不应低于对应贮存区域最大液态废物容器容积或液态废物总储量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14:paraId="7E0763C8">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（4）危废外运管理要求</w:t>
            </w:r>
          </w:p>
          <w:p w14:paraId="714551F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按照《危险废物转移管理办法》（部令 第23号）中规定。</w:t>
            </w:r>
          </w:p>
          <w:p w14:paraId="457894BF">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第七条：转移危险废物的，应当通过国家危险废物信息管理系统（以下简称信息系统）填写、运行危险废物电子转移联单，并依照国家有关规定公开危险废物转移相关污染环境防治信息。</w:t>
            </w:r>
          </w:p>
          <w:p w14:paraId="561551E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第九条 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458F3A3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 xml:space="preserve"> 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4714515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第十条  移出人应当履行以下义务：</w:t>
            </w:r>
          </w:p>
          <w:p w14:paraId="506A51A0">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一）对承运人或者接受人的主体资格和技术能力进行核实，依法签订书面合同，并在合同中约定运输、贮存、利用、处置危险废物的污染防治要求及相关责任；</w:t>
            </w:r>
          </w:p>
          <w:p w14:paraId="383FFF5D">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二）制定危险废物管理计划，明确拟转移危险废物的种类、重量（数量）和流向等信息；</w:t>
            </w:r>
          </w:p>
          <w:p w14:paraId="41A558D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 xml:space="preserve"> 三）建立危险废物管理台账，对转移的危险废物进行计量称重，如实记录、妥善保管转移危险废物的种类、重量（数量）和接受人等相关信息；</w:t>
            </w:r>
          </w:p>
          <w:p w14:paraId="1E00126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四）填写、运行危险废物转移联单，在危险废物转移联单中如实填写移出人、承运人、接受人信息，转移危险废物的种类、重量（数量）、危险特性等信息，以及突发环境事件的防范措施等；</w:t>
            </w:r>
          </w:p>
          <w:p w14:paraId="5BA89F03">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五）及时核实接受人贮存、利用或者处置相关危险废物情况；</w:t>
            </w:r>
          </w:p>
          <w:p w14:paraId="788E6F5B">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六）法律法规规定的其他义务。</w:t>
            </w:r>
          </w:p>
          <w:p w14:paraId="36BB5E5A">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移出人应当按照国家有关要求开展危险废物鉴别。禁止将危险废物以副产品等名义提供或者委托给无危险废物经营许可证的单位或者其他生产经营者从事收集、贮存、利用、处置活动。</w:t>
            </w:r>
          </w:p>
          <w:p w14:paraId="65C21706">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经过采取以上措施，危险废物处理与处置符合《危险废物贮存污染控制标准》（GB18597-2023）有关要求，对环境影响很小，处理与处置措施可行。。</w:t>
            </w:r>
          </w:p>
          <w:p w14:paraId="5AA409B5">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cs="Times New Roman"/>
                <w:bCs/>
                <w:color w:val="auto"/>
                <w:sz w:val="24"/>
                <w:szCs w:val="20"/>
                <w:highlight w:val="none"/>
              </w:rPr>
            </w:pPr>
            <w:r>
              <w:rPr>
                <w:rFonts w:hint="default" w:ascii="Times New Roman" w:hAnsi="Times New Roman" w:cs="Times New Roman"/>
                <w:color w:val="auto"/>
                <w:sz w:val="24"/>
                <w:szCs w:val="20"/>
                <w:highlight w:val="none"/>
              </w:rPr>
              <w:t>根据《建设项目危险废物环境影响评价指南》要求，项目工程分析中危险废物汇总表见表4-</w:t>
            </w:r>
            <w:r>
              <w:rPr>
                <w:rFonts w:hint="eastAsia" w:cs="Times New Roman"/>
                <w:color w:val="auto"/>
                <w:sz w:val="24"/>
                <w:szCs w:val="20"/>
                <w:highlight w:val="none"/>
                <w:lang w:val="en-US" w:eastAsia="zh-CN"/>
              </w:rPr>
              <w:t>14</w:t>
            </w:r>
            <w:r>
              <w:rPr>
                <w:rFonts w:hint="default" w:ascii="Times New Roman" w:hAnsi="Times New Roman" w:cs="Times New Roman"/>
                <w:color w:val="auto"/>
                <w:sz w:val="24"/>
                <w:szCs w:val="20"/>
                <w:highlight w:val="none"/>
              </w:rPr>
              <w:t>。</w:t>
            </w:r>
          </w:p>
          <w:p w14:paraId="32B32FB8">
            <w:pPr>
              <w:keepNext w:val="0"/>
              <w:keepLines w:val="0"/>
              <w:widowControl/>
              <w:suppressLineNumbers w:val="0"/>
              <w:spacing w:before="0" w:beforeAutospacing="0" w:after="0" w:afterAutospacing="0" w:line="480" w:lineRule="exact"/>
              <w:ind w:left="0" w:right="0"/>
              <w:jc w:val="center"/>
              <w:textAlignment w:val="baseline"/>
              <w:rPr>
                <w:rFonts w:hint="default" w:ascii="Times New Roman" w:hAnsi="Times New Roman" w:cs="Times New Roman"/>
                <w:b/>
                <w:bCs/>
                <w:color w:val="auto"/>
                <w:sz w:val="24"/>
                <w:szCs w:val="20"/>
                <w:highlight w:val="none"/>
              </w:rPr>
            </w:pPr>
            <w:r>
              <w:rPr>
                <w:rFonts w:hint="default" w:ascii="Times New Roman" w:hAnsi="Times New Roman" w:cs="Times New Roman"/>
                <w:b/>
                <w:bCs/>
                <w:color w:val="auto"/>
                <w:sz w:val="24"/>
                <w:szCs w:val="20"/>
                <w:highlight w:val="none"/>
              </w:rPr>
              <w:t>表4-</w:t>
            </w:r>
            <w:r>
              <w:rPr>
                <w:rFonts w:hint="eastAsia" w:cs="Times New Roman"/>
                <w:b/>
                <w:bCs/>
                <w:color w:val="auto"/>
                <w:sz w:val="24"/>
                <w:szCs w:val="20"/>
                <w:highlight w:val="none"/>
                <w:lang w:val="en-US" w:eastAsia="zh-CN"/>
              </w:rPr>
              <w:t>14</w:t>
            </w:r>
            <w:r>
              <w:rPr>
                <w:rFonts w:hint="default" w:ascii="Times New Roman" w:hAnsi="Times New Roman" w:cs="Times New Roman"/>
                <w:b/>
                <w:bCs/>
                <w:color w:val="auto"/>
                <w:sz w:val="24"/>
                <w:szCs w:val="20"/>
                <w:highlight w:val="none"/>
              </w:rPr>
              <w:t xml:space="preserve">  项目工程分析中危险废物汇总表</w:t>
            </w:r>
          </w:p>
          <w:tbl>
            <w:tblPr>
              <w:tblStyle w:val="4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3"/>
              <w:gridCol w:w="710"/>
              <w:gridCol w:w="690"/>
              <w:gridCol w:w="1151"/>
              <w:gridCol w:w="798"/>
              <w:gridCol w:w="643"/>
              <w:gridCol w:w="488"/>
              <w:gridCol w:w="565"/>
              <w:gridCol w:w="600"/>
              <w:gridCol w:w="465"/>
              <w:gridCol w:w="615"/>
              <w:gridCol w:w="974"/>
            </w:tblGrid>
            <w:tr w14:paraId="4456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 w:type="pct"/>
                  <w:noWrap w:val="0"/>
                  <w:tcMar>
                    <w:top w:w="0" w:type="dxa"/>
                    <w:left w:w="6" w:type="dxa"/>
                    <w:bottom w:w="0" w:type="dxa"/>
                    <w:right w:w="6" w:type="dxa"/>
                  </w:tcMar>
                  <w:vAlign w:val="center"/>
                </w:tcPr>
                <w:p w14:paraId="0B1F42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45" w:type="pct"/>
                  <w:noWrap w:val="0"/>
                  <w:tcMar>
                    <w:top w:w="0" w:type="dxa"/>
                    <w:left w:w="6" w:type="dxa"/>
                    <w:bottom w:w="0" w:type="dxa"/>
                    <w:right w:w="6" w:type="dxa"/>
                  </w:tcMar>
                  <w:vAlign w:val="center"/>
                </w:tcPr>
                <w:p w14:paraId="3F341F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432" w:type="pct"/>
                  <w:noWrap w:val="0"/>
                  <w:tcMar>
                    <w:top w:w="0" w:type="dxa"/>
                    <w:left w:w="6" w:type="dxa"/>
                    <w:bottom w:w="0" w:type="dxa"/>
                    <w:right w:w="6" w:type="dxa"/>
                  </w:tcMar>
                  <w:vAlign w:val="center"/>
                </w:tcPr>
                <w:p w14:paraId="20CDB04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危险废物类别</w:t>
                  </w:r>
                </w:p>
              </w:tc>
              <w:tc>
                <w:tcPr>
                  <w:tcW w:w="721" w:type="pct"/>
                  <w:noWrap w:val="0"/>
                  <w:tcMar>
                    <w:top w:w="0" w:type="dxa"/>
                    <w:left w:w="6" w:type="dxa"/>
                    <w:bottom w:w="0" w:type="dxa"/>
                    <w:right w:w="6" w:type="dxa"/>
                  </w:tcMar>
                  <w:vAlign w:val="center"/>
                </w:tcPr>
                <w:p w14:paraId="1AAA32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危险废物代码</w:t>
                  </w:r>
                </w:p>
              </w:tc>
              <w:tc>
                <w:tcPr>
                  <w:tcW w:w="500" w:type="pct"/>
                  <w:noWrap w:val="0"/>
                  <w:tcMar>
                    <w:top w:w="0" w:type="dxa"/>
                    <w:left w:w="6" w:type="dxa"/>
                    <w:bottom w:w="0" w:type="dxa"/>
                    <w:right w:w="6" w:type="dxa"/>
                  </w:tcMar>
                  <w:vAlign w:val="center"/>
                </w:tcPr>
                <w:p w14:paraId="75C4D8D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tc>
              <w:tc>
                <w:tcPr>
                  <w:tcW w:w="403" w:type="pct"/>
                  <w:noWrap w:val="0"/>
                  <w:tcMar>
                    <w:top w:w="0" w:type="dxa"/>
                    <w:left w:w="6" w:type="dxa"/>
                    <w:bottom w:w="0" w:type="dxa"/>
                    <w:right w:w="6" w:type="dxa"/>
                  </w:tcMar>
                  <w:vAlign w:val="center"/>
                </w:tcPr>
                <w:p w14:paraId="3123033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产生工序及装置</w:t>
                  </w:r>
                </w:p>
              </w:tc>
              <w:tc>
                <w:tcPr>
                  <w:tcW w:w="306" w:type="pct"/>
                  <w:noWrap w:val="0"/>
                  <w:tcMar>
                    <w:top w:w="0" w:type="dxa"/>
                    <w:left w:w="6" w:type="dxa"/>
                    <w:bottom w:w="0" w:type="dxa"/>
                    <w:right w:w="6" w:type="dxa"/>
                  </w:tcMar>
                  <w:vAlign w:val="center"/>
                </w:tcPr>
                <w:p w14:paraId="48D2BBB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形态</w:t>
                  </w:r>
                </w:p>
              </w:tc>
              <w:tc>
                <w:tcPr>
                  <w:tcW w:w="354" w:type="pct"/>
                  <w:noWrap w:val="0"/>
                  <w:tcMar>
                    <w:top w:w="0" w:type="dxa"/>
                    <w:left w:w="6" w:type="dxa"/>
                    <w:bottom w:w="0" w:type="dxa"/>
                    <w:right w:w="6" w:type="dxa"/>
                  </w:tcMar>
                  <w:vAlign w:val="center"/>
                </w:tcPr>
                <w:p w14:paraId="1F8377B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主要成分</w:t>
                  </w:r>
                </w:p>
              </w:tc>
              <w:tc>
                <w:tcPr>
                  <w:tcW w:w="376" w:type="pct"/>
                  <w:noWrap w:val="0"/>
                  <w:tcMar>
                    <w:top w:w="0" w:type="dxa"/>
                    <w:left w:w="6" w:type="dxa"/>
                    <w:bottom w:w="0" w:type="dxa"/>
                    <w:right w:w="6" w:type="dxa"/>
                  </w:tcMar>
                  <w:vAlign w:val="center"/>
                </w:tcPr>
                <w:p w14:paraId="32C21A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有害成分</w:t>
                  </w:r>
                </w:p>
              </w:tc>
              <w:tc>
                <w:tcPr>
                  <w:tcW w:w="291" w:type="pct"/>
                  <w:noWrap w:val="0"/>
                  <w:tcMar>
                    <w:top w:w="0" w:type="dxa"/>
                    <w:left w:w="6" w:type="dxa"/>
                    <w:bottom w:w="0" w:type="dxa"/>
                    <w:right w:w="6" w:type="dxa"/>
                  </w:tcMar>
                  <w:vAlign w:val="center"/>
                </w:tcPr>
                <w:p w14:paraId="0CD9749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产废周期</w:t>
                  </w:r>
                </w:p>
              </w:tc>
              <w:tc>
                <w:tcPr>
                  <w:tcW w:w="385" w:type="pct"/>
                  <w:noWrap w:val="0"/>
                  <w:tcMar>
                    <w:top w:w="0" w:type="dxa"/>
                    <w:left w:w="6" w:type="dxa"/>
                    <w:bottom w:w="0" w:type="dxa"/>
                    <w:right w:w="6" w:type="dxa"/>
                  </w:tcMar>
                  <w:vAlign w:val="center"/>
                </w:tcPr>
                <w:p w14:paraId="5410C61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危险特性</w:t>
                  </w:r>
                </w:p>
              </w:tc>
              <w:tc>
                <w:tcPr>
                  <w:tcW w:w="610" w:type="pct"/>
                  <w:noWrap w:val="0"/>
                  <w:tcMar>
                    <w:top w:w="0" w:type="dxa"/>
                    <w:left w:w="6" w:type="dxa"/>
                    <w:bottom w:w="0" w:type="dxa"/>
                    <w:right w:w="6" w:type="dxa"/>
                  </w:tcMar>
                  <w:vAlign w:val="center"/>
                </w:tcPr>
                <w:p w14:paraId="6E2B9B8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r>
            <w:tr w14:paraId="01A7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721C6A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45" w:type="pct"/>
                  <w:noWrap w:val="0"/>
                  <w:vAlign w:val="center"/>
                </w:tcPr>
                <w:p w14:paraId="0759C934">
                  <w:pPr>
                    <w:keepNext w:val="0"/>
                    <w:keepLines w:val="0"/>
                    <w:suppressLineNumbers w:val="0"/>
                    <w:tabs>
                      <w:tab w:val="center" w:pos="4153"/>
                      <w:tab w:val="right" w:pos="8306"/>
                    </w:tabs>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废润滑油</w:t>
                  </w:r>
                </w:p>
              </w:tc>
              <w:tc>
                <w:tcPr>
                  <w:tcW w:w="432" w:type="pct"/>
                  <w:shd w:val="clear" w:color="auto" w:fill="auto"/>
                  <w:noWrap w:val="0"/>
                  <w:vAlign w:val="center"/>
                </w:tcPr>
                <w:p w14:paraId="70E98478">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HW08</w:t>
                  </w:r>
                </w:p>
              </w:tc>
              <w:tc>
                <w:tcPr>
                  <w:tcW w:w="721" w:type="pct"/>
                  <w:shd w:val="clear" w:color="auto" w:fill="auto"/>
                  <w:noWrap w:val="0"/>
                  <w:vAlign w:val="center"/>
                </w:tcPr>
                <w:p w14:paraId="4917A705">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217-08</w:t>
                  </w:r>
                </w:p>
              </w:tc>
              <w:tc>
                <w:tcPr>
                  <w:tcW w:w="500" w:type="pct"/>
                  <w:shd w:val="clear" w:color="auto" w:fill="auto"/>
                  <w:noWrap w:val="0"/>
                  <w:vAlign w:val="center"/>
                </w:tcPr>
                <w:p w14:paraId="2F5BCC51">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03" w:type="pct"/>
                  <w:vMerge w:val="restart"/>
                  <w:noWrap w:val="0"/>
                  <w:vAlign w:val="center"/>
                </w:tcPr>
                <w:p w14:paraId="1C688CC9">
                  <w:pPr>
                    <w:keepNext w:val="0"/>
                    <w:keepLines w:val="0"/>
                    <w:suppressLineNumbers w:val="0"/>
                    <w:tabs>
                      <w:tab w:val="center" w:pos="4153"/>
                      <w:tab w:val="right" w:pos="8306"/>
                    </w:tabs>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设备维护</w:t>
                  </w:r>
                </w:p>
              </w:tc>
              <w:tc>
                <w:tcPr>
                  <w:tcW w:w="306" w:type="pct"/>
                  <w:noWrap w:val="0"/>
                  <w:vAlign w:val="center"/>
                </w:tcPr>
                <w:p w14:paraId="2935C9D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354" w:type="pct"/>
                  <w:noWrap w:val="0"/>
                  <w:vAlign w:val="center"/>
                </w:tcPr>
                <w:p w14:paraId="26F1B9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矿物油</w:t>
                  </w:r>
                </w:p>
              </w:tc>
              <w:tc>
                <w:tcPr>
                  <w:tcW w:w="376" w:type="pct"/>
                  <w:noWrap w:val="0"/>
                  <w:vAlign w:val="center"/>
                </w:tcPr>
                <w:p w14:paraId="7E0D04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矿物油</w:t>
                  </w:r>
                </w:p>
              </w:tc>
              <w:tc>
                <w:tcPr>
                  <w:tcW w:w="291" w:type="pct"/>
                  <w:noWrap w:val="0"/>
                  <w:vAlign w:val="center"/>
                </w:tcPr>
                <w:p w14:paraId="41270BD2">
                  <w:pPr>
                    <w:pStyle w:val="225"/>
                    <w:keepNext w:val="0"/>
                    <w:keepLines w:val="0"/>
                    <w:suppressLineNumbers w:val="0"/>
                    <w:spacing w:beforeAutospacing="0" w:afterAutospacing="0" w:line="240" w:lineRule="auto"/>
                    <w:ind w:left="0" w:right="0"/>
                    <w:rPr>
                      <w:rFonts w:hint="default" w:ascii="Times New Roman" w:hAnsi="Times New Roman" w:eastAsia="宋体" w:cs="Times New Roman"/>
                      <w:color w:val="auto"/>
                      <w:kern w:val="2"/>
                      <w:sz w:val="21"/>
                      <w:szCs w:val="21"/>
                      <w:highlight w:val="none"/>
                    </w:rPr>
                  </w:pPr>
                  <w:bookmarkStart w:id="10" w:name="_Toc14117"/>
                  <w:r>
                    <w:rPr>
                      <w:rFonts w:hint="eastAsia"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次</w:t>
                  </w:r>
                  <w:r>
                    <w:rPr>
                      <w:rFonts w:hint="eastAsia" w:ascii="Times New Roman" w:hAnsi="Times New Roman" w:eastAsia="宋体" w:cs="Times New Roman"/>
                      <w:color w:val="auto"/>
                      <w:kern w:val="2"/>
                      <w:sz w:val="21"/>
                      <w:szCs w:val="21"/>
                      <w:highlight w:val="none"/>
                      <w:lang w:val="en-US" w:eastAsia="zh-CN"/>
                    </w:rPr>
                    <w:t>/</w:t>
                  </w:r>
                  <w:r>
                    <w:rPr>
                      <w:rFonts w:hint="eastAsia" w:eastAsia="宋体" w:cs="Times New Roman"/>
                      <w:color w:val="auto"/>
                      <w:kern w:val="2"/>
                      <w:sz w:val="21"/>
                      <w:szCs w:val="21"/>
                      <w:highlight w:val="none"/>
                      <w:lang w:val="en-US" w:eastAsia="zh-CN"/>
                    </w:rPr>
                    <w:t>半</w:t>
                  </w:r>
                  <w:r>
                    <w:rPr>
                      <w:rFonts w:hint="default" w:ascii="Times New Roman" w:hAnsi="Times New Roman" w:eastAsia="宋体" w:cs="Times New Roman"/>
                      <w:color w:val="auto"/>
                      <w:kern w:val="2"/>
                      <w:sz w:val="21"/>
                      <w:szCs w:val="21"/>
                      <w:highlight w:val="none"/>
                    </w:rPr>
                    <w:t>年</w:t>
                  </w:r>
                  <w:bookmarkEnd w:id="10"/>
                </w:p>
              </w:tc>
              <w:tc>
                <w:tcPr>
                  <w:tcW w:w="385" w:type="pct"/>
                  <w:noWrap w:val="0"/>
                  <w:vAlign w:val="center"/>
                </w:tcPr>
                <w:p w14:paraId="3C61CFA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restart"/>
                  <w:noWrap w:val="0"/>
                  <w:vAlign w:val="center"/>
                </w:tcPr>
                <w:p w14:paraId="31CE2E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危废间暂存后交由有危废处置资质单位处置</w:t>
                  </w:r>
                </w:p>
              </w:tc>
            </w:tr>
            <w:tr w14:paraId="6431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1D3C1A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445" w:type="pct"/>
                  <w:noWrap w:val="0"/>
                  <w:vAlign w:val="center"/>
                </w:tcPr>
                <w:p w14:paraId="63936F53">
                  <w:pPr>
                    <w:keepNext w:val="0"/>
                    <w:keepLines w:val="0"/>
                    <w:suppressLineNumbers w:val="0"/>
                    <w:tabs>
                      <w:tab w:val="center" w:pos="4153"/>
                      <w:tab w:val="right" w:pos="8306"/>
                    </w:tabs>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废润滑油桶</w:t>
                  </w:r>
                </w:p>
              </w:tc>
              <w:tc>
                <w:tcPr>
                  <w:tcW w:w="432" w:type="pct"/>
                  <w:shd w:val="clear" w:color="auto" w:fill="auto"/>
                  <w:noWrap w:val="0"/>
                  <w:vAlign w:val="center"/>
                </w:tcPr>
                <w:p w14:paraId="1A92A08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08</w:t>
                  </w:r>
                </w:p>
              </w:tc>
              <w:tc>
                <w:tcPr>
                  <w:tcW w:w="721" w:type="pct"/>
                  <w:shd w:val="clear" w:color="auto" w:fill="auto"/>
                  <w:noWrap w:val="0"/>
                  <w:vAlign w:val="center"/>
                </w:tcPr>
                <w:p w14:paraId="48C6FA3D">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249</w:t>
                  </w:r>
                  <w:r>
                    <w:rPr>
                      <w:rFonts w:hint="default"/>
                      <w:bCs/>
                      <w:color w:val="auto"/>
                      <w:sz w:val="21"/>
                      <w:szCs w:val="21"/>
                      <w:highlight w:val="none"/>
                      <w:lang w:val="pt-BR"/>
                    </w:rPr>
                    <w:t>-</w:t>
                  </w:r>
                  <w:r>
                    <w:rPr>
                      <w:rFonts w:hint="eastAsia"/>
                      <w:bCs/>
                      <w:color w:val="auto"/>
                      <w:sz w:val="21"/>
                      <w:szCs w:val="21"/>
                      <w:highlight w:val="none"/>
                      <w:lang w:val="en-US" w:eastAsia="zh-CN"/>
                    </w:rPr>
                    <w:t>08</w:t>
                  </w:r>
                </w:p>
              </w:tc>
              <w:tc>
                <w:tcPr>
                  <w:tcW w:w="500" w:type="pct"/>
                  <w:shd w:val="clear" w:color="auto" w:fill="auto"/>
                  <w:noWrap w:val="0"/>
                  <w:vAlign w:val="center"/>
                </w:tcPr>
                <w:p w14:paraId="77C8EAFC">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03" w:type="pct"/>
                  <w:vMerge w:val="continue"/>
                  <w:noWrap w:val="0"/>
                  <w:vAlign w:val="center"/>
                </w:tcPr>
                <w:p w14:paraId="2534A2FE">
                  <w:pPr>
                    <w:pStyle w:val="39"/>
                    <w:keepNext w:val="0"/>
                    <w:keepLines w:val="0"/>
                    <w:suppressLineNumbers w:val="0"/>
                    <w:spacing w:before="0" w:beforeAutospacing="0" w:after="0" w:afterAutospacing="0" w:line="360" w:lineRule="exact"/>
                    <w:ind w:left="0" w:leftChars="0" w:right="0"/>
                    <w:jc w:val="center"/>
                    <w:rPr>
                      <w:rFonts w:hint="default" w:ascii="Times New Roman" w:hAnsi="Times New Roman" w:cs="Times New Roman"/>
                      <w:smallCaps w:val="0"/>
                      <w:color w:val="auto"/>
                      <w:kern w:val="2"/>
                      <w:sz w:val="21"/>
                      <w:szCs w:val="21"/>
                      <w:highlight w:val="none"/>
                    </w:rPr>
                  </w:pPr>
                </w:p>
              </w:tc>
              <w:tc>
                <w:tcPr>
                  <w:tcW w:w="306" w:type="pct"/>
                  <w:noWrap w:val="0"/>
                  <w:vAlign w:val="center"/>
                </w:tcPr>
                <w:p w14:paraId="7115BC9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354" w:type="pct"/>
                  <w:noWrap w:val="0"/>
                  <w:vAlign w:val="center"/>
                </w:tcPr>
                <w:p w14:paraId="65336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润滑油桶</w:t>
                  </w:r>
                </w:p>
              </w:tc>
              <w:tc>
                <w:tcPr>
                  <w:tcW w:w="376" w:type="pct"/>
                  <w:noWrap w:val="0"/>
                  <w:vAlign w:val="center"/>
                </w:tcPr>
                <w:p w14:paraId="616E9D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矿物油</w:t>
                  </w:r>
                </w:p>
              </w:tc>
              <w:tc>
                <w:tcPr>
                  <w:tcW w:w="291" w:type="pct"/>
                  <w:noWrap w:val="0"/>
                  <w:vAlign w:val="center"/>
                </w:tcPr>
                <w:p w14:paraId="460D83B8">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次</w:t>
                  </w:r>
                  <w:r>
                    <w:rPr>
                      <w:rFonts w:hint="eastAsia" w:ascii="Times New Roman" w:hAnsi="Times New Roman" w:eastAsia="宋体" w:cs="Times New Roman"/>
                      <w:color w:val="auto"/>
                      <w:kern w:val="2"/>
                      <w:sz w:val="21"/>
                      <w:szCs w:val="21"/>
                      <w:highlight w:val="none"/>
                      <w:lang w:val="en-US" w:eastAsia="zh-CN"/>
                    </w:rPr>
                    <w:t>/</w:t>
                  </w:r>
                  <w:r>
                    <w:rPr>
                      <w:rFonts w:hint="eastAsia" w:eastAsia="宋体" w:cs="Times New Roman"/>
                      <w:color w:val="auto"/>
                      <w:kern w:val="2"/>
                      <w:sz w:val="21"/>
                      <w:szCs w:val="21"/>
                      <w:highlight w:val="none"/>
                      <w:lang w:val="en-US" w:eastAsia="zh-CN"/>
                    </w:rPr>
                    <w:t>半</w:t>
                  </w:r>
                  <w:r>
                    <w:rPr>
                      <w:rFonts w:hint="default" w:ascii="Times New Roman" w:hAnsi="Times New Roman" w:eastAsia="宋体" w:cs="Times New Roman"/>
                      <w:color w:val="auto"/>
                      <w:kern w:val="2"/>
                      <w:sz w:val="21"/>
                      <w:szCs w:val="21"/>
                      <w:highlight w:val="none"/>
                    </w:rPr>
                    <w:t>年</w:t>
                  </w:r>
                </w:p>
              </w:tc>
              <w:tc>
                <w:tcPr>
                  <w:tcW w:w="385" w:type="pct"/>
                  <w:noWrap w:val="0"/>
                  <w:vAlign w:val="center"/>
                </w:tcPr>
                <w:p w14:paraId="78D003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2859B44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68FC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3EEE2CE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45" w:type="pct"/>
                  <w:noWrap w:val="0"/>
                  <w:vAlign w:val="center"/>
                </w:tcPr>
                <w:p w14:paraId="4DE70075">
                  <w:pPr>
                    <w:keepNext w:val="0"/>
                    <w:keepLines w:val="0"/>
                    <w:suppressLineNumbers w:val="0"/>
                    <w:tabs>
                      <w:tab w:val="center" w:pos="4153"/>
                      <w:tab w:val="right" w:pos="8306"/>
                    </w:tabs>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含油抹布及废劳保用品</w:t>
                  </w:r>
                </w:p>
              </w:tc>
              <w:tc>
                <w:tcPr>
                  <w:tcW w:w="432" w:type="pct"/>
                  <w:shd w:val="clear" w:color="auto" w:fill="auto"/>
                  <w:noWrap w:val="0"/>
                  <w:vAlign w:val="center"/>
                </w:tcPr>
                <w:p w14:paraId="0C06BAE7">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721" w:type="pct"/>
                  <w:shd w:val="clear" w:color="auto" w:fill="auto"/>
                  <w:noWrap w:val="0"/>
                  <w:vAlign w:val="center"/>
                </w:tcPr>
                <w:p w14:paraId="336A5BE4">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900-041-49</w:t>
                  </w:r>
                </w:p>
              </w:tc>
              <w:tc>
                <w:tcPr>
                  <w:tcW w:w="500" w:type="pct"/>
                  <w:shd w:val="clear" w:color="auto" w:fill="auto"/>
                  <w:noWrap w:val="0"/>
                  <w:vAlign w:val="center"/>
                </w:tcPr>
                <w:p w14:paraId="1FE4F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03" w:type="pct"/>
                  <w:vMerge w:val="continue"/>
                  <w:noWrap w:val="0"/>
                  <w:vAlign w:val="center"/>
                </w:tcPr>
                <w:p w14:paraId="484D0715">
                  <w:pPr>
                    <w:pStyle w:val="39"/>
                    <w:keepNext w:val="0"/>
                    <w:keepLines w:val="0"/>
                    <w:suppressLineNumbers w:val="0"/>
                    <w:spacing w:before="0" w:beforeAutospacing="0" w:after="0" w:afterAutospacing="0" w:line="360" w:lineRule="exact"/>
                    <w:ind w:left="0" w:leftChars="0" w:right="0"/>
                    <w:jc w:val="center"/>
                    <w:rPr>
                      <w:rFonts w:hint="default" w:ascii="Times New Roman" w:hAnsi="Times New Roman" w:cs="Times New Roman"/>
                      <w:smallCaps w:val="0"/>
                      <w:color w:val="auto"/>
                      <w:kern w:val="2"/>
                      <w:sz w:val="21"/>
                      <w:szCs w:val="21"/>
                      <w:highlight w:val="none"/>
                    </w:rPr>
                  </w:pPr>
                </w:p>
              </w:tc>
              <w:tc>
                <w:tcPr>
                  <w:tcW w:w="306" w:type="pct"/>
                  <w:shd w:val="clear" w:color="auto" w:fill="auto"/>
                  <w:noWrap w:val="0"/>
                  <w:vAlign w:val="center"/>
                </w:tcPr>
                <w:p w14:paraId="14A715C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354" w:type="pct"/>
                  <w:shd w:val="clear" w:color="auto" w:fill="auto"/>
                  <w:noWrap w:val="0"/>
                  <w:vAlign w:val="center"/>
                </w:tcPr>
                <w:p w14:paraId="30E0CD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eastAsia" w:eastAsia="宋体" w:cs="Times New Roman"/>
                      <w:color w:val="auto"/>
                      <w:sz w:val="21"/>
                      <w:szCs w:val="21"/>
                      <w:highlight w:val="none"/>
                      <w:lang w:val="en-US" w:eastAsia="zh-CN"/>
                    </w:rPr>
                    <w:t>抹布及劳保用品</w:t>
                  </w:r>
                </w:p>
              </w:tc>
              <w:tc>
                <w:tcPr>
                  <w:tcW w:w="376" w:type="pct"/>
                  <w:shd w:val="clear" w:color="auto" w:fill="auto"/>
                  <w:noWrap w:val="0"/>
                  <w:vAlign w:val="center"/>
                </w:tcPr>
                <w:p w14:paraId="04D831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eastAsia" w:eastAsia="宋体" w:cs="Times New Roman"/>
                      <w:color w:val="auto"/>
                      <w:sz w:val="21"/>
                      <w:szCs w:val="21"/>
                      <w:highlight w:val="none"/>
                      <w:lang w:val="en-US" w:eastAsia="zh-CN"/>
                    </w:rPr>
                    <w:t>矿物油</w:t>
                  </w:r>
                </w:p>
              </w:tc>
              <w:tc>
                <w:tcPr>
                  <w:tcW w:w="291" w:type="pct"/>
                  <w:noWrap w:val="0"/>
                  <w:vAlign w:val="center"/>
                </w:tcPr>
                <w:p w14:paraId="08C7536B">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次</w:t>
                  </w:r>
                  <w:r>
                    <w:rPr>
                      <w:rFonts w:hint="eastAsia" w:ascii="Times New Roman" w:hAnsi="Times New Roman" w:eastAsia="宋体" w:cs="Times New Roman"/>
                      <w:color w:val="auto"/>
                      <w:kern w:val="2"/>
                      <w:sz w:val="21"/>
                      <w:szCs w:val="21"/>
                      <w:highlight w:val="none"/>
                      <w:lang w:val="en-US" w:eastAsia="zh-CN"/>
                    </w:rPr>
                    <w:t>/</w:t>
                  </w:r>
                  <w:r>
                    <w:rPr>
                      <w:rFonts w:hint="eastAsia" w:eastAsia="宋体" w:cs="Times New Roman"/>
                      <w:color w:val="auto"/>
                      <w:kern w:val="2"/>
                      <w:sz w:val="21"/>
                      <w:szCs w:val="21"/>
                      <w:highlight w:val="none"/>
                      <w:lang w:val="en-US" w:eastAsia="zh-CN"/>
                    </w:rPr>
                    <w:t>半</w:t>
                  </w:r>
                  <w:r>
                    <w:rPr>
                      <w:rFonts w:hint="default" w:ascii="Times New Roman" w:hAnsi="Times New Roman" w:eastAsia="宋体" w:cs="Times New Roman"/>
                      <w:color w:val="auto"/>
                      <w:kern w:val="2"/>
                      <w:sz w:val="21"/>
                      <w:szCs w:val="21"/>
                      <w:highlight w:val="none"/>
                    </w:rPr>
                    <w:t>年</w:t>
                  </w:r>
                </w:p>
              </w:tc>
              <w:tc>
                <w:tcPr>
                  <w:tcW w:w="385" w:type="pct"/>
                  <w:noWrap w:val="0"/>
                  <w:vAlign w:val="center"/>
                </w:tcPr>
                <w:p w14:paraId="43CC02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29C7D43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36E3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40D92677">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45" w:type="pct"/>
                  <w:shd w:val="clear" w:color="auto" w:fill="auto"/>
                  <w:noWrap w:val="0"/>
                  <w:vAlign w:val="center"/>
                </w:tcPr>
                <w:p w14:paraId="4E926913">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432" w:type="pct"/>
                  <w:shd w:val="clear" w:color="auto" w:fill="auto"/>
                  <w:noWrap w:val="0"/>
                  <w:vAlign w:val="center"/>
                </w:tcPr>
                <w:p w14:paraId="60F96C7F">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HW08</w:t>
                  </w:r>
                </w:p>
              </w:tc>
              <w:tc>
                <w:tcPr>
                  <w:tcW w:w="721" w:type="pct"/>
                  <w:shd w:val="clear" w:color="auto" w:fill="auto"/>
                  <w:noWrap w:val="0"/>
                  <w:vAlign w:val="center"/>
                </w:tcPr>
                <w:p w14:paraId="161A64BD">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900-200-08</w:t>
                  </w:r>
                </w:p>
              </w:tc>
              <w:tc>
                <w:tcPr>
                  <w:tcW w:w="500" w:type="pct"/>
                  <w:shd w:val="clear" w:color="auto" w:fill="auto"/>
                  <w:noWrap w:val="0"/>
                  <w:vAlign w:val="center"/>
                </w:tcPr>
                <w:p w14:paraId="582A99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403" w:type="pct"/>
                  <w:vMerge w:val="continue"/>
                  <w:noWrap w:val="0"/>
                  <w:vAlign w:val="center"/>
                </w:tcPr>
                <w:p w14:paraId="03FC51C9">
                  <w:pPr>
                    <w:pStyle w:val="39"/>
                    <w:keepNext w:val="0"/>
                    <w:keepLines w:val="0"/>
                    <w:suppressLineNumbers w:val="0"/>
                    <w:spacing w:before="0" w:beforeAutospacing="0" w:after="0" w:afterAutospacing="0" w:line="360" w:lineRule="exact"/>
                    <w:ind w:left="0" w:leftChars="0" w:right="0"/>
                    <w:jc w:val="center"/>
                    <w:rPr>
                      <w:rFonts w:hint="default" w:ascii="Times New Roman" w:hAnsi="Times New Roman" w:eastAsia="宋体" w:cs="Times New Roman"/>
                      <w:smallCaps w:val="0"/>
                      <w:color w:val="auto"/>
                      <w:kern w:val="2"/>
                      <w:sz w:val="21"/>
                      <w:szCs w:val="21"/>
                      <w:highlight w:val="none"/>
                      <w:lang w:val="en-US" w:eastAsia="zh-CN"/>
                    </w:rPr>
                  </w:pPr>
                </w:p>
              </w:tc>
              <w:tc>
                <w:tcPr>
                  <w:tcW w:w="306" w:type="pct"/>
                  <w:shd w:val="clear" w:color="auto" w:fill="auto"/>
                  <w:noWrap w:val="0"/>
                  <w:vAlign w:val="center"/>
                </w:tcPr>
                <w:p w14:paraId="46C2429A">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354" w:type="pct"/>
                  <w:shd w:val="clear" w:color="auto" w:fill="auto"/>
                  <w:noWrap w:val="0"/>
                  <w:vAlign w:val="center"/>
                </w:tcPr>
                <w:p w14:paraId="25B2B3AA">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bookmarkStart w:id="11" w:name="_Toc24454"/>
                  <w:r>
                    <w:rPr>
                      <w:rFonts w:hint="eastAsia" w:eastAsia="宋体" w:cs="Times New Roman"/>
                      <w:color w:val="auto"/>
                      <w:sz w:val="21"/>
                      <w:szCs w:val="21"/>
                      <w:highlight w:val="none"/>
                      <w:lang w:val="en-US" w:eastAsia="zh-CN"/>
                    </w:rPr>
                    <w:t>金属</w:t>
                  </w:r>
                  <w:bookmarkEnd w:id="11"/>
                </w:p>
              </w:tc>
              <w:tc>
                <w:tcPr>
                  <w:tcW w:w="376" w:type="pct"/>
                  <w:shd w:val="clear" w:color="auto" w:fill="auto"/>
                  <w:noWrap w:val="0"/>
                  <w:vAlign w:val="center"/>
                </w:tcPr>
                <w:p w14:paraId="64D746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矿物油</w:t>
                  </w:r>
                </w:p>
              </w:tc>
              <w:tc>
                <w:tcPr>
                  <w:tcW w:w="291" w:type="pct"/>
                  <w:noWrap w:val="0"/>
                  <w:vAlign w:val="center"/>
                </w:tcPr>
                <w:p w14:paraId="3AE23D97">
                  <w:pPr>
                    <w:pStyle w:val="225"/>
                    <w:keepNext w:val="0"/>
                    <w:keepLines w:val="0"/>
                    <w:suppressLineNumbers w:val="0"/>
                    <w:spacing w:beforeAutospacing="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bookmarkStart w:id="12" w:name="_Toc11380"/>
                  <w:r>
                    <w:rPr>
                      <w:rFonts w:hint="eastAsia" w:eastAsia="宋体" w:cs="Times New Roman"/>
                      <w:color w:val="auto"/>
                      <w:kern w:val="2"/>
                      <w:sz w:val="21"/>
                      <w:szCs w:val="21"/>
                      <w:highlight w:val="none"/>
                      <w:lang w:val="en-US" w:eastAsia="zh-CN"/>
                    </w:rPr>
                    <w:t>随生产产生</w:t>
                  </w:r>
                  <w:bookmarkEnd w:id="12"/>
                </w:p>
              </w:tc>
              <w:tc>
                <w:tcPr>
                  <w:tcW w:w="385" w:type="pct"/>
                  <w:noWrap w:val="0"/>
                  <w:vAlign w:val="center"/>
                </w:tcPr>
                <w:p w14:paraId="5E1625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4934E5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1AF6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4CC379E7">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445" w:type="pct"/>
                  <w:shd w:val="clear" w:color="auto" w:fill="auto"/>
                  <w:noWrap w:val="0"/>
                  <w:vAlign w:val="center"/>
                </w:tcPr>
                <w:p w14:paraId="7B45EE5B">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432" w:type="pct"/>
                  <w:shd w:val="clear" w:color="auto" w:fill="auto"/>
                  <w:noWrap w:val="0"/>
                  <w:vAlign w:val="center"/>
                </w:tcPr>
                <w:p w14:paraId="6B2413EE">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09</w:t>
                  </w:r>
                </w:p>
              </w:tc>
              <w:tc>
                <w:tcPr>
                  <w:tcW w:w="721" w:type="pct"/>
                  <w:shd w:val="clear" w:color="auto" w:fill="auto"/>
                  <w:noWrap w:val="0"/>
                  <w:vAlign w:val="center"/>
                </w:tcPr>
                <w:p w14:paraId="75843D1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900-006-09</w:t>
                  </w:r>
                </w:p>
              </w:tc>
              <w:tc>
                <w:tcPr>
                  <w:tcW w:w="500" w:type="pct"/>
                  <w:shd w:val="clear" w:color="auto" w:fill="auto"/>
                  <w:noWrap w:val="0"/>
                  <w:vAlign w:val="center"/>
                </w:tcPr>
                <w:p w14:paraId="6902BDF5">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03" w:type="pct"/>
                  <w:vMerge w:val="continue"/>
                  <w:noWrap w:val="0"/>
                  <w:vAlign w:val="center"/>
                </w:tcPr>
                <w:p w14:paraId="2207FB60">
                  <w:pPr>
                    <w:pStyle w:val="39"/>
                    <w:keepNext w:val="0"/>
                    <w:keepLines w:val="0"/>
                    <w:suppressLineNumbers w:val="0"/>
                    <w:spacing w:before="0" w:beforeAutospacing="0" w:after="0" w:afterAutospacing="0" w:line="360" w:lineRule="exact"/>
                    <w:ind w:left="0" w:leftChars="0" w:right="0"/>
                    <w:jc w:val="center"/>
                    <w:rPr>
                      <w:rFonts w:hint="eastAsia" w:ascii="Times New Roman" w:hAnsi="Times New Roman" w:eastAsia="宋体" w:cs="Times New Roman"/>
                      <w:smallCaps w:val="0"/>
                      <w:color w:val="auto"/>
                      <w:kern w:val="2"/>
                      <w:sz w:val="21"/>
                      <w:szCs w:val="21"/>
                      <w:highlight w:val="none"/>
                      <w:lang w:val="en-US" w:eastAsia="zh-CN"/>
                    </w:rPr>
                  </w:pPr>
                </w:p>
              </w:tc>
              <w:tc>
                <w:tcPr>
                  <w:tcW w:w="306" w:type="pct"/>
                  <w:shd w:val="clear" w:color="auto" w:fill="auto"/>
                  <w:noWrap w:val="0"/>
                  <w:vAlign w:val="center"/>
                </w:tcPr>
                <w:p w14:paraId="468604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液态</w:t>
                  </w:r>
                </w:p>
              </w:tc>
              <w:tc>
                <w:tcPr>
                  <w:tcW w:w="354" w:type="pct"/>
                  <w:shd w:val="clear" w:color="auto" w:fill="auto"/>
                  <w:noWrap w:val="0"/>
                  <w:vAlign w:val="center"/>
                </w:tcPr>
                <w:p w14:paraId="43891475">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bookmarkStart w:id="13" w:name="_Toc29226"/>
                  <w:r>
                    <w:rPr>
                      <w:rFonts w:hint="eastAsia" w:eastAsia="宋体" w:cs="Times New Roman"/>
                      <w:color w:val="auto"/>
                      <w:sz w:val="21"/>
                      <w:szCs w:val="21"/>
                      <w:highlight w:val="none"/>
                      <w:lang w:val="en-US" w:eastAsia="zh-CN"/>
                    </w:rPr>
                    <w:t>切削液</w:t>
                  </w:r>
                  <w:bookmarkEnd w:id="13"/>
                </w:p>
              </w:tc>
              <w:tc>
                <w:tcPr>
                  <w:tcW w:w="376" w:type="pct"/>
                  <w:shd w:val="clear" w:color="auto" w:fill="auto"/>
                  <w:noWrap w:val="0"/>
                  <w:vAlign w:val="center"/>
                </w:tcPr>
                <w:p w14:paraId="74E308AB">
                  <w:pPr>
                    <w:pStyle w:val="225"/>
                    <w:keepNext w:val="0"/>
                    <w:keepLines w:val="0"/>
                    <w:suppressLineNumbers w:val="0"/>
                    <w:spacing w:beforeAutospacing="0" w:afterAutospacing="0"/>
                    <w:ind w:left="0" w:leftChars="0" w:right="0" w:rightChars="0"/>
                    <w:jc w:val="center"/>
                    <w:rPr>
                      <w:rFonts w:hint="eastAsia" w:ascii="Times New Roman" w:hAnsi="Times New Roman" w:eastAsia="宋体" w:cs="Times New Roman"/>
                      <w:bCs/>
                      <w:snapToGrid w:val="0"/>
                      <w:color w:val="auto"/>
                      <w:kern w:val="28"/>
                      <w:sz w:val="21"/>
                      <w:szCs w:val="21"/>
                      <w:highlight w:val="none"/>
                      <w:lang w:val="en-US" w:eastAsia="zh-CN" w:bidi="ar-SA"/>
                    </w:rPr>
                  </w:pPr>
                  <w:bookmarkStart w:id="14" w:name="_Toc24441"/>
                  <w:r>
                    <w:rPr>
                      <w:rFonts w:hint="eastAsia" w:eastAsia="宋体" w:cs="Times New Roman"/>
                      <w:color w:val="auto"/>
                      <w:sz w:val="21"/>
                      <w:szCs w:val="21"/>
                      <w:highlight w:val="none"/>
                      <w:lang w:val="en-US" w:eastAsia="zh-CN"/>
                    </w:rPr>
                    <w:t>切削液</w:t>
                  </w:r>
                  <w:bookmarkEnd w:id="14"/>
                </w:p>
              </w:tc>
              <w:tc>
                <w:tcPr>
                  <w:tcW w:w="291" w:type="pct"/>
                  <w:noWrap w:val="0"/>
                  <w:vAlign w:val="center"/>
                </w:tcPr>
                <w:p w14:paraId="61009328">
                  <w:pPr>
                    <w:pStyle w:val="225"/>
                    <w:keepNext w:val="0"/>
                    <w:keepLines w:val="0"/>
                    <w:suppressLineNumbers w:val="0"/>
                    <w:spacing w:beforeAutospacing="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rPr>
                  </w:pPr>
                  <w:bookmarkStart w:id="15" w:name="_Toc20589"/>
                  <w:r>
                    <w:rPr>
                      <w:rFonts w:hint="eastAsia" w:eastAsia="宋体" w:cs="Times New Roman"/>
                      <w:color w:val="auto"/>
                      <w:kern w:val="2"/>
                      <w:sz w:val="21"/>
                      <w:szCs w:val="21"/>
                      <w:highlight w:val="none"/>
                      <w:lang w:val="en-US" w:eastAsia="zh-CN"/>
                    </w:rPr>
                    <w:t>15个/1天</w:t>
                  </w:r>
                  <w:bookmarkEnd w:id="15"/>
                </w:p>
              </w:tc>
              <w:tc>
                <w:tcPr>
                  <w:tcW w:w="385" w:type="pct"/>
                  <w:noWrap w:val="0"/>
                  <w:vAlign w:val="center"/>
                </w:tcPr>
                <w:p w14:paraId="1EED28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610" w:type="pct"/>
                  <w:vMerge w:val="continue"/>
                  <w:noWrap w:val="0"/>
                  <w:vAlign w:val="center"/>
                </w:tcPr>
                <w:p w14:paraId="23C29D6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13F5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668E9615">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445" w:type="pct"/>
                  <w:shd w:val="clear" w:color="auto" w:fill="auto"/>
                  <w:noWrap w:val="0"/>
                  <w:vAlign w:val="center"/>
                </w:tcPr>
                <w:p w14:paraId="45B97AF6">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432" w:type="pct"/>
                  <w:shd w:val="clear" w:color="auto" w:fill="auto"/>
                  <w:noWrap w:val="0"/>
                  <w:vAlign w:val="center"/>
                </w:tcPr>
                <w:p w14:paraId="3A560BE0">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721" w:type="pct"/>
                  <w:shd w:val="clear" w:color="auto" w:fill="auto"/>
                  <w:noWrap w:val="0"/>
                  <w:vAlign w:val="center"/>
                </w:tcPr>
                <w:p w14:paraId="412DCE52">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900-041-49</w:t>
                  </w:r>
                </w:p>
              </w:tc>
              <w:tc>
                <w:tcPr>
                  <w:tcW w:w="500" w:type="pct"/>
                  <w:shd w:val="clear" w:color="auto" w:fill="auto"/>
                  <w:noWrap w:val="0"/>
                  <w:vAlign w:val="center"/>
                </w:tcPr>
                <w:p w14:paraId="23CDB42E">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403" w:type="pct"/>
                  <w:vMerge w:val="continue"/>
                  <w:noWrap w:val="0"/>
                  <w:vAlign w:val="center"/>
                </w:tcPr>
                <w:p w14:paraId="2AE4658F">
                  <w:pPr>
                    <w:pStyle w:val="39"/>
                    <w:keepNext w:val="0"/>
                    <w:keepLines w:val="0"/>
                    <w:suppressLineNumbers w:val="0"/>
                    <w:spacing w:before="0" w:beforeAutospacing="0" w:after="0" w:afterAutospacing="0" w:line="360" w:lineRule="exact"/>
                    <w:ind w:left="0" w:leftChars="0" w:right="0"/>
                    <w:jc w:val="center"/>
                    <w:rPr>
                      <w:rFonts w:hint="eastAsia" w:ascii="Times New Roman" w:hAnsi="Times New Roman" w:eastAsia="宋体" w:cs="Times New Roman"/>
                      <w:smallCaps w:val="0"/>
                      <w:color w:val="auto"/>
                      <w:kern w:val="2"/>
                      <w:sz w:val="21"/>
                      <w:szCs w:val="21"/>
                      <w:highlight w:val="none"/>
                      <w:lang w:val="en-US" w:eastAsia="zh-CN"/>
                    </w:rPr>
                  </w:pPr>
                </w:p>
              </w:tc>
              <w:tc>
                <w:tcPr>
                  <w:tcW w:w="306" w:type="pct"/>
                  <w:shd w:val="clear" w:color="auto" w:fill="auto"/>
                  <w:noWrap w:val="0"/>
                  <w:vAlign w:val="center"/>
                </w:tcPr>
                <w:p w14:paraId="3BC614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固态</w:t>
                  </w:r>
                </w:p>
              </w:tc>
              <w:tc>
                <w:tcPr>
                  <w:tcW w:w="354" w:type="pct"/>
                  <w:shd w:val="clear" w:color="auto" w:fill="auto"/>
                  <w:noWrap w:val="0"/>
                  <w:vAlign w:val="center"/>
                </w:tcPr>
                <w:p w14:paraId="5944A7BC">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bCs/>
                      <w:snapToGrid w:val="0"/>
                      <w:color w:val="auto"/>
                      <w:kern w:val="28"/>
                      <w:sz w:val="21"/>
                      <w:szCs w:val="21"/>
                      <w:highlight w:val="none"/>
                      <w:lang w:val="en-US" w:eastAsia="zh-CN" w:bidi="ar-SA"/>
                    </w:rPr>
                  </w:pPr>
                  <w:bookmarkStart w:id="16" w:name="_Toc13914"/>
                  <w:r>
                    <w:rPr>
                      <w:rFonts w:hint="eastAsia" w:eastAsia="宋体" w:cs="Times New Roman"/>
                      <w:bCs/>
                      <w:snapToGrid w:val="0"/>
                      <w:color w:val="auto"/>
                      <w:kern w:val="28"/>
                      <w:sz w:val="21"/>
                      <w:szCs w:val="21"/>
                      <w:highlight w:val="none"/>
                      <w:lang w:val="en-US" w:eastAsia="zh-CN" w:bidi="ar-SA"/>
                    </w:rPr>
                    <w:t>切削液桶</w:t>
                  </w:r>
                  <w:bookmarkEnd w:id="16"/>
                </w:p>
              </w:tc>
              <w:tc>
                <w:tcPr>
                  <w:tcW w:w="376" w:type="pct"/>
                  <w:shd w:val="clear" w:color="auto" w:fill="auto"/>
                  <w:noWrap w:val="0"/>
                  <w:vAlign w:val="center"/>
                </w:tcPr>
                <w:p w14:paraId="5D37343E">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bCs/>
                      <w:snapToGrid w:val="0"/>
                      <w:color w:val="auto"/>
                      <w:kern w:val="28"/>
                      <w:sz w:val="21"/>
                      <w:szCs w:val="21"/>
                      <w:highlight w:val="none"/>
                      <w:lang w:val="en-US" w:eastAsia="zh-CN" w:bidi="ar-SA"/>
                    </w:rPr>
                  </w:pPr>
                  <w:bookmarkStart w:id="17" w:name="_Toc28647"/>
                  <w:r>
                    <w:rPr>
                      <w:rFonts w:hint="eastAsia" w:eastAsia="宋体" w:cs="Times New Roman"/>
                      <w:bCs/>
                      <w:snapToGrid w:val="0"/>
                      <w:color w:val="auto"/>
                      <w:kern w:val="28"/>
                      <w:sz w:val="21"/>
                      <w:szCs w:val="21"/>
                      <w:highlight w:val="none"/>
                      <w:lang w:val="en-US" w:eastAsia="zh-CN" w:bidi="ar-SA"/>
                    </w:rPr>
                    <w:t>切削液</w:t>
                  </w:r>
                  <w:bookmarkEnd w:id="17"/>
                </w:p>
              </w:tc>
              <w:tc>
                <w:tcPr>
                  <w:tcW w:w="291" w:type="pct"/>
                  <w:noWrap w:val="0"/>
                  <w:vAlign w:val="center"/>
                </w:tcPr>
                <w:p w14:paraId="6E474F6A">
                  <w:pPr>
                    <w:pStyle w:val="225"/>
                    <w:keepNext w:val="0"/>
                    <w:keepLines w:val="0"/>
                    <w:suppressLineNumbers w:val="0"/>
                    <w:spacing w:beforeAutospacing="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bookmarkStart w:id="18" w:name="_Toc53"/>
                  <w:r>
                    <w:rPr>
                      <w:rFonts w:hint="eastAsia" w:eastAsia="宋体" w:cs="Times New Roman"/>
                      <w:color w:val="auto"/>
                      <w:kern w:val="2"/>
                      <w:sz w:val="21"/>
                      <w:szCs w:val="21"/>
                      <w:highlight w:val="none"/>
                      <w:lang w:val="en-US" w:eastAsia="zh-CN"/>
                    </w:rPr>
                    <w:t>3个/1天</w:t>
                  </w:r>
                  <w:bookmarkEnd w:id="18"/>
                </w:p>
              </w:tc>
              <w:tc>
                <w:tcPr>
                  <w:tcW w:w="385" w:type="pct"/>
                  <w:noWrap w:val="0"/>
                  <w:vAlign w:val="center"/>
                </w:tcPr>
                <w:p w14:paraId="4CFC389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024A85C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17A1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7FB38772">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45" w:type="pct"/>
                  <w:shd w:val="clear" w:color="auto" w:fill="auto"/>
                  <w:noWrap w:val="0"/>
                  <w:vAlign w:val="center"/>
                </w:tcPr>
                <w:p w14:paraId="169C4E0D">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432" w:type="pct"/>
                  <w:shd w:val="clear" w:color="auto" w:fill="auto"/>
                  <w:noWrap w:val="0"/>
                  <w:vAlign w:val="center"/>
                </w:tcPr>
                <w:p w14:paraId="2F2B03D9">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721" w:type="pct"/>
                  <w:shd w:val="clear" w:color="auto" w:fill="auto"/>
                  <w:noWrap w:val="0"/>
                  <w:vAlign w:val="center"/>
                </w:tcPr>
                <w:p w14:paraId="4573AF35">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900-041-49</w:t>
                  </w:r>
                </w:p>
              </w:tc>
              <w:tc>
                <w:tcPr>
                  <w:tcW w:w="500" w:type="pct"/>
                  <w:shd w:val="clear" w:color="auto" w:fill="auto"/>
                  <w:noWrap w:val="0"/>
                  <w:vAlign w:val="center"/>
                </w:tcPr>
                <w:p w14:paraId="633CF5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403" w:type="pct"/>
                  <w:noWrap w:val="0"/>
                  <w:vAlign w:val="center"/>
                </w:tcPr>
                <w:p w14:paraId="0EE0942E">
                  <w:pPr>
                    <w:pStyle w:val="39"/>
                    <w:keepNext w:val="0"/>
                    <w:keepLines w:val="0"/>
                    <w:suppressLineNumbers w:val="0"/>
                    <w:spacing w:before="0" w:beforeAutospacing="0" w:after="0" w:afterAutospacing="0" w:line="360" w:lineRule="exact"/>
                    <w:ind w:left="0" w:leftChars="0" w:right="0"/>
                    <w:jc w:val="center"/>
                    <w:rPr>
                      <w:rFonts w:hint="eastAsia" w:ascii="Times New Roman" w:hAnsi="Times New Roman" w:eastAsia="宋体" w:cs="Times New Roman"/>
                      <w:smallCaps w:val="0"/>
                      <w:color w:val="auto"/>
                      <w:kern w:val="2"/>
                      <w:sz w:val="21"/>
                      <w:szCs w:val="21"/>
                      <w:highlight w:val="none"/>
                      <w:lang w:val="en-US" w:eastAsia="zh-CN"/>
                    </w:rPr>
                  </w:pPr>
                  <w:r>
                    <w:rPr>
                      <w:rFonts w:hint="eastAsia" w:cs="Times New Roman"/>
                      <w:smallCaps w:val="0"/>
                      <w:color w:val="auto"/>
                      <w:kern w:val="2"/>
                      <w:sz w:val="21"/>
                      <w:szCs w:val="21"/>
                      <w:highlight w:val="none"/>
                      <w:lang w:val="en-US" w:eastAsia="zh-CN"/>
                    </w:rPr>
                    <w:t>净化设施</w:t>
                  </w:r>
                </w:p>
              </w:tc>
              <w:tc>
                <w:tcPr>
                  <w:tcW w:w="306" w:type="pct"/>
                  <w:shd w:val="clear" w:color="auto" w:fill="auto"/>
                  <w:noWrap w:val="0"/>
                  <w:vAlign w:val="center"/>
                </w:tcPr>
                <w:p w14:paraId="527E4CE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354" w:type="pct"/>
                  <w:shd w:val="clear" w:color="auto" w:fill="auto"/>
                  <w:noWrap w:val="0"/>
                  <w:vAlign w:val="center"/>
                </w:tcPr>
                <w:p w14:paraId="486DA204">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bookmarkStart w:id="19" w:name="_Toc23447"/>
                  <w:r>
                    <w:rPr>
                      <w:rFonts w:hint="eastAsia" w:eastAsia="宋体" w:cs="Times New Roman"/>
                      <w:color w:val="auto"/>
                      <w:sz w:val="21"/>
                      <w:szCs w:val="21"/>
                      <w:highlight w:val="none"/>
                      <w:lang w:val="en-US" w:eastAsia="zh-CN"/>
                    </w:rPr>
                    <w:t>纤维</w:t>
                  </w:r>
                  <w:bookmarkEnd w:id="19"/>
                </w:p>
              </w:tc>
              <w:tc>
                <w:tcPr>
                  <w:tcW w:w="376" w:type="pct"/>
                  <w:shd w:val="clear" w:color="auto" w:fill="auto"/>
                  <w:noWrap w:val="0"/>
                  <w:vAlign w:val="center"/>
                </w:tcPr>
                <w:p w14:paraId="45E5E3FC">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bookmarkStart w:id="20" w:name="_Toc6912"/>
                  <w:r>
                    <w:rPr>
                      <w:rFonts w:hint="eastAsia" w:eastAsia="宋体" w:cs="Times New Roman"/>
                      <w:color w:val="auto"/>
                      <w:sz w:val="21"/>
                      <w:szCs w:val="21"/>
                      <w:highlight w:val="none"/>
                      <w:lang w:val="en-US" w:eastAsia="zh-CN"/>
                    </w:rPr>
                    <w:t>挥发性有机物</w:t>
                  </w:r>
                  <w:bookmarkEnd w:id="20"/>
                </w:p>
              </w:tc>
              <w:tc>
                <w:tcPr>
                  <w:tcW w:w="291" w:type="pct"/>
                  <w:noWrap w:val="0"/>
                  <w:vAlign w:val="center"/>
                </w:tcPr>
                <w:p w14:paraId="471FD4ED">
                  <w:pPr>
                    <w:pStyle w:val="225"/>
                    <w:keepNext w:val="0"/>
                    <w:keepLines w:val="0"/>
                    <w:suppressLineNumbers w:val="0"/>
                    <w:spacing w:beforeAutospacing="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bookmarkStart w:id="21" w:name="_Toc17609"/>
                  <w:r>
                    <w:rPr>
                      <w:rFonts w:hint="eastAsia" w:eastAsia="宋体" w:cs="Times New Roman"/>
                      <w:color w:val="auto"/>
                      <w:kern w:val="2"/>
                      <w:sz w:val="21"/>
                      <w:szCs w:val="21"/>
                      <w:highlight w:val="none"/>
                      <w:lang w:val="en-US" w:eastAsia="zh-CN"/>
                    </w:rPr>
                    <w:t>1次/半年</w:t>
                  </w:r>
                  <w:bookmarkEnd w:id="21"/>
                </w:p>
              </w:tc>
              <w:tc>
                <w:tcPr>
                  <w:tcW w:w="385" w:type="pct"/>
                  <w:noWrap w:val="0"/>
                  <w:vAlign w:val="center"/>
                </w:tcPr>
                <w:p w14:paraId="53E463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03C4D5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4D12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753B843E">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45" w:type="pct"/>
                  <w:shd w:val="clear" w:color="auto" w:fill="auto"/>
                  <w:noWrap w:val="0"/>
                  <w:vAlign w:val="center"/>
                </w:tcPr>
                <w:p w14:paraId="33FD5155">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s="Times New Roman"/>
                      <w:smallCaps/>
                      <w:color w:val="auto"/>
                      <w:kern w:val="0"/>
                      <w:sz w:val="21"/>
                      <w:szCs w:val="22"/>
                      <w:highlight w:val="none"/>
                      <w:lang w:val="en-US" w:eastAsia="zh-CN" w:bidi="ar-SA"/>
                    </w:rPr>
                    <w:t>除尘灰</w:t>
                  </w:r>
                </w:p>
              </w:tc>
              <w:tc>
                <w:tcPr>
                  <w:tcW w:w="432" w:type="pct"/>
                  <w:shd w:val="clear" w:color="auto" w:fill="auto"/>
                  <w:noWrap w:val="0"/>
                  <w:vAlign w:val="center"/>
                </w:tcPr>
                <w:p w14:paraId="54D91178">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HW49</w:t>
                  </w:r>
                </w:p>
              </w:tc>
              <w:tc>
                <w:tcPr>
                  <w:tcW w:w="721" w:type="pct"/>
                  <w:shd w:val="clear" w:color="auto" w:fill="auto"/>
                  <w:noWrap w:val="0"/>
                  <w:vAlign w:val="center"/>
                </w:tcPr>
                <w:p w14:paraId="66B9C48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500" w:type="pct"/>
                  <w:shd w:val="clear" w:color="auto" w:fill="auto"/>
                  <w:noWrap w:val="0"/>
                  <w:vAlign w:val="center"/>
                </w:tcPr>
                <w:p w14:paraId="1C153E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403" w:type="pct"/>
                  <w:shd w:val="clear" w:color="auto" w:fill="auto"/>
                  <w:noWrap w:val="0"/>
                  <w:vAlign w:val="center"/>
                </w:tcPr>
                <w:p w14:paraId="3F9387C4">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val="0"/>
                      <w:color w:val="auto"/>
                      <w:kern w:val="2"/>
                      <w:sz w:val="21"/>
                      <w:szCs w:val="21"/>
                      <w:highlight w:val="none"/>
                      <w:lang w:val="en-US" w:eastAsia="zh-CN" w:bidi="ar-SA"/>
                    </w:rPr>
                  </w:pPr>
                  <w:r>
                    <w:rPr>
                      <w:rFonts w:hint="eastAsia" w:cs="Times New Roman"/>
                      <w:smallCaps w:val="0"/>
                      <w:color w:val="auto"/>
                      <w:kern w:val="2"/>
                      <w:sz w:val="21"/>
                      <w:szCs w:val="21"/>
                      <w:highlight w:val="none"/>
                      <w:lang w:val="en-US" w:eastAsia="zh-CN"/>
                    </w:rPr>
                    <w:t>净化设施</w:t>
                  </w:r>
                </w:p>
              </w:tc>
              <w:tc>
                <w:tcPr>
                  <w:tcW w:w="306" w:type="pct"/>
                  <w:shd w:val="clear" w:color="auto" w:fill="auto"/>
                  <w:noWrap w:val="0"/>
                  <w:vAlign w:val="center"/>
                </w:tcPr>
                <w:p w14:paraId="0A4D23E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354" w:type="pct"/>
                  <w:shd w:val="clear" w:color="auto" w:fill="auto"/>
                  <w:noWrap w:val="0"/>
                  <w:vAlign w:val="center"/>
                </w:tcPr>
                <w:p w14:paraId="226A533A">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bCs/>
                      <w:snapToGrid w:val="0"/>
                      <w:color w:val="auto"/>
                      <w:kern w:val="28"/>
                      <w:sz w:val="21"/>
                      <w:szCs w:val="21"/>
                      <w:highlight w:val="none"/>
                      <w:lang w:val="en-US" w:eastAsia="zh-CN" w:bidi="ar-SA"/>
                    </w:rPr>
                  </w:pPr>
                  <w:bookmarkStart w:id="22" w:name="_Toc14680"/>
                  <w:r>
                    <w:rPr>
                      <w:rFonts w:hint="eastAsia" w:eastAsia="宋体" w:cs="Times New Roman"/>
                      <w:color w:val="auto"/>
                      <w:sz w:val="21"/>
                      <w:szCs w:val="21"/>
                      <w:highlight w:val="none"/>
                      <w:lang w:val="en-US" w:eastAsia="zh-CN"/>
                    </w:rPr>
                    <w:t>塑料、金属粉</w:t>
                  </w:r>
                  <w:bookmarkEnd w:id="22"/>
                </w:p>
              </w:tc>
              <w:tc>
                <w:tcPr>
                  <w:tcW w:w="376" w:type="pct"/>
                  <w:shd w:val="clear" w:color="auto" w:fill="auto"/>
                  <w:noWrap w:val="0"/>
                  <w:vAlign w:val="center"/>
                </w:tcPr>
                <w:p w14:paraId="02D99416">
                  <w:pPr>
                    <w:pStyle w:val="225"/>
                    <w:keepNext w:val="0"/>
                    <w:keepLines w:val="0"/>
                    <w:suppressLineNumbers w:val="0"/>
                    <w:spacing w:beforeAutospacing="0" w:afterAutospacing="0"/>
                    <w:ind w:left="0" w:leftChars="0" w:right="0" w:rightChars="0"/>
                    <w:jc w:val="center"/>
                    <w:rPr>
                      <w:rFonts w:hint="eastAsia" w:ascii="Times New Roman" w:hAnsi="Times New Roman" w:eastAsia="宋体" w:cs="Times New Roman"/>
                      <w:bCs/>
                      <w:snapToGrid w:val="0"/>
                      <w:color w:val="auto"/>
                      <w:kern w:val="28"/>
                      <w:sz w:val="21"/>
                      <w:szCs w:val="21"/>
                      <w:highlight w:val="none"/>
                      <w:lang w:val="en-US" w:eastAsia="zh-CN" w:bidi="ar-SA"/>
                    </w:rPr>
                  </w:pPr>
                  <w:bookmarkStart w:id="23" w:name="_Toc18457"/>
                  <w:r>
                    <w:rPr>
                      <w:rFonts w:hint="eastAsia" w:eastAsia="宋体" w:cs="Times New Roman"/>
                      <w:color w:val="auto"/>
                      <w:sz w:val="21"/>
                      <w:szCs w:val="21"/>
                      <w:highlight w:val="none"/>
                      <w:lang w:val="en-US" w:eastAsia="zh-CN"/>
                    </w:rPr>
                    <w:t>挥发性有机物</w:t>
                  </w:r>
                  <w:bookmarkEnd w:id="23"/>
                </w:p>
              </w:tc>
              <w:tc>
                <w:tcPr>
                  <w:tcW w:w="291" w:type="pct"/>
                  <w:shd w:val="clear" w:color="auto" w:fill="auto"/>
                  <w:noWrap w:val="0"/>
                  <w:vAlign w:val="center"/>
                </w:tcPr>
                <w:p w14:paraId="7389E3E6">
                  <w:pPr>
                    <w:pStyle w:val="225"/>
                    <w:keepNext w:val="0"/>
                    <w:keepLines w:val="0"/>
                    <w:suppressLineNumbers w:val="0"/>
                    <w:spacing w:beforeAutospacing="0" w:afterAutospacing="0" w:line="240" w:lineRule="auto"/>
                    <w:ind w:left="0" w:leftChars="0" w:right="0" w:rightChars="0"/>
                    <w:rPr>
                      <w:rFonts w:hint="eastAsia" w:ascii="Times New Roman" w:hAnsi="Times New Roman" w:eastAsia="宋体" w:cs="Times New Roman"/>
                      <w:bCs/>
                      <w:snapToGrid w:val="0"/>
                      <w:color w:val="auto"/>
                      <w:kern w:val="2"/>
                      <w:sz w:val="21"/>
                      <w:szCs w:val="21"/>
                      <w:highlight w:val="none"/>
                      <w:lang w:val="en-US" w:eastAsia="zh-CN" w:bidi="ar-SA"/>
                    </w:rPr>
                  </w:pPr>
                  <w:bookmarkStart w:id="24" w:name="_Toc20473"/>
                  <w:r>
                    <w:rPr>
                      <w:rFonts w:hint="eastAsia" w:eastAsia="宋体" w:cs="Times New Roman"/>
                      <w:color w:val="auto"/>
                      <w:kern w:val="2"/>
                      <w:sz w:val="21"/>
                      <w:szCs w:val="21"/>
                      <w:highlight w:val="none"/>
                      <w:lang w:val="en-US" w:eastAsia="zh-CN"/>
                    </w:rPr>
                    <w:t>1次/半年</w:t>
                  </w:r>
                  <w:bookmarkEnd w:id="24"/>
                </w:p>
              </w:tc>
              <w:tc>
                <w:tcPr>
                  <w:tcW w:w="385" w:type="pct"/>
                  <w:shd w:val="clear" w:color="auto" w:fill="auto"/>
                  <w:noWrap w:val="0"/>
                  <w:vAlign w:val="center"/>
                </w:tcPr>
                <w:p w14:paraId="02B9EB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610" w:type="pct"/>
                  <w:vMerge w:val="continue"/>
                  <w:noWrap w:val="0"/>
                  <w:vAlign w:val="center"/>
                </w:tcPr>
                <w:p w14:paraId="2E517C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r w14:paraId="64A2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1" w:type="pct"/>
                  <w:noWrap w:val="0"/>
                  <w:vAlign w:val="center"/>
                </w:tcPr>
                <w:p w14:paraId="3A186427">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445" w:type="pct"/>
                  <w:shd w:val="clear" w:color="auto" w:fill="auto"/>
                  <w:noWrap w:val="0"/>
                  <w:vAlign w:val="center"/>
                </w:tcPr>
                <w:p w14:paraId="3A2550D6">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432" w:type="pct"/>
                  <w:shd w:val="clear" w:color="auto" w:fill="auto"/>
                  <w:noWrap w:val="0"/>
                  <w:vAlign w:val="center"/>
                </w:tcPr>
                <w:p w14:paraId="032539B6">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eastAsia"/>
                      <w:bCs/>
                      <w:color w:val="auto"/>
                      <w:sz w:val="21"/>
                      <w:szCs w:val="21"/>
                      <w:highlight w:val="none"/>
                      <w:lang w:val="en-US" w:eastAsia="zh-CN"/>
                    </w:rPr>
                    <w:t>HW49</w:t>
                  </w:r>
                </w:p>
              </w:tc>
              <w:tc>
                <w:tcPr>
                  <w:tcW w:w="721" w:type="pct"/>
                  <w:shd w:val="clear" w:color="auto" w:fill="auto"/>
                  <w:noWrap w:val="0"/>
                  <w:vAlign w:val="center"/>
                </w:tcPr>
                <w:p w14:paraId="4A150B38">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w:t>
                  </w:r>
                  <w:r>
                    <w:rPr>
                      <w:rFonts w:hint="eastAsia"/>
                      <w:bCs/>
                      <w:color w:val="auto"/>
                      <w:sz w:val="21"/>
                      <w:szCs w:val="21"/>
                      <w:highlight w:val="none"/>
                      <w:lang w:val="en-US" w:eastAsia="zh-CN"/>
                    </w:rPr>
                    <w:t>39</w:t>
                  </w:r>
                  <w:r>
                    <w:rPr>
                      <w:rFonts w:hint="default"/>
                      <w:bCs/>
                      <w:color w:val="auto"/>
                      <w:sz w:val="21"/>
                      <w:szCs w:val="21"/>
                      <w:highlight w:val="none"/>
                      <w:lang w:val="pt-BR"/>
                    </w:rPr>
                    <w:t>-49</w:t>
                  </w:r>
                </w:p>
              </w:tc>
              <w:tc>
                <w:tcPr>
                  <w:tcW w:w="500" w:type="pct"/>
                  <w:shd w:val="clear" w:color="auto" w:fill="auto"/>
                  <w:noWrap w:val="0"/>
                  <w:vAlign w:val="center"/>
                </w:tcPr>
                <w:p w14:paraId="1ACD1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403" w:type="pct"/>
                  <w:noWrap w:val="0"/>
                  <w:vAlign w:val="center"/>
                </w:tcPr>
                <w:p w14:paraId="02B02A86">
                  <w:pPr>
                    <w:pStyle w:val="39"/>
                    <w:keepNext w:val="0"/>
                    <w:keepLines w:val="0"/>
                    <w:suppressLineNumbers w:val="0"/>
                    <w:spacing w:before="0" w:beforeAutospacing="0" w:after="0" w:afterAutospacing="0" w:line="360" w:lineRule="exact"/>
                    <w:ind w:left="0" w:leftChars="0" w:right="0"/>
                    <w:jc w:val="center"/>
                    <w:rPr>
                      <w:rFonts w:hint="eastAsia" w:cs="Times New Roman"/>
                      <w:smallCaps w:val="0"/>
                      <w:color w:val="auto"/>
                      <w:kern w:val="2"/>
                      <w:sz w:val="21"/>
                      <w:szCs w:val="21"/>
                      <w:highlight w:val="none"/>
                      <w:lang w:val="en-US" w:eastAsia="zh-CN"/>
                    </w:rPr>
                  </w:pPr>
                  <w:r>
                    <w:rPr>
                      <w:rFonts w:hint="eastAsia" w:cs="Times New Roman"/>
                      <w:smallCaps w:val="0"/>
                      <w:color w:val="auto"/>
                      <w:kern w:val="2"/>
                      <w:sz w:val="21"/>
                      <w:szCs w:val="21"/>
                      <w:highlight w:val="none"/>
                      <w:lang w:val="en-US" w:eastAsia="zh-CN"/>
                    </w:rPr>
                    <w:t>净化设施</w:t>
                  </w:r>
                </w:p>
              </w:tc>
              <w:tc>
                <w:tcPr>
                  <w:tcW w:w="306" w:type="pct"/>
                  <w:shd w:val="clear" w:color="auto" w:fill="auto"/>
                  <w:noWrap w:val="0"/>
                  <w:vAlign w:val="center"/>
                </w:tcPr>
                <w:p w14:paraId="7745AF3E">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354" w:type="pct"/>
                  <w:shd w:val="clear" w:color="auto" w:fill="auto"/>
                  <w:noWrap w:val="0"/>
                  <w:vAlign w:val="center"/>
                </w:tcPr>
                <w:p w14:paraId="5F81F569">
                  <w:pPr>
                    <w:pStyle w:val="225"/>
                    <w:keepNext w:val="0"/>
                    <w:keepLines w:val="0"/>
                    <w:suppressLineNumbers w:val="0"/>
                    <w:spacing w:beforeAutospacing="0" w:afterAutospacing="0"/>
                    <w:ind w:left="0" w:leftChars="0" w:right="0" w:rightChars="0"/>
                    <w:jc w:val="center"/>
                    <w:rPr>
                      <w:rFonts w:hint="default" w:eastAsia="宋体" w:cs="Times New Roman"/>
                      <w:color w:val="auto"/>
                      <w:sz w:val="21"/>
                      <w:szCs w:val="21"/>
                      <w:highlight w:val="none"/>
                      <w:lang w:val="en-US" w:eastAsia="zh-CN"/>
                    </w:rPr>
                  </w:pPr>
                  <w:bookmarkStart w:id="25" w:name="_Toc28581"/>
                  <w:r>
                    <w:rPr>
                      <w:rFonts w:hint="eastAsia" w:eastAsia="宋体" w:cs="Times New Roman"/>
                      <w:color w:val="auto"/>
                      <w:sz w:val="21"/>
                      <w:szCs w:val="21"/>
                      <w:highlight w:val="none"/>
                      <w:lang w:val="en-US" w:eastAsia="zh-CN"/>
                    </w:rPr>
                    <w:t>活性炭</w:t>
                  </w:r>
                  <w:bookmarkEnd w:id="25"/>
                </w:p>
              </w:tc>
              <w:tc>
                <w:tcPr>
                  <w:tcW w:w="376" w:type="pct"/>
                  <w:shd w:val="clear" w:color="auto" w:fill="auto"/>
                  <w:noWrap w:val="0"/>
                  <w:vAlign w:val="center"/>
                </w:tcPr>
                <w:p w14:paraId="3E8133F5">
                  <w:pPr>
                    <w:keepNext w:val="0"/>
                    <w:keepLines w:val="0"/>
                    <w:suppressLineNumbers w:val="0"/>
                    <w:spacing w:before="0" w:beforeAutospacing="0" w:after="0" w:afterAutospacing="0"/>
                    <w:ind w:left="0" w:leftChars="0" w:right="0" w:rightChars="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挥发性有机物</w:t>
                  </w:r>
                </w:p>
              </w:tc>
              <w:tc>
                <w:tcPr>
                  <w:tcW w:w="291" w:type="pct"/>
                  <w:noWrap w:val="0"/>
                  <w:vAlign w:val="center"/>
                </w:tcPr>
                <w:p w14:paraId="27823D75">
                  <w:pPr>
                    <w:pStyle w:val="225"/>
                    <w:keepNext w:val="0"/>
                    <w:keepLines w:val="0"/>
                    <w:suppressLineNumbers w:val="0"/>
                    <w:spacing w:beforeAutospacing="0" w:afterAutospacing="0" w:line="240" w:lineRule="auto"/>
                    <w:ind w:left="0" w:leftChars="0" w:right="0" w:rightChars="0"/>
                    <w:rPr>
                      <w:rFonts w:hint="eastAsia" w:eastAsia="宋体" w:cs="Times New Roman"/>
                      <w:color w:val="auto"/>
                      <w:kern w:val="2"/>
                      <w:sz w:val="21"/>
                      <w:szCs w:val="21"/>
                      <w:highlight w:val="none"/>
                      <w:lang w:val="en-US" w:eastAsia="zh-CN"/>
                    </w:rPr>
                  </w:pPr>
                  <w:bookmarkStart w:id="26" w:name="_Toc12203"/>
                  <w:r>
                    <w:rPr>
                      <w:rFonts w:hint="eastAsia" w:eastAsia="宋体" w:cs="Times New Roman"/>
                      <w:color w:val="auto"/>
                      <w:kern w:val="2"/>
                      <w:sz w:val="21"/>
                      <w:szCs w:val="21"/>
                      <w:highlight w:val="none"/>
                      <w:lang w:val="en-US" w:eastAsia="zh-CN"/>
                    </w:rPr>
                    <w:t>1次/半年</w:t>
                  </w:r>
                  <w:bookmarkEnd w:id="26"/>
                </w:p>
              </w:tc>
              <w:tc>
                <w:tcPr>
                  <w:tcW w:w="385" w:type="pct"/>
                  <w:noWrap w:val="0"/>
                  <w:vAlign w:val="center"/>
                </w:tcPr>
                <w:p w14:paraId="38265D1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610" w:type="pct"/>
                  <w:vMerge w:val="continue"/>
                  <w:noWrap w:val="0"/>
                  <w:vAlign w:val="center"/>
                </w:tcPr>
                <w:p w14:paraId="02EA94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r>
          </w:tbl>
          <w:p w14:paraId="65DF136E">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smallCaps w:val="0"/>
                <w:color w:val="auto"/>
                <w:spacing w:val="0"/>
                <w:highlight w:val="none"/>
              </w:rPr>
            </w:pPr>
            <w:r>
              <w:rPr>
                <w:rFonts w:hint="default" w:ascii="Times New Roman" w:hAnsi="Times New Roman" w:eastAsia="宋体" w:cs="Times New Roman"/>
                <w:b/>
                <w:smallCaps w:val="0"/>
                <w:color w:val="auto"/>
                <w:spacing w:val="0"/>
                <w:highlight w:val="none"/>
              </w:rPr>
              <w:t>表</w:t>
            </w:r>
            <w:r>
              <w:rPr>
                <w:rFonts w:hint="eastAsia" w:ascii="Times New Roman" w:hAnsi="Times New Roman" w:eastAsia="宋体" w:cs="Times New Roman"/>
                <w:b/>
                <w:smallCaps w:val="0"/>
                <w:color w:val="auto"/>
                <w:spacing w:val="0"/>
                <w:highlight w:val="none"/>
                <w:lang w:val="en-US" w:eastAsia="zh-CN"/>
              </w:rPr>
              <w:t>4-</w:t>
            </w:r>
            <w:r>
              <w:rPr>
                <w:rFonts w:hint="eastAsia" w:cs="Times New Roman"/>
                <w:b/>
                <w:smallCaps w:val="0"/>
                <w:color w:val="auto"/>
                <w:spacing w:val="0"/>
                <w:highlight w:val="none"/>
                <w:lang w:val="en-US" w:eastAsia="zh-CN"/>
              </w:rPr>
              <w:t>15</w:t>
            </w:r>
            <w:r>
              <w:rPr>
                <w:rFonts w:hint="default" w:ascii="Times New Roman" w:hAnsi="Times New Roman" w:eastAsia="宋体" w:cs="Times New Roman"/>
                <w:b/>
                <w:smallCaps w:val="0"/>
                <w:color w:val="auto"/>
                <w:spacing w:val="0"/>
                <w:highlight w:val="none"/>
              </w:rPr>
              <w:t xml:space="preserve">  </w:t>
            </w:r>
            <w:r>
              <w:rPr>
                <w:rFonts w:hint="eastAsia" w:ascii="Times New Roman" w:hAnsi="Times New Roman" w:eastAsia="宋体" w:cs="Times New Roman"/>
                <w:b/>
                <w:smallCaps w:val="0"/>
                <w:color w:val="auto"/>
                <w:spacing w:val="0"/>
                <w:highlight w:val="none"/>
              </w:rPr>
              <w:t>项目危险废物贮存场所（设施）基本情况表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41"/>
              <w:gridCol w:w="1378"/>
              <w:gridCol w:w="773"/>
              <w:gridCol w:w="1142"/>
              <w:gridCol w:w="596"/>
              <w:gridCol w:w="815"/>
              <w:gridCol w:w="875"/>
              <w:gridCol w:w="624"/>
              <w:gridCol w:w="708"/>
            </w:tblGrid>
            <w:tr w14:paraId="11E8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25FC4909">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序号</w:t>
                  </w:r>
                </w:p>
              </w:tc>
              <w:tc>
                <w:tcPr>
                  <w:tcW w:w="641" w:type="dxa"/>
                  <w:tcBorders>
                    <w:top w:val="single" w:color="auto" w:sz="4" w:space="0"/>
                    <w:left w:val="nil"/>
                    <w:bottom w:val="single" w:color="auto" w:sz="4" w:space="0"/>
                    <w:right w:val="single" w:color="auto" w:sz="4" w:space="0"/>
                  </w:tcBorders>
                  <w:noWrap w:val="0"/>
                  <w:vAlign w:val="center"/>
                </w:tcPr>
                <w:p w14:paraId="58D33CA4">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贮存场所</w:t>
                  </w:r>
                </w:p>
              </w:tc>
              <w:tc>
                <w:tcPr>
                  <w:tcW w:w="1378" w:type="dxa"/>
                  <w:tcBorders>
                    <w:top w:val="single" w:color="auto" w:sz="4" w:space="0"/>
                    <w:left w:val="nil"/>
                    <w:bottom w:val="single" w:color="auto" w:sz="4" w:space="0"/>
                    <w:right w:val="single" w:color="auto" w:sz="4" w:space="0"/>
                  </w:tcBorders>
                  <w:noWrap w:val="0"/>
                  <w:vAlign w:val="center"/>
                </w:tcPr>
                <w:p w14:paraId="24568CDD">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危险废物名称</w:t>
                  </w:r>
                </w:p>
              </w:tc>
              <w:tc>
                <w:tcPr>
                  <w:tcW w:w="773" w:type="dxa"/>
                  <w:tcBorders>
                    <w:top w:val="single" w:color="auto" w:sz="4" w:space="0"/>
                    <w:left w:val="nil"/>
                    <w:bottom w:val="single" w:color="auto" w:sz="4" w:space="0"/>
                    <w:right w:val="single" w:color="auto" w:sz="4" w:space="0"/>
                  </w:tcBorders>
                  <w:noWrap w:val="0"/>
                  <w:vAlign w:val="center"/>
                </w:tcPr>
                <w:p w14:paraId="71FB9FEB">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危险废物类别</w:t>
                  </w:r>
                </w:p>
              </w:tc>
              <w:tc>
                <w:tcPr>
                  <w:tcW w:w="1142" w:type="dxa"/>
                  <w:tcBorders>
                    <w:top w:val="single" w:color="auto" w:sz="4" w:space="0"/>
                    <w:left w:val="nil"/>
                    <w:bottom w:val="single" w:color="auto" w:sz="4" w:space="0"/>
                    <w:right w:val="single" w:color="auto" w:sz="4" w:space="0"/>
                  </w:tcBorders>
                  <w:noWrap w:val="0"/>
                  <w:vAlign w:val="center"/>
                </w:tcPr>
                <w:p w14:paraId="1459C752">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危险废物代码</w:t>
                  </w:r>
                </w:p>
              </w:tc>
              <w:tc>
                <w:tcPr>
                  <w:tcW w:w="596" w:type="dxa"/>
                  <w:tcBorders>
                    <w:top w:val="single" w:color="auto" w:sz="4" w:space="0"/>
                    <w:left w:val="nil"/>
                    <w:bottom w:val="single" w:color="auto" w:sz="4" w:space="0"/>
                    <w:right w:val="single" w:color="auto" w:sz="4" w:space="0"/>
                  </w:tcBorders>
                  <w:noWrap w:val="0"/>
                  <w:vAlign w:val="center"/>
                </w:tcPr>
                <w:p w14:paraId="338AD249">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位置</w:t>
                  </w:r>
                </w:p>
              </w:tc>
              <w:tc>
                <w:tcPr>
                  <w:tcW w:w="815" w:type="dxa"/>
                  <w:tcBorders>
                    <w:top w:val="single" w:color="auto" w:sz="4" w:space="0"/>
                    <w:left w:val="nil"/>
                    <w:bottom w:val="single" w:color="auto" w:sz="4" w:space="0"/>
                    <w:right w:val="single" w:color="auto" w:sz="4" w:space="0"/>
                  </w:tcBorders>
                  <w:noWrap w:val="0"/>
                  <w:vAlign w:val="center"/>
                </w:tcPr>
                <w:p w14:paraId="50666D73">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占地面积</w:t>
                  </w:r>
                </w:p>
              </w:tc>
              <w:tc>
                <w:tcPr>
                  <w:tcW w:w="875" w:type="dxa"/>
                  <w:tcBorders>
                    <w:top w:val="single" w:color="auto" w:sz="4" w:space="0"/>
                    <w:left w:val="nil"/>
                    <w:bottom w:val="single" w:color="auto" w:sz="4" w:space="0"/>
                    <w:right w:val="single" w:color="auto" w:sz="4" w:space="0"/>
                  </w:tcBorders>
                  <w:noWrap w:val="0"/>
                  <w:vAlign w:val="center"/>
                </w:tcPr>
                <w:p w14:paraId="27A47F56">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贮存方式</w:t>
                  </w:r>
                </w:p>
              </w:tc>
              <w:tc>
                <w:tcPr>
                  <w:tcW w:w="624" w:type="dxa"/>
                  <w:tcBorders>
                    <w:top w:val="single" w:color="auto" w:sz="4" w:space="0"/>
                    <w:left w:val="nil"/>
                    <w:bottom w:val="single" w:color="auto" w:sz="4" w:space="0"/>
                    <w:right w:val="single" w:color="auto" w:sz="4" w:space="0"/>
                  </w:tcBorders>
                  <w:noWrap w:val="0"/>
                  <w:vAlign w:val="center"/>
                </w:tcPr>
                <w:p w14:paraId="7B4E14C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贮存能力</w:t>
                  </w:r>
                </w:p>
              </w:tc>
              <w:tc>
                <w:tcPr>
                  <w:tcW w:w="708" w:type="dxa"/>
                  <w:tcBorders>
                    <w:top w:val="single" w:color="auto" w:sz="4" w:space="0"/>
                    <w:left w:val="nil"/>
                    <w:bottom w:val="single" w:color="auto" w:sz="4" w:space="0"/>
                    <w:right w:val="single" w:color="auto" w:sz="4" w:space="0"/>
                  </w:tcBorders>
                  <w:noWrap w:val="0"/>
                  <w:vAlign w:val="center"/>
                </w:tcPr>
                <w:p w14:paraId="258B4518">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贮存周期</w:t>
                  </w:r>
                </w:p>
              </w:tc>
            </w:tr>
            <w:tr w14:paraId="10A7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restart"/>
                  <w:tcBorders>
                    <w:top w:val="single" w:color="auto" w:sz="4" w:space="0"/>
                    <w:left w:val="single" w:color="auto" w:sz="4" w:space="0"/>
                    <w:right w:val="single" w:color="auto" w:sz="4" w:space="0"/>
                  </w:tcBorders>
                  <w:noWrap w:val="0"/>
                  <w:vAlign w:val="center"/>
                </w:tcPr>
                <w:p w14:paraId="7B9BD562">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1</w:t>
                  </w:r>
                </w:p>
              </w:tc>
              <w:tc>
                <w:tcPr>
                  <w:tcW w:w="641" w:type="dxa"/>
                  <w:vMerge w:val="restart"/>
                  <w:tcBorders>
                    <w:top w:val="single" w:color="auto" w:sz="4" w:space="0"/>
                    <w:left w:val="nil"/>
                    <w:right w:val="single" w:color="auto" w:sz="4" w:space="0"/>
                  </w:tcBorders>
                  <w:noWrap w:val="0"/>
                  <w:vAlign w:val="center"/>
                </w:tcPr>
                <w:p w14:paraId="704C4128">
                  <w:pPr>
                    <w:keepNext w:val="0"/>
                    <w:keepLines w:val="0"/>
                    <w:suppressLineNumbers w:val="0"/>
                    <w:spacing w:before="0" w:beforeAutospacing="0" w:after="0" w:afterAutospacing="0" w:line="320" w:lineRule="exact"/>
                    <w:ind w:left="0" w:right="0"/>
                    <w:jc w:val="center"/>
                    <w:rPr>
                      <w:rFonts w:hint="eastAsia" w:eastAsia="宋体"/>
                      <w:color w:val="auto"/>
                      <w:szCs w:val="21"/>
                      <w:highlight w:val="none"/>
                      <w:lang w:eastAsia="zh-CN"/>
                    </w:rPr>
                  </w:pPr>
                  <w:r>
                    <w:rPr>
                      <w:rFonts w:hint="default"/>
                      <w:color w:val="auto"/>
                      <w:szCs w:val="21"/>
                      <w:highlight w:val="none"/>
                    </w:rPr>
                    <w:t>厂区</w:t>
                  </w:r>
                  <w:r>
                    <w:rPr>
                      <w:rFonts w:hint="eastAsia"/>
                      <w:color w:val="auto"/>
                      <w:szCs w:val="21"/>
                      <w:highlight w:val="none"/>
                      <w:lang w:eastAsia="zh-CN"/>
                    </w:rPr>
                    <w:t>危废间</w:t>
                  </w: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7CFC3E21">
                  <w:pPr>
                    <w:keepNext w:val="0"/>
                    <w:keepLines w:val="0"/>
                    <w:suppressLineNumbers w:val="0"/>
                    <w:tabs>
                      <w:tab w:val="center" w:pos="4153"/>
                      <w:tab w:val="right" w:pos="8306"/>
                    </w:tabs>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废润滑油</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66DFC92E">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HW08</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1957D799">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217-08</w:t>
                  </w:r>
                </w:p>
              </w:tc>
              <w:tc>
                <w:tcPr>
                  <w:tcW w:w="596" w:type="dxa"/>
                  <w:vMerge w:val="restart"/>
                  <w:tcBorders>
                    <w:top w:val="single" w:color="auto" w:sz="4" w:space="0"/>
                    <w:left w:val="nil"/>
                    <w:right w:val="single" w:color="auto" w:sz="4" w:space="0"/>
                  </w:tcBorders>
                  <w:noWrap w:val="0"/>
                  <w:vAlign w:val="center"/>
                </w:tcPr>
                <w:p w14:paraId="02641984">
                  <w:pPr>
                    <w:keepNext w:val="0"/>
                    <w:keepLines w:val="0"/>
                    <w:suppressLineNumbers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eastAsia" w:cs="Times New Roman"/>
                      <w:smallCaps w:val="0"/>
                      <w:color w:val="auto"/>
                      <w:spacing w:val="0"/>
                      <w:szCs w:val="20"/>
                      <w:highlight w:val="none"/>
                      <w:lang w:val="en-US" w:eastAsia="zh-CN"/>
                    </w:rPr>
                    <w:t>杂物间东侧</w:t>
                  </w:r>
                </w:p>
              </w:tc>
              <w:tc>
                <w:tcPr>
                  <w:tcW w:w="815" w:type="dxa"/>
                  <w:vMerge w:val="restart"/>
                  <w:tcBorders>
                    <w:top w:val="single" w:color="auto" w:sz="4" w:space="0"/>
                    <w:left w:val="nil"/>
                    <w:right w:val="single" w:color="auto" w:sz="4" w:space="0"/>
                  </w:tcBorders>
                  <w:noWrap w:val="0"/>
                  <w:vAlign w:val="center"/>
                </w:tcPr>
                <w:p w14:paraId="4ABF2482">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lang w:val="en-US" w:eastAsia="zh-CN"/>
                    </w:rPr>
                    <w:t>6.21</w:t>
                  </w:r>
                  <w:r>
                    <w:rPr>
                      <w:rFonts w:hint="default"/>
                      <w:color w:val="auto"/>
                      <w:szCs w:val="21"/>
                      <w:highlight w:val="none"/>
                    </w:rPr>
                    <w:t>m</w:t>
                  </w:r>
                  <w:r>
                    <w:rPr>
                      <w:rFonts w:hint="default"/>
                      <w:color w:val="auto"/>
                      <w:szCs w:val="21"/>
                      <w:highlight w:val="none"/>
                      <w:vertAlign w:val="superscript"/>
                    </w:rPr>
                    <w:t>2</w:t>
                  </w:r>
                </w:p>
              </w:tc>
              <w:tc>
                <w:tcPr>
                  <w:tcW w:w="875" w:type="dxa"/>
                  <w:tcBorders>
                    <w:top w:val="single" w:color="auto" w:sz="4" w:space="0"/>
                    <w:left w:val="nil"/>
                    <w:bottom w:val="single" w:color="auto" w:sz="4" w:space="0"/>
                    <w:right w:val="single" w:color="auto" w:sz="4" w:space="0"/>
                  </w:tcBorders>
                  <w:noWrap w:val="0"/>
                  <w:vAlign w:val="center"/>
                </w:tcPr>
                <w:p w14:paraId="35568B86">
                  <w:pPr>
                    <w:keepNext w:val="0"/>
                    <w:keepLines w:val="0"/>
                    <w:suppressLineNumbers w:val="0"/>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专用容器</w:t>
                  </w:r>
                </w:p>
              </w:tc>
              <w:tc>
                <w:tcPr>
                  <w:tcW w:w="624" w:type="dxa"/>
                  <w:vMerge w:val="restart"/>
                  <w:tcBorders>
                    <w:top w:val="single" w:color="auto" w:sz="4" w:space="0"/>
                    <w:left w:val="nil"/>
                    <w:right w:val="single" w:color="auto" w:sz="4" w:space="0"/>
                  </w:tcBorders>
                  <w:noWrap w:val="0"/>
                  <w:vAlign w:val="center"/>
                </w:tcPr>
                <w:p w14:paraId="3AA0AB83">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eastAsia"/>
                      <w:color w:val="auto"/>
                      <w:szCs w:val="21"/>
                      <w:highlight w:val="none"/>
                      <w:lang w:val="en-US" w:eastAsia="zh-CN"/>
                    </w:rPr>
                    <w:t>4</w:t>
                  </w:r>
                  <w:r>
                    <w:rPr>
                      <w:rFonts w:hint="default"/>
                      <w:color w:val="auto"/>
                      <w:szCs w:val="21"/>
                      <w:highlight w:val="none"/>
                    </w:rPr>
                    <w:t>t</w:t>
                  </w:r>
                </w:p>
              </w:tc>
              <w:tc>
                <w:tcPr>
                  <w:tcW w:w="708" w:type="dxa"/>
                  <w:vMerge w:val="restart"/>
                  <w:tcBorders>
                    <w:top w:val="single" w:color="auto" w:sz="4" w:space="0"/>
                    <w:left w:val="nil"/>
                    <w:right w:val="single" w:color="auto" w:sz="4" w:space="0"/>
                  </w:tcBorders>
                  <w:noWrap w:val="0"/>
                  <w:vAlign w:val="center"/>
                </w:tcPr>
                <w:p w14:paraId="40B98AF6">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r>
                    <w:rPr>
                      <w:rFonts w:hint="default"/>
                      <w:color w:val="auto"/>
                      <w:szCs w:val="21"/>
                      <w:highlight w:val="none"/>
                    </w:rPr>
                    <w:t>3个月</w:t>
                  </w:r>
                </w:p>
              </w:tc>
            </w:tr>
            <w:tr w14:paraId="3393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5A9AD9A0">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071087F4">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0BCAA067">
                  <w:pPr>
                    <w:keepNext w:val="0"/>
                    <w:keepLines w:val="0"/>
                    <w:suppressLineNumbers w:val="0"/>
                    <w:tabs>
                      <w:tab w:val="center" w:pos="4153"/>
                      <w:tab w:val="right" w:pos="8306"/>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废润滑油桶</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1685454A">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08</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1FBFAA05">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w:t>
                  </w:r>
                  <w:r>
                    <w:rPr>
                      <w:rFonts w:hint="eastAsia"/>
                      <w:bCs/>
                      <w:color w:val="auto"/>
                      <w:sz w:val="21"/>
                      <w:szCs w:val="21"/>
                      <w:highlight w:val="none"/>
                      <w:lang w:val="en-US" w:eastAsia="zh-CN"/>
                    </w:rPr>
                    <w:t>249</w:t>
                  </w:r>
                  <w:r>
                    <w:rPr>
                      <w:rFonts w:hint="default"/>
                      <w:bCs/>
                      <w:color w:val="auto"/>
                      <w:sz w:val="21"/>
                      <w:szCs w:val="21"/>
                      <w:highlight w:val="none"/>
                      <w:lang w:val="pt-BR"/>
                    </w:rPr>
                    <w:t>-</w:t>
                  </w:r>
                  <w:r>
                    <w:rPr>
                      <w:rFonts w:hint="eastAsia"/>
                      <w:bCs/>
                      <w:color w:val="auto"/>
                      <w:sz w:val="21"/>
                      <w:szCs w:val="21"/>
                      <w:highlight w:val="none"/>
                      <w:lang w:val="en-US" w:eastAsia="zh-CN"/>
                    </w:rPr>
                    <w:t>08</w:t>
                  </w:r>
                </w:p>
              </w:tc>
              <w:tc>
                <w:tcPr>
                  <w:tcW w:w="596" w:type="dxa"/>
                  <w:vMerge w:val="continue"/>
                  <w:tcBorders>
                    <w:left w:val="nil"/>
                    <w:right w:val="single" w:color="auto" w:sz="4" w:space="0"/>
                  </w:tcBorders>
                  <w:noWrap w:val="0"/>
                  <w:vAlign w:val="center"/>
                </w:tcPr>
                <w:p w14:paraId="2C02F12D">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04A0701E">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378D1761">
                  <w:pPr>
                    <w:keepNext w:val="0"/>
                    <w:keepLines w:val="0"/>
                    <w:suppressLineNumbers w:val="0"/>
                    <w:spacing w:before="0" w:beforeAutospacing="0" w:after="0" w:afterAutospacing="0" w:line="320" w:lineRule="exact"/>
                    <w:ind w:left="0" w:leftChars="0" w:right="0" w:right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24" w:type="dxa"/>
                  <w:vMerge w:val="continue"/>
                  <w:tcBorders>
                    <w:left w:val="nil"/>
                    <w:right w:val="single" w:color="auto" w:sz="4" w:space="0"/>
                  </w:tcBorders>
                  <w:noWrap w:val="0"/>
                  <w:vAlign w:val="center"/>
                </w:tcPr>
                <w:p w14:paraId="391D644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78576989">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1E14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1EBFDDE2">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348E7E83">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034D7203">
                  <w:pPr>
                    <w:keepNext w:val="0"/>
                    <w:keepLines w:val="0"/>
                    <w:suppressLineNumbers w:val="0"/>
                    <w:tabs>
                      <w:tab w:val="center" w:pos="4153"/>
                      <w:tab w:val="right" w:pos="8306"/>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含油抹布及废劳保用品</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09DDE8E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6F697E5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900-041-49</w:t>
                  </w:r>
                </w:p>
              </w:tc>
              <w:tc>
                <w:tcPr>
                  <w:tcW w:w="596" w:type="dxa"/>
                  <w:vMerge w:val="continue"/>
                  <w:tcBorders>
                    <w:left w:val="nil"/>
                    <w:right w:val="single" w:color="auto" w:sz="4" w:space="0"/>
                  </w:tcBorders>
                  <w:noWrap w:val="0"/>
                  <w:vAlign w:val="center"/>
                </w:tcPr>
                <w:p w14:paraId="38B0188B">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78CC22E3">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3B1BFBF4">
                  <w:pPr>
                    <w:keepNext w:val="0"/>
                    <w:keepLines w:val="0"/>
                    <w:suppressLineNumbers w:val="0"/>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5296132A">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45CD965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032D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23067DE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2A9D76D0">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62621C27">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45DF785D">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eastAsia"/>
                      <w:bCs/>
                      <w:color w:val="auto"/>
                      <w:sz w:val="21"/>
                      <w:szCs w:val="21"/>
                      <w:highlight w:val="none"/>
                      <w:lang w:val="en-US" w:eastAsia="zh-CN"/>
                    </w:rPr>
                    <w:t>HW08</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5BEF63B9">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eastAsia"/>
                      <w:bCs/>
                      <w:color w:val="auto"/>
                      <w:sz w:val="21"/>
                      <w:szCs w:val="21"/>
                      <w:highlight w:val="none"/>
                      <w:lang w:val="en-US" w:eastAsia="zh-CN"/>
                    </w:rPr>
                    <w:t>900-200-08</w:t>
                  </w:r>
                </w:p>
              </w:tc>
              <w:tc>
                <w:tcPr>
                  <w:tcW w:w="596" w:type="dxa"/>
                  <w:vMerge w:val="continue"/>
                  <w:tcBorders>
                    <w:left w:val="nil"/>
                    <w:right w:val="single" w:color="auto" w:sz="4" w:space="0"/>
                  </w:tcBorders>
                  <w:noWrap w:val="0"/>
                  <w:vAlign w:val="center"/>
                </w:tcPr>
                <w:p w14:paraId="31FE6B74">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7A2D1148">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2F6E6DD6">
                  <w:pPr>
                    <w:keepNext w:val="0"/>
                    <w:keepLines w:val="0"/>
                    <w:suppressLineNumbers w:val="0"/>
                    <w:spacing w:before="0" w:beforeAutospacing="0" w:after="0" w:afterAutospacing="0" w:line="320" w:lineRule="exact"/>
                    <w:ind w:left="0" w:leftChars="0" w:right="0" w:rightChars="0"/>
                    <w:jc w:val="center"/>
                    <w:textAlignment w:val="baseline"/>
                    <w:rPr>
                      <w:rFonts w:hint="default"/>
                      <w:color w:val="auto"/>
                      <w:szCs w:val="21"/>
                      <w:highlight w:val="none"/>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72E2D929">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33F8E489">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7A5C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0D322C92">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3691E024">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417DA871">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582D36E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w:t>
                  </w:r>
                  <w:r>
                    <w:rPr>
                      <w:rFonts w:hint="eastAsia"/>
                      <w:bCs/>
                      <w:color w:val="auto"/>
                      <w:sz w:val="21"/>
                      <w:szCs w:val="21"/>
                      <w:highlight w:val="none"/>
                      <w:lang w:val="en-US" w:eastAsia="zh-CN"/>
                    </w:rPr>
                    <w:t>09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20197F01">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eastAsia"/>
                      <w:bCs/>
                      <w:color w:val="auto"/>
                      <w:sz w:val="21"/>
                      <w:szCs w:val="21"/>
                      <w:highlight w:val="none"/>
                      <w:lang w:val="en-US" w:eastAsia="zh-CN"/>
                    </w:rPr>
                    <w:t>900-006-09</w:t>
                  </w:r>
                </w:p>
              </w:tc>
              <w:tc>
                <w:tcPr>
                  <w:tcW w:w="596" w:type="dxa"/>
                  <w:vMerge w:val="continue"/>
                  <w:tcBorders>
                    <w:left w:val="nil"/>
                    <w:right w:val="single" w:color="auto" w:sz="4" w:space="0"/>
                  </w:tcBorders>
                  <w:noWrap w:val="0"/>
                  <w:vAlign w:val="center"/>
                </w:tcPr>
                <w:p w14:paraId="6C4836DD">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2100B407">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129B13F1">
                  <w:pPr>
                    <w:keepNext w:val="0"/>
                    <w:keepLines w:val="0"/>
                    <w:suppressLineNumbers w:val="0"/>
                    <w:spacing w:before="0" w:beforeAutospacing="0" w:after="0" w:afterAutospacing="0" w:line="320" w:lineRule="exact"/>
                    <w:ind w:left="0" w:leftChars="0" w:right="0" w:rightChars="0"/>
                    <w:jc w:val="center"/>
                    <w:textAlignment w:val="baseline"/>
                    <w:rPr>
                      <w:rFonts w:hint="eastAsia" w:eastAsia="宋体"/>
                      <w:color w:val="auto"/>
                      <w:szCs w:val="21"/>
                      <w:highlight w:val="none"/>
                      <w:lang w:val="en-US" w:eastAsia="zh-CN"/>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47BECE0D">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446D47F8">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2052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59D3FECD">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34CA9558">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2CD86673">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4F6D95ED">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HW49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58335EFA">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596" w:type="dxa"/>
                  <w:vMerge w:val="continue"/>
                  <w:tcBorders>
                    <w:left w:val="nil"/>
                    <w:right w:val="single" w:color="auto" w:sz="4" w:space="0"/>
                  </w:tcBorders>
                  <w:noWrap w:val="0"/>
                  <w:vAlign w:val="center"/>
                </w:tcPr>
                <w:p w14:paraId="776D7198">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54CADC09">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30660C89">
                  <w:pPr>
                    <w:keepNext w:val="0"/>
                    <w:keepLines w:val="0"/>
                    <w:suppressLineNumbers w:val="0"/>
                    <w:spacing w:before="0" w:beforeAutospacing="0" w:after="0" w:afterAutospacing="0" w:line="320" w:lineRule="exact"/>
                    <w:ind w:left="0" w:leftChars="0" w:right="0" w:rightChars="0"/>
                    <w:jc w:val="center"/>
                    <w:textAlignment w:val="baseline"/>
                    <w:rPr>
                      <w:rFonts w:hint="eastAsia" w:eastAsia="宋体"/>
                      <w:color w:val="auto"/>
                      <w:szCs w:val="21"/>
                      <w:highlight w:val="none"/>
                      <w:lang w:val="en-US" w:eastAsia="zh-CN"/>
                    </w:rPr>
                  </w:pPr>
                  <w:r>
                    <w:rPr>
                      <w:rFonts w:hint="eastAsia"/>
                      <w:color w:val="auto"/>
                      <w:szCs w:val="21"/>
                      <w:highlight w:val="none"/>
                      <w:lang w:val="en-US" w:eastAsia="zh-CN"/>
                    </w:rPr>
                    <w:t>/</w:t>
                  </w:r>
                </w:p>
              </w:tc>
              <w:tc>
                <w:tcPr>
                  <w:tcW w:w="624" w:type="dxa"/>
                  <w:vMerge w:val="continue"/>
                  <w:tcBorders>
                    <w:left w:val="nil"/>
                    <w:right w:val="single" w:color="auto" w:sz="4" w:space="0"/>
                  </w:tcBorders>
                  <w:noWrap w:val="0"/>
                  <w:vAlign w:val="center"/>
                </w:tcPr>
                <w:p w14:paraId="2A129363">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6177238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0DA8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6C9A6DAC">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45C26E66">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10D1280A">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13E7F437">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lang w:val="pt-BR"/>
                    </w:rPr>
                    <w:t>HW49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73274206">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596" w:type="dxa"/>
                  <w:vMerge w:val="continue"/>
                  <w:tcBorders>
                    <w:left w:val="nil"/>
                    <w:right w:val="single" w:color="auto" w:sz="4" w:space="0"/>
                  </w:tcBorders>
                  <w:noWrap w:val="0"/>
                  <w:vAlign w:val="center"/>
                </w:tcPr>
                <w:p w14:paraId="0E4AB2A0">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39AF4F3B">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1159BC70">
                  <w:pPr>
                    <w:keepNext w:val="0"/>
                    <w:keepLines w:val="0"/>
                    <w:suppressLineNumbers w:val="0"/>
                    <w:spacing w:before="0" w:beforeAutospacing="0" w:after="0" w:afterAutospacing="0" w:line="320" w:lineRule="exact"/>
                    <w:ind w:left="0" w:leftChars="0" w:right="0" w:rightChars="0"/>
                    <w:jc w:val="center"/>
                    <w:textAlignment w:val="baseline"/>
                    <w:rPr>
                      <w:rFonts w:hint="default"/>
                      <w:color w:val="auto"/>
                      <w:szCs w:val="21"/>
                      <w:highlight w:val="none"/>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41B9C412">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3467FF77">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2D3F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7624D2BF">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0F2910C0">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705E3D0B">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s="Times New Roman"/>
                      <w:smallCaps/>
                      <w:color w:val="auto"/>
                      <w:kern w:val="0"/>
                      <w:sz w:val="21"/>
                      <w:szCs w:val="22"/>
                      <w:highlight w:val="none"/>
                      <w:lang w:val="en-US" w:eastAsia="zh-CN" w:bidi="ar-SA"/>
                    </w:rPr>
                    <w:t>除尘灰</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28216C35">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HW49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69AD6567">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900-041-49</w:t>
                  </w:r>
                </w:p>
              </w:tc>
              <w:tc>
                <w:tcPr>
                  <w:tcW w:w="596" w:type="dxa"/>
                  <w:vMerge w:val="continue"/>
                  <w:tcBorders>
                    <w:left w:val="nil"/>
                    <w:right w:val="single" w:color="auto" w:sz="4" w:space="0"/>
                  </w:tcBorders>
                  <w:noWrap w:val="0"/>
                  <w:vAlign w:val="center"/>
                </w:tcPr>
                <w:p w14:paraId="7BA06429">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3D1F1A53">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5BD50A23">
                  <w:pPr>
                    <w:keepNext w:val="0"/>
                    <w:keepLines w:val="0"/>
                    <w:suppressLineNumbers w:val="0"/>
                    <w:spacing w:before="0" w:beforeAutospacing="0" w:after="0" w:afterAutospacing="0" w:line="320" w:lineRule="exact"/>
                    <w:ind w:left="0" w:leftChars="0" w:right="0" w:rightChars="0"/>
                    <w:jc w:val="center"/>
                    <w:textAlignment w:val="baseline"/>
                    <w:rPr>
                      <w:rFonts w:hint="default"/>
                      <w:color w:val="auto"/>
                      <w:szCs w:val="21"/>
                      <w:highlight w:val="none"/>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1FA63927">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6CA22001">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r w14:paraId="516E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6" w:type="dxa"/>
                  <w:vMerge w:val="continue"/>
                  <w:tcBorders>
                    <w:left w:val="single" w:color="auto" w:sz="4" w:space="0"/>
                    <w:right w:val="single" w:color="auto" w:sz="4" w:space="0"/>
                  </w:tcBorders>
                  <w:noWrap w:val="0"/>
                  <w:vAlign w:val="center"/>
                </w:tcPr>
                <w:p w14:paraId="437307ED">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641" w:type="dxa"/>
                  <w:vMerge w:val="continue"/>
                  <w:tcBorders>
                    <w:left w:val="nil"/>
                    <w:right w:val="single" w:color="auto" w:sz="4" w:space="0"/>
                  </w:tcBorders>
                  <w:noWrap w:val="0"/>
                  <w:vAlign w:val="center"/>
                </w:tcPr>
                <w:p w14:paraId="052E8BCC">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1378" w:type="dxa"/>
                  <w:tcBorders>
                    <w:top w:val="single" w:color="auto" w:sz="4" w:space="0"/>
                    <w:left w:val="nil"/>
                    <w:bottom w:val="single" w:color="auto" w:sz="4" w:space="0"/>
                    <w:right w:val="single" w:color="auto" w:sz="4" w:space="0"/>
                  </w:tcBorders>
                  <w:shd w:val="clear" w:color="auto" w:fill="auto"/>
                  <w:noWrap w:val="0"/>
                  <w:vAlign w:val="center"/>
                </w:tcPr>
                <w:p w14:paraId="3C4032E0">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773" w:type="dxa"/>
                  <w:tcBorders>
                    <w:top w:val="single" w:color="auto" w:sz="4" w:space="0"/>
                    <w:left w:val="nil"/>
                    <w:bottom w:val="single" w:color="auto" w:sz="4" w:space="0"/>
                    <w:right w:val="single" w:color="auto" w:sz="4" w:space="0"/>
                  </w:tcBorders>
                  <w:shd w:val="clear" w:color="auto" w:fill="auto"/>
                  <w:noWrap w:val="0"/>
                  <w:vAlign w:val="center"/>
                </w:tcPr>
                <w:p w14:paraId="12D94BCB">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bCs/>
                      <w:color w:val="auto"/>
                      <w:kern w:val="2"/>
                      <w:sz w:val="21"/>
                      <w:szCs w:val="21"/>
                      <w:highlight w:val="none"/>
                      <w:lang w:val="pt-BR" w:eastAsia="zh-CN" w:bidi="ar-SA"/>
                    </w:rPr>
                  </w:pPr>
                  <w:r>
                    <w:rPr>
                      <w:rFonts w:hint="eastAsia"/>
                      <w:bCs/>
                      <w:color w:val="auto"/>
                      <w:sz w:val="21"/>
                      <w:szCs w:val="21"/>
                      <w:highlight w:val="none"/>
                      <w:lang w:val="en-US" w:eastAsia="zh-CN"/>
                    </w:rPr>
                    <w:t>HW49</w:t>
                  </w:r>
                </w:p>
              </w:tc>
              <w:tc>
                <w:tcPr>
                  <w:tcW w:w="1142" w:type="dxa"/>
                  <w:tcBorders>
                    <w:top w:val="single" w:color="auto" w:sz="4" w:space="0"/>
                    <w:left w:val="nil"/>
                    <w:bottom w:val="single" w:color="auto" w:sz="4" w:space="0"/>
                    <w:right w:val="single" w:color="auto" w:sz="4" w:space="0"/>
                  </w:tcBorders>
                  <w:shd w:val="clear" w:color="auto" w:fill="auto"/>
                  <w:noWrap w:val="0"/>
                  <w:vAlign w:val="center"/>
                </w:tcPr>
                <w:p w14:paraId="7267E38C">
                  <w:pPr>
                    <w:keepNext w:val="0"/>
                    <w:keepLines w:val="0"/>
                    <w:suppressLineNumbers w:val="0"/>
                    <w:topLinePunct/>
                    <w:adjustRightInd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bCs/>
                      <w:color w:val="auto"/>
                      <w:kern w:val="2"/>
                      <w:sz w:val="21"/>
                      <w:szCs w:val="21"/>
                      <w:highlight w:val="none"/>
                      <w:lang w:val="pt-BR" w:eastAsia="zh-CN" w:bidi="ar-SA"/>
                    </w:rPr>
                  </w:pPr>
                  <w:r>
                    <w:rPr>
                      <w:rFonts w:hint="default"/>
                      <w:bCs/>
                      <w:color w:val="auto"/>
                      <w:sz w:val="21"/>
                      <w:szCs w:val="21"/>
                      <w:highlight w:val="none"/>
                      <w:lang w:val="pt-BR"/>
                    </w:rPr>
                    <w:t>900-0</w:t>
                  </w:r>
                  <w:r>
                    <w:rPr>
                      <w:rFonts w:hint="eastAsia"/>
                      <w:bCs/>
                      <w:color w:val="auto"/>
                      <w:sz w:val="21"/>
                      <w:szCs w:val="21"/>
                      <w:highlight w:val="none"/>
                      <w:lang w:val="en-US" w:eastAsia="zh-CN"/>
                    </w:rPr>
                    <w:t>39</w:t>
                  </w:r>
                  <w:r>
                    <w:rPr>
                      <w:rFonts w:hint="default"/>
                      <w:bCs/>
                      <w:color w:val="auto"/>
                      <w:sz w:val="21"/>
                      <w:szCs w:val="21"/>
                      <w:highlight w:val="none"/>
                      <w:lang w:val="pt-BR"/>
                    </w:rPr>
                    <w:t>-49</w:t>
                  </w:r>
                </w:p>
              </w:tc>
              <w:tc>
                <w:tcPr>
                  <w:tcW w:w="596" w:type="dxa"/>
                  <w:vMerge w:val="continue"/>
                  <w:tcBorders>
                    <w:left w:val="nil"/>
                    <w:right w:val="single" w:color="auto" w:sz="4" w:space="0"/>
                  </w:tcBorders>
                  <w:noWrap w:val="0"/>
                  <w:vAlign w:val="center"/>
                </w:tcPr>
                <w:p w14:paraId="59433B5B">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15" w:type="dxa"/>
                  <w:vMerge w:val="continue"/>
                  <w:tcBorders>
                    <w:left w:val="nil"/>
                    <w:right w:val="single" w:color="auto" w:sz="4" w:space="0"/>
                  </w:tcBorders>
                  <w:noWrap w:val="0"/>
                  <w:vAlign w:val="center"/>
                </w:tcPr>
                <w:p w14:paraId="4E4D36D0">
                  <w:pPr>
                    <w:keepNext w:val="0"/>
                    <w:keepLines w:val="0"/>
                    <w:suppressLineNumbers w:val="0"/>
                    <w:spacing w:before="0" w:beforeAutospacing="0" w:after="0" w:afterAutospacing="0" w:line="320" w:lineRule="exact"/>
                    <w:ind w:left="0" w:right="0"/>
                    <w:jc w:val="center"/>
                    <w:rPr>
                      <w:rFonts w:hint="default"/>
                      <w:color w:val="auto"/>
                      <w:szCs w:val="21"/>
                      <w:highlight w:val="none"/>
                    </w:rPr>
                  </w:pPr>
                </w:p>
              </w:tc>
              <w:tc>
                <w:tcPr>
                  <w:tcW w:w="875" w:type="dxa"/>
                  <w:tcBorders>
                    <w:top w:val="single" w:color="auto" w:sz="4" w:space="0"/>
                    <w:left w:val="nil"/>
                    <w:bottom w:val="single" w:color="auto" w:sz="4" w:space="0"/>
                    <w:right w:val="single" w:color="auto" w:sz="4" w:space="0"/>
                  </w:tcBorders>
                  <w:noWrap w:val="0"/>
                  <w:vAlign w:val="center"/>
                </w:tcPr>
                <w:p w14:paraId="4EB0BBD8">
                  <w:pPr>
                    <w:keepNext w:val="0"/>
                    <w:keepLines w:val="0"/>
                    <w:suppressLineNumbers w:val="0"/>
                    <w:spacing w:before="0" w:beforeAutospacing="0" w:after="0" w:afterAutospacing="0" w:line="320" w:lineRule="exact"/>
                    <w:ind w:left="0" w:leftChars="0" w:right="0" w:rightChars="0"/>
                    <w:jc w:val="center"/>
                    <w:textAlignment w:val="baseline"/>
                    <w:rPr>
                      <w:rFonts w:hint="default"/>
                      <w:color w:val="auto"/>
                      <w:szCs w:val="21"/>
                      <w:highlight w:val="none"/>
                    </w:rPr>
                  </w:pPr>
                  <w:r>
                    <w:rPr>
                      <w:rFonts w:hint="default"/>
                      <w:color w:val="auto"/>
                      <w:szCs w:val="21"/>
                      <w:highlight w:val="none"/>
                    </w:rPr>
                    <w:t>专用容器</w:t>
                  </w:r>
                </w:p>
              </w:tc>
              <w:tc>
                <w:tcPr>
                  <w:tcW w:w="624" w:type="dxa"/>
                  <w:vMerge w:val="continue"/>
                  <w:tcBorders>
                    <w:left w:val="nil"/>
                    <w:right w:val="single" w:color="auto" w:sz="4" w:space="0"/>
                  </w:tcBorders>
                  <w:noWrap w:val="0"/>
                  <w:vAlign w:val="center"/>
                </w:tcPr>
                <w:p w14:paraId="21670F36">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c>
                <w:tcPr>
                  <w:tcW w:w="708" w:type="dxa"/>
                  <w:vMerge w:val="continue"/>
                  <w:tcBorders>
                    <w:left w:val="nil"/>
                    <w:right w:val="single" w:color="auto" w:sz="4" w:space="0"/>
                  </w:tcBorders>
                  <w:noWrap w:val="0"/>
                  <w:vAlign w:val="center"/>
                </w:tcPr>
                <w:p w14:paraId="77A8C72B">
                  <w:pPr>
                    <w:keepNext w:val="0"/>
                    <w:keepLines w:val="0"/>
                    <w:suppressLineNumbers w:val="0"/>
                    <w:spacing w:before="0" w:beforeAutospacing="0" w:after="0" w:afterAutospacing="0" w:line="320" w:lineRule="exact"/>
                    <w:ind w:left="0" w:right="0"/>
                    <w:jc w:val="center"/>
                    <w:textAlignment w:val="baseline"/>
                    <w:rPr>
                      <w:rFonts w:hint="default"/>
                      <w:color w:val="auto"/>
                      <w:szCs w:val="21"/>
                      <w:highlight w:val="none"/>
                    </w:rPr>
                  </w:pPr>
                </w:p>
              </w:tc>
            </w:tr>
          </w:tbl>
          <w:p w14:paraId="0AC7C65D">
            <w:pPr>
              <w:pStyle w:val="172"/>
              <w:keepNext w:val="0"/>
              <w:keepLines w:val="0"/>
              <w:suppressLineNumbers w:val="0"/>
              <w:spacing w:before="0" w:beforeAutospacing="0" w:after="0" w:afterAutospacing="0"/>
              <w:ind w:left="0" w:right="0" w:firstLine="482"/>
              <w:rPr>
                <w:rFonts w:hint="default" w:ascii="Times New Roman" w:hAnsi="Times New Roman" w:cs="Times New Roman"/>
                <w:b/>
                <w:bCs/>
                <w:smallCaps w:val="0"/>
                <w:color w:val="auto"/>
                <w:spacing w:val="0"/>
                <w:highlight w:val="none"/>
              </w:rPr>
            </w:pPr>
            <w:r>
              <w:rPr>
                <w:rFonts w:hint="default" w:ascii="Times New Roman" w:hAnsi="Times New Roman" w:cs="Times New Roman"/>
                <w:b/>
                <w:bCs/>
                <w:smallCaps w:val="0"/>
                <w:color w:val="auto"/>
                <w:spacing w:val="0"/>
                <w:highlight w:val="none"/>
              </w:rPr>
              <w:t>5、土壤及地下水</w:t>
            </w:r>
          </w:p>
          <w:p w14:paraId="0EB56CF1">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正常情况下，项目物料全部在生产车间内暂存，不存在地表漫流和垂直入渗的污染途径。因此正常工况下不具备地下水和土壤污染途径，污染物不会对该区域土壤和地下水产生影响。对地下水可能造成污染的途径或方式主要有：非正常情况下，地面的防渗措施破损可能导致污染物下渗，从而污染地下水和土壤。</w:t>
            </w:r>
          </w:p>
          <w:p w14:paraId="5B90D935">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本项目将按照分区防控要求采取相应的防渗措施</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具体见下表。</w:t>
            </w:r>
          </w:p>
          <w:p w14:paraId="4DE8F268">
            <w:pPr>
              <w:pStyle w:val="18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表4-</w:t>
            </w:r>
            <w:r>
              <w:rPr>
                <w:rFonts w:hint="eastAsia" w:cs="Times New Roman"/>
                <w:smallCaps w:val="0"/>
                <w:color w:val="auto"/>
                <w:spacing w:val="0"/>
                <w:highlight w:val="none"/>
                <w:lang w:val="en-US" w:eastAsia="zh-CN"/>
              </w:rPr>
              <w:t>16</w:t>
            </w:r>
            <w:r>
              <w:rPr>
                <w:rFonts w:hint="default" w:ascii="Times New Roman" w:hAnsi="Times New Roman" w:cs="Times New Roman"/>
                <w:smallCaps w:val="0"/>
                <w:color w:val="auto"/>
                <w:spacing w:val="0"/>
                <w:highlight w:val="none"/>
              </w:rPr>
              <w:t xml:space="preserve">  项目厂区分区防渗一览表</w:t>
            </w:r>
          </w:p>
          <w:tbl>
            <w:tblPr>
              <w:tblStyle w:val="47"/>
              <w:tblW w:w="797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2968"/>
              <w:gridCol w:w="3743"/>
            </w:tblGrid>
            <w:tr w14:paraId="1390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Align w:val="center"/>
                </w:tcPr>
                <w:p w14:paraId="5F9FCAA8">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防渗级别</w:t>
                  </w:r>
                </w:p>
              </w:tc>
              <w:tc>
                <w:tcPr>
                  <w:tcW w:w="2968" w:type="dxa"/>
                  <w:vAlign w:val="center"/>
                </w:tcPr>
                <w:p w14:paraId="2CF14C2E">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防渗区域</w:t>
                  </w:r>
                </w:p>
              </w:tc>
              <w:tc>
                <w:tcPr>
                  <w:tcW w:w="3743" w:type="dxa"/>
                  <w:vAlign w:val="center"/>
                </w:tcPr>
                <w:p w14:paraId="34642BD0">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防渗技术要求</w:t>
                  </w:r>
                </w:p>
              </w:tc>
            </w:tr>
            <w:tr w14:paraId="4E51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Align w:val="center"/>
                </w:tcPr>
                <w:p w14:paraId="63A6B4AE">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 w:val="21"/>
                      <w:szCs w:val="21"/>
                      <w:highlight w:val="none"/>
                    </w:rPr>
                  </w:pPr>
                  <w:r>
                    <w:rPr>
                      <w:rFonts w:hint="eastAsia" w:cs="Times New Roman"/>
                      <w:smallCaps w:val="0"/>
                      <w:color w:val="auto"/>
                      <w:spacing w:val="0"/>
                      <w:sz w:val="21"/>
                      <w:szCs w:val="21"/>
                      <w:highlight w:val="none"/>
                      <w:lang w:val="en-US" w:eastAsia="zh-CN"/>
                    </w:rPr>
                    <w:t>重点防渗区</w:t>
                  </w:r>
                </w:p>
              </w:tc>
              <w:tc>
                <w:tcPr>
                  <w:tcW w:w="2968" w:type="dxa"/>
                  <w:vAlign w:val="center"/>
                </w:tcPr>
                <w:p w14:paraId="7A45DF62">
                  <w:pPr>
                    <w:pStyle w:val="67"/>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危废间</w:t>
                  </w:r>
                </w:p>
              </w:tc>
              <w:tc>
                <w:tcPr>
                  <w:tcW w:w="3743" w:type="dxa"/>
                  <w:vAlign w:val="center"/>
                </w:tcPr>
                <w:p w14:paraId="664084D6">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eastAsia" w:cs="Times New Roman"/>
                      <w:smallCaps w:val="0"/>
                      <w:color w:val="auto"/>
                      <w:spacing w:val="0"/>
                      <w:sz w:val="21"/>
                      <w:szCs w:val="21"/>
                      <w:highlight w:val="none"/>
                      <w:lang w:val="en-US" w:eastAsia="zh-CN"/>
                    </w:rPr>
                    <w:t>利用现有水泥硬化，铺设HDPE防渗层，铺设环氧树脂，等效黏土防渗层 Mb≥6.0m，K≤1.0×10</w:t>
                  </w:r>
                  <w:r>
                    <w:rPr>
                      <w:rFonts w:hint="eastAsia" w:cs="Times New Roman"/>
                      <w:smallCaps w:val="0"/>
                      <w:color w:val="auto"/>
                      <w:spacing w:val="0"/>
                      <w:sz w:val="21"/>
                      <w:szCs w:val="21"/>
                      <w:highlight w:val="none"/>
                      <w:vertAlign w:val="superscript"/>
                      <w:lang w:val="en-US" w:eastAsia="zh-CN"/>
                    </w:rPr>
                    <w:t>-7</w:t>
                  </w:r>
                  <w:r>
                    <w:rPr>
                      <w:rFonts w:hint="eastAsia" w:cs="Times New Roman"/>
                      <w:smallCaps w:val="0"/>
                      <w:color w:val="auto"/>
                      <w:spacing w:val="0"/>
                      <w:sz w:val="21"/>
                      <w:szCs w:val="21"/>
                      <w:highlight w:val="none"/>
                      <w:lang w:val="en-US" w:eastAsia="zh-CN"/>
                    </w:rPr>
                    <w:t>cm/s</w:t>
                  </w:r>
                </w:p>
              </w:tc>
            </w:tr>
            <w:tr w14:paraId="7DA8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Align w:val="center"/>
                </w:tcPr>
                <w:p w14:paraId="0869DB6E">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sz w:val="21"/>
                      <w:szCs w:val="21"/>
                      <w:highlight w:val="none"/>
                    </w:rPr>
                  </w:pPr>
                  <w:r>
                    <w:rPr>
                      <w:rFonts w:hint="default" w:ascii="Times New Roman" w:hAnsi="Times New Roman" w:cs="Times New Roman"/>
                      <w:smallCaps w:val="0"/>
                      <w:color w:val="auto"/>
                      <w:spacing w:val="0"/>
                      <w:sz w:val="21"/>
                      <w:szCs w:val="21"/>
                      <w:highlight w:val="none"/>
                    </w:rPr>
                    <w:t>一般防渗区</w:t>
                  </w:r>
                </w:p>
              </w:tc>
              <w:tc>
                <w:tcPr>
                  <w:tcW w:w="2968" w:type="dxa"/>
                  <w:vAlign w:val="center"/>
                </w:tcPr>
                <w:p w14:paraId="22017E98">
                  <w:pPr>
                    <w:pStyle w:val="67"/>
                    <w:keepNext w:val="0"/>
                    <w:keepLines w:val="0"/>
                    <w:suppressLineNumbers w:val="0"/>
                    <w:spacing w:before="0" w:beforeAutospacing="0" w:after="0" w:afterAutospacing="0"/>
                    <w:ind w:left="0" w:right="0"/>
                    <w:rPr>
                      <w:rFonts w:hint="eastAsia"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highlight w:val="none"/>
                      <w:lang w:eastAsia="zh-CN"/>
                    </w:rPr>
                    <w:t>生产区、机加工区</w:t>
                  </w:r>
                </w:p>
              </w:tc>
              <w:tc>
                <w:tcPr>
                  <w:tcW w:w="3743" w:type="dxa"/>
                  <w:vAlign w:val="center"/>
                </w:tcPr>
                <w:p w14:paraId="29403EA8">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eastAsia="zh-CN"/>
                    </w:rPr>
                    <w:t>利用现有</w:t>
                  </w:r>
                  <w:r>
                    <w:rPr>
                      <w:rFonts w:hint="default" w:ascii="Times New Roman" w:hAnsi="Times New Roman" w:cs="Times New Roman"/>
                      <w:smallCaps w:val="0"/>
                      <w:color w:val="auto"/>
                      <w:spacing w:val="0"/>
                      <w:highlight w:val="none"/>
                    </w:rPr>
                    <w:t>防渗措施</w:t>
                  </w:r>
                  <w:r>
                    <w:rPr>
                      <w:rFonts w:hint="eastAsia" w:cs="Times New Roman"/>
                      <w:smallCaps w:val="0"/>
                      <w:color w:val="auto"/>
                      <w:spacing w:val="0"/>
                      <w:highlight w:val="none"/>
                      <w:lang w:eastAsia="zh-CN"/>
                    </w:rPr>
                    <w:t>，</w:t>
                  </w:r>
                  <w:r>
                    <w:rPr>
                      <w:rFonts w:hint="eastAsia" w:cs="Times New Roman"/>
                      <w:smallCaps w:val="0"/>
                      <w:color w:val="auto"/>
                      <w:spacing w:val="0"/>
                      <w:highlight w:val="none"/>
                      <w:lang w:val="en-US" w:eastAsia="zh-CN"/>
                    </w:rPr>
                    <w:t>水泥硬化后涂抹防水砂浆</w:t>
                  </w:r>
                  <w:r>
                    <w:rPr>
                      <w:rFonts w:hint="default" w:ascii="Times New Roman" w:hAnsi="Times New Roman" w:cs="Times New Roman"/>
                      <w:smallCaps w:val="0"/>
                      <w:color w:val="auto"/>
                      <w:spacing w:val="0"/>
                      <w:highlight w:val="none"/>
                    </w:rPr>
                    <w:t>，其等效黏土防渗层Mb≥1.5m，渗透系数≤10</w:t>
                  </w:r>
                  <w:r>
                    <w:rPr>
                      <w:rFonts w:hint="default" w:ascii="Times New Roman" w:hAnsi="Times New Roman" w:cs="Times New Roman"/>
                      <w:smallCaps w:val="0"/>
                      <w:color w:val="auto"/>
                      <w:spacing w:val="0"/>
                      <w:highlight w:val="none"/>
                      <w:vertAlign w:val="superscript"/>
                    </w:rPr>
                    <w:t>-7</w:t>
                  </w:r>
                  <w:r>
                    <w:rPr>
                      <w:rFonts w:hint="default" w:ascii="Times New Roman" w:hAnsi="Times New Roman" w:cs="Times New Roman"/>
                      <w:smallCaps w:val="0"/>
                      <w:color w:val="auto"/>
                      <w:spacing w:val="0"/>
                      <w:highlight w:val="none"/>
                    </w:rPr>
                    <w:t>cm/s；</w:t>
                  </w:r>
                </w:p>
              </w:tc>
            </w:tr>
            <w:tr w14:paraId="295F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Align w:val="center"/>
                </w:tcPr>
                <w:p w14:paraId="67F63154">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简单防渗区</w:t>
                  </w:r>
                </w:p>
              </w:tc>
              <w:tc>
                <w:tcPr>
                  <w:tcW w:w="2968" w:type="dxa"/>
                  <w:vAlign w:val="center"/>
                </w:tcPr>
                <w:p w14:paraId="5EF304F0">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办公室、杂物间、模具暂存区、原料区、成品区、人工组装区其他区域</w:t>
                  </w:r>
                </w:p>
              </w:tc>
              <w:tc>
                <w:tcPr>
                  <w:tcW w:w="3743" w:type="dxa"/>
                  <w:vAlign w:val="center"/>
                </w:tcPr>
                <w:p w14:paraId="0418F0DF">
                  <w:pPr>
                    <w:pStyle w:val="67"/>
                    <w:keepNext w:val="0"/>
                    <w:keepLines w:val="0"/>
                    <w:suppressLineNumbers w:val="0"/>
                    <w:spacing w:before="0" w:beforeAutospacing="0" w:after="0" w:afterAutospacing="0"/>
                    <w:ind w:left="0" w:right="0"/>
                    <w:rPr>
                      <w:rFonts w:hint="default" w:ascii="Times New Roman" w:hAnsi="Times New Roman" w:cs="Times New Roman"/>
                      <w:smallCaps w:val="0"/>
                      <w:color w:val="auto"/>
                      <w:spacing w:val="0"/>
                      <w:highlight w:val="none"/>
                    </w:rPr>
                  </w:pPr>
                  <w:r>
                    <w:rPr>
                      <w:rFonts w:hint="eastAsia" w:cs="Times New Roman"/>
                      <w:smallCaps w:val="0"/>
                      <w:color w:val="auto"/>
                      <w:spacing w:val="0"/>
                      <w:highlight w:val="none"/>
                      <w:lang w:val="en-US" w:eastAsia="zh-CN"/>
                    </w:rPr>
                    <w:t>利用现有</w:t>
                  </w:r>
                  <w:r>
                    <w:rPr>
                      <w:rFonts w:hint="default" w:ascii="Times New Roman" w:hAnsi="Times New Roman" w:cs="Times New Roman"/>
                      <w:smallCaps w:val="0"/>
                      <w:color w:val="auto"/>
                      <w:spacing w:val="0"/>
                      <w:highlight w:val="none"/>
                    </w:rPr>
                    <w:t>水泥硬化简单防渗措施</w:t>
                  </w:r>
                </w:p>
              </w:tc>
            </w:tr>
          </w:tbl>
          <w:p w14:paraId="15B61CFA">
            <w:pPr>
              <w:pStyle w:val="172"/>
              <w:keepNext w:val="0"/>
              <w:keepLines w:val="0"/>
              <w:suppressLineNumbers w:val="0"/>
              <w:spacing w:before="0" w:beforeAutospacing="0" w:after="0" w:afterAutospacing="0"/>
              <w:ind w:left="0" w:right="0" w:firstLine="480"/>
              <w:rPr>
                <w:rFonts w:hint="default" w:ascii="Times New Roman" w:hAnsi="Times New Roman" w:cs="Times New Roman"/>
                <w:b/>
                <w:smallCaps w:val="0"/>
                <w:color w:val="auto"/>
                <w:spacing w:val="0"/>
                <w:highlight w:val="none"/>
              </w:rPr>
            </w:pPr>
            <w:r>
              <w:rPr>
                <w:rFonts w:hint="default" w:ascii="Times New Roman" w:hAnsi="Times New Roman" w:cs="Times New Roman"/>
                <w:smallCaps w:val="0"/>
                <w:color w:val="auto"/>
                <w:spacing w:val="0"/>
                <w:highlight w:val="none"/>
                <w:lang w:val="en-US" w:eastAsia="zh-CN"/>
              </w:rPr>
              <w:t>项目主要为</w:t>
            </w:r>
            <w:r>
              <w:rPr>
                <w:rFonts w:hint="eastAsia" w:cs="Times New Roman"/>
                <w:smallCaps w:val="0"/>
                <w:color w:val="auto"/>
                <w:spacing w:val="0"/>
                <w:highlight w:val="none"/>
                <w:lang w:val="en-US" w:eastAsia="zh-CN"/>
              </w:rPr>
              <w:t>内部装修及</w:t>
            </w:r>
            <w:r>
              <w:rPr>
                <w:rFonts w:hint="default" w:ascii="Times New Roman" w:hAnsi="Times New Roman" w:cs="Times New Roman"/>
                <w:smallCaps w:val="0"/>
                <w:color w:val="auto"/>
                <w:spacing w:val="0"/>
                <w:highlight w:val="none"/>
                <w:lang w:val="en-US" w:eastAsia="zh-CN"/>
              </w:rPr>
              <w:t>设备安装，现有防渗措施完好，无破损，本项目</w:t>
            </w:r>
            <w:r>
              <w:rPr>
                <w:rFonts w:hint="eastAsia" w:cs="Times New Roman"/>
                <w:smallCaps w:val="0"/>
                <w:color w:val="auto"/>
                <w:spacing w:val="0"/>
                <w:highlight w:val="none"/>
                <w:lang w:val="en-US" w:eastAsia="zh-CN"/>
              </w:rPr>
              <w:t>利用现有</w:t>
            </w:r>
            <w:r>
              <w:rPr>
                <w:rFonts w:hint="default" w:ascii="Times New Roman" w:hAnsi="Times New Roman" w:cs="Times New Roman"/>
                <w:smallCaps w:val="0"/>
                <w:color w:val="auto"/>
                <w:spacing w:val="0"/>
                <w:highlight w:val="none"/>
                <w:lang w:val="en-US" w:eastAsia="zh-CN"/>
              </w:rPr>
              <w:t>防渗措施可行</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项目建设对地下水和土壤环境影响较小。</w:t>
            </w:r>
          </w:p>
          <w:p w14:paraId="248F2454">
            <w:pPr>
              <w:pStyle w:val="172"/>
              <w:keepNext w:val="0"/>
              <w:keepLines w:val="0"/>
              <w:suppressLineNumbers w:val="0"/>
              <w:spacing w:before="0" w:beforeAutospacing="0" w:after="0" w:afterAutospacing="0"/>
              <w:ind w:left="0" w:right="0" w:firstLine="4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6、生态环境</w:t>
            </w:r>
          </w:p>
          <w:p w14:paraId="5481EF0C">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位于</w:t>
            </w:r>
            <w:r>
              <w:rPr>
                <w:rFonts w:hint="eastAsia" w:cs="Times New Roman"/>
                <w:smallCaps w:val="0"/>
                <w:color w:val="auto"/>
                <w:spacing w:val="0"/>
                <w:highlight w:val="none"/>
                <w:lang w:eastAsia="zh-CN"/>
              </w:rPr>
              <w:t>河北省石家庄市栾城区窦妪村装备制造产业园区奥翔街6-1号（院内3号房）</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不会对生态环境产生影响。</w:t>
            </w:r>
          </w:p>
          <w:p w14:paraId="3A683742">
            <w:pPr>
              <w:pStyle w:val="172"/>
              <w:keepNext w:val="0"/>
              <w:keepLines w:val="0"/>
              <w:suppressLineNumbers w:val="0"/>
              <w:spacing w:before="0" w:beforeAutospacing="0" w:after="0" w:afterAutospacing="0"/>
              <w:ind w:left="0" w:right="0" w:firstLine="436" w:firstLineChars="182"/>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7、环境风险</w:t>
            </w:r>
          </w:p>
          <w:p w14:paraId="33F60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mallCaps w:val="0"/>
                <w:color w:val="auto"/>
                <w:spacing w:val="0"/>
                <w:sz w:val="24"/>
                <w:szCs w:val="24"/>
                <w:highlight w:val="none"/>
              </w:rPr>
            </w:pPr>
            <w:r>
              <w:rPr>
                <w:rFonts w:hint="default" w:ascii="Times New Roman" w:hAnsi="Times New Roman" w:eastAsia="宋体" w:cs="Times New Roman"/>
                <w:smallCaps w:val="0"/>
                <w:color w:val="auto"/>
                <w:spacing w:val="0"/>
                <w:sz w:val="24"/>
                <w:szCs w:val="24"/>
                <w:highlight w:val="none"/>
              </w:rPr>
              <w:t>根据原国家环保部《关于进一步加强环境影响评价管理防范环境风险的通知》（国家环保部环发[2012]77号）及生态环境部发布的《建设项目环境风险评价技术导则》（HJ 169-2018）要求，对于涉及有毒有害和易燃易爆物质的生产、使用、储存（包括使用管线输运）的建设项目进行风险评价。</w:t>
            </w:r>
          </w:p>
          <w:p w14:paraId="1C228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mallCaps w:val="0"/>
                <w:color w:val="auto"/>
                <w:spacing w:val="0"/>
                <w:sz w:val="24"/>
                <w:szCs w:val="24"/>
                <w:highlight w:val="none"/>
                <w:lang w:eastAsia="zh-CN"/>
              </w:rPr>
            </w:pPr>
            <w:r>
              <w:rPr>
                <w:rFonts w:hint="default" w:ascii="Times New Roman" w:hAnsi="Times New Roman" w:eastAsia="宋体" w:cs="Times New Roman"/>
                <w:smallCaps w:val="0"/>
                <w:color w:val="auto"/>
                <w:spacing w:val="0"/>
                <w:sz w:val="24"/>
                <w:szCs w:val="24"/>
                <w:highlight w:val="none"/>
                <w:lang w:eastAsia="zh-CN"/>
              </w:rPr>
              <w:t>（1）环境风险物质识别</w:t>
            </w:r>
          </w:p>
          <w:p w14:paraId="2BBA966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40" w:lineRule="exact"/>
              <w:ind w:left="0" w:leftChars="0" w:right="0" w:firstLine="480" w:firstLineChars="200"/>
              <w:jc w:val="left"/>
              <w:textAlignment w:val="auto"/>
              <w:rPr>
                <w:rFonts w:hint="default" w:ascii="Times New Roman" w:hAnsi="Times New Roman" w:eastAsia="宋体" w:cs="Times New Roman"/>
                <w:smallCaps w:val="0"/>
                <w:color w:val="auto"/>
                <w:spacing w:val="0"/>
                <w:sz w:val="24"/>
                <w:szCs w:val="24"/>
                <w:highlight w:val="none"/>
                <w:lang w:eastAsia="zh-CN"/>
              </w:rPr>
            </w:pPr>
            <w:r>
              <w:rPr>
                <w:rFonts w:hint="default" w:ascii="Times New Roman" w:hAnsi="Times New Roman" w:eastAsia="宋体" w:cs="Times New Roman"/>
                <w:smallCaps w:val="0"/>
                <w:color w:val="auto"/>
                <w:spacing w:val="0"/>
                <w:sz w:val="24"/>
                <w:szCs w:val="24"/>
                <w:highlight w:val="none"/>
                <w:lang w:eastAsia="zh-CN"/>
              </w:rPr>
              <w:t>经对照《建设项目环境风险评价技术导则》（HJ169-2018）附录B，项目危险物质为</w:t>
            </w:r>
            <w:r>
              <w:rPr>
                <w:rFonts w:hint="eastAsia" w:cs="Times New Roman"/>
                <w:smallCaps w:val="0"/>
                <w:color w:val="auto"/>
                <w:spacing w:val="0"/>
                <w:sz w:val="24"/>
                <w:szCs w:val="24"/>
                <w:highlight w:val="none"/>
                <w:lang w:val="en-US" w:eastAsia="zh-CN"/>
              </w:rPr>
              <w:t>切削液、</w:t>
            </w:r>
            <w:r>
              <w:rPr>
                <w:rFonts w:hint="eastAsia" w:cs="Times New Roman"/>
                <w:smallCaps w:val="0"/>
                <w:color w:val="auto"/>
                <w:spacing w:val="0"/>
                <w:sz w:val="24"/>
                <w:szCs w:val="24"/>
                <w:highlight w:val="none"/>
                <w:lang w:eastAsia="zh-CN"/>
              </w:rPr>
              <w:t>润滑油</w:t>
            </w:r>
            <w:r>
              <w:rPr>
                <w:rFonts w:hint="default" w:ascii="Times New Roman" w:hAnsi="Times New Roman" w:eastAsia="宋体" w:cs="Times New Roman"/>
                <w:smallCaps w:val="0"/>
                <w:color w:val="auto"/>
                <w:spacing w:val="0"/>
                <w:sz w:val="24"/>
                <w:szCs w:val="24"/>
                <w:highlight w:val="none"/>
                <w:lang w:eastAsia="zh-CN"/>
              </w:rPr>
              <w:t>及危险废物（</w:t>
            </w:r>
            <w:r>
              <w:rPr>
                <w:rFonts w:hint="eastAsia" w:cs="Times New Roman"/>
                <w:smallCaps w:val="0"/>
                <w:color w:val="auto"/>
                <w:spacing w:val="0"/>
                <w:sz w:val="24"/>
                <w:szCs w:val="24"/>
                <w:highlight w:val="none"/>
                <w:lang w:eastAsia="zh-CN"/>
              </w:rPr>
              <w:t>废布袋、</w:t>
            </w:r>
            <w:r>
              <w:rPr>
                <w:rFonts w:hint="eastAsia" w:cs="Times New Roman"/>
                <w:smallCaps w:val="0"/>
                <w:color w:val="auto"/>
                <w:spacing w:val="0"/>
                <w:sz w:val="24"/>
                <w:szCs w:val="24"/>
                <w:highlight w:val="none"/>
                <w:lang w:val="en-US" w:eastAsia="zh-CN"/>
              </w:rPr>
              <w:t>除尘灰</w:t>
            </w:r>
            <w:r>
              <w:rPr>
                <w:rFonts w:hint="eastAsia" w:cs="Times New Roman"/>
                <w:smallCaps w:val="0"/>
                <w:color w:val="auto"/>
                <w:spacing w:val="0"/>
                <w:sz w:val="24"/>
                <w:szCs w:val="24"/>
                <w:highlight w:val="none"/>
                <w:lang w:eastAsia="zh-CN"/>
              </w:rPr>
              <w:t>、废活性炭、废切削液、废切削液桶、含油金属屑、废润滑油、废润滑油桶、含油抹布及废劳保用品</w:t>
            </w:r>
            <w:r>
              <w:rPr>
                <w:rFonts w:hint="default" w:ascii="Times New Roman" w:hAnsi="Times New Roman" w:eastAsia="宋体" w:cs="Times New Roman"/>
                <w:smallCaps w:val="0"/>
                <w:color w:val="auto"/>
                <w:spacing w:val="0"/>
                <w:sz w:val="24"/>
                <w:szCs w:val="24"/>
                <w:highlight w:val="none"/>
                <w:lang w:eastAsia="zh-CN"/>
              </w:rPr>
              <w:t>）。</w:t>
            </w:r>
          </w:p>
          <w:p w14:paraId="3BC116F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（2）环境风险识别</w:t>
            </w:r>
          </w:p>
          <w:p w14:paraId="027DE726">
            <w:pPr>
              <w:keepNext w:val="0"/>
              <w:keepLines w:val="0"/>
              <w:suppressLineNumbers w:val="0"/>
              <w:tabs>
                <w:tab w:val="left" w:pos="6240"/>
              </w:tabs>
              <w:spacing w:before="0" w:beforeAutospacing="0" w:after="0" w:afterAutospacing="0" w:line="480" w:lineRule="exact"/>
              <w:ind w:left="0" w:right="0" w:firstLine="480"/>
              <w:rPr>
                <w:rFonts w:hint="default" w:ascii="Times New Roman" w:hAnsi="Times New Roman" w:cs="Times New Roman"/>
                <w:b/>
                <w:color w:val="auto"/>
                <w:sz w:val="24"/>
                <w:szCs w:val="20"/>
                <w:highlight w:val="none"/>
              </w:rPr>
            </w:pPr>
            <w:r>
              <w:rPr>
                <w:rFonts w:hint="default" w:ascii="Times New Roman" w:hAnsi="Times New Roman" w:cs="Times New Roman"/>
                <w:color w:val="auto"/>
                <w:sz w:val="24"/>
                <w:szCs w:val="20"/>
                <w:highlight w:val="none"/>
              </w:rPr>
              <w:t>对项目主要危险物质及分布情况、环境风险类型及可能影响环境的途径进行识别，详见表4-</w:t>
            </w:r>
            <w:r>
              <w:rPr>
                <w:rFonts w:hint="eastAsia" w:cs="Times New Roman"/>
                <w:color w:val="auto"/>
                <w:sz w:val="24"/>
                <w:szCs w:val="20"/>
                <w:highlight w:val="none"/>
                <w:lang w:val="en-US" w:eastAsia="zh-CN"/>
              </w:rPr>
              <w:t>17</w:t>
            </w:r>
            <w:r>
              <w:rPr>
                <w:rFonts w:hint="default" w:ascii="Times New Roman" w:hAnsi="Times New Roman" w:cs="Times New Roman"/>
                <w:color w:val="auto"/>
                <w:sz w:val="24"/>
                <w:szCs w:val="20"/>
                <w:highlight w:val="none"/>
              </w:rPr>
              <w:t>。</w:t>
            </w:r>
          </w:p>
          <w:p w14:paraId="5903CE53">
            <w:pPr>
              <w:keepNext w:val="0"/>
              <w:keepLines w:val="0"/>
              <w:suppressLineNumbers w:val="0"/>
              <w:tabs>
                <w:tab w:val="left" w:pos="6240"/>
              </w:tabs>
              <w:spacing w:before="0" w:beforeAutospacing="0" w:after="0" w:afterAutospacing="0" w:line="480" w:lineRule="exact"/>
              <w:ind w:left="0" w:right="0"/>
              <w:jc w:val="center"/>
              <w:rPr>
                <w:rFonts w:hint="default" w:ascii="Times New Roman" w:hAnsi="Times New Roman" w:cs="Times New Roman"/>
                <w:b/>
                <w:color w:val="auto"/>
                <w:sz w:val="24"/>
                <w:szCs w:val="20"/>
                <w:highlight w:val="none"/>
              </w:rPr>
            </w:pPr>
            <w:r>
              <w:rPr>
                <w:rFonts w:hint="default" w:ascii="Times New Roman" w:hAnsi="Times New Roman" w:cs="Times New Roman"/>
                <w:b/>
                <w:color w:val="auto"/>
                <w:sz w:val="24"/>
                <w:szCs w:val="20"/>
                <w:highlight w:val="none"/>
              </w:rPr>
              <w:t>表4-</w:t>
            </w:r>
            <w:r>
              <w:rPr>
                <w:rFonts w:hint="eastAsia" w:cs="Times New Roman"/>
                <w:b/>
                <w:color w:val="auto"/>
                <w:sz w:val="24"/>
                <w:szCs w:val="20"/>
                <w:highlight w:val="none"/>
                <w:lang w:val="en-US" w:eastAsia="zh-CN"/>
              </w:rPr>
              <w:t>17</w:t>
            </w:r>
            <w:r>
              <w:rPr>
                <w:rFonts w:hint="default" w:ascii="Times New Roman" w:hAnsi="Times New Roman" w:cs="Times New Roman"/>
                <w:b/>
                <w:color w:val="auto"/>
                <w:sz w:val="24"/>
                <w:szCs w:val="20"/>
                <w:highlight w:val="none"/>
              </w:rPr>
              <w:t xml:space="preserve">  环境风险识别表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627"/>
              <w:gridCol w:w="3156"/>
              <w:gridCol w:w="2688"/>
            </w:tblGrid>
            <w:tr w14:paraId="26AF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noWrap w:val="0"/>
                  <w:tcMar>
                    <w:left w:w="28" w:type="dxa"/>
                    <w:right w:w="28" w:type="dxa"/>
                  </w:tcMar>
                  <w:vAlign w:val="center"/>
                </w:tcPr>
                <w:p w14:paraId="03DC08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20" w:type="pct"/>
                  <w:noWrap w:val="0"/>
                  <w:tcMar>
                    <w:top w:w="0" w:type="dxa"/>
                    <w:left w:w="28" w:type="dxa"/>
                    <w:bottom w:w="0" w:type="dxa"/>
                    <w:right w:w="28" w:type="dxa"/>
                  </w:tcMar>
                  <w:vAlign w:val="center"/>
                </w:tcPr>
                <w:p w14:paraId="6BF194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风险单元</w:t>
                  </w:r>
                </w:p>
              </w:tc>
              <w:tc>
                <w:tcPr>
                  <w:tcW w:w="1978" w:type="pct"/>
                  <w:noWrap w:val="0"/>
                  <w:tcMar>
                    <w:left w:w="28" w:type="dxa"/>
                    <w:right w:w="28" w:type="dxa"/>
                  </w:tcMar>
                  <w:vAlign w:val="center"/>
                </w:tcPr>
                <w:p w14:paraId="74299C5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涉及风险物质</w:t>
                  </w:r>
                </w:p>
              </w:tc>
              <w:tc>
                <w:tcPr>
                  <w:tcW w:w="1685" w:type="pct"/>
                  <w:noWrap w:val="0"/>
                  <w:tcMar>
                    <w:left w:w="28" w:type="dxa"/>
                    <w:right w:w="28" w:type="dxa"/>
                  </w:tcMar>
                  <w:vAlign w:val="center"/>
                </w:tcPr>
                <w:p w14:paraId="317A850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可能影响环境的途径</w:t>
                  </w:r>
                </w:p>
              </w:tc>
            </w:tr>
            <w:tr w14:paraId="58B5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6" w:type="pct"/>
                  <w:noWrap w:val="0"/>
                  <w:tcMar>
                    <w:left w:w="28" w:type="dxa"/>
                    <w:right w:w="28" w:type="dxa"/>
                  </w:tcMar>
                  <w:vAlign w:val="center"/>
                </w:tcPr>
                <w:p w14:paraId="21CF1C8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20" w:type="pct"/>
                  <w:noWrap w:val="0"/>
                  <w:tcMar>
                    <w:left w:w="28" w:type="dxa"/>
                    <w:right w:w="28" w:type="dxa"/>
                  </w:tcMar>
                  <w:vAlign w:val="center"/>
                </w:tcPr>
                <w:p w14:paraId="182F2A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原料区</w:t>
                  </w:r>
                </w:p>
              </w:tc>
              <w:tc>
                <w:tcPr>
                  <w:tcW w:w="1978" w:type="pct"/>
                  <w:noWrap w:val="0"/>
                  <w:tcMar>
                    <w:left w:w="28" w:type="dxa"/>
                    <w:right w:w="28" w:type="dxa"/>
                  </w:tcMar>
                  <w:vAlign w:val="center"/>
                </w:tcPr>
                <w:p w14:paraId="058DC9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切削液、润滑油</w:t>
                  </w:r>
                </w:p>
              </w:tc>
              <w:tc>
                <w:tcPr>
                  <w:tcW w:w="1685" w:type="pct"/>
                  <w:noWrap w:val="0"/>
                  <w:tcMar>
                    <w:left w:w="28" w:type="dxa"/>
                    <w:right w:w="28" w:type="dxa"/>
                  </w:tcMar>
                  <w:vAlign w:val="center"/>
                </w:tcPr>
                <w:p w14:paraId="115A9F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Cs w:val="21"/>
                      <w:highlight w:val="none"/>
                    </w:rPr>
                    <w:t>大气、土壤、地下水环境</w:t>
                  </w:r>
                </w:p>
              </w:tc>
            </w:tr>
            <w:tr w14:paraId="0690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6" w:type="pct"/>
                  <w:noWrap w:val="0"/>
                  <w:tcMar>
                    <w:left w:w="28" w:type="dxa"/>
                    <w:right w:w="28" w:type="dxa"/>
                  </w:tcMar>
                  <w:vAlign w:val="center"/>
                </w:tcPr>
                <w:p w14:paraId="6DA0D4F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020" w:type="pct"/>
                  <w:noWrap w:val="0"/>
                  <w:tcMar>
                    <w:left w:w="28" w:type="dxa"/>
                    <w:right w:w="28" w:type="dxa"/>
                  </w:tcMar>
                  <w:vAlign w:val="center"/>
                </w:tcPr>
                <w:p w14:paraId="54A13D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危废间</w:t>
                  </w:r>
                </w:p>
              </w:tc>
              <w:tc>
                <w:tcPr>
                  <w:tcW w:w="1978" w:type="pct"/>
                  <w:noWrap w:val="0"/>
                  <w:tcMar>
                    <w:left w:w="28" w:type="dxa"/>
                    <w:right w:w="28" w:type="dxa"/>
                  </w:tcMar>
                  <w:vAlign w:val="center"/>
                </w:tcPr>
                <w:p w14:paraId="711D26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eastAsia="zh-CN"/>
                    </w:rPr>
                    <w:t>废布袋、</w:t>
                  </w:r>
                  <w:r>
                    <w:rPr>
                      <w:rFonts w:hint="eastAsia" w:cs="Times New Roman"/>
                      <w:color w:val="auto"/>
                      <w:szCs w:val="21"/>
                      <w:highlight w:val="none"/>
                      <w:lang w:val="en-US" w:eastAsia="zh-CN"/>
                    </w:rPr>
                    <w:t>除尘灰</w:t>
                  </w:r>
                  <w:r>
                    <w:rPr>
                      <w:rFonts w:hint="eastAsia" w:cs="Times New Roman"/>
                      <w:color w:val="auto"/>
                      <w:szCs w:val="21"/>
                      <w:highlight w:val="none"/>
                      <w:lang w:eastAsia="zh-CN"/>
                    </w:rPr>
                    <w:t>、废活性炭、废切削液、废切削液桶、含油金属屑、废润滑油、废润滑油桶、含油抹布及废劳保用品</w:t>
                  </w:r>
                </w:p>
              </w:tc>
              <w:tc>
                <w:tcPr>
                  <w:tcW w:w="1685" w:type="pct"/>
                  <w:noWrap w:val="0"/>
                  <w:tcMar>
                    <w:left w:w="28" w:type="dxa"/>
                    <w:right w:w="28" w:type="dxa"/>
                  </w:tcMar>
                  <w:vAlign w:val="center"/>
                </w:tcPr>
                <w:p w14:paraId="514687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szCs w:val="21"/>
                      <w:highlight w:val="none"/>
                    </w:rPr>
                    <w:t>大气、土壤、地下水环境</w:t>
                  </w:r>
                </w:p>
              </w:tc>
            </w:tr>
          </w:tbl>
          <w:p w14:paraId="1B703B52">
            <w:pPr>
              <w:keepNext w:val="0"/>
              <w:keepLines w:val="0"/>
              <w:suppressLineNumbers w:val="0"/>
              <w:tabs>
                <w:tab w:val="left" w:pos="6240"/>
              </w:tabs>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对项目危险物质数量与临界量比值，详见表4-</w:t>
            </w:r>
            <w:r>
              <w:rPr>
                <w:rFonts w:hint="eastAsia" w:cs="Times New Roman"/>
                <w:color w:val="auto"/>
                <w:sz w:val="24"/>
                <w:szCs w:val="20"/>
                <w:highlight w:val="none"/>
                <w:lang w:val="en-US" w:eastAsia="zh-CN"/>
              </w:rPr>
              <w:t>18</w:t>
            </w:r>
            <w:r>
              <w:rPr>
                <w:rFonts w:hint="default" w:ascii="Times New Roman" w:hAnsi="Times New Roman" w:cs="Times New Roman"/>
                <w:color w:val="auto"/>
                <w:sz w:val="24"/>
                <w:szCs w:val="20"/>
                <w:highlight w:val="none"/>
              </w:rPr>
              <w:t>。</w:t>
            </w:r>
          </w:p>
          <w:p w14:paraId="46035AFD">
            <w:pPr>
              <w:keepNext w:val="0"/>
              <w:keepLines w:val="0"/>
              <w:suppressLineNumbers w:val="0"/>
              <w:tabs>
                <w:tab w:val="left" w:pos="6240"/>
              </w:tabs>
              <w:spacing w:before="0" w:beforeAutospacing="0" w:after="0" w:afterAutospacing="0" w:line="480" w:lineRule="exact"/>
              <w:ind w:left="0" w:right="0"/>
              <w:jc w:val="center"/>
              <w:rPr>
                <w:rFonts w:hint="default" w:ascii="Times New Roman" w:hAnsi="Times New Roman" w:cs="Times New Roman"/>
                <w:b/>
                <w:color w:val="auto"/>
                <w:sz w:val="24"/>
                <w:szCs w:val="20"/>
                <w:highlight w:val="none"/>
              </w:rPr>
            </w:pPr>
            <w:r>
              <w:rPr>
                <w:rFonts w:hint="default" w:ascii="Times New Roman" w:hAnsi="Times New Roman" w:cs="Times New Roman"/>
                <w:b/>
                <w:color w:val="auto"/>
                <w:sz w:val="24"/>
                <w:szCs w:val="20"/>
                <w:highlight w:val="none"/>
              </w:rPr>
              <w:t>表4-</w:t>
            </w:r>
            <w:r>
              <w:rPr>
                <w:rFonts w:hint="eastAsia" w:cs="Times New Roman"/>
                <w:b/>
                <w:color w:val="auto"/>
                <w:sz w:val="24"/>
                <w:szCs w:val="20"/>
                <w:highlight w:val="none"/>
                <w:lang w:val="en-US" w:eastAsia="zh-CN"/>
              </w:rPr>
              <w:t xml:space="preserve">18 </w:t>
            </w:r>
            <w:r>
              <w:rPr>
                <w:rFonts w:hint="default" w:ascii="Times New Roman" w:hAnsi="Times New Roman" w:cs="Times New Roman"/>
                <w:b/>
                <w:color w:val="auto"/>
                <w:sz w:val="24"/>
                <w:szCs w:val="20"/>
                <w:highlight w:val="none"/>
              </w:rPr>
              <w:t xml:space="preserve"> 环境风险识别表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392"/>
              <w:gridCol w:w="1399"/>
              <w:gridCol w:w="1567"/>
              <w:gridCol w:w="1569"/>
            </w:tblGrid>
            <w:tr w14:paraId="1CD0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57" w:type="pct"/>
                  <w:noWrap w:val="0"/>
                  <w:tcMar>
                    <w:left w:w="28" w:type="dxa"/>
                    <w:right w:w="28" w:type="dxa"/>
                  </w:tcMar>
                  <w:vAlign w:val="center"/>
                </w:tcPr>
                <w:p w14:paraId="3DA64B7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99" w:type="pct"/>
                  <w:noWrap w:val="0"/>
                  <w:tcMar>
                    <w:left w:w="28" w:type="dxa"/>
                    <w:right w:w="28" w:type="dxa"/>
                  </w:tcMar>
                  <w:vAlign w:val="center"/>
                </w:tcPr>
                <w:p w14:paraId="3DC4436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涉及风险物质</w:t>
                  </w:r>
                </w:p>
              </w:tc>
              <w:tc>
                <w:tcPr>
                  <w:tcW w:w="877" w:type="pct"/>
                  <w:noWrap w:val="0"/>
                  <w:tcMar>
                    <w:left w:w="28" w:type="dxa"/>
                    <w:right w:w="28" w:type="dxa"/>
                  </w:tcMar>
                  <w:vAlign w:val="center"/>
                </w:tcPr>
                <w:p w14:paraId="5742BC7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最大储存量t/a</w:t>
                  </w:r>
                </w:p>
              </w:tc>
              <w:tc>
                <w:tcPr>
                  <w:tcW w:w="982" w:type="pct"/>
                  <w:noWrap w:val="0"/>
                  <w:tcMar>
                    <w:left w:w="28" w:type="dxa"/>
                    <w:right w:w="28" w:type="dxa"/>
                  </w:tcMar>
                  <w:vAlign w:val="center"/>
                </w:tcPr>
                <w:p w14:paraId="1736FFA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临界量t/a</w:t>
                  </w:r>
                </w:p>
              </w:tc>
              <w:tc>
                <w:tcPr>
                  <w:tcW w:w="983" w:type="pct"/>
                  <w:noWrap w:val="0"/>
                  <w:tcMar>
                    <w:left w:w="28" w:type="dxa"/>
                    <w:right w:w="28" w:type="dxa"/>
                  </w:tcMar>
                  <w:vAlign w:val="center"/>
                </w:tcPr>
                <w:p w14:paraId="4D03E65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全厂</w:t>
                  </w:r>
                  <w:r>
                    <w:rPr>
                      <w:rFonts w:hint="default" w:ascii="Times New Roman" w:hAnsi="Times New Roman" w:cs="Times New Roman"/>
                      <w:color w:val="auto"/>
                      <w:szCs w:val="21"/>
                      <w:highlight w:val="none"/>
                    </w:rPr>
                    <w:t>Q/q</w:t>
                  </w:r>
                </w:p>
              </w:tc>
            </w:tr>
            <w:tr w14:paraId="6585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57" w:type="pct"/>
                  <w:noWrap w:val="0"/>
                  <w:tcMar>
                    <w:left w:w="28" w:type="dxa"/>
                    <w:right w:w="28" w:type="dxa"/>
                  </w:tcMar>
                  <w:vAlign w:val="center"/>
                </w:tcPr>
                <w:p w14:paraId="086392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499" w:type="pct"/>
                  <w:noWrap w:val="0"/>
                  <w:tcMar>
                    <w:left w:w="28" w:type="dxa"/>
                    <w:right w:w="28" w:type="dxa"/>
                  </w:tcMar>
                  <w:vAlign w:val="center"/>
                </w:tcPr>
                <w:p w14:paraId="4B31F6B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切削液</w:t>
                  </w:r>
                </w:p>
              </w:tc>
              <w:tc>
                <w:tcPr>
                  <w:tcW w:w="877" w:type="pct"/>
                  <w:noWrap w:val="0"/>
                  <w:tcMar>
                    <w:left w:w="28" w:type="dxa"/>
                    <w:right w:w="28" w:type="dxa"/>
                  </w:tcMar>
                  <w:vAlign w:val="center"/>
                </w:tcPr>
                <w:p w14:paraId="6D29B4BC">
                  <w:pPr>
                    <w:pStyle w:val="225"/>
                    <w:keepNext w:val="0"/>
                    <w:keepLines w:val="0"/>
                    <w:suppressLineNumbers w:val="0"/>
                    <w:spacing w:beforeAutospacing="0" w:afterAutospacing="0"/>
                    <w:ind w:left="0" w:right="0"/>
                    <w:jc w:val="center"/>
                    <w:rPr>
                      <w:rFonts w:hint="default" w:ascii="Times New Roman" w:hAnsi="Times New Roman" w:eastAsia="宋体" w:cs="Times New Roman"/>
                      <w:bCs/>
                      <w:snapToGrid w:val="0"/>
                      <w:color w:val="auto"/>
                      <w:kern w:val="2"/>
                      <w:sz w:val="21"/>
                      <w:szCs w:val="21"/>
                      <w:highlight w:val="none"/>
                      <w:lang w:val="en-US" w:eastAsia="zh-CN" w:bidi="ar-SA"/>
                    </w:rPr>
                  </w:pPr>
                  <w:bookmarkStart w:id="27" w:name="_Toc938"/>
                  <w:r>
                    <w:rPr>
                      <w:rFonts w:hint="eastAsia" w:eastAsia="宋体" w:cs="Times New Roman"/>
                      <w:bCs/>
                      <w:snapToGrid w:val="0"/>
                      <w:color w:val="auto"/>
                      <w:kern w:val="2"/>
                      <w:sz w:val="21"/>
                      <w:szCs w:val="21"/>
                      <w:highlight w:val="none"/>
                      <w:lang w:val="en-US" w:eastAsia="zh-CN" w:bidi="ar-SA"/>
                    </w:rPr>
                    <w:t>0.015</w:t>
                  </w:r>
                  <w:bookmarkEnd w:id="27"/>
                </w:p>
              </w:tc>
              <w:tc>
                <w:tcPr>
                  <w:tcW w:w="982" w:type="pct"/>
                  <w:noWrap w:val="0"/>
                  <w:tcMar>
                    <w:left w:w="28" w:type="dxa"/>
                    <w:right w:w="28" w:type="dxa"/>
                  </w:tcMar>
                  <w:vAlign w:val="center"/>
                </w:tcPr>
                <w:p w14:paraId="0C283F06">
                  <w:pPr>
                    <w:pStyle w:val="225"/>
                    <w:keepNext w:val="0"/>
                    <w:keepLines w:val="0"/>
                    <w:suppressLineNumbers w:val="0"/>
                    <w:spacing w:beforeAutospacing="0" w:afterAutospacing="0"/>
                    <w:ind w:left="0" w:right="0"/>
                    <w:jc w:val="center"/>
                    <w:rPr>
                      <w:rFonts w:hint="default" w:eastAsia="宋体" w:cs="Times New Roman"/>
                      <w:bCs/>
                      <w:snapToGrid w:val="0"/>
                      <w:color w:val="auto"/>
                      <w:kern w:val="2"/>
                      <w:sz w:val="21"/>
                      <w:szCs w:val="21"/>
                      <w:highlight w:val="none"/>
                      <w:lang w:val="en-US" w:eastAsia="zh-CN" w:bidi="ar-SA"/>
                    </w:rPr>
                  </w:pPr>
                  <w:bookmarkStart w:id="28" w:name="_Toc14315"/>
                  <w:r>
                    <w:rPr>
                      <w:rFonts w:hint="eastAsia" w:eastAsia="宋体" w:cs="Times New Roman"/>
                      <w:bCs/>
                      <w:snapToGrid w:val="0"/>
                      <w:color w:val="auto"/>
                      <w:kern w:val="2"/>
                      <w:sz w:val="21"/>
                      <w:szCs w:val="21"/>
                      <w:highlight w:val="none"/>
                      <w:lang w:val="en-US" w:eastAsia="zh-CN" w:bidi="ar-SA"/>
                    </w:rPr>
                    <w:t>2500</w:t>
                  </w:r>
                  <w:bookmarkEnd w:id="28"/>
                </w:p>
              </w:tc>
              <w:tc>
                <w:tcPr>
                  <w:tcW w:w="1569" w:type="dxa"/>
                  <w:noWrap w:val="0"/>
                  <w:tcMar>
                    <w:left w:w="28" w:type="dxa"/>
                    <w:right w:w="28" w:type="dxa"/>
                  </w:tcMar>
                  <w:vAlign w:val="center"/>
                </w:tcPr>
                <w:p w14:paraId="08D9D088">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0.000006</w:t>
                  </w:r>
                </w:p>
              </w:tc>
            </w:tr>
            <w:tr w14:paraId="0E71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3F2D874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w:t>
                  </w:r>
                </w:p>
              </w:tc>
              <w:tc>
                <w:tcPr>
                  <w:tcW w:w="1499" w:type="pct"/>
                  <w:noWrap w:val="0"/>
                  <w:tcMar>
                    <w:left w:w="28" w:type="dxa"/>
                    <w:right w:w="28" w:type="dxa"/>
                  </w:tcMar>
                  <w:vAlign w:val="center"/>
                </w:tcPr>
                <w:p w14:paraId="5BFC61C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润滑油</w:t>
                  </w:r>
                </w:p>
              </w:tc>
              <w:tc>
                <w:tcPr>
                  <w:tcW w:w="877" w:type="pct"/>
                  <w:noWrap w:val="0"/>
                  <w:tcMar>
                    <w:left w:w="28" w:type="dxa"/>
                    <w:right w:w="28" w:type="dxa"/>
                  </w:tcMar>
                  <w:vAlign w:val="center"/>
                </w:tcPr>
                <w:p w14:paraId="4E9EB05D">
                  <w:pPr>
                    <w:pStyle w:val="225"/>
                    <w:keepNext w:val="0"/>
                    <w:keepLines w:val="0"/>
                    <w:suppressLineNumbers w:val="0"/>
                    <w:spacing w:beforeAutospacing="0" w:afterAutospacing="0"/>
                    <w:ind w:left="0" w:right="0"/>
                    <w:jc w:val="center"/>
                    <w:rPr>
                      <w:rFonts w:hint="default" w:eastAsia="宋体" w:cs="Times New Roman"/>
                      <w:bCs/>
                      <w:snapToGrid w:val="0"/>
                      <w:color w:val="auto"/>
                      <w:kern w:val="2"/>
                      <w:sz w:val="21"/>
                      <w:szCs w:val="21"/>
                      <w:highlight w:val="none"/>
                      <w:lang w:val="en-US" w:eastAsia="zh-CN" w:bidi="ar-SA"/>
                    </w:rPr>
                  </w:pPr>
                  <w:bookmarkStart w:id="29" w:name="_Toc1307"/>
                  <w:r>
                    <w:rPr>
                      <w:rFonts w:hint="eastAsia" w:eastAsia="宋体" w:cs="Times New Roman"/>
                      <w:bCs/>
                      <w:snapToGrid w:val="0"/>
                      <w:color w:val="auto"/>
                      <w:kern w:val="2"/>
                      <w:sz w:val="21"/>
                      <w:szCs w:val="21"/>
                      <w:highlight w:val="none"/>
                      <w:lang w:val="en-US" w:eastAsia="zh-CN" w:bidi="ar-SA"/>
                    </w:rPr>
                    <w:t>0.03</w:t>
                  </w:r>
                  <w:bookmarkEnd w:id="29"/>
                </w:p>
              </w:tc>
              <w:tc>
                <w:tcPr>
                  <w:tcW w:w="982" w:type="pct"/>
                  <w:noWrap w:val="0"/>
                  <w:tcMar>
                    <w:left w:w="28" w:type="dxa"/>
                    <w:right w:w="28" w:type="dxa"/>
                  </w:tcMar>
                  <w:vAlign w:val="center"/>
                </w:tcPr>
                <w:p w14:paraId="6B5F8D1B">
                  <w:pPr>
                    <w:pStyle w:val="225"/>
                    <w:keepNext w:val="0"/>
                    <w:keepLines w:val="0"/>
                    <w:suppressLineNumbers w:val="0"/>
                    <w:spacing w:beforeAutospacing="0" w:afterAutospacing="0"/>
                    <w:ind w:left="0" w:right="0"/>
                    <w:jc w:val="center"/>
                    <w:rPr>
                      <w:rFonts w:hint="eastAsia" w:eastAsia="宋体" w:cs="Times New Roman"/>
                      <w:bCs/>
                      <w:snapToGrid w:val="0"/>
                      <w:color w:val="auto"/>
                      <w:kern w:val="2"/>
                      <w:sz w:val="21"/>
                      <w:szCs w:val="21"/>
                      <w:highlight w:val="none"/>
                      <w:lang w:val="en-US" w:eastAsia="zh-CN" w:bidi="ar-SA"/>
                    </w:rPr>
                  </w:pPr>
                  <w:bookmarkStart w:id="30" w:name="_Toc12193"/>
                  <w:r>
                    <w:rPr>
                      <w:rFonts w:hint="eastAsia" w:eastAsia="宋体" w:cs="Times New Roman"/>
                      <w:bCs/>
                      <w:snapToGrid w:val="0"/>
                      <w:color w:val="auto"/>
                      <w:kern w:val="2"/>
                      <w:sz w:val="21"/>
                      <w:szCs w:val="21"/>
                      <w:highlight w:val="none"/>
                      <w:lang w:val="en-US" w:eastAsia="zh-CN" w:bidi="ar-SA"/>
                    </w:rPr>
                    <w:t>2500</w:t>
                  </w:r>
                  <w:bookmarkEnd w:id="30"/>
                </w:p>
              </w:tc>
              <w:tc>
                <w:tcPr>
                  <w:tcW w:w="1569" w:type="dxa"/>
                  <w:noWrap w:val="0"/>
                  <w:tcMar>
                    <w:left w:w="28" w:type="dxa"/>
                    <w:right w:w="28" w:type="dxa"/>
                  </w:tcMar>
                  <w:vAlign w:val="center"/>
                </w:tcPr>
                <w:p w14:paraId="233DBC81">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0.000012</w:t>
                  </w:r>
                </w:p>
              </w:tc>
            </w:tr>
            <w:tr w14:paraId="785A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shd w:val="clear" w:color="auto" w:fill="auto"/>
                  <w:noWrap w:val="0"/>
                  <w:tcMar>
                    <w:left w:w="28" w:type="dxa"/>
                    <w:right w:w="28" w:type="dxa"/>
                  </w:tcMar>
                  <w:vAlign w:val="center"/>
                </w:tcPr>
                <w:p w14:paraId="31A8B3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499" w:type="pct"/>
                  <w:shd w:val="clear" w:color="auto" w:fill="auto"/>
                  <w:noWrap w:val="0"/>
                  <w:tcMar>
                    <w:left w:w="28" w:type="dxa"/>
                    <w:right w:w="28" w:type="dxa"/>
                  </w:tcMar>
                  <w:vAlign w:val="center"/>
                </w:tcPr>
                <w:p w14:paraId="5685B02A">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w:t>
                  </w:r>
                </w:p>
              </w:tc>
              <w:tc>
                <w:tcPr>
                  <w:tcW w:w="877" w:type="pct"/>
                  <w:shd w:val="clear" w:color="auto" w:fill="auto"/>
                  <w:noWrap w:val="0"/>
                  <w:tcMar>
                    <w:left w:w="28" w:type="dxa"/>
                    <w:right w:w="28" w:type="dxa"/>
                  </w:tcMar>
                  <w:vAlign w:val="center"/>
                </w:tcPr>
                <w:p w14:paraId="7C5DB79C">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p>
              </w:tc>
              <w:tc>
                <w:tcPr>
                  <w:tcW w:w="982" w:type="pct"/>
                  <w:noWrap w:val="0"/>
                  <w:tcMar>
                    <w:left w:w="28" w:type="dxa"/>
                    <w:right w:w="28" w:type="dxa"/>
                  </w:tcMar>
                  <w:vAlign w:val="center"/>
                </w:tcPr>
                <w:p w14:paraId="099A5672">
                  <w:pPr>
                    <w:pStyle w:val="225"/>
                    <w:keepNext w:val="0"/>
                    <w:keepLines w:val="0"/>
                    <w:suppressLineNumbers w:val="0"/>
                    <w:spacing w:beforeAutospacing="0" w:afterAutospacing="0"/>
                    <w:ind w:left="0" w:right="0"/>
                    <w:jc w:val="center"/>
                    <w:rPr>
                      <w:rFonts w:hint="default" w:eastAsia="宋体" w:cs="Times New Roman"/>
                      <w:bCs/>
                      <w:snapToGrid w:val="0"/>
                      <w:color w:val="auto"/>
                      <w:kern w:val="2"/>
                      <w:sz w:val="21"/>
                      <w:szCs w:val="21"/>
                      <w:highlight w:val="none"/>
                      <w:lang w:val="en-US" w:eastAsia="zh-CN" w:bidi="ar-SA"/>
                    </w:rPr>
                  </w:pPr>
                  <w:bookmarkStart w:id="31" w:name="_Toc18940"/>
                  <w:r>
                    <w:rPr>
                      <w:rFonts w:hint="default" w:eastAsia="宋体" w:cs="Times New Roman"/>
                      <w:bCs/>
                      <w:snapToGrid w:val="0"/>
                      <w:color w:val="auto"/>
                      <w:kern w:val="2"/>
                      <w:sz w:val="21"/>
                      <w:szCs w:val="21"/>
                      <w:highlight w:val="none"/>
                      <w:lang w:val="en-US" w:eastAsia="zh-CN" w:bidi="ar-SA"/>
                    </w:rPr>
                    <w:t>50</w:t>
                  </w:r>
                  <w:bookmarkEnd w:id="31"/>
                </w:p>
              </w:tc>
              <w:tc>
                <w:tcPr>
                  <w:tcW w:w="1569" w:type="dxa"/>
                  <w:noWrap w:val="0"/>
                  <w:tcMar>
                    <w:left w:w="28" w:type="dxa"/>
                    <w:right w:w="28" w:type="dxa"/>
                  </w:tcMar>
                  <w:vAlign w:val="center"/>
                </w:tcPr>
                <w:p w14:paraId="7569683E">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r>
            <w:tr w14:paraId="41F8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697280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499" w:type="pct"/>
                  <w:shd w:val="clear" w:color="auto" w:fill="auto"/>
                  <w:noWrap w:val="0"/>
                  <w:tcMar>
                    <w:left w:w="28" w:type="dxa"/>
                    <w:right w:w="28" w:type="dxa"/>
                  </w:tcMar>
                  <w:vAlign w:val="center"/>
                </w:tcPr>
                <w:p w14:paraId="1F38170D">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废润滑油桶</w:t>
                  </w:r>
                </w:p>
              </w:tc>
              <w:tc>
                <w:tcPr>
                  <w:tcW w:w="877" w:type="pct"/>
                  <w:shd w:val="clear" w:color="auto" w:fill="auto"/>
                  <w:noWrap w:val="0"/>
                  <w:tcMar>
                    <w:left w:w="28" w:type="dxa"/>
                    <w:right w:w="28" w:type="dxa"/>
                  </w:tcMar>
                  <w:vAlign w:val="center"/>
                </w:tcPr>
                <w:p w14:paraId="46D42E67">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p>
              </w:tc>
              <w:tc>
                <w:tcPr>
                  <w:tcW w:w="982" w:type="pct"/>
                  <w:noWrap w:val="0"/>
                  <w:tcMar>
                    <w:left w:w="28" w:type="dxa"/>
                    <w:right w:w="28" w:type="dxa"/>
                  </w:tcMar>
                  <w:vAlign w:val="center"/>
                </w:tcPr>
                <w:p w14:paraId="519C9C04">
                  <w:pPr>
                    <w:pStyle w:val="225"/>
                    <w:keepNext w:val="0"/>
                    <w:keepLines w:val="0"/>
                    <w:suppressLineNumbers w:val="0"/>
                    <w:spacing w:beforeAutospacing="0" w:afterAutospacing="0"/>
                    <w:ind w:left="0" w:right="0"/>
                    <w:jc w:val="center"/>
                    <w:rPr>
                      <w:rFonts w:hint="default" w:eastAsia="宋体" w:cs="Times New Roman"/>
                      <w:bCs/>
                      <w:snapToGrid w:val="0"/>
                      <w:color w:val="auto"/>
                      <w:kern w:val="2"/>
                      <w:sz w:val="21"/>
                      <w:szCs w:val="21"/>
                      <w:highlight w:val="none"/>
                      <w:lang w:val="en-US" w:eastAsia="zh-CN" w:bidi="ar-SA"/>
                    </w:rPr>
                  </w:pPr>
                  <w:bookmarkStart w:id="32" w:name="_Toc31892"/>
                  <w:r>
                    <w:rPr>
                      <w:rFonts w:hint="default" w:eastAsia="宋体" w:cs="Times New Roman"/>
                      <w:bCs/>
                      <w:snapToGrid w:val="0"/>
                      <w:color w:val="auto"/>
                      <w:kern w:val="2"/>
                      <w:sz w:val="21"/>
                      <w:szCs w:val="21"/>
                      <w:highlight w:val="none"/>
                      <w:lang w:val="en-US" w:eastAsia="zh-CN" w:bidi="ar-SA"/>
                    </w:rPr>
                    <w:t>50</w:t>
                  </w:r>
                  <w:bookmarkEnd w:id="32"/>
                </w:p>
              </w:tc>
              <w:tc>
                <w:tcPr>
                  <w:tcW w:w="1569" w:type="dxa"/>
                  <w:noWrap w:val="0"/>
                  <w:tcMar>
                    <w:left w:w="28" w:type="dxa"/>
                    <w:right w:w="28" w:type="dxa"/>
                  </w:tcMar>
                  <w:vAlign w:val="center"/>
                </w:tcPr>
                <w:p w14:paraId="607C7445">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r>
            <w:tr w14:paraId="7BAA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210AFBE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w:t>
                  </w:r>
                </w:p>
              </w:tc>
              <w:tc>
                <w:tcPr>
                  <w:tcW w:w="1499" w:type="pct"/>
                  <w:shd w:val="clear" w:color="auto" w:fill="auto"/>
                  <w:noWrap w:val="0"/>
                  <w:tcMar>
                    <w:left w:w="28" w:type="dxa"/>
                    <w:right w:w="28" w:type="dxa"/>
                  </w:tcMar>
                  <w:vAlign w:val="center"/>
                </w:tcPr>
                <w:p w14:paraId="6301EDBA">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含油抹布及废劳保用品</w:t>
                  </w:r>
                </w:p>
              </w:tc>
              <w:tc>
                <w:tcPr>
                  <w:tcW w:w="877" w:type="pct"/>
                  <w:shd w:val="clear" w:color="auto" w:fill="auto"/>
                  <w:noWrap w:val="0"/>
                  <w:tcMar>
                    <w:left w:w="28" w:type="dxa"/>
                    <w:right w:w="28" w:type="dxa"/>
                  </w:tcMar>
                  <w:vAlign w:val="center"/>
                </w:tcPr>
                <w:p w14:paraId="084EA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p>
              </w:tc>
              <w:tc>
                <w:tcPr>
                  <w:tcW w:w="982" w:type="pct"/>
                  <w:shd w:val="clear" w:color="auto" w:fill="auto"/>
                  <w:noWrap w:val="0"/>
                  <w:tcMar>
                    <w:left w:w="28" w:type="dxa"/>
                    <w:right w:w="28" w:type="dxa"/>
                  </w:tcMar>
                  <w:vAlign w:val="center"/>
                </w:tcPr>
                <w:p w14:paraId="7DB83CCB">
                  <w:pPr>
                    <w:pStyle w:val="225"/>
                    <w:keepNext w:val="0"/>
                    <w:keepLines w:val="0"/>
                    <w:suppressLineNumbers w:val="0"/>
                    <w:spacing w:beforeAutospacing="0" w:afterAutospacing="0"/>
                    <w:ind w:left="0" w:leftChars="0" w:right="0" w:rightChars="0"/>
                    <w:jc w:val="center"/>
                    <w:rPr>
                      <w:rFonts w:hint="default" w:ascii="Times New Roman" w:hAnsi="Times New Roman" w:eastAsia="宋体" w:cs="Times New Roman"/>
                      <w:bCs/>
                      <w:snapToGrid w:val="0"/>
                      <w:color w:val="auto"/>
                      <w:kern w:val="2"/>
                      <w:sz w:val="21"/>
                      <w:szCs w:val="21"/>
                      <w:highlight w:val="none"/>
                      <w:lang w:val="en-US" w:eastAsia="zh-CN" w:bidi="ar-SA"/>
                    </w:rPr>
                  </w:pPr>
                  <w:bookmarkStart w:id="33" w:name="_Toc12675"/>
                  <w:r>
                    <w:rPr>
                      <w:rFonts w:hint="eastAsia" w:eastAsia="宋体" w:cs="Times New Roman"/>
                      <w:bCs/>
                      <w:snapToGrid w:val="0"/>
                      <w:color w:val="auto"/>
                      <w:kern w:val="2"/>
                      <w:sz w:val="21"/>
                      <w:szCs w:val="21"/>
                      <w:highlight w:val="none"/>
                      <w:lang w:val="en-US" w:eastAsia="zh-CN" w:bidi="ar-SA"/>
                    </w:rPr>
                    <w:t>50</w:t>
                  </w:r>
                  <w:bookmarkEnd w:id="33"/>
                </w:p>
              </w:tc>
              <w:tc>
                <w:tcPr>
                  <w:tcW w:w="1569" w:type="dxa"/>
                  <w:noWrap w:val="0"/>
                  <w:tcMar>
                    <w:left w:w="28" w:type="dxa"/>
                    <w:right w:w="28" w:type="dxa"/>
                  </w:tcMar>
                  <w:vAlign w:val="center"/>
                </w:tcPr>
                <w:p w14:paraId="3A4DB815">
                  <w:pPr>
                    <w:keepNext w:val="0"/>
                    <w:keepLines w:val="0"/>
                    <w:widowControl/>
                    <w:suppressLineNumbers w:val="0"/>
                    <w:spacing w:before="0" w:beforeAutospacing="0" w:after="0" w:afterAutospacing="0"/>
                    <w:ind w:left="0" w:right="0"/>
                    <w:jc w:val="center"/>
                    <w:textAlignment w:val="center"/>
                    <w:rPr>
                      <w:rFonts w:hint="eastAsia"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r>
            <w:tr w14:paraId="769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2DB3428C">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1499" w:type="pct"/>
                  <w:shd w:val="clear" w:color="auto" w:fill="auto"/>
                  <w:noWrap w:val="0"/>
                  <w:tcMar>
                    <w:left w:w="28" w:type="dxa"/>
                    <w:right w:w="28" w:type="dxa"/>
                  </w:tcMar>
                  <w:vAlign w:val="center"/>
                </w:tcPr>
                <w:p w14:paraId="29CBAA64">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877" w:type="pct"/>
                  <w:shd w:val="clear" w:color="auto" w:fill="auto"/>
                  <w:noWrap w:val="0"/>
                  <w:tcMar>
                    <w:left w:w="28" w:type="dxa"/>
                    <w:right w:w="28" w:type="dxa"/>
                  </w:tcMar>
                  <w:vAlign w:val="center"/>
                </w:tcPr>
                <w:p w14:paraId="32BB8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p>
              </w:tc>
              <w:tc>
                <w:tcPr>
                  <w:tcW w:w="982" w:type="pct"/>
                  <w:shd w:val="clear" w:color="auto" w:fill="auto"/>
                  <w:noWrap w:val="0"/>
                  <w:tcMar>
                    <w:left w:w="28" w:type="dxa"/>
                    <w:right w:w="28" w:type="dxa"/>
                  </w:tcMar>
                  <w:vAlign w:val="center"/>
                </w:tcPr>
                <w:p w14:paraId="726B8E0B">
                  <w:pPr>
                    <w:pStyle w:val="225"/>
                    <w:keepNext w:val="0"/>
                    <w:keepLines w:val="0"/>
                    <w:suppressLineNumbers w:val="0"/>
                    <w:spacing w:beforeAutospacing="0" w:afterAutospacing="0"/>
                    <w:ind w:left="0" w:leftChars="0" w:right="0" w:rightChars="0"/>
                    <w:jc w:val="center"/>
                    <w:rPr>
                      <w:rFonts w:hint="default" w:eastAsia="宋体" w:cs="Times New Roman"/>
                      <w:bCs/>
                      <w:snapToGrid w:val="0"/>
                      <w:color w:val="auto"/>
                      <w:kern w:val="2"/>
                      <w:sz w:val="21"/>
                      <w:szCs w:val="21"/>
                      <w:highlight w:val="none"/>
                      <w:lang w:val="en-US" w:eastAsia="zh-CN" w:bidi="ar-SA"/>
                    </w:rPr>
                  </w:pPr>
                  <w:bookmarkStart w:id="34" w:name="_Toc30594"/>
                  <w:r>
                    <w:rPr>
                      <w:rFonts w:hint="eastAsia" w:eastAsia="宋体" w:cs="Times New Roman"/>
                      <w:bCs/>
                      <w:snapToGrid w:val="0"/>
                      <w:color w:val="auto"/>
                      <w:kern w:val="2"/>
                      <w:sz w:val="21"/>
                      <w:szCs w:val="21"/>
                      <w:highlight w:val="none"/>
                      <w:lang w:val="en-US" w:eastAsia="zh-CN" w:bidi="ar-SA"/>
                    </w:rPr>
                    <w:t>50</w:t>
                  </w:r>
                  <w:bookmarkEnd w:id="34"/>
                </w:p>
              </w:tc>
              <w:tc>
                <w:tcPr>
                  <w:tcW w:w="1569" w:type="dxa"/>
                  <w:noWrap w:val="0"/>
                  <w:tcMar>
                    <w:left w:w="28" w:type="dxa"/>
                    <w:right w:w="28" w:type="dxa"/>
                  </w:tcMar>
                  <w:vAlign w:val="center"/>
                </w:tcPr>
                <w:p w14:paraId="4DA80A9F">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r>
            <w:tr w14:paraId="09E1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1C091225">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1499" w:type="pct"/>
                  <w:shd w:val="clear" w:color="auto" w:fill="auto"/>
                  <w:noWrap w:val="0"/>
                  <w:tcMar>
                    <w:left w:w="28" w:type="dxa"/>
                    <w:right w:w="28" w:type="dxa"/>
                  </w:tcMar>
                  <w:vAlign w:val="center"/>
                </w:tcPr>
                <w:p w14:paraId="593809A9">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877" w:type="pct"/>
                  <w:shd w:val="clear" w:color="auto" w:fill="auto"/>
                  <w:noWrap w:val="0"/>
                  <w:tcMar>
                    <w:left w:w="28" w:type="dxa"/>
                    <w:right w:w="28" w:type="dxa"/>
                  </w:tcMar>
                  <w:vAlign w:val="center"/>
                </w:tcPr>
                <w:p w14:paraId="421056D8">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p>
              </w:tc>
              <w:tc>
                <w:tcPr>
                  <w:tcW w:w="982" w:type="pct"/>
                  <w:shd w:val="clear" w:color="auto" w:fill="auto"/>
                  <w:noWrap w:val="0"/>
                  <w:tcMar>
                    <w:left w:w="28" w:type="dxa"/>
                    <w:right w:w="28" w:type="dxa"/>
                  </w:tcMar>
                  <w:vAlign w:val="center"/>
                </w:tcPr>
                <w:p w14:paraId="64519EEA">
                  <w:pPr>
                    <w:keepNext w:val="0"/>
                    <w:keepLines w:val="0"/>
                    <w:suppressLineNumbers w:val="0"/>
                    <w:spacing w:before="0" w:beforeAutospacing="0" w:after="0" w:afterAutospacing="0"/>
                    <w:ind w:left="0" w:leftChars="0" w:right="0" w:rightChars="0"/>
                    <w:jc w:val="center"/>
                    <w:rPr>
                      <w:rFonts w:hint="default" w:eastAsia="宋体" w:cs="Times New Roman"/>
                      <w:bCs/>
                      <w:snapToGrid w:val="0"/>
                      <w:color w:val="auto"/>
                      <w:kern w:val="2"/>
                      <w:sz w:val="21"/>
                      <w:szCs w:val="21"/>
                      <w:highlight w:val="none"/>
                      <w:lang w:val="en-US" w:eastAsia="zh-CN" w:bidi="ar-SA"/>
                    </w:rPr>
                  </w:pPr>
                  <w:r>
                    <w:rPr>
                      <w:rFonts w:hint="eastAsia" w:eastAsia="宋体" w:cs="Times New Roman"/>
                      <w:bCs/>
                      <w:snapToGrid w:val="0"/>
                      <w:color w:val="auto"/>
                      <w:kern w:val="2"/>
                      <w:sz w:val="21"/>
                      <w:szCs w:val="21"/>
                      <w:highlight w:val="none"/>
                      <w:lang w:val="en-US" w:eastAsia="zh-CN" w:bidi="ar-SA"/>
                    </w:rPr>
                    <w:t>50</w:t>
                  </w:r>
                </w:p>
              </w:tc>
              <w:tc>
                <w:tcPr>
                  <w:tcW w:w="1569" w:type="dxa"/>
                  <w:noWrap w:val="0"/>
                  <w:tcMar>
                    <w:left w:w="28" w:type="dxa"/>
                    <w:right w:w="28" w:type="dxa"/>
                  </w:tcMar>
                  <w:vAlign w:val="center"/>
                </w:tcPr>
                <w:p w14:paraId="7EBA6A0A">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r>
            <w:tr w14:paraId="6E6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02B4607A">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w:t>
                  </w:r>
                </w:p>
              </w:tc>
              <w:tc>
                <w:tcPr>
                  <w:tcW w:w="1499" w:type="pct"/>
                  <w:shd w:val="clear" w:color="auto" w:fill="auto"/>
                  <w:noWrap w:val="0"/>
                  <w:tcMar>
                    <w:left w:w="28" w:type="dxa"/>
                    <w:right w:w="28" w:type="dxa"/>
                  </w:tcMar>
                  <w:vAlign w:val="center"/>
                </w:tcPr>
                <w:p w14:paraId="254B8432">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877" w:type="pct"/>
                  <w:shd w:val="clear" w:color="auto" w:fill="auto"/>
                  <w:noWrap w:val="0"/>
                  <w:tcMar>
                    <w:left w:w="28" w:type="dxa"/>
                    <w:right w:w="28" w:type="dxa"/>
                  </w:tcMar>
                  <w:vAlign w:val="center"/>
                </w:tcPr>
                <w:p w14:paraId="4DBE80E7">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p>
              </w:tc>
              <w:tc>
                <w:tcPr>
                  <w:tcW w:w="982" w:type="pct"/>
                  <w:shd w:val="clear" w:color="auto" w:fill="auto"/>
                  <w:noWrap w:val="0"/>
                  <w:tcMar>
                    <w:left w:w="28" w:type="dxa"/>
                    <w:right w:w="28" w:type="dxa"/>
                  </w:tcMar>
                  <w:vAlign w:val="center"/>
                </w:tcPr>
                <w:p w14:paraId="73157CCC">
                  <w:pPr>
                    <w:keepNext w:val="0"/>
                    <w:keepLines w:val="0"/>
                    <w:suppressLineNumbers w:val="0"/>
                    <w:spacing w:before="0" w:beforeAutospacing="0" w:after="0" w:afterAutospacing="0"/>
                    <w:ind w:left="0" w:leftChars="0" w:right="0" w:rightChars="0"/>
                    <w:jc w:val="center"/>
                    <w:rPr>
                      <w:rFonts w:hint="default" w:eastAsia="宋体" w:cs="Times New Roman"/>
                      <w:bCs/>
                      <w:snapToGrid w:val="0"/>
                      <w:color w:val="auto"/>
                      <w:kern w:val="2"/>
                      <w:sz w:val="21"/>
                      <w:szCs w:val="21"/>
                      <w:highlight w:val="none"/>
                      <w:lang w:val="en-US" w:eastAsia="zh-CN" w:bidi="ar-SA"/>
                    </w:rPr>
                  </w:pPr>
                  <w:r>
                    <w:rPr>
                      <w:rFonts w:hint="eastAsia" w:eastAsia="宋体" w:cs="Times New Roman"/>
                      <w:bCs/>
                      <w:snapToGrid w:val="0"/>
                      <w:color w:val="auto"/>
                      <w:kern w:val="2"/>
                      <w:sz w:val="21"/>
                      <w:szCs w:val="21"/>
                      <w:highlight w:val="none"/>
                      <w:lang w:val="en-US" w:eastAsia="zh-CN" w:bidi="ar-SA"/>
                    </w:rPr>
                    <w:t>50</w:t>
                  </w:r>
                </w:p>
              </w:tc>
              <w:tc>
                <w:tcPr>
                  <w:tcW w:w="1569" w:type="dxa"/>
                  <w:noWrap w:val="0"/>
                  <w:tcMar>
                    <w:left w:w="28" w:type="dxa"/>
                    <w:right w:w="28" w:type="dxa"/>
                  </w:tcMar>
                  <w:vAlign w:val="center"/>
                </w:tcPr>
                <w:p w14:paraId="1CE6A5B3">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r>
            <w:tr w14:paraId="30AA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5D31430A">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9</w:t>
                  </w:r>
                </w:p>
              </w:tc>
              <w:tc>
                <w:tcPr>
                  <w:tcW w:w="1499" w:type="pct"/>
                  <w:shd w:val="clear" w:color="auto" w:fill="auto"/>
                  <w:noWrap w:val="0"/>
                  <w:tcMar>
                    <w:left w:w="28" w:type="dxa"/>
                    <w:right w:w="28" w:type="dxa"/>
                  </w:tcMar>
                  <w:vAlign w:val="center"/>
                </w:tcPr>
                <w:p w14:paraId="70DE9B80">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877" w:type="pct"/>
                  <w:shd w:val="clear" w:color="auto" w:fill="auto"/>
                  <w:noWrap w:val="0"/>
                  <w:tcMar>
                    <w:left w:w="28" w:type="dxa"/>
                    <w:right w:w="28" w:type="dxa"/>
                  </w:tcMar>
                  <w:vAlign w:val="center"/>
                </w:tcPr>
                <w:p w14:paraId="6E964E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w:t>
                  </w:r>
                </w:p>
              </w:tc>
              <w:tc>
                <w:tcPr>
                  <w:tcW w:w="982" w:type="pct"/>
                  <w:shd w:val="clear" w:color="auto" w:fill="auto"/>
                  <w:noWrap w:val="0"/>
                  <w:tcMar>
                    <w:left w:w="28" w:type="dxa"/>
                    <w:right w:w="28" w:type="dxa"/>
                  </w:tcMar>
                  <w:vAlign w:val="center"/>
                </w:tcPr>
                <w:p w14:paraId="261F6323">
                  <w:pPr>
                    <w:keepNext w:val="0"/>
                    <w:keepLines w:val="0"/>
                    <w:suppressLineNumbers w:val="0"/>
                    <w:spacing w:before="0" w:beforeAutospacing="0" w:after="0" w:afterAutospacing="0"/>
                    <w:ind w:left="0" w:leftChars="0" w:right="0" w:rightChars="0"/>
                    <w:jc w:val="center"/>
                    <w:rPr>
                      <w:rFonts w:hint="default" w:eastAsia="宋体" w:cs="Times New Roman"/>
                      <w:bCs/>
                      <w:snapToGrid w:val="0"/>
                      <w:color w:val="auto"/>
                      <w:kern w:val="2"/>
                      <w:sz w:val="21"/>
                      <w:szCs w:val="21"/>
                      <w:highlight w:val="none"/>
                      <w:lang w:val="en-US" w:eastAsia="zh-CN" w:bidi="ar-SA"/>
                    </w:rPr>
                  </w:pPr>
                  <w:r>
                    <w:rPr>
                      <w:rFonts w:hint="eastAsia" w:eastAsia="宋体" w:cs="Times New Roman"/>
                      <w:bCs/>
                      <w:snapToGrid w:val="0"/>
                      <w:color w:val="auto"/>
                      <w:kern w:val="2"/>
                      <w:sz w:val="21"/>
                      <w:szCs w:val="21"/>
                      <w:highlight w:val="none"/>
                      <w:lang w:val="en-US" w:eastAsia="zh-CN" w:bidi="ar-SA"/>
                    </w:rPr>
                    <w:t>50</w:t>
                  </w:r>
                </w:p>
              </w:tc>
              <w:tc>
                <w:tcPr>
                  <w:tcW w:w="1569" w:type="dxa"/>
                  <w:noWrap w:val="0"/>
                  <w:tcMar>
                    <w:left w:w="28" w:type="dxa"/>
                    <w:right w:w="28" w:type="dxa"/>
                  </w:tcMar>
                  <w:vAlign w:val="center"/>
                </w:tcPr>
                <w:p w14:paraId="75EEBE02">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0.00262</w:t>
                  </w:r>
                </w:p>
              </w:tc>
            </w:tr>
            <w:tr w14:paraId="429A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032A980D">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1499" w:type="pct"/>
                  <w:shd w:val="clear" w:color="auto" w:fill="auto"/>
                  <w:noWrap w:val="0"/>
                  <w:tcMar>
                    <w:left w:w="28" w:type="dxa"/>
                    <w:right w:w="28" w:type="dxa"/>
                  </w:tcMar>
                  <w:vAlign w:val="center"/>
                </w:tcPr>
                <w:p w14:paraId="030593BC">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除尘灰</w:t>
                  </w:r>
                </w:p>
              </w:tc>
              <w:tc>
                <w:tcPr>
                  <w:tcW w:w="877" w:type="pct"/>
                  <w:shd w:val="clear" w:color="auto" w:fill="auto"/>
                  <w:noWrap w:val="0"/>
                  <w:tcMar>
                    <w:left w:w="28" w:type="dxa"/>
                    <w:right w:w="28" w:type="dxa"/>
                  </w:tcMar>
                  <w:vAlign w:val="center"/>
                </w:tcPr>
                <w:p w14:paraId="7D76F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w:t>
                  </w:r>
                </w:p>
              </w:tc>
              <w:tc>
                <w:tcPr>
                  <w:tcW w:w="982" w:type="pct"/>
                  <w:shd w:val="clear" w:color="auto" w:fill="auto"/>
                  <w:noWrap w:val="0"/>
                  <w:tcMar>
                    <w:left w:w="28" w:type="dxa"/>
                    <w:right w:w="28" w:type="dxa"/>
                  </w:tcMar>
                  <w:vAlign w:val="center"/>
                </w:tcPr>
                <w:p w14:paraId="54A0803E">
                  <w:pPr>
                    <w:keepNext w:val="0"/>
                    <w:keepLines w:val="0"/>
                    <w:suppressLineNumbers w:val="0"/>
                    <w:spacing w:before="0" w:beforeAutospacing="0" w:after="0" w:afterAutospacing="0"/>
                    <w:ind w:left="0" w:leftChars="0" w:right="0" w:rightChars="0"/>
                    <w:jc w:val="center"/>
                    <w:rPr>
                      <w:rFonts w:hint="default" w:eastAsia="宋体" w:cs="Times New Roman"/>
                      <w:bCs/>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50</w:t>
                  </w:r>
                </w:p>
              </w:tc>
              <w:tc>
                <w:tcPr>
                  <w:tcW w:w="1569" w:type="dxa"/>
                  <w:noWrap w:val="0"/>
                  <w:tcMar>
                    <w:left w:w="28" w:type="dxa"/>
                    <w:right w:w="28" w:type="dxa"/>
                  </w:tcMar>
                  <w:vAlign w:val="center"/>
                </w:tcPr>
                <w:p w14:paraId="37BBEE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0.0045</w:t>
                  </w:r>
                </w:p>
              </w:tc>
            </w:tr>
            <w:tr w14:paraId="27EB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7DCF6988">
                  <w:pPr>
                    <w:keepNext w:val="0"/>
                    <w:keepLines w:val="0"/>
                    <w:suppressLineNumbers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w:t>
                  </w:r>
                </w:p>
              </w:tc>
              <w:tc>
                <w:tcPr>
                  <w:tcW w:w="1499" w:type="pct"/>
                  <w:shd w:val="clear" w:color="auto" w:fill="auto"/>
                  <w:noWrap w:val="0"/>
                  <w:tcMar>
                    <w:left w:w="28" w:type="dxa"/>
                    <w:right w:w="28" w:type="dxa"/>
                  </w:tcMar>
                  <w:vAlign w:val="center"/>
                </w:tcPr>
                <w:p w14:paraId="1D147CC9">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877" w:type="pct"/>
                  <w:shd w:val="clear" w:color="auto" w:fill="auto"/>
                  <w:noWrap w:val="0"/>
                  <w:tcMar>
                    <w:left w:w="28" w:type="dxa"/>
                    <w:right w:w="28" w:type="dxa"/>
                  </w:tcMar>
                  <w:vAlign w:val="center"/>
                </w:tcPr>
                <w:p w14:paraId="3EBB1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3.486</w:t>
                  </w:r>
                </w:p>
              </w:tc>
              <w:tc>
                <w:tcPr>
                  <w:tcW w:w="982" w:type="pct"/>
                  <w:shd w:val="clear" w:color="auto" w:fill="auto"/>
                  <w:noWrap w:val="0"/>
                  <w:tcMar>
                    <w:left w:w="28" w:type="dxa"/>
                    <w:right w:w="28" w:type="dxa"/>
                  </w:tcMar>
                  <w:vAlign w:val="center"/>
                </w:tcPr>
                <w:p w14:paraId="6C0BC8E8">
                  <w:pPr>
                    <w:keepNext w:val="0"/>
                    <w:keepLines w:val="0"/>
                    <w:suppressLineNumbers w:val="0"/>
                    <w:spacing w:before="0" w:beforeAutospacing="0" w:after="0" w:afterAutospacing="0"/>
                    <w:ind w:left="0" w:leftChars="0" w:right="0" w:rightChars="0"/>
                    <w:jc w:val="center"/>
                    <w:rPr>
                      <w:rFonts w:hint="eastAsia" w:eastAsia="宋体" w:cs="Times New Roman"/>
                      <w:bCs/>
                      <w:snapToGrid w:val="0"/>
                      <w:color w:val="auto"/>
                      <w:kern w:val="2"/>
                      <w:sz w:val="21"/>
                      <w:szCs w:val="21"/>
                      <w:highlight w:val="none"/>
                      <w:lang w:val="en-US" w:eastAsia="zh-CN" w:bidi="ar-SA"/>
                    </w:rPr>
                  </w:pPr>
                  <w:r>
                    <w:rPr>
                      <w:rFonts w:hint="eastAsia" w:eastAsia="宋体" w:cs="Times New Roman"/>
                      <w:bCs/>
                      <w:snapToGrid w:val="0"/>
                      <w:color w:val="auto"/>
                      <w:kern w:val="2"/>
                      <w:sz w:val="21"/>
                      <w:szCs w:val="21"/>
                      <w:highlight w:val="none"/>
                      <w:lang w:val="en-US" w:eastAsia="zh-CN" w:bidi="ar-SA"/>
                    </w:rPr>
                    <w:t>50</w:t>
                  </w:r>
                </w:p>
              </w:tc>
              <w:tc>
                <w:tcPr>
                  <w:tcW w:w="1569" w:type="dxa"/>
                  <w:noWrap w:val="0"/>
                  <w:tcMar>
                    <w:left w:w="28" w:type="dxa"/>
                    <w:right w:w="28" w:type="dxa"/>
                  </w:tcMar>
                  <w:vAlign w:val="center"/>
                </w:tcPr>
                <w:p w14:paraId="6271E316">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0.06972</w:t>
                  </w:r>
                </w:p>
              </w:tc>
            </w:tr>
            <w:tr w14:paraId="354A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7" w:type="pct"/>
                  <w:noWrap w:val="0"/>
                  <w:tcMar>
                    <w:left w:w="28" w:type="dxa"/>
                    <w:right w:w="28" w:type="dxa"/>
                  </w:tcMar>
                  <w:vAlign w:val="center"/>
                </w:tcPr>
                <w:p w14:paraId="295F4D6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499" w:type="pct"/>
                  <w:noWrap w:val="0"/>
                  <w:tcMar>
                    <w:left w:w="28" w:type="dxa"/>
                    <w:right w:w="28" w:type="dxa"/>
                  </w:tcMar>
                  <w:vAlign w:val="center"/>
                </w:tcPr>
                <w:p w14:paraId="2F6586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877" w:type="pct"/>
                  <w:noWrap w:val="0"/>
                  <w:tcMar>
                    <w:left w:w="28" w:type="dxa"/>
                    <w:right w:w="28" w:type="dxa"/>
                  </w:tcMar>
                  <w:vAlign w:val="center"/>
                </w:tcPr>
                <w:p w14:paraId="76BC428E">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lang w:val="en-US" w:eastAsia="zh-CN"/>
                    </w:rPr>
                    <w:t>-</w:t>
                  </w:r>
                </w:p>
              </w:tc>
              <w:tc>
                <w:tcPr>
                  <w:tcW w:w="982" w:type="pct"/>
                  <w:noWrap w:val="0"/>
                  <w:tcMar>
                    <w:left w:w="28" w:type="dxa"/>
                    <w:right w:w="28" w:type="dxa"/>
                  </w:tcMar>
                  <w:vAlign w:val="center"/>
                </w:tcPr>
                <w:p w14:paraId="11A0AE78">
                  <w:pPr>
                    <w:pStyle w:val="225"/>
                    <w:keepNext w:val="0"/>
                    <w:keepLines w:val="0"/>
                    <w:suppressLineNumbers w:val="0"/>
                    <w:spacing w:beforeAutospacing="0" w:afterAutospacing="0"/>
                    <w:ind w:left="0" w:right="0"/>
                    <w:jc w:val="center"/>
                    <w:rPr>
                      <w:rFonts w:hint="default" w:eastAsia="宋体" w:cs="Times New Roman"/>
                      <w:bCs/>
                      <w:snapToGrid w:val="0"/>
                      <w:color w:val="auto"/>
                      <w:kern w:val="2"/>
                      <w:sz w:val="21"/>
                      <w:szCs w:val="21"/>
                      <w:highlight w:val="none"/>
                      <w:lang w:val="en-US" w:eastAsia="zh-CN" w:bidi="ar-SA"/>
                    </w:rPr>
                  </w:pPr>
                  <w:bookmarkStart w:id="35" w:name="_Toc22093"/>
                  <w:r>
                    <w:rPr>
                      <w:rFonts w:hint="default" w:eastAsia="宋体" w:cs="Times New Roman"/>
                      <w:bCs/>
                      <w:snapToGrid w:val="0"/>
                      <w:color w:val="auto"/>
                      <w:kern w:val="2"/>
                      <w:sz w:val="21"/>
                      <w:szCs w:val="21"/>
                      <w:highlight w:val="none"/>
                      <w:lang w:val="en-US" w:eastAsia="zh-CN" w:bidi="ar-SA"/>
                    </w:rPr>
                    <w:t>-</w:t>
                  </w:r>
                  <w:bookmarkEnd w:id="35"/>
                </w:p>
              </w:tc>
              <w:tc>
                <w:tcPr>
                  <w:tcW w:w="1569" w:type="dxa"/>
                  <w:noWrap w:val="0"/>
                  <w:tcMar>
                    <w:left w:w="28" w:type="dxa"/>
                    <w:right w:w="28" w:type="dxa"/>
                  </w:tcMar>
                  <w:vAlign w:val="center"/>
                </w:tcPr>
                <w:p w14:paraId="084D2611">
                  <w:pPr>
                    <w:keepNext w:val="0"/>
                    <w:keepLines w:val="0"/>
                    <w:widowControl/>
                    <w:suppressLineNumbers w:val="0"/>
                    <w:spacing w:before="0" w:beforeAutospacing="0" w:after="0" w:afterAutospacing="0"/>
                    <w:ind w:left="0" w:right="0"/>
                    <w:jc w:val="center"/>
                    <w:textAlignment w:val="center"/>
                    <w:rPr>
                      <w:rFonts w:hint="default" w:eastAsia="宋体" w:cs="Times New Roman"/>
                      <w:bCs/>
                      <w:snapToGrid w:val="0"/>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0.077218</w:t>
                  </w:r>
                </w:p>
              </w:tc>
            </w:tr>
          </w:tbl>
          <w:p w14:paraId="108DA1C4">
            <w:pPr>
              <w:keepNext w:val="0"/>
              <w:keepLines w:val="0"/>
              <w:suppressLineNumbers w:val="0"/>
              <w:tabs>
                <w:tab w:val="left" w:pos="6240"/>
              </w:tabs>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本项目Q</w:t>
            </w:r>
            <w:r>
              <w:rPr>
                <w:rFonts w:hint="eastAsia" w:cs="Times New Roman"/>
                <w:color w:val="auto"/>
                <w:sz w:val="24"/>
                <w:szCs w:val="20"/>
                <w:highlight w:val="none"/>
                <w:lang w:val="en-US" w:eastAsia="zh-CN"/>
              </w:rPr>
              <w:t>=0.077218</w:t>
            </w:r>
            <w:r>
              <w:rPr>
                <w:rFonts w:hint="default" w:ascii="Times New Roman" w:hAnsi="Times New Roman" w:cs="Times New Roman"/>
                <w:color w:val="auto"/>
                <w:sz w:val="24"/>
                <w:szCs w:val="20"/>
                <w:highlight w:val="none"/>
              </w:rPr>
              <w:t>＜1，环境风险潜势为I。</w:t>
            </w:r>
          </w:p>
          <w:p w14:paraId="3289F68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（3）突发环境事件类型及环境风险影响分析</w:t>
            </w:r>
          </w:p>
          <w:p w14:paraId="4CEEF251">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①风险事故情形设定</w:t>
            </w:r>
          </w:p>
          <w:p w14:paraId="78453F90">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根据前述环境风险识别，项目主要存在的事故类型有：</w:t>
            </w:r>
            <w:r>
              <w:rPr>
                <w:rFonts w:hint="eastAsia" w:cs="Times New Roman"/>
                <w:color w:val="auto"/>
                <w:sz w:val="24"/>
                <w:szCs w:val="20"/>
                <w:highlight w:val="none"/>
                <w:lang w:val="en-US" w:eastAsia="zh-CN"/>
              </w:rPr>
              <w:t>切削液、润滑油、废布袋、除尘灰、废活性炭、废切削液、废切削液桶、含油金属屑、废润滑油、废润滑油桶、含油抹布及废劳保用品</w:t>
            </w:r>
            <w:r>
              <w:rPr>
                <w:rFonts w:hint="default" w:ascii="Times New Roman" w:hAnsi="Times New Roman" w:cs="Times New Roman"/>
                <w:color w:val="auto"/>
                <w:sz w:val="24"/>
                <w:szCs w:val="20"/>
                <w:highlight w:val="none"/>
                <w:lang w:val="en-US" w:eastAsia="zh-CN"/>
              </w:rPr>
              <w:t>在包装破损时</w:t>
            </w:r>
            <w:r>
              <w:rPr>
                <w:rFonts w:hint="default" w:ascii="Times New Roman" w:hAnsi="Times New Roman" w:cs="Times New Roman"/>
                <w:color w:val="auto"/>
                <w:sz w:val="24"/>
                <w:szCs w:val="20"/>
                <w:highlight w:val="none"/>
              </w:rPr>
              <w:t>发生泄漏和遇明火发生火灾爆炸事故等。</w:t>
            </w:r>
          </w:p>
          <w:p w14:paraId="06FFF5E7">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②项目最大可信事故</w:t>
            </w:r>
          </w:p>
          <w:p w14:paraId="717EEF18">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最大可信事故是指在所有预测的概率不为零的事故中，对环境（或健康）危害最严重的重大事故。最大可信事故确定的目的是针对典型事故进行环境风险分析，并不意味着其它事故不具环境风险。在项目生产、贮存、运输等过程中，存在诸多事故风险因素，风险评价不可能面面具到，只能考虑对环境危害最大的事故风险。本次风险评价不考虑工程外部事故风险因素（如地震、雷电、战争、人为蓄意破坏等），主要考虑可能对厂区外周围环境造成污染危害的事故。</w:t>
            </w:r>
          </w:p>
          <w:p w14:paraId="16D5D220">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根据项目风险识别，项目最大可信事故为润滑油发生泄漏事故。</w:t>
            </w:r>
          </w:p>
          <w:p w14:paraId="5DDABED5">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次生/伴生影响分析：当</w:t>
            </w:r>
            <w:r>
              <w:rPr>
                <w:rFonts w:hint="eastAsia" w:cs="Times New Roman"/>
                <w:color w:val="auto"/>
                <w:sz w:val="24"/>
                <w:szCs w:val="20"/>
                <w:highlight w:val="none"/>
                <w:lang w:eastAsia="zh-CN"/>
              </w:rPr>
              <w:t>润滑油</w:t>
            </w:r>
            <w:r>
              <w:rPr>
                <w:rFonts w:hint="default" w:ascii="Times New Roman" w:hAnsi="Times New Roman" w:cs="Times New Roman"/>
                <w:color w:val="auto"/>
                <w:sz w:val="24"/>
                <w:szCs w:val="20"/>
                <w:highlight w:val="none"/>
              </w:rPr>
              <w:t>发生泄漏遇明火燃烧时，均会发生爆炸会产生一氧化碳、二氧化碳等气体，如处置不当，会对周边大气环境造成危害</w:t>
            </w:r>
            <w:r>
              <w:rPr>
                <w:rFonts w:hint="eastAsia" w:cs="Times New Roman"/>
                <w:color w:val="auto"/>
                <w:sz w:val="24"/>
                <w:szCs w:val="20"/>
                <w:highlight w:val="none"/>
                <w:lang w:eastAsia="zh-CN"/>
              </w:rPr>
              <w:t>；</w:t>
            </w:r>
            <w:r>
              <w:rPr>
                <w:rFonts w:hint="eastAsia" w:cs="Times New Roman"/>
                <w:color w:val="auto"/>
                <w:sz w:val="24"/>
                <w:szCs w:val="20"/>
                <w:highlight w:val="none"/>
                <w:lang w:val="en-US" w:eastAsia="zh-CN"/>
              </w:rPr>
              <w:t>灭火时不能采用水灭火，需采用泡沫灭火器灭火，灭火后产生的消防危废交由有资质单位处置，如处置不当，会对周围土壤、地下水造成危害，本项目不涉及消防废水</w:t>
            </w:r>
            <w:r>
              <w:rPr>
                <w:rFonts w:hint="default" w:ascii="Times New Roman" w:hAnsi="Times New Roman" w:cs="Times New Roman"/>
                <w:color w:val="auto"/>
                <w:sz w:val="24"/>
                <w:szCs w:val="20"/>
                <w:highlight w:val="none"/>
              </w:rPr>
              <w:t>。</w:t>
            </w:r>
          </w:p>
          <w:p w14:paraId="3587B76C">
            <w:pPr>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③环境风险影响分析</w:t>
            </w:r>
          </w:p>
          <w:p w14:paraId="53AA331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火灾主要由于</w:t>
            </w:r>
            <w:r>
              <w:rPr>
                <w:rFonts w:hint="eastAsia" w:cs="Times New Roman"/>
                <w:color w:val="auto"/>
                <w:sz w:val="24"/>
                <w:szCs w:val="20"/>
                <w:highlight w:val="none"/>
                <w:lang w:eastAsia="zh-CN"/>
              </w:rPr>
              <w:t>润滑油</w:t>
            </w:r>
            <w:r>
              <w:rPr>
                <w:rFonts w:hint="default" w:ascii="Times New Roman" w:hAnsi="Times New Roman" w:cs="Times New Roman"/>
                <w:color w:val="auto"/>
                <w:sz w:val="24"/>
                <w:szCs w:val="20"/>
                <w:highlight w:val="none"/>
              </w:rPr>
              <w:t>泄漏遇明火或高温引起的火灾事故。此类火灾发生时，在热辐射的作用下，人或设备、设施、建筑物都有可能遭受不同程度的伤害和破坏。同时，在燃烧时会形成烟尘扩散，引起大气环境的污染。</w:t>
            </w:r>
          </w:p>
          <w:p w14:paraId="6DC4BC5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（4）环境风险防范措施及应急要求</w:t>
            </w:r>
          </w:p>
          <w:p w14:paraId="472DB38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1）环境风险防范措施</w:t>
            </w:r>
          </w:p>
          <w:p w14:paraId="3EB2FA8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①总图布置和建筑安全防范措施</w:t>
            </w:r>
          </w:p>
          <w:p w14:paraId="16E11A8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总图布置严格执行相关规范要求，所有</w:t>
            </w:r>
            <w:r>
              <w:rPr>
                <w:rFonts w:hint="eastAsia" w:cs="Times New Roman"/>
                <w:color w:val="auto"/>
                <w:sz w:val="24"/>
                <w:szCs w:val="20"/>
                <w:highlight w:val="none"/>
                <w:lang w:val="en-US" w:eastAsia="zh-CN"/>
              </w:rPr>
              <w:t>区域</w:t>
            </w:r>
            <w:r>
              <w:rPr>
                <w:rFonts w:hint="default" w:ascii="Times New Roman" w:hAnsi="Times New Roman" w:cs="Times New Roman"/>
                <w:color w:val="auto"/>
                <w:sz w:val="24"/>
                <w:szCs w:val="20"/>
                <w:highlight w:val="none"/>
              </w:rPr>
              <w:t>之间或与其它场所之间留有足够的防火间距，防止在火灾或爆炸时相互影响；严格按工艺处理物料特性，对厂房区域进行危险区划分。厂房区域实行人、货流分开；在厂房总平面布置中配套建设应急救援设施、救援通道、应急疏散避难所等防护设施。按《安全标志》规定在装置区设置有关的安全标志。</w:t>
            </w:r>
          </w:p>
          <w:p w14:paraId="5B5066B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放易发生爆炸设备的房间，不允许任何人员随便入内。</w:t>
            </w:r>
          </w:p>
          <w:p w14:paraId="435D651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②生产过程中的风险防范措施</w:t>
            </w:r>
          </w:p>
          <w:p w14:paraId="2BC14B4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Ⅰ、根据公司实际情况，建立安全生产岗位责任制，制定安全生产规章制度、安全操作规程。如生产过程必须有全套切实可行的安全操作规程，有专人负责检查安全操作规程的执行、安全设备及防护设备的使用情况；厂房应配备急救设备和药品；作业人员应学会自救和互救。</w:t>
            </w:r>
          </w:p>
          <w:p w14:paraId="03ED8DF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Ⅱ、凡容易发生事故或危及生命安全的场所、设备以及需要提醒操作人员注意的地方，应设置安全标志；在各区域设置毒物周知卡；装置设物料走向、厂区设风向标等工艺技术设计安全防范措施。</w:t>
            </w:r>
          </w:p>
          <w:p w14:paraId="51799CF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Ⅲ、项目所用的电源应设在防火区域以外；所有金属设备都应接地可靠，防止静电积聚和静电放电；生产线内严禁烟火，不许带火柴，打火机等火种进入生产线。</w:t>
            </w:r>
          </w:p>
          <w:p w14:paraId="4162004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Ⅳ、加强工艺管理，严格控制工艺指标。加强安全教育，安全生产教育包括厂级、生产线、班组三级安全教育、特殊工种安全教育、日常安全教育、装置开前安全教育和外来人员安全教育五部分内容。让所有员工了解本厂各种原辅材料、化学制品以及固体废物的物理、化学和生理特性及其毒性，所有防护措施、环境影响等。</w:t>
            </w:r>
          </w:p>
          <w:p w14:paraId="0AF896E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Ⅴ、加强对各生产设备、设施等定期检查，及时发现隐患，维护维修，关键设备实行定期大修制度。</w:t>
            </w:r>
          </w:p>
          <w:p w14:paraId="062E4C7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Ⅵ、原辅材料转移、计量、调配等过程应进行重点防范，避免由于操作失误造成物料泄漏。所有存放原辅材料的容器，除正在使用中外，均需保持紧盖。</w:t>
            </w:r>
          </w:p>
          <w:p w14:paraId="21FED50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Ⅶ、若由于包装破裂、倾倒或生产装置阀门损坏造成物料泄漏，应在第一时间按照泄漏物质相应的应急处理措施进行处理，泄漏的物料回收利用妥善处置。</w:t>
            </w:r>
          </w:p>
          <w:p w14:paraId="7864BFD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Ⅷ、生产车间内一般区域采用水泥硬化地面，储存区和生产区长期配备足够的应急物资，确保泄漏物料及时收集、转移。</w:t>
            </w:r>
          </w:p>
          <w:p w14:paraId="58540CA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③暂存过程中的风险防范措施</w:t>
            </w:r>
          </w:p>
          <w:p w14:paraId="1F73AB1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Ⅰ、物料存放时，应保持通风、干燥、防止日光直接照射，并应隔绝火源、远离热源。设置禁火标志及防静电措施等，配备有完善的防火及灭火装备。暂存区应具有良好的排风通风措施。</w:t>
            </w:r>
          </w:p>
          <w:p w14:paraId="162A1A3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Ⅱ、地面硬化且采取防腐防渗处理，并设置防风、防雨、防晒、防流失等措施，防止各种液体类原辅料漫流或泄漏。</w:t>
            </w:r>
          </w:p>
          <w:p w14:paraId="07B3E4F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Ⅲ、车间内配备足够的应急物资，确保泄漏物料及时收集、转移。</w:t>
            </w:r>
          </w:p>
          <w:p w14:paraId="5BF9A59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项目生产过程中涉及的主要危险化学品储存严格按照《危险化学品安全技术手册》、《危险化学品安全技术说明书》、《危险货物运输包装通用技术条件》等相关要求执行。</w:t>
            </w:r>
          </w:p>
          <w:p w14:paraId="315186B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④其它风险防范措施</w:t>
            </w:r>
          </w:p>
          <w:p w14:paraId="59AE3FB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根据相关事故案例分析，管理混乱、物料装卸不规范等也是导致风险事故的常见原因，故建设单位一定要采取相应措施防范此类事故发生。</w:t>
            </w:r>
          </w:p>
          <w:p w14:paraId="6E819AF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Ⅰ、加强巡检，定期对设备、阀门进行检查、维修。</w:t>
            </w:r>
          </w:p>
          <w:p w14:paraId="7674888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Ⅱ、加强对废包装桶等危险废物的管理，废弃包装桶应收集并</w:t>
            </w:r>
            <w:r>
              <w:rPr>
                <w:rFonts w:hint="default" w:ascii="Times New Roman" w:hAnsi="Times New Roman" w:cs="Times New Roman"/>
                <w:color w:val="auto"/>
                <w:sz w:val="24"/>
                <w:szCs w:val="20"/>
                <w:highlight w:val="none"/>
                <w:lang w:val="en-US" w:eastAsia="zh-CN"/>
              </w:rPr>
              <w:t>即产即清</w:t>
            </w:r>
            <w:r>
              <w:rPr>
                <w:rFonts w:hint="default" w:ascii="Times New Roman" w:hAnsi="Times New Roman" w:cs="Times New Roman"/>
                <w:color w:val="auto"/>
                <w:sz w:val="24"/>
                <w:szCs w:val="20"/>
                <w:highlight w:val="none"/>
              </w:rPr>
              <w:t>，交有资质的单位处理。</w:t>
            </w:r>
          </w:p>
          <w:p w14:paraId="0901F47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Ⅲ、发生泄漏后，事故处置过程中产生的含物料沙土、废棉纱等及时有效收集并送有资质单位进行处置。</w:t>
            </w:r>
          </w:p>
          <w:p w14:paraId="5500F14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2）事故应急预案</w:t>
            </w:r>
          </w:p>
          <w:p w14:paraId="497542A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为更好的做好项目的事故防范工作，应严格执行事故应急预案，并定期组织演练，具体如下：</w:t>
            </w:r>
          </w:p>
          <w:p w14:paraId="593B6AA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①建立内部救援队伍</w:t>
            </w:r>
          </w:p>
          <w:p w14:paraId="063AFF2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建立事故应急救援指挥领导小组，由企业法人、及</w:t>
            </w:r>
            <w:r>
              <w:rPr>
                <w:rFonts w:hint="eastAsia" w:cs="Times New Roman"/>
                <w:color w:val="auto"/>
                <w:sz w:val="24"/>
                <w:szCs w:val="20"/>
                <w:highlight w:val="none"/>
                <w:lang w:val="en-US" w:eastAsia="zh-CN"/>
              </w:rPr>
              <w:t>车间主任</w:t>
            </w:r>
            <w:r>
              <w:rPr>
                <w:rFonts w:hint="default" w:ascii="Times New Roman" w:hAnsi="Times New Roman" w:cs="Times New Roman"/>
                <w:color w:val="auto"/>
                <w:sz w:val="24"/>
                <w:szCs w:val="20"/>
                <w:highlight w:val="none"/>
              </w:rPr>
              <w:t>等部门负责人组成。</w:t>
            </w:r>
          </w:p>
          <w:p w14:paraId="7AD39CF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成立事故应急救援指挥部，负责一旦发生事故时的全厂应急救援的组织和指挥，企业法人任总指挥，若企业法人不在时，应明确有关领导全权负责应急救援工作。组织机构包括应急处置行动组、通讯联络组、疏散引导组、安全防护救护组等。</w:t>
            </w:r>
          </w:p>
          <w:p w14:paraId="1C5887D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指挥领导小组应负责企业事故应急预案的制定、修订；组建应急救业队伍，组织预案实施和演练；检查督促做好危险源事故的预防措施和应急救援的准备工作，一旦发生事故，按照应急救援预案实施救援。</w:t>
            </w:r>
          </w:p>
          <w:p w14:paraId="44DCFB4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②泄漏事故处置方案</w:t>
            </w:r>
          </w:p>
          <w:p w14:paraId="5A77823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Ⅰ、停止使用，关闭有关设备和系统，立即向应急救援指挥部报告；</w:t>
            </w:r>
          </w:p>
          <w:p w14:paraId="6313486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Ⅱ、事故现场严禁明火，切断电源，迅速撤离泄漏区人员至上风向安全处。同时在事故现场设置隔离区，禁止无关人员进入；</w:t>
            </w:r>
          </w:p>
          <w:p w14:paraId="6EFDA79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Ⅲ、应急处理人员必须配备必要的个人防护器具，严禁单独行动；</w:t>
            </w:r>
          </w:p>
          <w:p w14:paraId="6342256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Ⅳ、用预先确定的堵漏方式尽快堵漏，切断或控制泄漏源。尽快收集泄漏物料。</w:t>
            </w:r>
          </w:p>
          <w:p w14:paraId="5C93763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Ⅴ、迅速撤离泄漏污染区的工作人员至安全区，并进行隔离，脱去被污染的衣着，用流动清水冲洗。</w:t>
            </w:r>
          </w:p>
          <w:p w14:paraId="370948B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Ⅵ、在厂房内设置疏散工作指示方向标识。</w:t>
            </w:r>
          </w:p>
          <w:p w14:paraId="5286532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③火灾应急措施</w:t>
            </w:r>
          </w:p>
          <w:p w14:paraId="316B4FB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Ⅰ、发现起火，立即报警，通过消防灭火，采用抗溶性泡沫、干粉、二氧化碳等灭火器灭火。</w:t>
            </w:r>
          </w:p>
          <w:p w14:paraId="6534095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Ⅱ、切断火势蔓延的途径，冷却和疏散受火势威胁的密闭容器和可燃物，控制燃烧范围，并积极抢救受伤和被困人员；</w:t>
            </w:r>
          </w:p>
          <w:p w14:paraId="5B1BD10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Ⅲ、通知安全、消防、救护等相关部门人员，启动相应的应急救护程序；</w:t>
            </w:r>
          </w:p>
          <w:p w14:paraId="1FD9DA0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Ⅳ、组织救援小组，封锁现场，疏散人员；</w:t>
            </w:r>
          </w:p>
          <w:p w14:paraId="748E77F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Ⅴ、灭火工作结束后，对现场进行恢复清理；</w:t>
            </w:r>
          </w:p>
          <w:p w14:paraId="2A95355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Ⅵ、调查和鉴定事故原因，提出事故评估报告，补充或修改事故防范措施和应急方案。</w:t>
            </w:r>
          </w:p>
          <w:p w14:paraId="41FA778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④急救措施</w:t>
            </w:r>
          </w:p>
          <w:p w14:paraId="7E35E8D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皮肤接触：脱去污染的衣着，用流动清水冲洗。</w:t>
            </w:r>
          </w:p>
          <w:p w14:paraId="54C41FE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眼睛接触：提起眼睑，用流动清水或生理盐水冲洗，就医。</w:t>
            </w:r>
          </w:p>
          <w:p w14:paraId="222C8F5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吸入：脱离现场至空气新鲜处，保持呼吸道通畅；如呼吸困难，给输氧；如呼吸停止，立即进行人工呼吸，就医。</w:t>
            </w:r>
          </w:p>
          <w:p w14:paraId="433530C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0"/>
                <w:highlight w:val="none"/>
                <w:lang w:eastAsia="zh-CN"/>
              </w:rPr>
            </w:pPr>
            <w:r>
              <w:rPr>
                <w:rFonts w:hint="default" w:ascii="Times New Roman" w:hAnsi="Times New Roman" w:cs="Times New Roman"/>
                <w:color w:val="auto"/>
                <w:sz w:val="24"/>
                <w:szCs w:val="20"/>
                <w:highlight w:val="none"/>
              </w:rPr>
              <w:t>食入：饮足量温水，催吐，就医</w:t>
            </w:r>
            <w:r>
              <w:rPr>
                <w:rFonts w:hint="default" w:ascii="Times New Roman" w:hAnsi="Times New Roman" w:cs="Times New Roman"/>
                <w:color w:val="auto"/>
                <w:sz w:val="24"/>
                <w:szCs w:val="20"/>
                <w:highlight w:val="none"/>
                <w:lang w:eastAsia="zh-CN"/>
              </w:rPr>
              <w:t>。</w:t>
            </w:r>
          </w:p>
          <w:p w14:paraId="6A65297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cs="Times New Roman"/>
                <w:color w:val="auto"/>
                <w:sz w:val="24"/>
                <w:szCs w:val="20"/>
                <w:highlight w:val="none"/>
                <w:lang w:eastAsia="zh-CN"/>
              </w:rPr>
              <w:t>（</w:t>
            </w:r>
            <w:r>
              <w:rPr>
                <w:rFonts w:hint="default" w:ascii="Times New Roman" w:hAnsi="Times New Roman" w:cs="Times New Roman"/>
                <w:color w:val="auto"/>
                <w:sz w:val="24"/>
                <w:szCs w:val="20"/>
                <w:highlight w:val="none"/>
                <w:lang w:val="en-US" w:eastAsia="zh-CN"/>
              </w:rPr>
              <w:t>5</w:t>
            </w:r>
            <w:r>
              <w:rPr>
                <w:rFonts w:hint="default" w:ascii="Times New Roman" w:hAnsi="Times New Roman" w:cs="Times New Roman"/>
                <w:color w:val="auto"/>
                <w:sz w:val="24"/>
                <w:szCs w:val="20"/>
                <w:highlight w:val="none"/>
                <w:lang w:eastAsia="zh-CN"/>
              </w:rPr>
              <w:t>）</w:t>
            </w:r>
            <w:r>
              <w:rPr>
                <w:rFonts w:hint="default" w:ascii="Times New Roman" w:hAnsi="Times New Roman" w:cs="Times New Roman"/>
                <w:color w:val="auto"/>
                <w:sz w:val="24"/>
                <w:szCs w:val="20"/>
                <w:highlight w:val="none"/>
                <w:lang w:val="en-US" w:eastAsia="zh-CN"/>
              </w:rPr>
              <w:t>结论</w:t>
            </w:r>
          </w:p>
          <w:p w14:paraId="38FFB04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pacing w:val="-4"/>
                <w:sz w:val="24"/>
                <w:szCs w:val="20"/>
                <w:highlight w:val="none"/>
              </w:rPr>
            </w:pPr>
            <w:r>
              <w:rPr>
                <w:rFonts w:hint="default" w:ascii="Times New Roman" w:hAnsi="Times New Roman" w:cs="Times New Roman"/>
                <w:color w:val="auto"/>
                <w:sz w:val="24"/>
                <w:szCs w:val="20"/>
                <w:highlight w:val="none"/>
                <w:lang w:val="en-US" w:eastAsia="zh-CN"/>
              </w:rPr>
              <w:t>综上所述，在采取以上防范措施的情况下，可保证环境风险水平降至最低，项目环境风险可控</w:t>
            </w:r>
            <w:r>
              <w:rPr>
                <w:rFonts w:hint="default" w:ascii="Times New Roman" w:hAnsi="Times New Roman" w:cs="Times New Roman"/>
                <w:color w:val="auto"/>
                <w:sz w:val="24"/>
                <w:szCs w:val="20"/>
                <w:highlight w:val="none"/>
              </w:rPr>
              <w:t>。</w:t>
            </w:r>
          </w:p>
          <w:p w14:paraId="39753762">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2"/>
              <w:textAlignment w:val="auto"/>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8、电磁辐射</w:t>
            </w:r>
          </w:p>
          <w:p w14:paraId="3893E35C">
            <w:pPr>
              <w:pStyle w:val="172"/>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本项目不涉及电磁辐射。</w:t>
            </w:r>
          </w:p>
          <w:p w14:paraId="6536A248">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textAlignment w:val="auto"/>
              <w:rPr>
                <w:rFonts w:hint="default" w:ascii="Times New Roman" w:hAnsi="Times New Roman" w:cs="Times New Roman"/>
                <w:b/>
                <w:smallCaps w:val="0"/>
                <w:color w:val="auto"/>
                <w:spacing w:val="0"/>
                <w:highlight w:val="none"/>
              </w:rPr>
            </w:pPr>
            <w:r>
              <w:rPr>
                <w:rFonts w:hint="default" w:ascii="Times New Roman" w:hAnsi="Times New Roman" w:cs="Times New Roman"/>
                <w:b/>
                <w:smallCaps w:val="0"/>
                <w:color w:val="auto"/>
                <w:spacing w:val="0"/>
                <w:highlight w:val="none"/>
              </w:rPr>
              <w:t>9、监测计划</w:t>
            </w:r>
          </w:p>
          <w:p w14:paraId="5B13DCE8">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smallCaps w:val="0"/>
                <w:color w:val="auto"/>
                <w:spacing w:val="0"/>
                <w:highlight w:val="none"/>
                <w:lang w:eastAsia="zh-CN"/>
              </w:rPr>
            </w:pPr>
            <w:r>
              <w:rPr>
                <w:rFonts w:hint="default" w:ascii="Times New Roman" w:hAnsi="Times New Roman" w:cs="Times New Roman"/>
                <w:smallCaps w:val="0"/>
                <w:color w:val="auto"/>
                <w:spacing w:val="0"/>
                <w:highlight w:val="none"/>
                <w:lang w:eastAsia="zh-CN"/>
              </w:rPr>
              <w:t>（1）环境监测计划</w:t>
            </w:r>
          </w:p>
          <w:p w14:paraId="1E7541E0">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smallCaps w:val="0"/>
                <w:color w:val="auto"/>
                <w:spacing w:val="0"/>
                <w:highlight w:val="none"/>
                <w:lang w:eastAsia="zh-CN"/>
              </w:rPr>
            </w:pPr>
            <w:r>
              <w:rPr>
                <w:rFonts w:hint="default" w:ascii="Times New Roman" w:hAnsi="Times New Roman" w:cs="Times New Roman"/>
                <w:smallCaps w:val="0"/>
                <w:color w:val="auto"/>
                <w:spacing w:val="0"/>
                <w:highlight w:val="none"/>
                <w:lang w:eastAsia="zh-CN"/>
              </w:rPr>
              <w:t>环境监测是环境管理的依据和基础，为环境统计和环境定量评价提供科学依据，并据此制定污染防治对策和规划。</w:t>
            </w:r>
            <w:r>
              <w:rPr>
                <w:rFonts w:hint="eastAsia"/>
                <w:b w:val="0"/>
                <w:bCs/>
                <w:color w:val="auto"/>
                <w:sz w:val="24"/>
                <w:szCs w:val="24"/>
                <w:highlight w:val="none"/>
              </w:rPr>
              <w:t>根据</w:t>
            </w:r>
            <w:r>
              <w:rPr>
                <w:rFonts w:hint="default"/>
                <w:b w:val="0"/>
                <w:bCs/>
                <w:color w:val="auto"/>
                <w:sz w:val="24"/>
                <w:highlight w:val="none"/>
                <w:lang w:val="zh-CN"/>
              </w:rPr>
              <w:t>《</w:t>
            </w:r>
            <w:r>
              <w:rPr>
                <w:rFonts w:hint="eastAsia"/>
                <w:b w:val="0"/>
                <w:bCs/>
                <w:color w:val="auto"/>
                <w:sz w:val="24"/>
                <w:highlight w:val="none"/>
                <w:lang w:val="zh-CN"/>
              </w:rPr>
              <w:t>排污单位自行监测技术指南 橡胶和塑料制品</w:t>
            </w:r>
            <w:r>
              <w:rPr>
                <w:rFonts w:hint="default"/>
                <w:b w:val="0"/>
                <w:bCs/>
                <w:color w:val="auto"/>
                <w:sz w:val="24"/>
                <w:highlight w:val="none"/>
                <w:lang w:val="zh-CN"/>
              </w:rPr>
              <w:t>》（</w:t>
            </w:r>
            <w:r>
              <w:rPr>
                <w:rFonts w:hint="eastAsia"/>
                <w:b w:val="0"/>
                <w:bCs/>
                <w:color w:val="auto"/>
                <w:sz w:val="24"/>
                <w:highlight w:val="none"/>
                <w:lang w:val="zh-CN"/>
              </w:rPr>
              <w:t>HJ1207-2021</w:t>
            </w:r>
            <w:r>
              <w:rPr>
                <w:rFonts w:hint="default"/>
                <w:b w:val="0"/>
                <w:bCs/>
                <w:color w:val="auto"/>
                <w:sz w:val="24"/>
                <w:highlight w:val="none"/>
                <w:lang w:val="zh-CN"/>
              </w:rPr>
              <w:t>）</w:t>
            </w:r>
            <w:r>
              <w:rPr>
                <w:rFonts w:hint="default" w:ascii="Times New Roman" w:hAnsi="Times New Roman" w:cs="Times New Roman"/>
                <w:smallCaps w:val="0"/>
                <w:color w:val="auto"/>
                <w:spacing w:val="0"/>
                <w:highlight w:val="none"/>
                <w:lang w:eastAsia="zh-CN"/>
              </w:rPr>
              <w:t>的相关规定以及本项目污染物排放情况，制定本项目运行期监测计划，见下表。</w:t>
            </w:r>
          </w:p>
          <w:p w14:paraId="504129C1">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smallCaps w:val="0"/>
                <w:color w:val="auto"/>
                <w:spacing w:val="0"/>
                <w:highlight w:val="none"/>
                <w:lang w:val="en-US" w:eastAsia="zh-CN"/>
              </w:rPr>
            </w:pPr>
            <w:r>
              <w:rPr>
                <w:rFonts w:hint="default" w:ascii="Times New Roman" w:hAnsi="Times New Roman" w:eastAsia="宋体" w:cs="Times New Roman"/>
                <w:b/>
                <w:smallCaps w:val="0"/>
                <w:color w:val="auto"/>
                <w:spacing w:val="0"/>
                <w:highlight w:val="none"/>
                <w:lang w:val="en-US" w:eastAsia="zh-CN"/>
              </w:rPr>
              <w:t>表4-</w:t>
            </w:r>
            <w:r>
              <w:rPr>
                <w:rFonts w:hint="eastAsia" w:cs="Times New Roman"/>
                <w:b/>
                <w:smallCaps w:val="0"/>
                <w:color w:val="auto"/>
                <w:spacing w:val="0"/>
                <w:highlight w:val="none"/>
                <w:lang w:val="en-US" w:eastAsia="zh-CN"/>
              </w:rPr>
              <w:t>19</w:t>
            </w:r>
            <w:r>
              <w:rPr>
                <w:rFonts w:hint="default" w:ascii="Times New Roman" w:hAnsi="Times New Roman" w:eastAsia="宋体" w:cs="Times New Roman"/>
                <w:b/>
                <w:smallCaps w:val="0"/>
                <w:color w:val="auto"/>
                <w:spacing w:val="0"/>
                <w:highlight w:val="none"/>
                <w:lang w:val="en-US" w:eastAsia="zh-CN"/>
              </w:rPr>
              <w:t xml:space="preserve">    环境监测计划一览表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1026"/>
              <w:gridCol w:w="1299"/>
              <w:gridCol w:w="1117"/>
              <w:gridCol w:w="1151"/>
              <w:gridCol w:w="3119"/>
            </w:tblGrid>
            <w:tr w14:paraId="7497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166" w:type="pct"/>
                  <w:noWrap w:val="0"/>
                  <w:vAlign w:val="center"/>
                </w:tcPr>
                <w:p w14:paraId="27B4F98D">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序号</w:t>
                  </w:r>
                </w:p>
              </w:tc>
              <w:tc>
                <w:tcPr>
                  <w:tcW w:w="643" w:type="pct"/>
                  <w:noWrap w:val="0"/>
                  <w:vAlign w:val="center"/>
                </w:tcPr>
                <w:p w14:paraId="683964E2">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污染类型</w:t>
                  </w:r>
                </w:p>
              </w:tc>
              <w:tc>
                <w:tcPr>
                  <w:tcW w:w="814" w:type="pct"/>
                  <w:noWrap w:val="0"/>
                  <w:vAlign w:val="center"/>
                </w:tcPr>
                <w:p w14:paraId="7E43E7BC">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监测项目</w:t>
                  </w:r>
                </w:p>
              </w:tc>
              <w:tc>
                <w:tcPr>
                  <w:tcW w:w="700" w:type="pct"/>
                  <w:noWrap w:val="0"/>
                  <w:vAlign w:val="center"/>
                </w:tcPr>
                <w:p w14:paraId="37C394EF">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监测点位置</w:t>
                  </w:r>
                </w:p>
              </w:tc>
              <w:tc>
                <w:tcPr>
                  <w:tcW w:w="721" w:type="pct"/>
                  <w:noWrap w:val="0"/>
                  <w:vAlign w:val="center"/>
                </w:tcPr>
                <w:p w14:paraId="77CFA439">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最低监测频率</w:t>
                  </w:r>
                </w:p>
              </w:tc>
              <w:tc>
                <w:tcPr>
                  <w:tcW w:w="1954" w:type="pct"/>
                  <w:noWrap w:val="0"/>
                  <w:vAlign w:val="center"/>
                </w:tcPr>
                <w:p w14:paraId="35ADA68E">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执行标准</w:t>
                  </w:r>
                </w:p>
              </w:tc>
            </w:tr>
            <w:tr w14:paraId="2715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restart"/>
                  <w:shd w:val="clear" w:color="auto" w:fill="auto"/>
                  <w:noWrap w:val="0"/>
                  <w:vAlign w:val="center"/>
                </w:tcPr>
                <w:p w14:paraId="505DC0AF">
                  <w:pPr>
                    <w:keepNext w:val="0"/>
                    <w:keepLines w:val="0"/>
                    <w:suppressLineNumbers w:val="0"/>
                    <w:spacing w:before="0" w:beforeAutospacing="0" w:after="0" w:afterAutospacing="0" w:line="360" w:lineRule="exact"/>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643" w:type="pct"/>
                  <w:vMerge w:val="restart"/>
                  <w:shd w:val="clear" w:color="auto" w:fill="auto"/>
                  <w:noWrap w:val="0"/>
                  <w:vAlign w:val="center"/>
                </w:tcPr>
                <w:p w14:paraId="04DE962F">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2"/>
                      <w:sz w:val="21"/>
                      <w:szCs w:val="21"/>
                      <w:highlight w:val="none"/>
                      <w:lang w:val="en-US" w:eastAsia="zh-CN" w:bidi="ar-SA"/>
                    </w:rPr>
                  </w:pPr>
                  <w:r>
                    <w:rPr>
                      <w:rFonts w:hint="eastAsia" w:cs="Times New Roman"/>
                      <w:smallCaps w:val="0"/>
                      <w:color w:val="auto"/>
                      <w:spacing w:val="0"/>
                      <w:highlight w:val="none"/>
                      <w:lang w:val="en-US" w:eastAsia="zh-CN"/>
                    </w:rPr>
                    <w:t>拆包、投料、烘干、注塑废气排放口</w:t>
                  </w:r>
                </w:p>
              </w:tc>
              <w:tc>
                <w:tcPr>
                  <w:tcW w:w="814" w:type="pct"/>
                  <w:shd w:val="clear" w:color="auto" w:fill="auto"/>
                  <w:noWrap w:val="0"/>
                  <w:vAlign w:val="center"/>
                </w:tcPr>
                <w:p w14:paraId="099D6E6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非甲烷总烃</w:t>
                  </w:r>
                </w:p>
              </w:tc>
              <w:tc>
                <w:tcPr>
                  <w:tcW w:w="700" w:type="pct"/>
                  <w:vMerge w:val="restart"/>
                  <w:shd w:val="clear" w:color="auto" w:fill="auto"/>
                  <w:noWrap w:val="0"/>
                  <w:vAlign w:val="center"/>
                </w:tcPr>
                <w:p w14:paraId="1BC59629">
                  <w:pPr>
                    <w:pStyle w:val="67"/>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0"/>
                      <w:kern w:val="0"/>
                      <w:sz w:val="21"/>
                      <w:szCs w:val="21"/>
                      <w:highlight w:val="none"/>
                      <w:lang w:val="en-US" w:eastAsia="zh-CN" w:bidi="ar-SA"/>
                    </w:rPr>
                  </w:pPr>
                  <w:r>
                    <w:rPr>
                      <w:rFonts w:hint="default"/>
                      <w:color w:val="auto"/>
                      <w:spacing w:val="0"/>
                      <w:szCs w:val="21"/>
                      <w:highlight w:val="none"/>
                    </w:rPr>
                    <w:t>排气筒出口</w:t>
                  </w:r>
                </w:p>
              </w:tc>
              <w:tc>
                <w:tcPr>
                  <w:tcW w:w="721" w:type="pct"/>
                  <w:shd w:val="clear" w:color="auto" w:fill="auto"/>
                  <w:noWrap w:val="0"/>
                  <w:vAlign w:val="center"/>
                </w:tcPr>
                <w:p w14:paraId="516590D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0"/>
                      <w:sz w:val="21"/>
                      <w:szCs w:val="21"/>
                      <w:highlight w:val="none"/>
                      <w:lang w:val="en-US" w:eastAsia="zh-CN" w:bidi="ar-SA"/>
                    </w:rPr>
                  </w:pPr>
                  <w:r>
                    <w:rPr>
                      <w:rFonts w:hint="eastAsia" w:cs="Times New Roman"/>
                      <w:smallCaps w:val="0"/>
                      <w:color w:val="auto"/>
                      <w:spacing w:val="0"/>
                      <w:highlight w:val="none"/>
                      <w:lang w:val="en-US" w:eastAsia="zh-CN"/>
                    </w:rPr>
                    <w:t>1次/半年</w:t>
                  </w:r>
                </w:p>
              </w:tc>
              <w:tc>
                <w:tcPr>
                  <w:tcW w:w="1954" w:type="pct"/>
                  <w:shd w:val="clear" w:color="auto" w:fill="auto"/>
                  <w:noWrap w:val="0"/>
                  <w:vAlign w:val="center"/>
                </w:tcPr>
                <w:p w14:paraId="7C867F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cs="Times New Roman"/>
                      <w:smallCaps w:val="0"/>
                      <w:color w:val="auto"/>
                      <w:spacing w:val="0"/>
                      <w:szCs w:val="21"/>
                      <w:highlight w:val="none"/>
                      <w:lang w:val="en-US" w:eastAsia="zh-CN"/>
                    </w:rPr>
                    <w:t>《工业企业挥发性有机物排放控制标准》（DB13/2322-2025）表1（塑料制品制造）标准</w:t>
                  </w:r>
                </w:p>
              </w:tc>
            </w:tr>
            <w:tr w14:paraId="653A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33E215C8">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p>
              </w:tc>
              <w:tc>
                <w:tcPr>
                  <w:tcW w:w="643" w:type="pct"/>
                  <w:vMerge w:val="continue"/>
                  <w:shd w:val="clear" w:color="auto" w:fill="auto"/>
                  <w:noWrap w:val="0"/>
                  <w:vAlign w:val="center"/>
                </w:tcPr>
                <w:p w14:paraId="4E01ED89">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814" w:type="pct"/>
                  <w:shd w:val="clear" w:color="auto" w:fill="auto"/>
                  <w:noWrap w:val="0"/>
                  <w:vAlign w:val="center"/>
                </w:tcPr>
                <w:p w14:paraId="19FEF9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700" w:type="pct"/>
                  <w:vMerge w:val="continue"/>
                  <w:shd w:val="clear" w:color="auto" w:fill="auto"/>
                  <w:noWrap w:val="0"/>
                  <w:vAlign w:val="center"/>
                </w:tcPr>
                <w:p w14:paraId="5AC7E767">
                  <w:pPr>
                    <w:pStyle w:val="67"/>
                    <w:keepNext w:val="0"/>
                    <w:keepLines w:val="0"/>
                    <w:suppressLineNumbers w:val="0"/>
                    <w:spacing w:before="0" w:beforeAutospacing="0" w:after="0" w:afterAutospacing="0" w:line="360" w:lineRule="exact"/>
                    <w:ind w:left="0" w:leftChars="0" w:right="0" w:rightChars="0"/>
                    <w:jc w:val="center"/>
                    <w:rPr>
                      <w:rFonts w:hint="default"/>
                      <w:color w:val="auto"/>
                      <w:spacing w:val="0"/>
                      <w:szCs w:val="21"/>
                      <w:highlight w:val="none"/>
                    </w:rPr>
                  </w:pPr>
                </w:p>
              </w:tc>
              <w:tc>
                <w:tcPr>
                  <w:tcW w:w="721" w:type="pct"/>
                  <w:shd w:val="clear" w:color="auto" w:fill="auto"/>
                  <w:noWrap w:val="0"/>
                  <w:vAlign w:val="center"/>
                </w:tcPr>
                <w:p w14:paraId="18BF91FA">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1次/年</w:t>
                  </w:r>
                </w:p>
              </w:tc>
              <w:tc>
                <w:tcPr>
                  <w:tcW w:w="1954" w:type="pct"/>
                  <w:vMerge w:val="restart"/>
                  <w:shd w:val="clear" w:color="auto" w:fill="auto"/>
                  <w:noWrap w:val="0"/>
                  <w:vAlign w:val="center"/>
                </w:tcPr>
                <w:p w14:paraId="6C5929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《合成树脂工业污染物排放标准》（GB31572-2015）（含2024年修改单）表5标准</w:t>
                  </w:r>
                </w:p>
              </w:tc>
            </w:tr>
            <w:tr w14:paraId="0CBC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50738D2C">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p>
              </w:tc>
              <w:tc>
                <w:tcPr>
                  <w:tcW w:w="643" w:type="pct"/>
                  <w:vMerge w:val="continue"/>
                  <w:shd w:val="clear" w:color="auto" w:fill="auto"/>
                  <w:noWrap w:val="0"/>
                  <w:vAlign w:val="center"/>
                </w:tcPr>
                <w:p w14:paraId="43D4A767">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814" w:type="pct"/>
                  <w:shd w:val="clear" w:color="auto" w:fill="auto"/>
                  <w:noWrap w:val="0"/>
                  <w:vAlign w:val="center"/>
                </w:tcPr>
                <w:p w14:paraId="47C861A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700" w:type="pct"/>
                  <w:vMerge w:val="continue"/>
                  <w:shd w:val="clear" w:color="auto" w:fill="auto"/>
                  <w:noWrap w:val="0"/>
                  <w:vAlign w:val="center"/>
                </w:tcPr>
                <w:p w14:paraId="4AC57800">
                  <w:pPr>
                    <w:pStyle w:val="67"/>
                    <w:keepNext w:val="0"/>
                    <w:keepLines w:val="0"/>
                    <w:suppressLineNumbers w:val="0"/>
                    <w:spacing w:before="0" w:beforeAutospacing="0" w:after="0" w:afterAutospacing="0" w:line="360" w:lineRule="exact"/>
                    <w:ind w:left="0" w:leftChars="0" w:right="0" w:rightChars="0"/>
                    <w:jc w:val="center"/>
                    <w:rPr>
                      <w:rFonts w:hint="default"/>
                      <w:color w:val="auto"/>
                      <w:spacing w:val="0"/>
                      <w:szCs w:val="21"/>
                      <w:highlight w:val="none"/>
                    </w:rPr>
                  </w:pPr>
                </w:p>
              </w:tc>
              <w:tc>
                <w:tcPr>
                  <w:tcW w:w="721" w:type="pct"/>
                  <w:shd w:val="clear" w:color="auto" w:fill="auto"/>
                  <w:noWrap w:val="0"/>
                  <w:vAlign w:val="center"/>
                </w:tcPr>
                <w:p w14:paraId="687E468C">
                  <w:pPr>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1次/年</w:t>
                  </w:r>
                </w:p>
              </w:tc>
              <w:tc>
                <w:tcPr>
                  <w:tcW w:w="1954" w:type="pct"/>
                  <w:vMerge w:val="continue"/>
                  <w:shd w:val="clear" w:color="auto" w:fill="auto"/>
                  <w:noWrap w:val="0"/>
                  <w:vAlign w:val="center"/>
                </w:tcPr>
                <w:p w14:paraId="1D8BF83A">
                  <w:pPr>
                    <w:keepNext w:val="0"/>
                    <w:keepLines w:val="0"/>
                    <w:suppressLineNumbers w:val="0"/>
                    <w:adjustRightInd w:val="0"/>
                    <w:snapToGrid w:val="0"/>
                    <w:spacing w:before="0" w:beforeAutospacing="0" w:after="0" w:afterAutospacing="0"/>
                    <w:ind w:left="0" w:leftChars="0" w:right="0" w:rightChars="0"/>
                    <w:jc w:val="center"/>
                    <w:rPr>
                      <w:rFonts w:hint="default" w:cs="Times New Roman"/>
                      <w:smallCaps w:val="0"/>
                      <w:color w:val="auto"/>
                      <w:spacing w:val="0"/>
                      <w:szCs w:val="21"/>
                      <w:highlight w:val="none"/>
                      <w:lang w:val="en-US" w:eastAsia="zh-CN"/>
                    </w:rPr>
                  </w:pPr>
                </w:p>
              </w:tc>
            </w:tr>
            <w:tr w14:paraId="4A3F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6C7AAD34">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p>
              </w:tc>
              <w:tc>
                <w:tcPr>
                  <w:tcW w:w="643" w:type="pct"/>
                  <w:vMerge w:val="continue"/>
                  <w:shd w:val="clear" w:color="auto" w:fill="auto"/>
                  <w:noWrap w:val="0"/>
                  <w:vAlign w:val="center"/>
                </w:tcPr>
                <w:p w14:paraId="33F31E1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814" w:type="pct"/>
                  <w:shd w:val="clear" w:color="auto" w:fill="auto"/>
                  <w:noWrap w:val="0"/>
                  <w:vAlign w:val="center"/>
                </w:tcPr>
                <w:p w14:paraId="262E85D5">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臭气浓度</w:t>
                  </w:r>
                </w:p>
              </w:tc>
              <w:tc>
                <w:tcPr>
                  <w:tcW w:w="700" w:type="pct"/>
                  <w:vMerge w:val="continue"/>
                  <w:shd w:val="clear" w:color="auto" w:fill="auto"/>
                  <w:noWrap w:val="0"/>
                  <w:vAlign w:val="center"/>
                </w:tcPr>
                <w:p w14:paraId="0A5B8E9E">
                  <w:pPr>
                    <w:pStyle w:val="67"/>
                    <w:keepNext w:val="0"/>
                    <w:keepLines w:val="0"/>
                    <w:suppressLineNumbers w:val="0"/>
                    <w:spacing w:before="0" w:beforeAutospacing="0" w:after="0" w:afterAutospacing="0" w:line="360" w:lineRule="exact"/>
                    <w:ind w:left="0" w:leftChars="0" w:right="0" w:rightChars="0"/>
                    <w:jc w:val="center"/>
                    <w:rPr>
                      <w:rFonts w:hint="default"/>
                      <w:color w:val="auto"/>
                      <w:spacing w:val="0"/>
                      <w:szCs w:val="21"/>
                      <w:highlight w:val="none"/>
                    </w:rPr>
                  </w:pPr>
                </w:p>
              </w:tc>
              <w:tc>
                <w:tcPr>
                  <w:tcW w:w="721" w:type="pct"/>
                  <w:shd w:val="clear" w:color="auto" w:fill="auto"/>
                  <w:noWrap w:val="0"/>
                  <w:vAlign w:val="center"/>
                </w:tcPr>
                <w:p w14:paraId="52660C79">
                  <w:pPr>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smallCaps w:val="0"/>
                      <w:color w:val="auto"/>
                      <w:spacing w:val="0"/>
                      <w:kern w:val="2"/>
                      <w:sz w:val="21"/>
                      <w:szCs w:val="20"/>
                      <w:highlight w:val="none"/>
                      <w:lang w:val="en-US" w:eastAsia="zh-CN" w:bidi="ar-SA"/>
                    </w:rPr>
                  </w:pPr>
                  <w:r>
                    <w:rPr>
                      <w:rFonts w:hint="eastAsia" w:cs="Times New Roman"/>
                      <w:smallCaps w:val="0"/>
                      <w:color w:val="auto"/>
                      <w:spacing w:val="0"/>
                      <w:szCs w:val="20"/>
                      <w:highlight w:val="none"/>
                      <w:lang w:val="en-US" w:eastAsia="zh-CN"/>
                    </w:rPr>
                    <w:t>1次/年</w:t>
                  </w:r>
                </w:p>
              </w:tc>
              <w:tc>
                <w:tcPr>
                  <w:tcW w:w="1954" w:type="pct"/>
                  <w:shd w:val="clear" w:color="auto" w:fill="auto"/>
                  <w:noWrap w:val="0"/>
                  <w:vAlign w:val="center"/>
                </w:tcPr>
                <w:p w14:paraId="606D6B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《恶臭污染物排放标准》（GB14554-93）表2标准</w:t>
                  </w:r>
                </w:p>
              </w:tc>
            </w:tr>
            <w:tr w14:paraId="120A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restart"/>
                  <w:shd w:val="clear" w:color="auto" w:fill="auto"/>
                  <w:noWrap w:val="0"/>
                  <w:vAlign w:val="center"/>
                </w:tcPr>
                <w:p w14:paraId="2A1FDFC8">
                  <w:pPr>
                    <w:keepNext w:val="0"/>
                    <w:keepLines w:val="0"/>
                    <w:suppressLineNumbers w:val="0"/>
                    <w:spacing w:before="0" w:beforeAutospacing="0" w:after="0" w:afterAutospacing="0" w:line="360" w:lineRule="exact"/>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643" w:type="pct"/>
                  <w:vMerge w:val="restart"/>
                  <w:shd w:val="clear" w:color="auto" w:fill="auto"/>
                  <w:noWrap w:val="0"/>
                  <w:vAlign w:val="center"/>
                </w:tcPr>
                <w:p w14:paraId="7E4CA6A9">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无组织</w:t>
                  </w:r>
                </w:p>
              </w:tc>
              <w:tc>
                <w:tcPr>
                  <w:tcW w:w="814" w:type="pct"/>
                  <w:shd w:val="clear" w:color="auto" w:fill="auto"/>
                  <w:noWrap w:val="0"/>
                  <w:vAlign w:val="center"/>
                </w:tcPr>
                <w:p w14:paraId="34BC31A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700" w:type="pct"/>
                  <w:vMerge w:val="restart"/>
                  <w:shd w:val="clear" w:color="auto" w:fill="auto"/>
                  <w:noWrap w:val="0"/>
                  <w:vAlign w:val="center"/>
                </w:tcPr>
                <w:p w14:paraId="3596FE65">
                  <w:pPr>
                    <w:pStyle w:val="67"/>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0"/>
                      <w:kern w:val="0"/>
                      <w:sz w:val="21"/>
                      <w:szCs w:val="21"/>
                      <w:highlight w:val="none"/>
                      <w:lang w:val="en-US" w:eastAsia="zh-CN" w:bidi="ar-SA"/>
                    </w:rPr>
                  </w:pPr>
                  <w:r>
                    <w:rPr>
                      <w:rFonts w:hint="eastAsia"/>
                      <w:color w:val="auto"/>
                      <w:spacing w:val="0"/>
                      <w:szCs w:val="21"/>
                      <w:highlight w:val="none"/>
                      <w:lang w:val="en-US" w:eastAsia="zh-CN"/>
                    </w:rPr>
                    <w:t>厂界</w:t>
                  </w:r>
                </w:p>
              </w:tc>
              <w:tc>
                <w:tcPr>
                  <w:tcW w:w="721" w:type="pct"/>
                  <w:vMerge w:val="restart"/>
                  <w:shd w:val="clear" w:color="auto" w:fill="auto"/>
                  <w:noWrap w:val="0"/>
                  <w:vAlign w:val="center"/>
                </w:tcPr>
                <w:p w14:paraId="215485FC">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0"/>
                      <w:sz w:val="21"/>
                      <w:szCs w:val="21"/>
                      <w:highlight w:val="none"/>
                      <w:lang w:val="en-US" w:eastAsia="zh-CN" w:bidi="ar-SA"/>
                    </w:rPr>
                  </w:pPr>
                  <w:r>
                    <w:rPr>
                      <w:rFonts w:hint="eastAsia" w:cs="Times New Roman"/>
                      <w:smallCaps w:val="0"/>
                      <w:color w:val="auto"/>
                      <w:spacing w:val="0"/>
                      <w:highlight w:val="none"/>
                      <w:lang w:val="en-US" w:eastAsia="zh-CN"/>
                    </w:rPr>
                    <w:t>1次/年</w:t>
                  </w:r>
                </w:p>
              </w:tc>
              <w:tc>
                <w:tcPr>
                  <w:tcW w:w="1954" w:type="pct"/>
                  <w:shd w:val="clear" w:color="auto" w:fill="auto"/>
                  <w:noWrap w:val="0"/>
                  <w:vAlign w:val="center"/>
                </w:tcPr>
                <w:p w14:paraId="56C7D5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《合成树脂工业污染物排放标准》（GB31572-2015）（含2024年修改单）表</w:t>
                  </w:r>
                  <w:r>
                    <w:rPr>
                      <w:rFonts w:hint="eastAsia" w:cs="Times New Roman"/>
                      <w:smallCaps w:val="0"/>
                      <w:color w:val="auto"/>
                      <w:spacing w:val="0"/>
                      <w:szCs w:val="21"/>
                      <w:highlight w:val="none"/>
                      <w:lang w:val="en-US" w:eastAsia="zh-CN"/>
                    </w:rPr>
                    <w:t>9</w:t>
                  </w:r>
                  <w:r>
                    <w:rPr>
                      <w:rFonts w:hint="eastAsia" w:cs="Times New Roman"/>
                      <w:smallCaps w:val="0"/>
                      <w:color w:val="auto"/>
                      <w:spacing w:val="0"/>
                      <w:szCs w:val="21"/>
                      <w:highlight w:val="none"/>
                      <w:lang w:eastAsia="zh-CN"/>
                    </w:rPr>
                    <w:t>标准</w:t>
                  </w:r>
                </w:p>
              </w:tc>
            </w:tr>
            <w:tr w14:paraId="7131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6684D996">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p>
              </w:tc>
              <w:tc>
                <w:tcPr>
                  <w:tcW w:w="643" w:type="pct"/>
                  <w:vMerge w:val="continue"/>
                  <w:shd w:val="clear" w:color="auto" w:fill="auto"/>
                  <w:noWrap w:val="0"/>
                  <w:vAlign w:val="center"/>
                </w:tcPr>
                <w:p w14:paraId="0A49EF3F">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814" w:type="pct"/>
                  <w:shd w:val="clear" w:color="auto" w:fill="auto"/>
                  <w:noWrap w:val="0"/>
                  <w:vAlign w:val="center"/>
                </w:tcPr>
                <w:p w14:paraId="6D1AE2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700" w:type="pct"/>
                  <w:vMerge w:val="continue"/>
                  <w:shd w:val="clear" w:color="auto" w:fill="auto"/>
                  <w:noWrap w:val="0"/>
                  <w:vAlign w:val="center"/>
                </w:tcPr>
                <w:p w14:paraId="0CF8AD6B">
                  <w:pPr>
                    <w:pStyle w:val="67"/>
                    <w:keepNext w:val="0"/>
                    <w:keepLines w:val="0"/>
                    <w:suppressLineNumbers w:val="0"/>
                    <w:spacing w:before="0" w:beforeAutospacing="0" w:after="0" w:afterAutospacing="0" w:line="360" w:lineRule="exact"/>
                    <w:ind w:left="0" w:leftChars="0" w:right="0" w:rightChars="0"/>
                    <w:jc w:val="center"/>
                    <w:rPr>
                      <w:rFonts w:hint="default"/>
                      <w:color w:val="auto"/>
                      <w:spacing w:val="0"/>
                      <w:szCs w:val="21"/>
                      <w:highlight w:val="none"/>
                    </w:rPr>
                  </w:pPr>
                </w:p>
              </w:tc>
              <w:tc>
                <w:tcPr>
                  <w:tcW w:w="721" w:type="pct"/>
                  <w:vMerge w:val="continue"/>
                  <w:shd w:val="clear" w:color="auto" w:fill="auto"/>
                  <w:noWrap w:val="0"/>
                  <w:vAlign w:val="center"/>
                </w:tcPr>
                <w:p w14:paraId="4060174F">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954" w:type="pct"/>
                  <w:shd w:val="clear" w:color="auto" w:fill="auto"/>
                  <w:noWrap w:val="0"/>
                  <w:vAlign w:val="center"/>
                </w:tcPr>
                <w:p w14:paraId="4AD387B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《恶臭污染物排放标准》（GB14554-93）表1二级新扩改建标准</w:t>
                  </w:r>
                </w:p>
              </w:tc>
            </w:tr>
            <w:tr w14:paraId="77B3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0C22407A">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p>
              </w:tc>
              <w:tc>
                <w:tcPr>
                  <w:tcW w:w="643" w:type="pct"/>
                  <w:vMerge w:val="continue"/>
                  <w:shd w:val="clear" w:color="auto" w:fill="auto"/>
                  <w:noWrap w:val="0"/>
                  <w:vAlign w:val="center"/>
                </w:tcPr>
                <w:p w14:paraId="1D2B3E71">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814" w:type="pct"/>
                  <w:shd w:val="clear" w:color="auto" w:fill="auto"/>
                  <w:noWrap w:val="0"/>
                  <w:vAlign w:val="center"/>
                </w:tcPr>
                <w:p w14:paraId="777194A9">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臭气浓度</w:t>
                  </w:r>
                </w:p>
              </w:tc>
              <w:tc>
                <w:tcPr>
                  <w:tcW w:w="700" w:type="pct"/>
                  <w:vMerge w:val="continue"/>
                  <w:shd w:val="clear" w:color="auto" w:fill="auto"/>
                  <w:noWrap w:val="0"/>
                  <w:vAlign w:val="center"/>
                </w:tcPr>
                <w:p w14:paraId="7AB65B80">
                  <w:pPr>
                    <w:pStyle w:val="67"/>
                    <w:keepNext w:val="0"/>
                    <w:keepLines w:val="0"/>
                    <w:suppressLineNumbers w:val="0"/>
                    <w:spacing w:before="0" w:beforeAutospacing="0" w:after="0" w:afterAutospacing="0" w:line="360" w:lineRule="exact"/>
                    <w:ind w:left="0" w:leftChars="0" w:right="0" w:rightChars="0"/>
                    <w:jc w:val="center"/>
                    <w:rPr>
                      <w:rFonts w:hint="default"/>
                      <w:color w:val="auto"/>
                      <w:spacing w:val="0"/>
                      <w:szCs w:val="21"/>
                      <w:highlight w:val="none"/>
                    </w:rPr>
                  </w:pPr>
                </w:p>
              </w:tc>
              <w:tc>
                <w:tcPr>
                  <w:tcW w:w="721" w:type="pct"/>
                  <w:vMerge w:val="continue"/>
                  <w:shd w:val="clear" w:color="auto" w:fill="auto"/>
                  <w:noWrap w:val="0"/>
                  <w:vAlign w:val="center"/>
                </w:tcPr>
                <w:p w14:paraId="40A4DBD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954" w:type="pct"/>
                  <w:shd w:val="clear" w:color="auto" w:fill="auto"/>
                  <w:noWrap w:val="0"/>
                  <w:vAlign w:val="center"/>
                </w:tcPr>
                <w:p w14:paraId="113F08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《恶臭污染物排放标准》（GB14554-93）表1二级新扩改建标准</w:t>
                  </w:r>
                </w:p>
              </w:tc>
            </w:tr>
            <w:tr w14:paraId="7810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6" w:hRule="atLeast"/>
                <w:jc w:val="center"/>
              </w:trPr>
              <w:tc>
                <w:tcPr>
                  <w:tcW w:w="166" w:type="pct"/>
                  <w:vMerge w:val="continue"/>
                  <w:shd w:val="clear" w:color="auto" w:fill="auto"/>
                  <w:noWrap w:val="0"/>
                  <w:vAlign w:val="center"/>
                </w:tcPr>
                <w:p w14:paraId="43984B7B">
                  <w:pPr>
                    <w:keepNext w:val="0"/>
                    <w:keepLines w:val="0"/>
                    <w:suppressLineNumbers w:val="0"/>
                    <w:spacing w:before="0" w:beforeAutospacing="0" w:after="0" w:afterAutospacing="0" w:line="360" w:lineRule="exact"/>
                    <w:ind w:left="0" w:leftChars="0" w:right="0" w:rightChars="0"/>
                    <w:jc w:val="center"/>
                    <w:rPr>
                      <w:rFonts w:hint="eastAsia" w:eastAsia="宋体"/>
                      <w:color w:val="auto"/>
                      <w:szCs w:val="21"/>
                      <w:highlight w:val="none"/>
                      <w:lang w:val="en-US" w:eastAsia="zh-CN"/>
                    </w:rPr>
                  </w:pPr>
                </w:p>
              </w:tc>
              <w:tc>
                <w:tcPr>
                  <w:tcW w:w="643" w:type="pct"/>
                  <w:vMerge w:val="continue"/>
                  <w:shd w:val="clear" w:color="auto" w:fill="auto"/>
                  <w:noWrap w:val="0"/>
                  <w:vAlign w:val="center"/>
                </w:tcPr>
                <w:p w14:paraId="567EAD9A">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p>
              </w:tc>
              <w:tc>
                <w:tcPr>
                  <w:tcW w:w="814" w:type="pct"/>
                  <w:shd w:val="clear" w:color="auto" w:fill="auto"/>
                  <w:noWrap w:val="0"/>
                  <w:vAlign w:val="center"/>
                </w:tcPr>
                <w:p w14:paraId="3AA5ABE4">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非甲烷总烃</w:t>
                  </w:r>
                </w:p>
              </w:tc>
              <w:tc>
                <w:tcPr>
                  <w:tcW w:w="700" w:type="pct"/>
                  <w:vMerge w:val="continue"/>
                  <w:shd w:val="clear" w:color="auto" w:fill="auto"/>
                  <w:noWrap w:val="0"/>
                  <w:vAlign w:val="center"/>
                </w:tcPr>
                <w:p w14:paraId="429954CA">
                  <w:pPr>
                    <w:pStyle w:val="67"/>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0"/>
                      <w:kern w:val="0"/>
                      <w:sz w:val="21"/>
                      <w:szCs w:val="21"/>
                      <w:highlight w:val="none"/>
                      <w:lang w:val="en-US" w:eastAsia="zh-CN" w:bidi="ar-SA"/>
                    </w:rPr>
                  </w:pPr>
                </w:p>
              </w:tc>
              <w:tc>
                <w:tcPr>
                  <w:tcW w:w="721" w:type="pct"/>
                  <w:shd w:val="clear" w:color="auto" w:fill="auto"/>
                  <w:noWrap w:val="0"/>
                  <w:vAlign w:val="center"/>
                </w:tcPr>
                <w:p w14:paraId="06193910">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12"/>
                      <w:kern w:val="0"/>
                      <w:sz w:val="21"/>
                      <w:szCs w:val="21"/>
                      <w:highlight w:val="none"/>
                      <w:lang w:val="en-US" w:eastAsia="zh-CN" w:bidi="ar-SA"/>
                    </w:rPr>
                  </w:pPr>
                  <w:r>
                    <w:rPr>
                      <w:rFonts w:hint="eastAsia" w:cs="Times New Roman"/>
                      <w:smallCaps w:val="0"/>
                      <w:color w:val="auto"/>
                      <w:spacing w:val="0"/>
                      <w:highlight w:val="none"/>
                      <w:lang w:val="en-US" w:eastAsia="zh-CN"/>
                    </w:rPr>
                    <w:t>1次/年</w:t>
                  </w:r>
                </w:p>
              </w:tc>
              <w:tc>
                <w:tcPr>
                  <w:tcW w:w="1954" w:type="pct"/>
                  <w:shd w:val="clear" w:color="auto" w:fill="auto"/>
                  <w:noWrap w:val="0"/>
                  <w:vAlign w:val="center"/>
                </w:tcPr>
                <w:p w14:paraId="12E76B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《工业企业挥发性有机物排放控制标准》（DB13/2322-20</w:t>
                  </w:r>
                  <w:r>
                    <w:rPr>
                      <w:rFonts w:hint="eastAsia" w:cs="Times New Roman"/>
                      <w:smallCaps w:val="0"/>
                      <w:color w:val="auto"/>
                      <w:spacing w:val="0"/>
                      <w:szCs w:val="21"/>
                      <w:highlight w:val="none"/>
                      <w:lang w:val="en-US" w:eastAsia="zh-CN"/>
                    </w:rPr>
                    <w:t>16</w:t>
                  </w:r>
                  <w:r>
                    <w:rPr>
                      <w:rFonts w:hint="eastAsia" w:cs="Times New Roman"/>
                      <w:smallCaps w:val="0"/>
                      <w:color w:val="auto"/>
                      <w:spacing w:val="0"/>
                      <w:szCs w:val="21"/>
                      <w:highlight w:val="none"/>
                      <w:lang w:eastAsia="zh-CN"/>
                    </w:rPr>
                    <w:t>）表2标准</w:t>
                  </w:r>
                </w:p>
              </w:tc>
            </w:tr>
            <w:tr w14:paraId="156E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166" w:type="pct"/>
                  <w:noWrap w:val="0"/>
                  <w:vAlign w:val="center"/>
                </w:tcPr>
                <w:p w14:paraId="070FCA04">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eastAsia="宋体"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3</w:t>
                  </w:r>
                </w:p>
              </w:tc>
              <w:tc>
                <w:tcPr>
                  <w:tcW w:w="643" w:type="pct"/>
                  <w:noWrap w:val="0"/>
                  <w:vAlign w:val="center"/>
                </w:tcPr>
                <w:p w14:paraId="4E4C6ED4">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噪声</w:t>
                  </w:r>
                </w:p>
              </w:tc>
              <w:tc>
                <w:tcPr>
                  <w:tcW w:w="814" w:type="pct"/>
                  <w:noWrap w:val="0"/>
                  <w:vAlign w:val="center"/>
                </w:tcPr>
                <w:p w14:paraId="07828EF1">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等效连续A声级</w:t>
                  </w:r>
                </w:p>
              </w:tc>
              <w:tc>
                <w:tcPr>
                  <w:tcW w:w="700" w:type="pct"/>
                  <w:noWrap w:val="0"/>
                  <w:vAlign w:val="center"/>
                </w:tcPr>
                <w:p w14:paraId="3C3BFC6C">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lang w:val="en-US"/>
                    </w:rPr>
                  </w:pPr>
                  <w:r>
                    <w:rPr>
                      <w:rFonts w:hint="default" w:ascii="Times New Roman" w:hAnsi="Times New Roman" w:cs="Times New Roman"/>
                      <w:smallCaps w:val="0"/>
                      <w:color w:val="auto"/>
                      <w:spacing w:val="0"/>
                      <w:highlight w:val="none"/>
                      <w:lang w:val="en-US" w:eastAsia="zh-CN"/>
                    </w:rPr>
                    <w:t>厂界</w:t>
                  </w:r>
                </w:p>
              </w:tc>
              <w:tc>
                <w:tcPr>
                  <w:tcW w:w="721" w:type="pct"/>
                  <w:noWrap w:val="0"/>
                  <w:vAlign w:val="center"/>
                </w:tcPr>
                <w:p w14:paraId="4A9A311E">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1次/季度</w:t>
                  </w:r>
                </w:p>
              </w:tc>
              <w:tc>
                <w:tcPr>
                  <w:tcW w:w="1954" w:type="pct"/>
                  <w:noWrap w:val="0"/>
                  <w:vAlign w:val="center"/>
                </w:tcPr>
                <w:p w14:paraId="23712FD7">
                  <w:pPr>
                    <w:pStyle w:val="67"/>
                    <w:keepNext w:val="0"/>
                    <w:keepLines w:val="0"/>
                    <w:pageBreakBefore w:val="0"/>
                    <w:suppressLineNumbers w:val="0"/>
                    <w:wordWrap/>
                    <w:bidi w:val="0"/>
                    <w:spacing w:before="0" w:beforeAutospacing="0" w:after="0" w:afterAutospacing="0" w:line="360" w:lineRule="exact"/>
                    <w:ind w:left="0" w:right="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default" w:ascii="Times New Roman" w:hAnsi="Times New Roman" w:cs="Times New Roman"/>
                      <w:smallCaps w:val="0"/>
                      <w:color w:val="auto"/>
                      <w:spacing w:val="0"/>
                      <w:highlight w:val="none"/>
                    </w:rPr>
                    <w:t>《工业企业厂界环境噪声排放标准》（GB12348－2008）</w:t>
                  </w:r>
                  <w:r>
                    <w:rPr>
                      <w:rFonts w:hint="eastAsia" w:cs="Times New Roman"/>
                      <w:smallCaps w:val="0"/>
                      <w:color w:val="auto"/>
                      <w:spacing w:val="0"/>
                      <w:highlight w:val="none"/>
                      <w:lang w:val="en-US" w:eastAsia="zh-CN"/>
                    </w:rPr>
                    <w:t>3类</w:t>
                  </w:r>
                  <w:r>
                    <w:rPr>
                      <w:rFonts w:hint="default" w:ascii="Times New Roman" w:hAnsi="Times New Roman" w:cs="Times New Roman"/>
                      <w:smallCaps w:val="0"/>
                      <w:color w:val="auto"/>
                      <w:spacing w:val="0"/>
                      <w:highlight w:val="none"/>
                    </w:rPr>
                    <w:t>标准</w:t>
                  </w:r>
                </w:p>
              </w:tc>
            </w:tr>
          </w:tbl>
          <w:p w14:paraId="7F2CA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）排污口规范化管理</w:t>
            </w:r>
          </w:p>
          <w:p w14:paraId="55575E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排污口是项目投产后污染物进入环境、对环境产生影响的通道，强化排污口的管理是实施污染物总量控制的基础工作之一，也是区域环境管理逐步实现污染物排放科学化、定量化的重要手段。</w:t>
            </w:r>
          </w:p>
          <w:p w14:paraId="3DC981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1）排污口标识</w:t>
            </w:r>
          </w:p>
          <w:p w14:paraId="509352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污染物排放口应严格按照《环境保护图形标志—排放口（源）》 （GB1556.1- 1995）、《环境保护图形标志-固体废物贮存（处置）场》（GB15562.2- 1995）</w:t>
            </w:r>
            <w:r>
              <w:rPr>
                <w:rFonts w:hint="eastAsia" w:cs="Times New Roman"/>
                <w:color w:val="auto"/>
                <w:kern w:val="2"/>
                <w:sz w:val="24"/>
                <w:szCs w:val="24"/>
                <w:highlight w:val="none"/>
                <w:lang w:val="en-US" w:eastAsia="zh-CN" w:bidi="ar-SA"/>
              </w:rPr>
              <w:t>及修改单、《排污单位污染物排放口监测点位设施技术规范》（HJ1405-2024）、《危险废物识别标志设置技术规范》（HJ1276-2022）</w:t>
            </w:r>
            <w:r>
              <w:rPr>
                <w:rFonts w:hint="default" w:ascii="Times New Roman" w:hAnsi="Times New Roman" w:eastAsia="宋体" w:cs="Times New Roman"/>
                <w:color w:val="auto"/>
                <w:kern w:val="2"/>
                <w:sz w:val="24"/>
                <w:szCs w:val="24"/>
                <w:highlight w:val="none"/>
                <w:lang w:val="en-US" w:eastAsia="zh-CN" w:bidi="ar-SA"/>
              </w:rPr>
              <w:t>中有关规定执行，在废气排放口、噪声排放源、固废堆场设置环境保护图形标志，便于加强对污染物排放口（源）的监督管理以及常规监测工作的进行。一般性污染物排放口或固体废气贮存、处置场设置提示性环境保护 图形标志牌，排放对人体有严重危害的排污口和危废暂存库，设置警告性环境保护图形标志牌。标志牌应设在与之功能相应的醒目处，并保持清晰、完整。图形符号及说明见</w:t>
            </w:r>
            <w:r>
              <w:rPr>
                <w:rFonts w:hint="eastAsia" w:cs="Times New Roman"/>
                <w:color w:val="auto"/>
                <w:kern w:val="2"/>
                <w:sz w:val="24"/>
                <w:szCs w:val="24"/>
                <w:highlight w:val="none"/>
                <w:lang w:val="en-US" w:eastAsia="zh-CN" w:bidi="ar-SA"/>
              </w:rPr>
              <w:t>表</w:t>
            </w:r>
            <w:r>
              <w:rPr>
                <w:rFonts w:hint="default" w:ascii="Times New Roman" w:hAnsi="Times New Roman" w:eastAsia="宋体" w:cs="Times New Roman"/>
                <w:color w:val="auto"/>
                <w:kern w:val="2"/>
                <w:sz w:val="24"/>
                <w:szCs w:val="24"/>
                <w:highlight w:val="none"/>
                <w:lang w:val="en-US" w:eastAsia="zh-CN" w:bidi="ar-SA"/>
              </w:rPr>
              <w:t>4-</w:t>
            </w:r>
            <w:r>
              <w:rPr>
                <w:rFonts w:hint="eastAsia"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w:t>
            </w:r>
          </w:p>
          <w:p w14:paraId="272EC142">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smallCaps w:val="0"/>
                <w:color w:val="auto"/>
                <w:spacing w:val="0"/>
                <w:highlight w:val="none"/>
                <w:lang w:val="en-US" w:eastAsia="zh-CN"/>
              </w:rPr>
            </w:pPr>
            <w:r>
              <w:rPr>
                <w:rFonts w:hint="eastAsia" w:cs="Times New Roman"/>
                <w:b/>
                <w:smallCaps w:val="0"/>
                <w:color w:val="auto"/>
                <w:spacing w:val="0"/>
                <w:highlight w:val="none"/>
                <w:lang w:val="en-US" w:eastAsia="zh-CN"/>
              </w:rPr>
              <w:t>表</w:t>
            </w:r>
            <w:r>
              <w:rPr>
                <w:rFonts w:hint="default" w:ascii="Times New Roman" w:hAnsi="Times New Roman" w:eastAsia="宋体" w:cs="Times New Roman"/>
                <w:b/>
                <w:smallCaps w:val="0"/>
                <w:color w:val="auto"/>
                <w:spacing w:val="0"/>
                <w:highlight w:val="none"/>
                <w:lang w:val="en-US" w:eastAsia="zh-CN"/>
              </w:rPr>
              <w:t>4-</w:t>
            </w:r>
            <w:r>
              <w:rPr>
                <w:rFonts w:hint="eastAsia" w:cs="Times New Roman"/>
                <w:b/>
                <w:smallCaps w:val="0"/>
                <w:color w:val="auto"/>
                <w:spacing w:val="0"/>
                <w:highlight w:val="none"/>
                <w:lang w:val="en-US" w:eastAsia="zh-CN"/>
              </w:rPr>
              <w:t>20</w:t>
            </w:r>
            <w:r>
              <w:rPr>
                <w:rFonts w:hint="default" w:ascii="Times New Roman" w:hAnsi="Times New Roman" w:eastAsia="宋体" w:cs="Times New Roman"/>
                <w:b/>
                <w:smallCaps w:val="0"/>
                <w:color w:val="auto"/>
                <w:spacing w:val="0"/>
                <w:highlight w:val="none"/>
                <w:lang w:val="en-US" w:eastAsia="zh-CN"/>
              </w:rPr>
              <w:t xml:space="preserve">  环境保护图形标志-排放口（源）</w:t>
            </w:r>
          </w:p>
          <w:tbl>
            <w:tblPr>
              <w:tblStyle w:val="215"/>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9"/>
              <w:gridCol w:w="862"/>
              <w:gridCol w:w="922"/>
              <w:gridCol w:w="1773"/>
              <w:gridCol w:w="1841"/>
              <w:gridCol w:w="2173"/>
            </w:tblGrid>
            <w:tr w14:paraId="22976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57" w:type="pct"/>
                  <w:noWrap w:val="0"/>
                  <w:vAlign w:val="center"/>
                </w:tcPr>
                <w:p w14:paraId="4F827C3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排放口</w:t>
                  </w:r>
                </w:p>
              </w:tc>
              <w:tc>
                <w:tcPr>
                  <w:tcW w:w="1117" w:type="pct"/>
                  <w:gridSpan w:val="2"/>
                  <w:noWrap w:val="0"/>
                  <w:vAlign w:val="center"/>
                </w:tcPr>
                <w:p w14:paraId="2FE49C06">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废气排放口</w:t>
                  </w:r>
                </w:p>
              </w:tc>
              <w:tc>
                <w:tcPr>
                  <w:tcW w:w="1111" w:type="pct"/>
                  <w:noWrap w:val="0"/>
                  <w:vAlign w:val="center"/>
                </w:tcPr>
                <w:p w14:paraId="5975B165">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废水排放口</w:t>
                  </w:r>
                </w:p>
              </w:tc>
              <w:tc>
                <w:tcPr>
                  <w:tcW w:w="1153" w:type="pct"/>
                  <w:shd w:val="clear" w:color="auto" w:fill="auto"/>
                  <w:noWrap w:val="0"/>
                  <w:vAlign w:val="center"/>
                </w:tcPr>
                <w:p w14:paraId="6B7A4928">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噪声排放源</w:t>
                  </w:r>
                </w:p>
              </w:tc>
              <w:tc>
                <w:tcPr>
                  <w:tcW w:w="1359" w:type="pct"/>
                  <w:shd w:val="clear" w:color="auto" w:fill="auto"/>
                  <w:noWrap w:val="0"/>
                  <w:vAlign w:val="center"/>
                </w:tcPr>
                <w:p w14:paraId="157EF273">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一般固体废物</w:t>
                  </w:r>
                </w:p>
              </w:tc>
            </w:tr>
            <w:tr w14:paraId="6D8A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57" w:type="pct"/>
                  <w:noWrap w:val="0"/>
                  <w:vAlign w:val="center"/>
                </w:tcPr>
                <w:p w14:paraId="0E7A1E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p>
                <w:p w14:paraId="668B4032">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提示标志图形</w:t>
                  </w:r>
                </w:p>
              </w:tc>
              <w:tc>
                <w:tcPr>
                  <w:tcW w:w="1117" w:type="pct"/>
                  <w:gridSpan w:val="2"/>
                  <w:noWrap w:val="0"/>
                  <w:vAlign w:val="center"/>
                </w:tcPr>
                <w:p w14:paraId="0926768F">
                  <w:pPr>
                    <w:keepNext w:val="0"/>
                    <w:keepLines w:val="0"/>
                    <w:pageBreakBefore w:val="0"/>
                    <w:widowControl w:val="0"/>
                    <w:kinsoku/>
                    <w:wordWrap/>
                    <w:overflowPunct/>
                    <w:topLinePunct w:val="0"/>
                    <w:autoSpaceDE/>
                    <w:autoSpaceDN/>
                    <w:bidi w:val="0"/>
                    <w:adjustRightInd/>
                    <w:snapToGrid/>
                    <w:spacing w:line="240" w:lineRule="auto"/>
                    <w:ind w:left="0" w:firstLine="128"/>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1010285" cy="819785"/>
                        <wp:effectExtent l="0" t="0" r="18415" b="18415"/>
                        <wp:docPr id="1" name="图片 10"/>
                        <wp:cNvGraphicFramePr/>
                        <a:graphic xmlns:a="http://schemas.openxmlformats.org/drawingml/2006/main">
                          <a:graphicData uri="http://schemas.openxmlformats.org/drawingml/2006/picture">
                            <pic:pic xmlns:pic="http://schemas.openxmlformats.org/drawingml/2006/picture">
                              <pic:nvPicPr>
                                <pic:cNvPr id="1" name="图片 10"/>
                                <pic:cNvPicPr/>
                              </pic:nvPicPr>
                              <pic:blipFill>
                                <a:blip r:embed="rId38"/>
                                <a:stretch>
                                  <a:fillRect/>
                                </a:stretch>
                              </pic:blipFill>
                              <pic:spPr>
                                <a:xfrm>
                                  <a:off x="0" y="0"/>
                                  <a:ext cx="1010285" cy="819785"/>
                                </a:xfrm>
                                <a:prstGeom prst="rect">
                                  <a:avLst/>
                                </a:prstGeom>
                                <a:noFill/>
                                <a:ln>
                                  <a:noFill/>
                                </a:ln>
                              </pic:spPr>
                            </pic:pic>
                          </a:graphicData>
                        </a:graphic>
                      </wp:inline>
                    </w:drawing>
                  </w:r>
                </w:p>
              </w:tc>
              <w:tc>
                <w:tcPr>
                  <w:tcW w:w="1111" w:type="pct"/>
                  <w:noWrap w:val="0"/>
                  <w:vAlign w:val="center"/>
                </w:tcPr>
                <w:p w14:paraId="58D6A947">
                  <w:pPr>
                    <w:keepNext w:val="0"/>
                    <w:keepLines w:val="0"/>
                    <w:pageBreakBefore w:val="0"/>
                    <w:widowControl w:val="0"/>
                    <w:kinsoku/>
                    <w:wordWrap/>
                    <w:overflowPunct/>
                    <w:topLinePunct w:val="0"/>
                    <w:autoSpaceDE/>
                    <w:autoSpaceDN/>
                    <w:bidi w:val="0"/>
                    <w:adjustRightInd/>
                    <w:snapToGrid/>
                    <w:spacing w:line="240" w:lineRule="auto"/>
                    <w:ind w:left="0" w:firstLine="113"/>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color w:val="auto"/>
                      <w:szCs w:val="22"/>
                      <w:highlight w:val="none"/>
                    </w:rPr>
                    <w:drawing>
                      <wp:inline distT="0" distB="0" distL="114300" distR="114300">
                        <wp:extent cx="913130" cy="821055"/>
                        <wp:effectExtent l="0" t="0" r="1270" b="17145"/>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39"/>
                                <a:stretch>
                                  <a:fillRect/>
                                </a:stretch>
                              </pic:blipFill>
                              <pic:spPr>
                                <a:xfrm>
                                  <a:off x="0" y="0"/>
                                  <a:ext cx="913130" cy="821055"/>
                                </a:xfrm>
                                <a:prstGeom prst="rect">
                                  <a:avLst/>
                                </a:prstGeom>
                                <a:noFill/>
                                <a:ln>
                                  <a:noFill/>
                                </a:ln>
                              </pic:spPr>
                            </pic:pic>
                          </a:graphicData>
                        </a:graphic>
                      </wp:inline>
                    </w:drawing>
                  </w:r>
                </w:p>
              </w:tc>
              <w:tc>
                <w:tcPr>
                  <w:tcW w:w="1153" w:type="pct"/>
                  <w:shd w:val="clear" w:color="auto" w:fill="auto"/>
                  <w:noWrap w:val="0"/>
                  <w:vAlign w:val="center"/>
                </w:tcPr>
                <w:p w14:paraId="2199B403">
                  <w:pPr>
                    <w:keepNext w:val="0"/>
                    <w:keepLines w:val="0"/>
                    <w:pageBreakBefore w:val="0"/>
                    <w:widowControl w:val="0"/>
                    <w:kinsoku/>
                    <w:wordWrap/>
                    <w:overflowPunct/>
                    <w:topLinePunct w:val="0"/>
                    <w:autoSpaceDE/>
                    <w:autoSpaceDN/>
                    <w:bidi w:val="0"/>
                    <w:adjustRightInd/>
                    <w:snapToGrid/>
                    <w:spacing w:line="240" w:lineRule="auto"/>
                    <w:ind w:left="0" w:leftChars="0" w:firstLine="113" w:firstLine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1028700" cy="838200"/>
                        <wp:effectExtent l="0" t="0" r="0" b="0"/>
                        <wp:docPr id="96" name="图片 11"/>
                        <wp:cNvGraphicFramePr/>
                        <a:graphic xmlns:a="http://schemas.openxmlformats.org/drawingml/2006/main">
                          <a:graphicData uri="http://schemas.openxmlformats.org/drawingml/2006/picture">
                            <pic:pic xmlns:pic="http://schemas.openxmlformats.org/drawingml/2006/picture">
                              <pic:nvPicPr>
                                <pic:cNvPr id="96" name="图片 11"/>
                                <pic:cNvPicPr/>
                              </pic:nvPicPr>
                              <pic:blipFill>
                                <a:blip r:embed="rId40"/>
                                <a:stretch>
                                  <a:fillRect/>
                                </a:stretch>
                              </pic:blipFill>
                              <pic:spPr>
                                <a:xfrm>
                                  <a:off x="0" y="0"/>
                                  <a:ext cx="1028700" cy="838200"/>
                                </a:xfrm>
                                <a:prstGeom prst="rect">
                                  <a:avLst/>
                                </a:prstGeom>
                                <a:noFill/>
                                <a:ln>
                                  <a:noFill/>
                                </a:ln>
                              </pic:spPr>
                            </pic:pic>
                          </a:graphicData>
                        </a:graphic>
                      </wp:inline>
                    </w:drawing>
                  </w:r>
                </w:p>
              </w:tc>
              <w:tc>
                <w:tcPr>
                  <w:tcW w:w="1359" w:type="pct"/>
                  <w:shd w:val="clear" w:color="auto" w:fill="auto"/>
                  <w:noWrap w:val="0"/>
                  <w:vAlign w:val="center"/>
                </w:tcPr>
                <w:p w14:paraId="24647731">
                  <w:pPr>
                    <w:keepNext w:val="0"/>
                    <w:keepLines w:val="0"/>
                    <w:pageBreakBefore w:val="0"/>
                    <w:widowControl w:val="0"/>
                    <w:kinsoku/>
                    <w:wordWrap/>
                    <w:overflowPunct/>
                    <w:topLinePunct w:val="0"/>
                    <w:autoSpaceDE/>
                    <w:autoSpaceDN/>
                    <w:bidi w:val="0"/>
                    <w:adjustRightInd/>
                    <w:snapToGrid/>
                    <w:spacing w:line="240" w:lineRule="auto"/>
                    <w:ind w:left="0" w:leftChars="0" w:firstLine="149" w:firstLine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1010285" cy="819785"/>
                        <wp:effectExtent l="0" t="0" r="18415" b="18415"/>
                        <wp:docPr id="97" name="图片 12"/>
                        <wp:cNvGraphicFramePr/>
                        <a:graphic xmlns:a="http://schemas.openxmlformats.org/drawingml/2006/main">
                          <a:graphicData uri="http://schemas.openxmlformats.org/drawingml/2006/picture">
                            <pic:pic xmlns:pic="http://schemas.openxmlformats.org/drawingml/2006/picture">
                              <pic:nvPicPr>
                                <pic:cNvPr id="97" name="图片 12"/>
                                <pic:cNvPicPr/>
                              </pic:nvPicPr>
                              <pic:blipFill>
                                <a:blip r:embed="rId41"/>
                                <a:stretch>
                                  <a:fillRect/>
                                </a:stretch>
                              </pic:blipFill>
                              <pic:spPr>
                                <a:xfrm>
                                  <a:off x="0" y="0"/>
                                  <a:ext cx="1010285" cy="819785"/>
                                </a:xfrm>
                                <a:prstGeom prst="rect">
                                  <a:avLst/>
                                </a:prstGeom>
                                <a:noFill/>
                                <a:ln>
                                  <a:noFill/>
                                </a:ln>
                              </pic:spPr>
                            </pic:pic>
                          </a:graphicData>
                        </a:graphic>
                      </wp:inline>
                    </w:drawing>
                  </w:r>
                </w:p>
              </w:tc>
            </w:tr>
            <w:tr w14:paraId="33EF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57" w:type="pct"/>
                  <w:noWrap w:val="0"/>
                  <w:vAlign w:val="center"/>
                </w:tcPr>
                <w:p w14:paraId="39A381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p>
                <w:p w14:paraId="3ACC420A">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警告标志图形</w:t>
                  </w:r>
                </w:p>
              </w:tc>
              <w:tc>
                <w:tcPr>
                  <w:tcW w:w="1117" w:type="pct"/>
                  <w:gridSpan w:val="2"/>
                  <w:noWrap w:val="0"/>
                  <w:vAlign w:val="center"/>
                </w:tcPr>
                <w:p w14:paraId="65BD4242">
                  <w:pPr>
                    <w:keepNext w:val="0"/>
                    <w:keepLines w:val="0"/>
                    <w:pageBreakBefore w:val="0"/>
                    <w:widowControl w:val="0"/>
                    <w:kinsoku/>
                    <w:wordWrap/>
                    <w:overflowPunct/>
                    <w:topLinePunct w:val="0"/>
                    <w:autoSpaceDE/>
                    <w:autoSpaceDN/>
                    <w:bidi w:val="0"/>
                    <w:adjustRightInd/>
                    <w:snapToGrid/>
                    <w:spacing w:line="240" w:lineRule="auto"/>
                    <w:ind w:left="0" w:firstLine="68"/>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1077595" cy="876300"/>
                        <wp:effectExtent l="0" t="0" r="8255" b="0"/>
                        <wp:docPr id="2" name="图片 14"/>
                        <wp:cNvGraphicFramePr/>
                        <a:graphic xmlns:a="http://schemas.openxmlformats.org/drawingml/2006/main">
                          <a:graphicData uri="http://schemas.openxmlformats.org/drawingml/2006/picture">
                            <pic:pic xmlns:pic="http://schemas.openxmlformats.org/drawingml/2006/picture">
                              <pic:nvPicPr>
                                <pic:cNvPr id="2" name="图片 14"/>
                                <pic:cNvPicPr/>
                              </pic:nvPicPr>
                              <pic:blipFill>
                                <a:blip r:embed="rId42"/>
                                <a:stretch>
                                  <a:fillRect/>
                                </a:stretch>
                              </pic:blipFill>
                              <pic:spPr>
                                <a:xfrm>
                                  <a:off x="0" y="0"/>
                                  <a:ext cx="1077595" cy="876300"/>
                                </a:xfrm>
                                <a:prstGeom prst="rect">
                                  <a:avLst/>
                                </a:prstGeom>
                                <a:noFill/>
                                <a:ln>
                                  <a:noFill/>
                                </a:ln>
                              </pic:spPr>
                            </pic:pic>
                          </a:graphicData>
                        </a:graphic>
                      </wp:inline>
                    </w:drawing>
                  </w:r>
                </w:p>
              </w:tc>
              <w:tc>
                <w:tcPr>
                  <w:tcW w:w="1111" w:type="pct"/>
                  <w:noWrap w:val="0"/>
                  <w:vAlign w:val="center"/>
                </w:tcPr>
                <w:p w14:paraId="6F115476">
                  <w:pPr>
                    <w:keepNext w:val="0"/>
                    <w:keepLines w:val="0"/>
                    <w:pageBreakBefore w:val="0"/>
                    <w:widowControl w:val="0"/>
                    <w:kinsoku/>
                    <w:wordWrap/>
                    <w:overflowPunct/>
                    <w:topLinePunct w:val="0"/>
                    <w:autoSpaceDE/>
                    <w:autoSpaceDN/>
                    <w:bidi w:val="0"/>
                    <w:adjustRightInd/>
                    <w:snapToGrid/>
                    <w:spacing w:line="240" w:lineRule="auto"/>
                    <w:ind w:left="0" w:firstLine="67"/>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color w:val="auto"/>
                      <w:szCs w:val="22"/>
                      <w:highlight w:val="none"/>
                    </w:rPr>
                    <w:drawing>
                      <wp:inline distT="0" distB="0" distL="114300" distR="114300">
                        <wp:extent cx="972820" cy="875030"/>
                        <wp:effectExtent l="0" t="0" r="17780" b="127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43"/>
                                <a:stretch>
                                  <a:fillRect/>
                                </a:stretch>
                              </pic:blipFill>
                              <pic:spPr>
                                <a:xfrm>
                                  <a:off x="0" y="0"/>
                                  <a:ext cx="972820" cy="875030"/>
                                </a:xfrm>
                                <a:prstGeom prst="rect">
                                  <a:avLst/>
                                </a:prstGeom>
                                <a:noFill/>
                                <a:ln>
                                  <a:noFill/>
                                </a:ln>
                              </pic:spPr>
                            </pic:pic>
                          </a:graphicData>
                        </a:graphic>
                      </wp:inline>
                    </w:drawing>
                  </w:r>
                </w:p>
              </w:tc>
              <w:tc>
                <w:tcPr>
                  <w:tcW w:w="1153" w:type="pct"/>
                  <w:shd w:val="clear" w:color="auto" w:fill="auto"/>
                  <w:noWrap w:val="0"/>
                  <w:vAlign w:val="center"/>
                </w:tcPr>
                <w:p w14:paraId="0B14C8AD">
                  <w:pPr>
                    <w:keepNext w:val="0"/>
                    <w:keepLines w:val="0"/>
                    <w:pageBreakBefore w:val="0"/>
                    <w:widowControl w:val="0"/>
                    <w:kinsoku/>
                    <w:wordWrap/>
                    <w:overflowPunct/>
                    <w:topLinePunct w:val="0"/>
                    <w:autoSpaceDE/>
                    <w:autoSpaceDN/>
                    <w:bidi w:val="0"/>
                    <w:adjustRightInd/>
                    <w:snapToGrid/>
                    <w:spacing w:line="240" w:lineRule="auto"/>
                    <w:ind w:left="0" w:leftChars="0" w:firstLine="67" w:firstLine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1049020" cy="894715"/>
                        <wp:effectExtent l="0" t="0" r="17780" b="635"/>
                        <wp:docPr id="98" name="图片 15"/>
                        <wp:cNvGraphicFramePr/>
                        <a:graphic xmlns:a="http://schemas.openxmlformats.org/drawingml/2006/main">
                          <a:graphicData uri="http://schemas.openxmlformats.org/drawingml/2006/picture">
                            <pic:pic xmlns:pic="http://schemas.openxmlformats.org/drawingml/2006/picture">
                              <pic:nvPicPr>
                                <pic:cNvPr id="98" name="图片 15"/>
                                <pic:cNvPicPr/>
                              </pic:nvPicPr>
                              <pic:blipFill>
                                <a:blip r:embed="rId44"/>
                                <a:stretch>
                                  <a:fillRect/>
                                </a:stretch>
                              </pic:blipFill>
                              <pic:spPr>
                                <a:xfrm>
                                  <a:off x="0" y="0"/>
                                  <a:ext cx="1049020" cy="894715"/>
                                </a:xfrm>
                                <a:prstGeom prst="rect">
                                  <a:avLst/>
                                </a:prstGeom>
                                <a:noFill/>
                                <a:ln>
                                  <a:noFill/>
                                </a:ln>
                              </pic:spPr>
                            </pic:pic>
                          </a:graphicData>
                        </a:graphic>
                      </wp:inline>
                    </w:drawing>
                  </w:r>
                </w:p>
              </w:tc>
              <w:tc>
                <w:tcPr>
                  <w:tcW w:w="1359" w:type="pct"/>
                  <w:shd w:val="clear" w:color="auto" w:fill="auto"/>
                  <w:noWrap w:val="0"/>
                  <w:vAlign w:val="center"/>
                </w:tcPr>
                <w:p w14:paraId="1136F888">
                  <w:pPr>
                    <w:keepNext w:val="0"/>
                    <w:keepLines w:val="0"/>
                    <w:pageBreakBefore w:val="0"/>
                    <w:widowControl w:val="0"/>
                    <w:kinsoku/>
                    <w:wordWrap/>
                    <w:overflowPunct/>
                    <w:topLinePunct w:val="0"/>
                    <w:autoSpaceDE/>
                    <w:autoSpaceDN/>
                    <w:bidi w:val="0"/>
                    <w:adjustRightInd/>
                    <w:snapToGrid/>
                    <w:spacing w:line="240" w:lineRule="auto"/>
                    <w:ind w:left="0" w:leftChars="0" w:firstLine="89" w:firstLine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drawing>
                      <wp:inline distT="0" distB="0" distL="114300" distR="114300">
                        <wp:extent cx="991235" cy="943610"/>
                        <wp:effectExtent l="0" t="0" r="18415" b="8890"/>
                        <wp:docPr id="101" name="图片 16"/>
                        <wp:cNvGraphicFramePr/>
                        <a:graphic xmlns:a="http://schemas.openxmlformats.org/drawingml/2006/main">
                          <a:graphicData uri="http://schemas.openxmlformats.org/drawingml/2006/picture">
                            <pic:pic xmlns:pic="http://schemas.openxmlformats.org/drawingml/2006/picture">
                              <pic:nvPicPr>
                                <pic:cNvPr id="101" name="图片 16"/>
                                <pic:cNvPicPr/>
                              </pic:nvPicPr>
                              <pic:blipFill>
                                <a:blip r:embed="rId45"/>
                                <a:stretch>
                                  <a:fillRect/>
                                </a:stretch>
                              </pic:blipFill>
                              <pic:spPr>
                                <a:xfrm>
                                  <a:off x="0" y="0"/>
                                  <a:ext cx="991235" cy="943610"/>
                                </a:xfrm>
                                <a:prstGeom prst="rect">
                                  <a:avLst/>
                                </a:prstGeom>
                                <a:noFill/>
                                <a:ln>
                                  <a:noFill/>
                                </a:ln>
                              </pic:spPr>
                            </pic:pic>
                          </a:graphicData>
                        </a:graphic>
                      </wp:inline>
                    </w:drawing>
                  </w:r>
                </w:p>
              </w:tc>
            </w:tr>
            <w:tr w14:paraId="69F8A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gridSpan w:val="2"/>
                  <w:noWrap w:val="0"/>
                  <w:vAlign w:val="center"/>
                </w:tcPr>
                <w:p w14:paraId="5F529E0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排放口</w:t>
                  </w:r>
                </w:p>
              </w:tc>
              <w:tc>
                <w:tcPr>
                  <w:tcW w:w="4202" w:type="pct"/>
                  <w:gridSpan w:val="4"/>
                  <w:noWrap w:val="0"/>
                  <w:vAlign w:val="center"/>
                </w:tcPr>
                <w:p w14:paraId="65BCF0C8">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危险废物</w:t>
                  </w:r>
                </w:p>
              </w:tc>
            </w:tr>
            <w:tr w14:paraId="6E4F5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gridSpan w:val="2"/>
                  <w:noWrap w:val="0"/>
                  <w:vAlign w:val="center"/>
                </w:tcPr>
                <w:p w14:paraId="1C41B88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p>
                <w:p w14:paraId="6B41B106">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提示标志图形</w:t>
                  </w:r>
                </w:p>
              </w:tc>
              <w:tc>
                <w:tcPr>
                  <w:tcW w:w="4202" w:type="pct"/>
                  <w:gridSpan w:val="4"/>
                  <w:noWrap w:val="0"/>
                  <w:vAlign w:val="center"/>
                </w:tcPr>
                <w:p w14:paraId="14B7E0CE">
                  <w:pPr>
                    <w:keepNext w:val="0"/>
                    <w:keepLines w:val="0"/>
                    <w:pageBreakBefore w:val="0"/>
                    <w:widowControl w:val="0"/>
                    <w:kinsoku/>
                    <w:wordWrap/>
                    <w:overflowPunct/>
                    <w:topLinePunct w:val="0"/>
                    <w:autoSpaceDE/>
                    <w:autoSpaceDN/>
                    <w:bidi w:val="0"/>
                    <w:adjustRightInd/>
                    <w:snapToGrid/>
                    <w:spacing w:line="240" w:lineRule="auto"/>
                    <w:ind w:left="0" w:firstLine="149"/>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color w:val="auto"/>
                      <w:szCs w:val="22"/>
                      <w:highlight w:val="none"/>
                    </w:rPr>
                    <w:drawing>
                      <wp:inline distT="0" distB="0" distL="114300" distR="114300">
                        <wp:extent cx="1275080" cy="821055"/>
                        <wp:effectExtent l="0" t="0" r="1270" b="1714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46"/>
                                <a:stretch>
                                  <a:fillRect/>
                                </a:stretch>
                              </pic:blipFill>
                              <pic:spPr>
                                <a:xfrm>
                                  <a:off x="0" y="0"/>
                                  <a:ext cx="1275080" cy="821055"/>
                                </a:xfrm>
                                <a:prstGeom prst="rect">
                                  <a:avLst/>
                                </a:prstGeom>
                                <a:noFill/>
                                <a:ln>
                                  <a:noFill/>
                                </a:ln>
                              </pic:spPr>
                            </pic:pic>
                          </a:graphicData>
                        </a:graphic>
                      </wp:inline>
                    </w:drawing>
                  </w:r>
                </w:p>
              </w:tc>
            </w:tr>
            <w:tr w14:paraId="22D1A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7" w:type="pct"/>
                  <w:gridSpan w:val="2"/>
                  <w:noWrap w:val="0"/>
                  <w:vAlign w:val="center"/>
                </w:tcPr>
                <w:p w14:paraId="2D719C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p>
                <w:p w14:paraId="701673A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警告标志图形</w:t>
                  </w:r>
                </w:p>
              </w:tc>
              <w:tc>
                <w:tcPr>
                  <w:tcW w:w="4202" w:type="pct"/>
                  <w:gridSpan w:val="4"/>
                  <w:noWrap w:val="0"/>
                  <w:vAlign w:val="center"/>
                </w:tcPr>
                <w:p w14:paraId="37DDD00C">
                  <w:pPr>
                    <w:keepNext w:val="0"/>
                    <w:keepLines w:val="0"/>
                    <w:pageBreakBefore w:val="0"/>
                    <w:widowControl w:val="0"/>
                    <w:kinsoku/>
                    <w:wordWrap/>
                    <w:overflowPunct/>
                    <w:topLinePunct w:val="0"/>
                    <w:autoSpaceDE/>
                    <w:autoSpaceDN/>
                    <w:bidi w:val="0"/>
                    <w:adjustRightInd/>
                    <w:snapToGrid/>
                    <w:spacing w:line="240" w:lineRule="auto"/>
                    <w:ind w:left="0" w:firstLine="89"/>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w:t>
                  </w:r>
                </w:p>
              </w:tc>
            </w:tr>
          </w:tbl>
          <w:p w14:paraId="232ECE87">
            <w:pPr>
              <w:pStyle w:val="2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pacing w:val="-1"/>
                <w:szCs w:val="20"/>
                <w:highlight w:val="none"/>
              </w:rPr>
              <w:t>环境保护图形标志</w:t>
            </w:r>
            <w:r>
              <w:rPr>
                <w:rFonts w:hint="default" w:ascii="Times New Roman" w:hAnsi="Times New Roman" w:eastAsia="Times New Roman" w:cs="Times New Roman"/>
                <w:color w:val="auto"/>
                <w:spacing w:val="-1"/>
                <w:szCs w:val="20"/>
                <w:highlight w:val="none"/>
              </w:rPr>
              <w:t>--</w:t>
            </w:r>
            <w:r>
              <w:rPr>
                <w:rFonts w:hint="default" w:ascii="Times New Roman" w:hAnsi="Times New Roman" w:cs="Times New Roman"/>
                <w:color w:val="auto"/>
                <w:spacing w:val="-1"/>
                <w:szCs w:val="20"/>
                <w:highlight w:val="none"/>
              </w:rPr>
              <w:t>排放口（源）的形状及颜色见下表</w:t>
            </w:r>
            <w:r>
              <w:rPr>
                <w:rFonts w:hint="default" w:ascii="Times New Roman" w:hAnsi="Times New Roman" w:cs="Times New Roman"/>
                <w:color w:val="auto"/>
                <w:spacing w:val="-1"/>
                <w:szCs w:val="20"/>
                <w:highlight w:val="none"/>
                <w:lang w:eastAsia="zh-CN"/>
              </w:rPr>
              <w:t>：</w:t>
            </w:r>
          </w:p>
          <w:p w14:paraId="34F465B7">
            <w:pPr>
              <w:pStyle w:val="187"/>
              <w:keepNext w:val="0"/>
              <w:keepLines w:val="0"/>
              <w:pageBreakBefore w:val="0"/>
              <w:suppressLineNumbers w:val="0"/>
              <w:tabs>
                <w:tab w:val="left" w:pos="6521"/>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smallCaps w:val="0"/>
                <w:color w:val="auto"/>
                <w:spacing w:val="0"/>
                <w:highlight w:val="none"/>
                <w:lang w:val="en-US" w:eastAsia="zh-CN"/>
              </w:rPr>
            </w:pPr>
            <w:r>
              <w:rPr>
                <w:rFonts w:hint="eastAsia" w:cs="Times New Roman"/>
                <w:b/>
                <w:smallCaps w:val="0"/>
                <w:color w:val="auto"/>
                <w:spacing w:val="0"/>
                <w:highlight w:val="none"/>
                <w:lang w:val="en-US" w:eastAsia="zh-CN"/>
              </w:rPr>
              <w:t>表</w:t>
            </w:r>
            <w:r>
              <w:rPr>
                <w:rFonts w:hint="default" w:ascii="Times New Roman" w:hAnsi="Times New Roman" w:eastAsia="宋体" w:cs="Times New Roman"/>
                <w:b/>
                <w:smallCaps w:val="0"/>
                <w:color w:val="auto"/>
                <w:spacing w:val="0"/>
                <w:highlight w:val="none"/>
                <w:lang w:val="en-US" w:eastAsia="zh-CN"/>
              </w:rPr>
              <w:t>4-</w:t>
            </w:r>
            <w:r>
              <w:rPr>
                <w:rFonts w:hint="eastAsia" w:cs="Times New Roman"/>
                <w:b/>
                <w:smallCaps w:val="0"/>
                <w:color w:val="auto"/>
                <w:spacing w:val="0"/>
                <w:highlight w:val="none"/>
                <w:lang w:val="en-US" w:eastAsia="zh-CN"/>
              </w:rPr>
              <w:t>21</w:t>
            </w:r>
            <w:r>
              <w:rPr>
                <w:rFonts w:hint="default" w:ascii="Times New Roman" w:hAnsi="Times New Roman" w:eastAsia="宋体" w:cs="Times New Roman"/>
                <w:b/>
                <w:smallCaps w:val="0"/>
                <w:color w:val="auto"/>
                <w:spacing w:val="0"/>
                <w:highlight w:val="none"/>
                <w:lang w:val="en-US" w:eastAsia="zh-CN"/>
              </w:rPr>
              <w:t xml:space="preserve"> 环境保护图形标志-排放口（源）</w:t>
            </w:r>
          </w:p>
          <w:tbl>
            <w:tblPr>
              <w:tblStyle w:val="215"/>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2"/>
              <w:gridCol w:w="1957"/>
              <w:gridCol w:w="2300"/>
              <w:gridCol w:w="2298"/>
            </w:tblGrid>
            <w:tr w14:paraId="6471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1" w:type="pct"/>
                  <w:noWrap w:val="0"/>
                  <w:vAlign w:val="center"/>
                </w:tcPr>
                <w:p w14:paraId="327AEE37">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废气、噪声、一般固废标识牌</w:t>
                  </w:r>
                </w:p>
              </w:tc>
              <w:tc>
                <w:tcPr>
                  <w:tcW w:w="1226" w:type="pct"/>
                  <w:noWrap w:val="0"/>
                  <w:vAlign w:val="center"/>
                </w:tcPr>
                <w:p w14:paraId="2CFCE012">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形状</w:t>
                  </w:r>
                </w:p>
              </w:tc>
              <w:tc>
                <w:tcPr>
                  <w:tcW w:w="1441" w:type="pct"/>
                  <w:noWrap w:val="0"/>
                  <w:vAlign w:val="center"/>
                </w:tcPr>
                <w:p w14:paraId="58E03B3A">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背景颜色</w:t>
                  </w:r>
                </w:p>
              </w:tc>
              <w:tc>
                <w:tcPr>
                  <w:tcW w:w="1440" w:type="pct"/>
                  <w:noWrap w:val="0"/>
                  <w:vAlign w:val="center"/>
                </w:tcPr>
                <w:p w14:paraId="1988231E">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图形颜色</w:t>
                  </w:r>
                </w:p>
              </w:tc>
            </w:tr>
            <w:tr w14:paraId="407B8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1" w:type="pct"/>
                  <w:noWrap w:val="0"/>
                  <w:vAlign w:val="center"/>
                </w:tcPr>
                <w:p w14:paraId="44F2EAFE">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警告标志</w:t>
                  </w:r>
                </w:p>
              </w:tc>
              <w:tc>
                <w:tcPr>
                  <w:tcW w:w="1226" w:type="pct"/>
                  <w:noWrap w:val="0"/>
                  <w:vAlign w:val="center"/>
                </w:tcPr>
                <w:p w14:paraId="18E6206A">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三角形边框</w:t>
                  </w:r>
                </w:p>
              </w:tc>
              <w:tc>
                <w:tcPr>
                  <w:tcW w:w="1441" w:type="pct"/>
                  <w:noWrap w:val="0"/>
                  <w:vAlign w:val="center"/>
                </w:tcPr>
                <w:p w14:paraId="14D6CD4C">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黄色</w:t>
                  </w:r>
                </w:p>
              </w:tc>
              <w:tc>
                <w:tcPr>
                  <w:tcW w:w="1440" w:type="pct"/>
                  <w:noWrap w:val="0"/>
                  <w:vAlign w:val="center"/>
                </w:tcPr>
                <w:p w14:paraId="67A8641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黑色</w:t>
                  </w:r>
                </w:p>
              </w:tc>
            </w:tr>
            <w:tr w14:paraId="6794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1" w:type="pct"/>
                  <w:noWrap w:val="0"/>
                  <w:vAlign w:val="center"/>
                </w:tcPr>
                <w:p w14:paraId="5051FA11">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提示标志</w:t>
                  </w:r>
                </w:p>
              </w:tc>
              <w:tc>
                <w:tcPr>
                  <w:tcW w:w="1226" w:type="pct"/>
                  <w:noWrap w:val="0"/>
                  <w:vAlign w:val="center"/>
                </w:tcPr>
                <w:p w14:paraId="47080EA7">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正方形边框</w:t>
                  </w:r>
                </w:p>
              </w:tc>
              <w:tc>
                <w:tcPr>
                  <w:tcW w:w="1441" w:type="pct"/>
                  <w:noWrap w:val="0"/>
                  <w:vAlign w:val="center"/>
                </w:tcPr>
                <w:p w14:paraId="4FE6D775">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绿色</w:t>
                  </w:r>
                </w:p>
              </w:tc>
              <w:tc>
                <w:tcPr>
                  <w:tcW w:w="1440" w:type="pct"/>
                  <w:noWrap w:val="0"/>
                  <w:vAlign w:val="center"/>
                </w:tcPr>
                <w:p w14:paraId="5F2465F6">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白色</w:t>
                  </w:r>
                </w:p>
              </w:tc>
            </w:tr>
            <w:tr w14:paraId="0D7C3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1" w:type="pct"/>
                  <w:noWrap w:val="0"/>
                  <w:vAlign w:val="center"/>
                </w:tcPr>
                <w:p w14:paraId="38270166">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危险废物标识牌</w:t>
                  </w:r>
                </w:p>
              </w:tc>
              <w:tc>
                <w:tcPr>
                  <w:tcW w:w="1226" w:type="pct"/>
                  <w:noWrap w:val="0"/>
                  <w:vAlign w:val="center"/>
                </w:tcPr>
                <w:p w14:paraId="1B2D8E10">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形状</w:t>
                  </w:r>
                </w:p>
              </w:tc>
              <w:tc>
                <w:tcPr>
                  <w:tcW w:w="1441" w:type="pct"/>
                  <w:noWrap w:val="0"/>
                  <w:vAlign w:val="center"/>
                </w:tcPr>
                <w:p w14:paraId="1A3ADEFD">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背景颜色</w:t>
                  </w:r>
                </w:p>
              </w:tc>
              <w:tc>
                <w:tcPr>
                  <w:tcW w:w="1440" w:type="pct"/>
                  <w:noWrap w:val="0"/>
                  <w:vAlign w:val="center"/>
                </w:tcPr>
                <w:p w14:paraId="30224929">
                  <w:pPr>
                    <w:pStyle w:val="22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图形颜色</w:t>
                  </w:r>
                </w:p>
              </w:tc>
            </w:tr>
            <w:tr w14:paraId="1BD1D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1" w:type="pct"/>
                  <w:noWrap w:val="0"/>
                  <w:vAlign w:val="center"/>
                </w:tcPr>
                <w:p w14:paraId="2181F26D">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提示标志</w:t>
                  </w:r>
                </w:p>
              </w:tc>
              <w:tc>
                <w:tcPr>
                  <w:tcW w:w="1226" w:type="pct"/>
                  <w:noWrap w:val="0"/>
                  <w:vAlign w:val="center"/>
                </w:tcPr>
                <w:p w14:paraId="4B0D440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w w:val="100"/>
                      <w:kern w:val="2"/>
                      <w:sz w:val="21"/>
                      <w:szCs w:val="21"/>
                      <w:highlight w:val="none"/>
                      <w:lang w:val="en-US" w:eastAsia="zh-CN" w:bidi="ar-SA"/>
                    </w:rPr>
                  </w:pPr>
                  <w:r>
                    <w:rPr>
                      <w:rFonts w:hint="default" w:ascii="Times New Roman" w:hAnsi="Times New Roman" w:cs="Times New Roman"/>
                      <w:color w:val="auto"/>
                      <w:w w:val="100"/>
                      <w:kern w:val="2"/>
                      <w:sz w:val="21"/>
                      <w:szCs w:val="21"/>
                      <w:highlight w:val="none"/>
                      <w:lang w:val="en-US" w:eastAsia="zh-CN" w:bidi="ar-SA"/>
                    </w:rPr>
                    <w:t>正方形边框</w:t>
                  </w:r>
                </w:p>
              </w:tc>
              <w:tc>
                <w:tcPr>
                  <w:tcW w:w="1441" w:type="pct"/>
                  <w:noWrap w:val="0"/>
                  <w:vAlign w:val="center"/>
                </w:tcPr>
                <w:p w14:paraId="560BB3D3">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黄色</w:t>
                  </w:r>
                </w:p>
              </w:tc>
              <w:tc>
                <w:tcPr>
                  <w:tcW w:w="1440" w:type="pct"/>
                  <w:noWrap w:val="0"/>
                  <w:vAlign w:val="center"/>
                </w:tcPr>
                <w:p w14:paraId="397EF55A">
                  <w:pPr>
                    <w:pStyle w:val="22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黑色</w:t>
                  </w:r>
                </w:p>
              </w:tc>
            </w:tr>
          </w:tbl>
          <w:p w14:paraId="43AA171D">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firstLine="476" w:firstLineChars="200"/>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2）污染物排放口的环境保护图形标志牌应设置在靠近采样点的醒目处，标志牌设置高度为其上缘距地面约2m。</w:t>
            </w:r>
          </w:p>
          <w:p w14:paraId="4E6BC070">
            <w:pPr>
              <w:pStyle w:val="172"/>
              <w:keepNext w:val="0"/>
              <w:keepLines w:val="0"/>
              <w:suppressLineNumbers w:val="0"/>
              <w:spacing w:before="0" w:beforeAutospacing="0" w:after="0" w:afterAutospacing="0"/>
              <w:ind w:left="0" w:right="0" w:firstLine="480"/>
              <w:rPr>
                <w:rFonts w:hint="eastAsia"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3）排污口及采样点设置在厂界附近，采样点设置应符合HJ/T91的规定，确保公众及环保执法人员可在排污口清楚地看到污染源的排污情况并且不受限制地进行水质采样</w:t>
            </w:r>
            <w:r>
              <w:rPr>
                <w:rFonts w:hint="eastAsia" w:cs="Times New Roman"/>
                <w:color w:val="auto"/>
                <w:spacing w:val="-1"/>
                <w:kern w:val="2"/>
                <w:sz w:val="24"/>
                <w:szCs w:val="24"/>
                <w:highlight w:val="none"/>
                <w:lang w:val="en-US" w:eastAsia="zh-CN" w:bidi="ar-SA"/>
              </w:rPr>
              <w:t>。有组织废气采样口应按照前4后2原则，监孔≥80mm，监测断面距离坠落高度基准面2 m以上时，应配套工作平台，工作平台宜设置在监测孔的正下方1.2 m~1.3 m处；超过0.5 m且不足2 m 时，应按要求设置固定式钢梯；超过2 m时，应安装钢斜梯、转梯。梯高大于6 m 时，应设置梯间平台。斜梯、转梯的材料、载荷、制造安装等按要求执行</w:t>
            </w:r>
            <w:r>
              <w:rPr>
                <w:rFonts w:hint="default" w:ascii="Times New Roman" w:hAnsi="Times New Roman" w:eastAsia="宋体" w:cs="Times New Roman"/>
                <w:color w:val="auto"/>
                <w:spacing w:val="-1"/>
                <w:kern w:val="2"/>
                <w:sz w:val="24"/>
                <w:szCs w:val="24"/>
                <w:highlight w:val="none"/>
                <w:lang w:val="en-US" w:eastAsia="zh-CN" w:bidi="ar-SA"/>
              </w:rPr>
              <w:t>。排污口和采样点处水深一般情况下应&lt;1.2m，周围应设置既能方便采样，又能保障人员安全的护栏等设施；排污口和采样点处水深≥1.2m的，应设置水深警告标志，并强化安全防护设施设置</w:t>
            </w:r>
            <w:r>
              <w:rPr>
                <w:rFonts w:hint="eastAsia" w:cs="Times New Roman"/>
                <w:color w:val="auto"/>
                <w:spacing w:val="-1"/>
                <w:kern w:val="2"/>
                <w:sz w:val="24"/>
                <w:szCs w:val="24"/>
                <w:highlight w:val="none"/>
                <w:lang w:val="en-US" w:eastAsia="zh-CN" w:bidi="ar-SA"/>
              </w:rPr>
              <w:t>。</w:t>
            </w:r>
          </w:p>
          <w:p w14:paraId="37A0B190">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textAlignment w:val="auto"/>
              <w:rPr>
                <w:rFonts w:hint="default" w:ascii="Times New Roman" w:hAnsi="Times New Roman" w:eastAsia="宋体" w:cs="Times New Roman"/>
                <w:b/>
                <w:smallCaps w:val="0"/>
                <w:color w:val="auto"/>
                <w:spacing w:val="0"/>
                <w:highlight w:val="none"/>
                <w:lang w:val="en-US" w:eastAsia="zh-CN"/>
              </w:rPr>
            </w:pPr>
            <w:r>
              <w:rPr>
                <w:rFonts w:hint="eastAsia" w:ascii="Times New Roman" w:hAnsi="Times New Roman" w:cs="Times New Roman"/>
                <w:b/>
                <w:smallCaps w:val="0"/>
                <w:color w:val="auto"/>
                <w:spacing w:val="0"/>
                <w:highlight w:val="none"/>
                <w:lang w:val="en-US" w:eastAsia="zh-CN"/>
              </w:rPr>
              <w:t>10</w:t>
            </w:r>
            <w:r>
              <w:rPr>
                <w:rFonts w:hint="default" w:ascii="Times New Roman" w:hAnsi="Times New Roman" w:cs="Times New Roman"/>
                <w:b/>
                <w:smallCaps w:val="0"/>
                <w:color w:val="auto"/>
                <w:spacing w:val="0"/>
                <w:highlight w:val="none"/>
              </w:rPr>
              <w:t>、</w:t>
            </w:r>
            <w:r>
              <w:rPr>
                <w:rFonts w:hint="eastAsia" w:ascii="Times New Roman" w:hAnsi="Times New Roman" w:cs="Times New Roman"/>
                <w:b/>
                <w:smallCaps w:val="0"/>
                <w:color w:val="auto"/>
                <w:spacing w:val="0"/>
                <w:highlight w:val="none"/>
                <w:lang w:val="en-US" w:eastAsia="zh-CN"/>
              </w:rPr>
              <w:t>新老污染物三本账</w:t>
            </w:r>
          </w:p>
          <w:p w14:paraId="5F800E99">
            <w:pPr>
              <w:keepNext w:val="0"/>
              <w:keepLines w:val="0"/>
              <w:suppressLineNumbers w:val="0"/>
              <w:tabs>
                <w:tab w:val="left" w:pos="6240"/>
              </w:tabs>
              <w:spacing w:before="0" w:beforeAutospacing="0" w:after="0" w:afterAutospacing="0" w:line="480" w:lineRule="exact"/>
              <w:ind w:left="0" w:right="0"/>
              <w:jc w:val="center"/>
              <w:rPr>
                <w:rFonts w:hint="default" w:eastAsia="宋体"/>
                <w:b/>
                <w:color w:val="auto"/>
                <w:sz w:val="24"/>
                <w:szCs w:val="20"/>
                <w:highlight w:val="none"/>
                <w:lang w:val="en-US" w:eastAsia="zh-CN"/>
              </w:rPr>
            </w:pPr>
            <w:r>
              <w:rPr>
                <w:rFonts w:hint="default"/>
                <w:b/>
                <w:color w:val="auto"/>
                <w:sz w:val="24"/>
                <w:szCs w:val="20"/>
                <w:highlight w:val="none"/>
              </w:rPr>
              <w:t>表</w:t>
            </w:r>
            <w:r>
              <w:rPr>
                <w:rFonts w:hint="eastAsia"/>
                <w:b/>
                <w:color w:val="auto"/>
                <w:sz w:val="24"/>
                <w:szCs w:val="20"/>
                <w:highlight w:val="none"/>
                <w:lang w:val="en-US" w:eastAsia="zh-CN"/>
              </w:rPr>
              <w:t xml:space="preserve">4-22 </w:t>
            </w:r>
            <w:r>
              <w:rPr>
                <w:rFonts w:hint="default"/>
                <w:b/>
                <w:color w:val="auto"/>
                <w:sz w:val="24"/>
                <w:szCs w:val="20"/>
                <w:highlight w:val="none"/>
              </w:rPr>
              <w:t xml:space="preserve"> </w:t>
            </w:r>
            <w:r>
              <w:rPr>
                <w:rFonts w:hint="eastAsia"/>
                <w:b/>
                <w:color w:val="auto"/>
                <w:sz w:val="24"/>
                <w:szCs w:val="20"/>
                <w:highlight w:val="none"/>
                <w:lang w:val="en-US" w:eastAsia="zh-CN"/>
              </w:rPr>
              <w:t>新老污染物“三本账”</w:t>
            </w:r>
          </w:p>
          <w:tbl>
            <w:tblPr>
              <w:tblStyle w:val="4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35"/>
              <w:gridCol w:w="1265"/>
              <w:gridCol w:w="1147"/>
              <w:gridCol w:w="1265"/>
              <w:gridCol w:w="1147"/>
              <w:gridCol w:w="1281"/>
            </w:tblGrid>
            <w:tr w14:paraId="06A6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tcMar>
                    <w:left w:w="28" w:type="dxa"/>
                    <w:right w:w="28" w:type="dxa"/>
                  </w:tcMar>
                  <w:vAlign w:val="center"/>
                </w:tcPr>
                <w:p w14:paraId="633E2235">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污染源</w:t>
                  </w:r>
                </w:p>
              </w:tc>
              <w:tc>
                <w:tcPr>
                  <w:tcW w:w="586" w:type="pct"/>
                  <w:tcMar>
                    <w:left w:w="28" w:type="dxa"/>
                    <w:right w:w="28" w:type="dxa"/>
                  </w:tcMar>
                  <w:vAlign w:val="center"/>
                </w:tcPr>
                <w:p w14:paraId="64AB0A4E">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污染物</w:t>
                  </w:r>
                </w:p>
              </w:tc>
              <w:tc>
                <w:tcPr>
                  <w:tcW w:w="793" w:type="pct"/>
                  <w:tcMar>
                    <w:left w:w="28" w:type="dxa"/>
                    <w:right w:w="28" w:type="dxa"/>
                  </w:tcMar>
                  <w:vAlign w:val="center"/>
                </w:tcPr>
                <w:p w14:paraId="3A17FBE1">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现有工程排放量</w:t>
                  </w:r>
                </w:p>
              </w:tc>
              <w:tc>
                <w:tcPr>
                  <w:tcW w:w="719" w:type="pct"/>
                  <w:tcMar>
                    <w:left w:w="28" w:type="dxa"/>
                    <w:right w:w="28" w:type="dxa"/>
                  </w:tcMar>
                  <w:vAlign w:val="center"/>
                </w:tcPr>
                <w:p w14:paraId="3CD8A1EC">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本项目排放量</w:t>
                  </w:r>
                </w:p>
              </w:tc>
              <w:tc>
                <w:tcPr>
                  <w:tcW w:w="793" w:type="pct"/>
                  <w:tcMar>
                    <w:left w:w="28" w:type="dxa"/>
                    <w:right w:w="28" w:type="dxa"/>
                  </w:tcMar>
                  <w:vAlign w:val="center"/>
                </w:tcPr>
                <w:p w14:paraId="6B8F3C14">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以新带老排放量</w:t>
                  </w:r>
                </w:p>
              </w:tc>
              <w:tc>
                <w:tcPr>
                  <w:tcW w:w="719" w:type="pct"/>
                  <w:tcMar>
                    <w:left w:w="28" w:type="dxa"/>
                    <w:right w:w="28" w:type="dxa"/>
                  </w:tcMar>
                  <w:vAlign w:val="center"/>
                </w:tcPr>
                <w:p w14:paraId="42AF912E">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本项目建成后全厂排放量</w:t>
                  </w:r>
                </w:p>
              </w:tc>
              <w:tc>
                <w:tcPr>
                  <w:tcW w:w="802" w:type="pct"/>
                  <w:tcMar>
                    <w:left w:w="28" w:type="dxa"/>
                    <w:right w:w="28" w:type="dxa"/>
                  </w:tcMar>
                  <w:vAlign w:val="center"/>
                </w:tcPr>
                <w:p w14:paraId="367132CF">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变化量</w:t>
                  </w:r>
                </w:p>
              </w:tc>
            </w:tr>
            <w:tr w14:paraId="0A89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restart"/>
                  <w:shd w:val="clear" w:color="auto" w:fill="auto"/>
                  <w:tcMar>
                    <w:left w:w="28" w:type="dxa"/>
                    <w:right w:w="28" w:type="dxa"/>
                  </w:tcMar>
                  <w:vAlign w:val="center"/>
                </w:tcPr>
                <w:p w14:paraId="7A0A9D31">
                  <w:pPr>
                    <w:pStyle w:val="131"/>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Calibri" w:eastAsia="宋体" w:cs="Times New Roman"/>
                      <w:snapToGrid w:val="0"/>
                      <w:color w:val="auto"/>
                      <w:kern w:val="21"/>
                      <w:sz w:val="21"/>
                      <w:szCs w:val="21"/>
                      <w:highlight w:val="none"/>
                      <w:lang w:val="en-US" w:eastAsia="zh-CN" w:bidi="ar-SA"/>
                    </w:rPr>
                  </w:pPr>
                  <w:r>
                    <w:rPr>
                      <w:rFonts w:hint="default" w:ascii="Times New Roman" w:hAnsi="Calibri"/>
                      <w:snapToGrid w:val="0"/>
                      <w:color w:val="auto"/>
                      <w:kern w:val="21"/>
                      <w:szCs w:val="21"/>
                      <w:highlight w:val="none"/>
                      <w:lang w:val="en-US" w:eastAsia="zh-CN"/>
                    </w:rPr>
                    <w:t>废气</w:t>
                  </w:r>
                </w:p>
              </w:tc>
              <w:tc>
                <w:tcPr>
                  <w:tcW w:w="586" w:type="pct"/>
                  <w:shd w:val="clear" w:color="auto" w:fill="auto"/>
                  <w:tcMar>
                    <w:left w:w="28" w:type="dxa"/>
                    <w:right w:w="28" w:type="dxa"/>
                  </w:tcMar>
                  <w:vAlign w:val="center"/>
                </w:tcPr>
                <w:p w14:paraId="4F546FE7">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bCs/>
                      <w:smallCaps w:val="0"/>
                      <w:color w:val="auto"/>
                      <w:spacing w:val="0"/>
                      <w:kern w:val="0"/>
                      <w:sz w:val="21"/>
                      <w:szCs w:val="21"/>
                      <w:highlight w:val="none"/>
                      <w:lang w:val="en-US" w:eastAsia="zh-CN" w:bidi="ar-SA"/>
                    </w:rPr>
                  </w:pPr>
                  <w:r>
                    <w:rPr>
                      <w:rFonts w:hint="eastAsia"/>
                      <w:bCs/>
                      <w:color w:val="auto"/>
                      <w:szCs w:val="21"/>
                      <w:highlight w:val="none"/>
                      <w:lang w:val="en-US" w:eastAsia="zh-CN"/>
                    </w:rPr>
                    <w:t>颗粒物</w:t>
                  </w:r>
                </w:p>
              </w:tc>
              <w:tc>
                <w:tcPr>
                  <w:tcW w:w="793" w:type="pct"/>
                  <w:shd w:val="clear" w:color="auto" w:fill="auto"/>
                  <w:tcMar>
                    <w:left w:w="28" w:type="dxa"/>
                    <w:right w:w="28" w:type="dxa"/>
                  </w:tcMar>
                  <w:vAlign w:val="center"/>
                </w:tcPr>
                <w:p w14:paraId="2A0D7BD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0.411</w:t>
                  </w:r>
                </w:p>
              </w:tc>
              <w:tc>
                <w:tcPr>
                  <w:tcW w:w="719" w:type="pct"/>
                  <w:shd w:val="clear" w:color="auto" w:fill="auto"/>
                  <w:tcMar>
                    <w:left w:w="28" w:type="dxa"/>
                    <w:right w:w="28" w:type="dxa"/>
                  </w:tcMar>
                  <w:vAlign w:val="center"/>
                </w:tcPr>
                <w:p w14:paraId="5438159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0.225</w:t>
                  </w:r>
                </w:p>
              </w:tc>
              <w:tc>
                <w:tcPr>
                  <w:tcW w:w="793" w:type="pct"/>
                  <w:shd w:val="clear" w:color="auto" w:fill="auto"/>
                  <w:tcMar>
                    <w:left w:w="28" w:type="dxa"/>
                    <w:right w:w="28" w:type="dxa"/>
                  </w:tcMar>
                  <w:vAlign w:val="center"/>
                </w:tcPr>
                <w:p w14:paraId="36841D1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0.411</w:t>
                  </w:r>
                </w:p>
              </w:tc>
              <w:tc>
                <w:tcPr>
                  <w:tcW w:w="719" w:type="pct"/>
                  <w:shd w:val="clear" w:color="auto" w:fill="auto"/>
                  <w:tcMar>
                    <w:left w:w="28" w:type="dxa"/>
                    <w:right w:w="28" w:type="dxa"/>
                  </w:tcMar>
                  <w:vAlign w:val="center"/>
                </w:tcPr>
                <w:p w14:paraId="796EE50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0.225</w:t>
                  </w:r>
                </w:p>
              </w:tc>
              <w:tc>
                <w:tcPr>
                  <w:tcW w:w="802" w:type="pct"/>
                  <w:shd w:val="clear" w:color="auto" w:fill="auto"/>
                  <w:tcMar>
                    <w:left w:w="28" w:type="dxa"/>
                    <w:right w:w="28" w:type="dxa"/>
                  </w:tcMar>
                  <w:vAlign w:val="center"/>
                </w:tcPr>
                <w:p w14:paraId="4FD5552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-0.186</w:t>
                  </w:r>
                </w:p>
              </w:tc>
            </w:tr>
            <w:tr w14:paraId="335F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tcMar>
                    <w:left w:w="28" w:type="dxa"/>
                    <w:right w:w="28" w:type="dxa"/>
                  </w:tcMar>
                  <w:vAlign w:val="center"/>
                </w:tcPr>
                <w:p w14:paraId="1FB55987">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tcMar>
                    <w:left w:w="28" w:type="dxa"/>
                    <w:right w:w="28" w:type="dxa"/>
                  </w:tcMar>
                  <w:vAlign w:val="center"/>
                </w:tcPr>
                <w:p w14:paraId="4C49A9BA">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bCs/>
                      <w:color w:val="auto"/>
                      <w:szCs w:val="21"/>
                      <w:highlight w:val="none"/>
                      <w:lang w:val="en-US" w:eastAsia="zh-CN"/>
                    </w:rPr>
                    <w:t>氨</w:t>
                  </w:r>
                </w:p>
              </w:tc>
              <w:tc>
                <w:tcPr>
                  <w:tcW w:w="793" w:type="pct"/>
                  <w:shd w:val="clear" w:color="auto" w:fill="auto"/>
                  <w:tcMar>
                    <w:left w:w="28" w:type="dxa"/>
                    <w:right w:w="28" w:type="dxa"/>
                  </w:tcMar>
                  <w:vAlign w:val="center"/>
                </w:tcPr>
                <w:p w14:paraId="481CF38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0.127</w:t>
                  </w:r>
                </w:p>
              </w:tc>
              <w:tc>
                <w:tcPr>
                  <w:tcW w:w="719" w:type="pct"/>
                  <w:shd w:val="clear" w:color="auto" w:fill="auto"/>
                  <w:tcMar>
                    <w:left w:w="28" w:type="dxa"/>
                    <w:right w:w="28" w:type="dxa"/>
                  </w:tcMar>
                  <w:vAlign w:val="center"/>
                </w:tcPr>
                <w:p w14:paraId="3781C4C0">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0.125</w:t>
                  </w:r>
                </w:p>
              </w:tc>
              <w:tc>
                <w:tcPr>
                  <w:tcW w:w="793" w:type="pct"/>
                  <w:shd w:val="clear" w:color="auto" w:fill="auto"/>
                  <w:tcMar>
                    <w:left w:w="28" w:type="dxa"/>
                    <w:right w:w="28" w:type="dxa"/>
                  </w:tcMar>
                  <w:vAlign w:val="center"/>
                </w:tcPr>
                <w:p w14:paraId="6397CB7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0.127</w:t>
                  </w:r>
                </w:p>
              </w:tc>
              <w:tc>
                <w:tcPr>
                  <w:tcW w:w="719" w:type="pct"/>
                  <w:shd w:val="clear" w:color="auto" w:fill="auto"/>
                  <w:tcMar>
                    <w:left w:w="28" w:type="dxa"/>
                    <w:right w:w="28" w:type="dxa"/>
                  </w:tcMar>
                  <w:vAlign w:val="center"/>
                </w:tcPr>
                <w:p w14:paraId="37FC72A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0.125</w:t>
                  </w:r>
                </w:p>
              </w:tc>
              <w:tc>
                <w:tcPr>
                  <w:tcW w:w="802" w:type="pct"/>
                  <w:tcMar>
                    <w:left w:w="28" w:type="dxa"/>
                    <w:right w:w="28" w:type="dxa"/>
                  </w:tcMar>
                  <w:vAlign w:val="center"/>
                </w:tcPr>
                <w:p w14:paraId="112B0CF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-0.002</w:t>
                  </w:r>
                </w:p>
              </w:tc>
            </w:tr>
            <w:tr w14:paraId="5C73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tcMar>
                    <w:left w:w="28" w:type="dxa"/>
                    <w:right w:w="28" w:type="dxa"/>
                  </w:tcMar>
                  <w:vAlign w:val="center"/>
                </w:tcPr>
                <w:p w14:paraId="27A57D3C">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tcMar>
                    <w:left w:w="28" w:type="dxa"/>
                    <w:right w:w="28" w:type="dxa"/>
                  </w:tcMar>
                  <w:vAlign w:val="center"/>
                </w:tcPr>
                <w:p w14:paraId="27FEFC2B">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bCs/>
                      <w:color w:val="auto"/>
                      <w:szCs w:val="21"/>
                      <w:highlight w:val="none"/>
                      <w:lang w:val="en-US" w:eastAsia="zh-CN"/>
                    </w:rPr>
                    <w:t>非甲烷总烃</w:t>
                  </w:r>
                </w:p>
              </w:tc>
              <w:tc>
                <w:tcPr>
                  <w:tcW w:w="793" w:type="pct"/>
                  <w:shd w:val="clear" w:color="auto" w:fill="auto"/>
                  <w:tcMar>
                    <w:left w:w="28" w:type="dxa"/>
                    <w:right w:w="28" w:type="dxa"/>
                  </w:tcMar>
                  <w:vAlign w:val="center"/>
                </w:tcPr>
                <w:p w14:paraId="3B47887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0.152</w:t>
                  </w:r>
                </w:p>
              </w:tc>
              <w:tc>
                <w:tcPr>
                  <w:tcW w:w="719" w:type="pct"/>
                  <w:shd w:val="clear" w:color="auto" w:fill="auto"/>
                  <w:tcMar>
                    <w:left w:w="28" w:type="dxa"/>
                    <w:right w:w="28" w:type="dxa"/>
                  </w:tcMar>
                  <w:vAlign w:val="center"/>
                </w:tcPr>
                <w:p w14:paraId="1B345ED0">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0.076</w:t>
                  </w:r>
                </w:p>
              </w:tc>
              <w:tc>
                <w:tcPr>
                  <w:tcW w:w="793" w:type="pct"/>
                  <w:shd w:val="clear" w:color="auto" w:fill="auto"/>
                  <w:tcMar>
                    <w:left w:w="28" w:type="dxa"/>
                    <w:right w:w="28" w:type="dxa"/>
                  </w:tcMar>
                  <w:vAlign w:val="center"/>
                </w:tcPr>
                <w:p w14:paraId="5B823E4C">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0.152</w:t>
                  </w:r>
                </w:p>
              </w:tc>
              <w:tc>
                <w:tcPr>
                  <w:tcW w:w="719" w:type="pct"/>
                  <w:shd w:val="clear" w:color="auto" w:fill="auto"/>
                  <w:tcMar>
                    <w:left w:w="28" w:type="dxa"/>
                    <w:right w:w="28" w:type="dxa"/>
                  </w:tcMar>
                  <w:vAlign w:val="center"/>
                </w:tcPr>
                <w:p w14:paraId="36A5FC9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0.076</w:t>
                  </w:r>
                </w:p>
              </w:tc>
              <w:tc>
                <w:tcPr>
                  <w:tcW w:w="802" w:type="pct"/>
                  <w:tcMar>
                    <w:left w:w="28" w:type="dxa"/>
                    <w:right w:w="28" w:type="dxa"/>
                  </w:tcMar>
                  <w:vAlign w:val="center"/>
                </w:tcPr>
                <w:p w14:paraId="1386DE1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-0.076</w:t>
                  </w:r>
                </w:p>
              </w:tc>
            </w:tr>
            <w:tr w14:paraId="6110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restart"/>
                  <w:shd w:val="clear" w:color="auto" w:fill="auto"/>
                  <w:tcMar>
                    <w:left w:w="28" w:type="dxa"/>
                    <w:right w:w="28" w:type="dxa"/>
                  </w:tcMar>
                  <w:vAlign w:val="center"/>
                </w:tcPr>
                <w:p w14:paraId="678FBD52">
                  <w:pPr>
                    <w:pStyle w:val="131"/>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Calibri" w:eastAsia="宋体" w:cs="Times New Roman"/>
                      <w:snapToGrid w:val="0"/>
                      <w:color w:val="auto"/>
                      <w:kern w:val="21"/>
                      <w:sz w:val="21"/>
                      <w:szCs w:val="21"/>
                      <w:highlight w:val="none"/>
                      <w:lang w:val="en-US" w:eastAsia="zh-CN" w:bidi="ar-SA"/>
                    </w:rPr>
                  </w:pPr>
                  <w:r>
                    <w:rPr>
                      <w:rFonts w:hint="eastAsia" w:ascii="Times New Roman" w:hAnsi="Calibri"/>
                      <w:snapToGrid w:val="0"/>
                      <w:color w:val="auto"/>
                      <w:kern w:val="21"/>
                      <w:szCs w:val="21"/>
                      <w:highlight w:val="none"/>
                      <w:lang w:val="en-US" w:eastAsia="zh-CN"/>
                    </w:rPr>
                    <w:t>废水</w:t>
                  </w:r>
                </w:p>
              </w:tc>
              <w:tc>
                <w:tcPr>
                  <w:tcW w:w="586" w:type="pct"/>
                  <w:shd w:val="clear" w:color="auto" w:fill="auto"/>
                  <w:tcMar>
                    <w:left w:w="28" w:type="dxa"/>
                    <w:right w:w="28" w:type="dxa"/>
                  </w:tcMar>
                  <w:vAlign w:val="center"/>
                </w:tcPr>
                <w:p w14:paraId="2B7C13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pH</w:t>
                  </w:r>
                </w:p>
              </w:tc>
              <w:tc>
                <w:tcPr>
                  <w:tcW w:w="793" w:type="pct"/>
                  <w:shd w:val="clear" w:color="auto" w:fill="auto"/>
                  <w:tcMar>
                    <w:left w:w="28" w:type="dxa"/>
                    <w:right w:w="28" w:type="dxa"/>
                  </w:tcMar>
                  <w:vAlign w:val="center"/>
                </w:tcPr>
                <w:p w14:paraId="5DB78EE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tcMar>
                    <w:left w:w="28" w:type="dxa"/>
                    <w:right w:w="28" w:type="dxa"/>
                  </w:tcMar>
                  <w:vAlign w:val="center"/>
                </w:tcPr>
                <w:p w14:paraId="7EFA99A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w:t>
                  </w:r>
                </w:p>
              </w:tc>
              <w:tc>
                <w:tcPr>
                  <w:tcW w:w="793" w:type="pct"/>
                  <w:shd w:val="clear" w:color="auto" w:fill="auto"/>
                  <w:tcMar>
                    <w:left w:w="28" w:type="dxa"/>
                    <w:right w:w="28" w:type="dxa"/>
                  </w:tcMar>
                  <w:vAlign w:val="center"/>
                </w:tcPr>
                <w:p w14:paraId="2C62E99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tcMar>
                    <w:left w:w="28" w:type="dxa"/>
                    <w:right w:w="28" w:type="dxa"/>
                  </w:tcMar>
                  <w:vAlign w:val="center"/>
                </w:tcPr>
                <w:p w14:paraId="647AE26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w:t>
                  </w:r>
                </w:p>
              </w:tc>
              <w:tc>
                <w:tcPr>
                  <w:tcW w:w="802" w:type="pct"/>
                  <w:tcMar>
                    <w:left w:w="28" w:type="dxa"/>
                    <w:right w:w="28" w:type="dxa"/>
                  </w:tcMar>
                  <w:vAlign w:val="center"/>
                </w:tcPr>
                <w:p w14:paraId="77AB625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r>
            <w:tr w14:paraId="7E50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tcMar>
                    <w:left w:w="28" w:type="dxa"/>
                    <w:right w:w="28" w:type="dxa"/>
                  </w:tcMar>
                  <w:vAlign w:val="center"/>
                </w:tcPr>
                <w:p w14:paraId="7A759BE1">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tcMar>
                    <w:left w:w="28" w:type="dxa"/>
                    <w:right w:w="28" w:type="dxa"/>
                  </w:tcMar>
                  <w:vAlign w:val="center"/>
                </w:tcPr>
                <w:p w14:paraId="6A29A0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悬浮物</w:t>
                  </w:r>
                </w:p>
              </w:tc>
              <w:tc>
                <w:tcPr>
                  <w:tcW w:w="793" w:type="pct"/>
                  <w:shd w:val="clear" w:color="auto" w:fill="auto"/>
                  <w:tcMar>
                    <w:left w:w="28" w:type="dxa"/>
                    <w:right w:w="28" w:type="dxa"/>
                  </w:tcMar>
                  <w:vAlign w:val="center"/>
                </w:tcPr>
                <w:p w14:paraId="79A16AA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w:t>
                  </w:r>
                </w:p>
              </w:tc>
              <w:tc>
                <w:tcPr>
                  <w:tcW w:w="719" w:type="pct"/>
                  <w:shd w:val="clear" w:color="auto" w:fill="auto"/>
                  <w:tcMar>
                    <w:left w:w="28" w:type="dxa"/>
                    <w:right w:w="28" w:type="dxa"/>
                  </w:tcMar>
                  <w:vAlign w:val="center"/>
                </w:tcPr>
                <w:p w14:paraId="29BE8751">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0.020</w:t>
                  </w:r>
                </w:p>
              </w:tc>
              <w:tc>
                <w:tcPr>
                  <w:tcW w:w="793" w:type="pct"/>
                  <w:shd w:val="clear" w:color="auto" w:fill="auto"/>
                  <w:tcMar>
                    <w:left w:w="28" w:type="dxa"/>
                    <w:right w:w="28" w:type="dxa"/>
                  </w:tcMar>
                  <w:vAlign w:val="center"/>
                </w:tcPr>
                <w:p w14:paraId="38383E1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w:t>
                  </w:r>
                </w:p>
              </w:tc>
              <w:tc>
                <w:tcPr>
                  <w:tcW w:w="719" w:type="pct"/>
                  <w:shd w:val="clear" w:color="auto" w:fill="auto"/>
                  <w:tcMar>
                    <w:left w:w="28" w:type="dxa"/>
                    <w:right w:w="28" w:type="dxa"/>
                  </w:tcMar>
                  <w:vAlign w:val="center"/>
                </w:tcPr>
                <w:p w14:paraId="6EE2BB2B">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0.020</w:t>
                  </w:r>
                </w:p>
              </w:tc>
              <w:tc>
                <w:tcPr>
                  <w:tcW w:w="802" w:type="pct"/>
                  <w:tcMar>
                    <w:left w:w="28" w:type="dxa"/>
                    <w:right w:w="28" w:type="dxa"/>
                  </w:tcMar>
                  <w:vAlign w:val="center"/>
                </w:tcPr>
                <w:p w14:paraId="2A2D9464">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0.014</w:t>
                  </w:r>
                </w:p>
              </w:tc>
            </w:tr>
            <w:tr w14:paraId="3DC2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vAlign w:val="center"/>
                </w:tcPr>
                <w:p w14:paraId="200F0D31">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vAlign w:val="center"/>
                </w:tcPr>
                <w:p w14:paraId="0D1B2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化学需氧量</w:t>
                  </w:r>
                </w:p>
              </w:tc>
              <w:tc>
                <w:tcPr>
                  <w:tcW w:w="793" w:type="pct"/>
                  <w:shd w:val="clear" w:color="auto" w:fill="auto"/>
                  <w:vAlign w:val="center"/>
                </w:tcPr>
                <w:p w14:paraId="188B0F6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w:t>
                  </w:r>
                </w:p>
              </w:tc>
              <w:tc>
                <w:tcPr>
                  <w:tcW w:w="719" w:type="pct"/>
                  <w:shd w:val="clear" w:color="auto" w:fill="auto"/>
                  <w:vAlign w:val="center"/>
                </w:tcPr>
                <w:p w14:paraId="568F9110">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0.049</w:t>
                  </w:r>
                </w:p>
              </w:tc>
              <w:tc>
                <w:tcPr>
                  <w:tcW w:w="793" w:type="pct"/>
                  <w:shd w:val="clear" w:color="auto" w:fill="auto"/>
                  <w:vAlign w:val="center"/>
                </w:tcPr>
                <w:p w14:paraId="51B5761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w:t>
                  </w:r>
                </w:p>
              </w:tc>
              <w:tc>
                <w:tcPr>
                  <w:tcW w:w="719" w:type="pct"/>
                  <w:shd w:val="clear" w:color="auto" w:fill="auto"/>
                  <w:vAlign w:val="center"/>
                </w:tcPr>
                <w:p w14:paraId="68F327E6">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0.049</w:t>
                  </w:r>
                </w:p>
              </w:tc>
              <w:tc>
                <w:tcPr>
                  <w:tcW w:w="802" w:type="pct"/>
                  <w:vAlign w:val="center"/>
                </w:tcPr>
                <w:p w14:paraId="52E1669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0.043</w:t>
                  </w:r>
                </w:p>
              </w:tc>
            </w:tr>
            <w:tr w14:paraId="3E0C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vAlign w:val="center"/>
                </w:tcPr>
                <w:p w14:paraId="6B3A6278">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vAlign w:val="center"/>
                </w:tcPr>
                <w:p w14:paraId="629EB6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五日生化需氧量</w:t>
                  </w:r>
                </w:p>
              </w:tc>
              <w:tc>
                <w:tcPr>
                  <w:tcW w:w="793" w:type="pct"/>
                  <w:shd w:val="clear" w:color="auto" w:fill="auto"/>
                  <w:vAlign w:val="center"/>
                </w:tcPr>
                <w:p w14:paraId="44B31C7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0.007</w:t>
                  </w:r>
                </w:p>
              </w:tc>
              <w:tc>
                <w:tcPr>
                  <w:tcW w:w="719" w:type="pct"/>
                  <w:shd w:val="clear" w:color="auto" w:fill="auto"/>
                  <w:vAlign w:val="center"/>
                </w:tcPr>
                <w:p w14:paraId="5BF6D799">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0.026</w:t>
                  </w:r>
                </w:p>
              </w:tc>
              <w:tc>
                <w:tcPr>
                  <w:tcW w:w="793" w:type="pct"/>
                  <w:shd w:val="clear" w:color="auto" w:fill="auto"/>
                  <w:vAlign w:val="center"/>
                </w:tcPr>
                <w:p w14:paraId="1406C87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0.007</w:t>
                  </w:r>
                </w:p>
              </w:tc>
              <w:tc>
                <w:tcPr>
                  <w:tcW w:w="719" w:type="pct"/>
                  <w:shd w:val="clear" w:color="auto" w:fill="auto"/>
                  <w:vAlign w:val="center"/>
                </w:tcPr>
                <w:p w14:paraId="071AABAE">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0.026</w:t>
                  </w:r>
                </w:p>
              </w:tc>
              <w:tc>
                <w:tcPr>
                  <w:tcW w:w="802" w:type="pct"/>
                  <w:vAlign w:val="center"/>
                </w:tcPr>
                <w:p w14:paraId="6737FF1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0.019</w:t>
                  </w:r>
                </w:p>
              </w:tc>
            </w:tr>
            <w:tr w14:paraId="6B37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vAlign w:val="center"/>
                </w:tcPr>
                <w:p w14:paraId="1FA8011D">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vAlign w:val="center"/>
                </w:tcPr>
                <w:p w14:paraId="601A99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氨氮</w:t>
                  </w:r>
                </w:p>
              </w:tc>
              <w:tc>
                <w:tcPr>
                  <w:tcW w:w="793" w:type="pct"/>
                  <w:shd w:val="clear" w:color="auto" w:fill="auto"/>
                  <w:vAlign w:val="center"/>
                </w:tcPr>
                <w:p w14:paraId="526818E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9.370</w:t>
                  </w:r>
                  <w:r>
                    <w:rPr>
                      <w:rFonts w:hint="default" w:ascii="Times New Roman" w:hAnsi="Times New Roman" w:eastAsia="宋体" w:cs="Times New Roman"/>
                      <w:smallCaps w:val="0"/>
                      <w:color w:val="auto"/>
                      <w:spacing w:val="0"/>
                      <w:kern w:val="0"/>
                      <w:szCs w:val="21"/>
                      <w:highlight w:val="none"/>
                      <w:lang w:val="en-US" w:eastAsia="zh-CN"/>
                    </w:rPr>
                    <w:t>×10</w:t>
                  </w:r>
                  <w:r>
                    <w:rPr>
                      <w:rFonts w:hint="default" w:ascii="Times New Roman" w:hAnsi="Times New Roman" w:eastAsia="宋体" w:cs="Times New Roman"/>
                      <w:smallCaps w:val="0"/>
                      <w:color w:val="auto"/>
                      <w:spacing w:val="0"/>
                      <w:kern w:val="0"/>
                      <w:szCs w:val="21"/>
                      <w:highlight w:val="none"/>
                      <w:vertAlign w:val="superscript"/>
                      <w:lang w:val="en-US" w:eastAsia="zh-CN"/>
                    </w:rPr>
                    <w:t>-4</w:t>
                  </w:r>
                </w:p>
              </w:tc>
              <w:tc>
                <w:tcPr>
                  <w:tcW w:w="719" w:type="pct"/>
                  <w:shd w:val="clear" w:color="auto" w:fill="auto"/>
                  <w:vAlign w:val="center"/>
                </w:tcPr>
                <w:p w14:paraId="7C86ACBB">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0.004</w:t>
                  </w:r>
                </w:p>
              </w:tc>
              <w:tc>
                <w:tcPr>
                  <w:tcW w:w="793" w:type="pct"/>
                  <w:shd w:val="clear" w:color="auto" w:fill="auto"/>
                  <w:vAlign w:val="center"/>
                </w:tcPr>
                <w:p w14:paraId="390D843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9.370</w:t>
                  </w:r>
                  <w:r>
                    <w:rPr>
                      <w:rFonts w:hint="default" w:ascii="Times New Roman" w:hAnsi="Times New Roman" w:eastAsia="宋体" w:cs="Times New Roman"/>
                      <w:smallCaps w:val="0"/>
                      <w:color w:val="auto"/>
                      <w:spacing w:val="0"/>
                      <w:kern w:val="0"/>
                      <w:szCs w:val="21"/>
                      <w:highlight w:val="none"/>
                      <w:lang w:val="en-US" w:eastAsia="zh-CN"/>
                    </w:rPr>
                    <w:t>×10</w:t>
                  </w:r>
                  <w:r>
                    <w:rPr>
                      <w:rFonts w:hint="default" w:ascii="Times New Roman" w:hAnsi="Times New Roman" w:eastAsia="宋体" w:cs="Times New Roman"/>
                      <w:smallCaps w:val="0"/>
                      <w:color w:val="auto"/>
                      <w:spacing w:val="0"/>
                      <w:kern w:val="0"/>
                      <w:szCs w:val="21"/>
                      <w:highlight w:val="none"/>
                      <w:vertAlign w:val="superscript"/>
                      <w:lang w:val="en-US" w:eastAsia="zh-CN"/>
                    </w:rPr>
                    <w:t>-4</w:t>
                  </w:r>
                </w:p>
              </w:tc>
              <w:tc>
                <w:tcPr>
                  <w:tcW w:w="719" w:type="pct"/>
                  <w:shd w:val="clear" w:color="auto" w:fill="auto"/>
                  <w:vAlign w:val="center"/>
                </w:tcPr>
                <w:p w14:paraId="31B305D8">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0.004</w:t>
                  </w:r>
                </w:p>
              </w:tc>
              <w:tc>
                <w:tcPr>
                  <w:tcW w:w="802" w:type="pct"/>
                  <w:vAlign w:val="center"/>
                </w:tcPr>
                <w:p w14:paraId="71A3C6EE">
                  <w:pPr>
                    <w:keepNext w:val="0"/>
                    <w:keepLines w:val="0"/>
                    <w:suppressLineNumbers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+0.003</w:t>
                  </w:r>
                </w:p>
              </w:tc>
            </w:tr>
            <w:tr w14:paraId="055C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vAlign w:val="center"/>
                </w:tcPr>
                <w:p w14:paraId="50770FFC">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vAlign w:val="center"/>
                </w:tcPr>
                <w:p w14:paraId="1557B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总氮</w:t>
                  </w:r>
                </w:p>
              </w:tc>
              <w:tc>
                <w:tcPr>
                  <w:tcW w:w="793" w:type="pct"/>
                  <w:shd w:val="clear" w:color="auto" w:fill="auto"/>
                  <w:vAlign w:val="center"/>
                </w:tcPr>
                <w:p w14:paraId="3741399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vAlign w:val="center"/>
                </w:tcPr>
                <w:p w14:paraId="49B4F0E2">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0.007</w:t>
                  </w:r>
                </w:p>
              </w:tc>
              <w:tc>
                <w:tcPr>
                  <w:tcW w:w="793" w:type="pct"/>
                  <w:shd w:val="clear" w:color="auto" w:fill="auto"/>
                  <w:vAlign w:val="center"/>
                </w:tcPr>
                <w:p w14:paraId="064104D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vAlign w:val="center"/>
                </w:tcPr>
                <w:p w14:paraId="1ED81ABF">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0.007</w:t>
                  </w:r>
                </w:p>
              </w:tc>
              <w:tc>
                <w:tcPr>
                  <w:tcW w:w="802" w:type="pct"/>
                  <w:vAlign w:val="center"/>
                </w:tcPr>
                <w:p w14:paraId="17AEA9C3">
                  <w:pPr>
                    <w:keepNext w:val="0"/>
                    <w:keepLines w:val="0"/>
                    <w:suppressLineNumbers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+0.007</w:t>
                  </w:r>
                </w:p>
              </w:tc>
            </w:tr>
            <w:tr w14:paraId="0E2D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5" w:type="pct"/>
                  <w:vMerge w:val="continue"/>
                  <w:vAlign w:val="center"/>
                </w:tcPr>
                <w:p w14:paraId="34287DF8">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586" w:type="pct"/>
                  <w:shd w:val="clear" w:color="auto" w:fill="auto"/>
                  <w:vAlign w:val="center"/>
                </w:tcPr>
                <w:p w14:paraId="25223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总磷</w:t>
                  </w:r>
                </w:p>
              </w:tc>
              <w:tc>
                <w:tcPr>
                  <w:tcW w:w="793" w:type="pct"/>
                  <w:shd w:val="clear" w:color="auto" w:fill="auto"/>
                  <w:vAlign w:val="center"/>
                </w:tcPr>
                <w:p w14:paraId="7366B29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vAlign w:val="center"/>
                </w:tcPr>
                <w:p w14:paraId="3B032F31">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p>
              </w:tc>
              <w:tc>
                <w:tcPr>
                  <w:tcW w:w="793" w:type="pct"/>
                  <w:shd w:val="clear" w:color="auto" w:fill="auto"/>
                  <w:vAlign w:val="center"/>
                </w:tcPr>
                <w:p w14:paraId="7F3A485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719" w:type="pct"/>
                  <w:shd w:val="clear" w:color="auto" w:fill="auto"/>
                  <w:vAlign w:val="center"/>
                </w:tcPr>
                <w:p w14:paraId="71CC125B">
                  <w:pPr>
                    <w:keepNext w:val="0"/>
                    <w:keepLines w:val="0"/>
                    <w:suppressLineNumbers w:val="0"/>
                    <w:snapToGrid w:val="0"/>
                    <w:spacing w:before="0" w:beforeLines="0" w:beforeAutospacing="0" w:after="0" w:afterLines="0" w:afterAutospacing="0" w:line="360" w:lineRule="exact"/>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p>
              </w:tc>
              <w:tc>
                <w:tcPr>
                  <w:tcW w:w="802" w:type="pct"/>
                  <w:vAlign w:val="center"/>
                </w:tcPr>
                <w:p w14:paraId="56F72147">
                  <w:pPr>
                    <w:keepNext w:val="0"/>
                    <w:keepLines w:val="0"/>
                    <w:suppressLineNumbers w:val="0"/>
                    <w:spacing w:before="0" w:beforeAutospacing="0" w:after="0" w:afterAutospacing="0" w:line="32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w:t>
                  </w: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p>
              </w:tc>
            </w:tr>
          </w:tbl>
          <w:p w14:paraId="72EB8133">
            <w:pPr>
              <w:keepNext w:val="0"/>
              <w:keepLines w:val="0"/>
              <w:suppressLineNumbers w:val="0"/>
              <w:tabs>
                <w:tab w:val="left" w:pos="6240"/>
              </w:tabs>
              <w:spacing w:before="0" w:beforeAutospacing="0" w:after="0" w:afterAutospacing="0" w:line="480" w:lineRule="exact"/>
              <w:ind w:left="0" w:right="0"/>
              <w:jc w:val="center"/>
              <w:rPr>
                <w:rFonts w:hint="default" w:eastAsia="宋体"/>
                <w:b/>
                <w:color w:val="auto"/>
                <w:sz w:val="24"/>
                <w:szCs w:val="20"/>
                <w:highlight w:val="none"/>
                <w:lang w:val="en-US" w:eastAsia="zh-CN"/>
              </w:rPr>
            </w:pPr>
            <w:r>
              <w:rPr>
                <w:rFonts w:hint="default"/>
                <w:b/>
                <w:color w:val="auto"/>
                <w:sz w:val="24"/>
                <w:szCs w:val="20"/>
                <w:highlight w:val="none"/>
              </w:rPr>
              <w:t>表</w:t>
            </w:r>
            <w:r>
              <w:rPr>
                <w:rFonts w:hint="eastAsia"/>
                <w:b/>
                <w:color w:val="auto"/>
                <w:sz w:val="24"/>
                <w:szCs w:val="20"/>
                <w:highlight w:val="none"/>
                <w:lang w:val="en-US" w:eastAsia="zh-CN"/>
              </w:rPr>
              <w:t xml:space="preserve">4-23 </w:t>
            </w:r>
            <w:r>
              <w:rPr>
                <w:rFonts w:hint="default"/>
                <w:b/>
                <w:color w:val="auto"/>
                <w:sz w:val="24"/>
                <w:szCs w:val="20"/>
                <w:highlight w:val="none"/>
              </w:rPr>
              <w:t xml:space="preserve"> </w:t>
            </w:r>
            <w:r>
              <w:rPr>
                <w:rFonts w:hint="eastAsia"/>
                <w:b/>
                <w:color w:val="auto"/>
                <w:sz w:val="24"/>
                <w:szCs w:val="20"/>
                <w:highlight w:val="none"/>
                <w:lang w:val="en-US" w:eastAsia="zh-CN"/>
              </w:rPr>
              <w:t>固废产生量“三本账”</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748"/>
              <w:gridCol w:w="1585"/>
              <w:gridCol w:w="1585"/>
              <w:gridCol w:w="1767"/>
            </w:tblGrid>
            <w:tr w14:paraId="3379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pct"/>
                  <w:tcMar>
                    <w:left w:w="28" w:type="dxa"/>
                    <w:right w:w="28" w:type="dxa"/>
                  </w:tcMar>
                  <w:vAlign w:val="center"/>
                </w:tcPr>
                <w:p w14:paraId="1BF89059">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污染物</w:t>
                  </w:r>
                </w:p>
              </w:tc>
              <w:tc>
                <w:tcPr>
                  <w:tcW w:w="1095" w:type="pct"/>
                  <w:tcMar>
                    <w:left w:w="28" w:type="dxa"/>
                    <w:right w:w="28" w:type="dxa"/>
                  </w:tcMar>
                  <w:vAlign w:val="center"/>
                </w:tcPr>
                <w:p w14:paraId="141B14F7">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现有工程产生量</w:t>
                  </w:r>
                </w:p>
              </w:tc>
              <w:tc>
                <w:tcPr>
                  <w:tcW w:w="993" w:type="pct"/>
                  <w:tcMar>
                    <w:left w:w="28" w:type="dxa"/>
                    <w:right w:w="28" w:type="dxa"/>
                  </w:tcMar>
                  <w:vAlign w:val="center"/>
                </w:tcPr>
                <w:p w14:paraId="2A67C38D">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本项目产生量</w:t>
                  </w:r>
                </w:p>
              </w:tc>
              <w:tc>
                <w:tcPr>
                  <w:tcW w:w="993" w:type="pct"/>
                  <w:tcMar>
                    <w:left w:w="28" w:type="dxa"/>
                    <w:right w:w="28" w:type="dxa"/>
                  </w:tcMar>
                  <w:vAlign w:val="center"/>
                </w:tcPr>
                <w:p w14:paraId="4342BA72">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本项目建成后全厂产生量</w:t>
                  </w:r>
                </w:p>
              </w:tc>
              <w:tc>
                <w:tcPr>
                  <w:tcW w:w="1107" w:type="pct"/>
                  <w:tcMar>
                    <w:left w:w="28" w:type="dxa"/>
                    <w:right w:w="28" w:type="dxa"/>
                  </w:tcMar>
                  <w:vAlign w:val="center"/>
                </w:tcPr>
                <w:p w14:paraId="4D92C95F">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变化量</w:t>
                  </w:r>
                </w:p>
              </w:tc>
            </w:tr>
            <w:tr w14:paraId="7DA8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pct"/>
                  <w:shd w:val="clear" w:color="auto" w:fill="auto"/>
                  <w:tcMar>
                    <w:left w:w="28" w:type="dxa"/>
                    <w:right w:w="28" w:type="dxa"/>
                  </w:tcMar>
                  <w:vAlign w:val="center"/>
                </w:tcPr>
                <w:p w14:paraId="19A093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废包装材料</w:t>
                  </w:r>
                </w:p>
              </w:tc>
              <w:tc>
                <w:tcPr>
                  <w:tcW w:w="1095" w:type="pct"/>
                  <w:shd w:val="clear" w:color="auto" w:fill="auto"/>
                  <w:tcMar>
                    <w:left w:w="28" w:type="dxa"/>
                    <w:right w:w="28" w:type="dxa"/>
                  </w:tcMar>
                  <w:vAlign w:val="center"/>
                </w:tcPr>
                <w:p w14:paraId="7D47AAB6">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0.5t/a</w:t>
                  </w:r>
                </w:p>
              </w:tc>
              <w:tc>
                <w:tcPr>
                  <w:tcW w:w="993" w:type="pct"/>
                  <w:shd w:val="clear" w:color="auto" w:fill="auto"/>
                  <w:tcMar>
                    <w:left w:w="28" w:type="dxa"/>
                    <w:right w:w="28" w:type="dxa"/>
                  </w:tcMar>
                  <w:vAlign w:val="center"/>
                </w:tcPr>
                <w:p w14:paraId="47FCD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0.353</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993" w:type="pct"/>
                  <w:shd w:val="clear" w:color="auto" w:fill="auto"/>
                  <w:tcMar>
                    <w:left w:w="28" w:type="dxa"/>
                    <w:right w:w="28" w:type="dxa"/>
                  </w:tcMar>
                  <w:vAlign w:val="center"/>
                </w:tcPr>
                <w:p w14:paraId="1AE934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0.353</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107" w:type="pct"/>
                  <w:shd w:val="clear" w:color="auto" w:fill="auto"/>
                  <w:tcMar>
                    <w:left w:w="28" w:type="dxa"/>
                    <w:right w:w="28" w:type="dxa"/>
                  </w:tcMar>
                  <w:vAlign w:val="center"/>
                </w:tcPr>
                <w:p w14:paraId="0123E0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-0.147</w:t>
                  </w:r>
                </w:p>
              </w:tc>
            </w:tr>
            <w:tr w14:paraId="3F7F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pct"/>
                  <w:shd w:val="clear" w:color="auto" w:fill="auto"/>
                  <w:tcMar>
                    <w:left w:w="28" w:type="dxa"/>
                    <w:right w:w="28" w:type="dxa"/>
                  </w:tcMar>
                  <w:vAlign w:val="center"/>
                </w:tcPr>
                <w:p w14:paraId="005E1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废塑料边角料</w:t>
                  </w:r>
                </w:p>
              </w:tc>
              <w:tc>
                <w:tcPr>
                  <w:tcW w:w="1095" w:type="pct"/>
                  <w:shd w:val="clear" w:color="auto" w:fill="auto"/>
                  <w:tcMar>
                    <w:left w:w="28" w:type="dxa"/>
                    <w:right w:w="28" w:type="dxa"/>
                  </w:tcMar>
                  <w:vAlign w:val="center"/>
                </w:tcPr>
                <w:p w14:paraId="6DE4689F">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1.0t/a</w:t>
                  </w:r>
                </w:p>
              </w:tc>
              <w:tc>
                <w:tcPr>
                  <w:tcW w:w="993" w:type="pct"/>
                  <w:shd w:val="clear" w:color="auto" w:fill="auto"/>
                  <w:tcMar>
                    <w:left w:w="28" w:type="dxa"/>
                    <w:right w:w="28" w:type="dxa"/>
                  </w:tcMar>
                  <w:vAlign w:val="center"/>
                </w:tcPr>
                <w:p w14:paraId="01C71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993" w:type="pct"/>
                  <w:shd w:val="clear" w:color="auto" w:fill="auto"/>
                  <w:tcMar>
                    <w:left w:w="28" w:type="dxa"/>
                    <w:right w:w="28" w:type="dxa"/>
                  </w:tcMar>
                  <w:vAlign w:val="center"/>
                </w:tcPr>
                <w:p w14:paraId="300A79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107" w:type="pct"/>
                  <w:shd w:val="clear" w:color="auto" w:fill="auto"/>
                  <w:tcMar>
                    <w:left w:w="28" w:type="dxa"/>
                    <w:right w:w="28" w:type="dxa"/>
                  </w:tcMar>
                  <w:vAlign w:val="center"/>
                </w:tcPr>
                <w:p w14:paraId="7503EB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-0.9</w:t>
                  </w:r>
                </w:p>
              </w:tc>
            </w:tr>
            <w:tr w14:paraId="1C16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pct"/>
                  <w:shd w:val="clear" w:color="auto" w:fill="auto"/>
                  <w:tcMar>
                    <w:left w:w="28" w:type="dxa"/>
                    <w:right w:w="28" w:type="dxa"/>
                  </w:tcMar>
                  <w:vAlign w:val="center"/>
                </w:tcPr>
                <w:p w14:paraId="1545EE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不合格品</w:t>
                  </w:r>
                </w:p>
              </w:tc>
              <w:tc>
                <w:tcPr>
                  <w:tcW w:w="1095" w:type="pct"/>
                  <w:shd w:val="clear" w:color="auto" w:fill="auto"/>
                  <w:tcMar>
                    <w:left w:w="28" w:type="dxa"/>
                    <w:right w:w="28" w:type="dxa"/>
                  </w:tcMar>
                  <w:vAlign w:val="center"/>
                </w:tcPr>
                <w:p w14:paraId="092C9FF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0.5t/a</w:t>
                  </w:r>
                </w:p>
              </w:tc>
              <w:tc>
                <w:tcPr>
                  <w:tcW w:w="993" w:type="pct"/>
                  <w:shd w:val="clear" w:color="auto" w:fill="auto"/>
                  <w:tcMar>
                    <w:left w:w="28" w:type="dxa"/>
                    <w:right w:w="28" w:type="dxa"/>
                  </w:tcMar>
                  <w:vAlign w:val="center"/>
                </w:tcPr>
                <w:p w14:paraId="06FAE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0.1t/a</w:t>
                  </w:r>
                </w:p>
              </w:tc>
              <w:tc>
                <w:tcPr>
                  <w:tcW w:w="993" w:type="pct"/>
                  <w:shd w:val="clear" w:color="auto" w:fill="auto"/>
                  <w:tcMar>
                    <w:left w:w="28" w:type="dxa"/>
                    <w:right w:w="28" w:type="dxa"/>
                  </w:tcMar>
                  <w:vAlign w:val="center"/>
                </w:tcPr>
                <w:p w14:paraId="6A9F5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0.1t/a</w:t>
                  </w:r>
                </w:p>
              </w:tc>
              <w:tc>
                <w:tcPr>
                  <w:tcW w:w="1107" w:type="pct"/>
                  <w:shd w:val="clear" w:color="auto" w:fill="auto"/>
                  <w:tcMar>
                    <w:left w:w="28" w:type="dxa"/>
                    <w:right w:w="28" w:type="dxa"/>
                  </w:tcMar>
                  <w:vAlign w:val="center"/>
                </w:tcPr>
                <w:p w14:paraId="679D5E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r>
            <w:tr w14:paraId="6426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pct"/>
                  <w:shd w:val="clear" w:color="auto" w:fill="auto"/>
                  <w:tcMar>
                    <w:left w:w="28" w:type="dxa"/>
                    <w:right w:w="28" w:type="dxa"/>
                  </w:tcMar>
                  <w:vAlign w:val="center"/>
                </w:tcPr>
                <w:p w14:paraId="35785D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金属下脚料</w:t>
                  </w:r>
                </w:p>
              </w:tc>
              <w:tc>
                <w:tcPr>
                  <w:tcW w:w="1095" w:type="pct"/>
                  <w:shd w:val="clear" w:color="auto" w:fill="auto"/>
                  <w:tcMar>
                    <w:left w:w="28" w:type="dxa"/>
                    <w:right w:w="28" w:type="dxa"/>
                  </w:tcMar>
                  <w:vAlign w:val="center"/>
                </w:tcPr>
                <w:p w14:paraId="08A04B05">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1.0t/a</w:t>
                  </w:r>
                </w:p>
              </w:tc>
              <w:tc>
                <w:tcPr>
                  <w:tcW w:w="993" w:type="pct"/>
                  <w:shd w:val="clear" w:color="auto" w:fill="auto"/>
                  <w:tcMar>
                    <w:left w:w="28" w:type="dxa"/>
                    <w:right w:w="28" w:type="dxa"/>
                  </w:tcMar>
                  <w:vAlign w:val="center"/>
                </w:tcPr>
                <w:p w14:paraId="308E8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993" w:type="pct"/>
                  <w:shd w:val="clear" w:color="auto" w:fill="auto"/>
                  <w:tcMar>
                    <w:left w:w="28" w:type="dxa"/>
                    <w:right w:w="28" w:type="dxa"/>
                  </w:tcMar>
                  <w:vAlign w:val="center"/>
                </w:tcPr>
                <w:p w14:paraId="22B25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1107" w:type="pct"/>
                  <w:shd w:val="clear" w:color="auto" w:fill="auto"/>
                  <w:tcMar>
                    <w:left w:w="28" w:type="dxa"/>
                    <w:right w:w="28" w:type="dxa"/>
                  </w:tcMar>
                  <w:vAlign w:val="center"/>
                </w:tcPr>
                <w:p w14:paraId="2D1D5C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-0.97</w:t>
                  </w:r>
                </w:p>
              </w:tc>
            </w:tr>
            <w:tr w14:paraId="60B0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58E8B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不合格电极片</w:t>
                  </w:r>
                </w:p>
              </w:tc>
              <w:tc>
                <w:tcPr>
                  <w:tcW w:w="0" w:type="auto"/>
                  <w:shd w:val="clear" w:color="auto" w:fill="auto"/>
                  <w:vAlign w:val="center"/>
                </w:tcPr>
                <w:p w14:paraId="132037F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0.5t/a</w:t>
                  </w:r>
                </w:p>
              </w:tc>
              <w:tc>
                <w:tcPr>
                  <w:tcW w:w="0" w:type="auto"/>
                  <w:shd w:val="clear" w:color="auto" w:fill="auto"/>
                  <w:vAlign w:val="center"/>
                </w:tcPr>
                <w:p w14:paraId="3C711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0" w:type="auto"/>
                  <w:shd w:val="clear" w:color="auto" w:fill="auto"/>
                  <w:vAlign w:val="center"/>
                </w:tcPr>
                <w:p w14:paraId="379B9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0" w:type="auto"/>
                  <w:shd w:val="clear" w:color="auto" w:fill="auto"/>
                  <w:vAlign w:val="center"/>
                </w:tcPr>
                <w:p w14:paraId="0AF42F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r>
            <w:tr w14:paraId="650D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51006BC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生活垃圾</w:t>
                  </w:r>
                </w:p>
              </w:tc>
              <w:tc>
                <w:tcPr>
                  <w:tcW w:w="0" w:type="auto"/>
                  <w:shd w:val="clear" w:color="auto" w:fill="auto"/>
                  <w:vAlign w:val="center"/>
                </w:tcPr>
                <w:p w14:paraId="54D963D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3t/a</w:t>
                  </w:r>
                </w:p>
              </w:tc>
              <w:tc>
                <w:tcPr>
                  <w:tcW w:w="0" w:type="auto"/>
                  <w:shd w:val="clear" w:color="auto" w:fill="auto"/>
                  <w:vAlign w:val="center"/>
                </w:tcPr>
                <w:p w14:paraId="35559C7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eastAsia" w:cs="Times New Roman"/>
                      <w:smallCaps w:val="0"/>
                      <w:snapToGrid w:val="0"/>
                      <w:color w:val="auto"/>
                      <w:spacing w:val="0"/>
                      <w:kern w:val="21"/>
                      <w:sz w:val="21"/>
                      <w:szCs w:val="21"/>
                      <w:highlight w:val="none"/>
                      <w:lang w:val="en-US" w:eastAsia="zh-CN" w:bidi="ar-SA"/>
                    </w:rPr>
                    <w:t>3</w:t>
                  </w:r>
                  <w:r>
                    <w:rPr>
                      <w:rFonts w:hint="eastAsia" w:cs="Times New Roman"/>
                      <w:snapToGrid w:val="0"/>
                      <w:color w:val="auto"/>
                      <w:kern w:val="21"/>
                      <w:sz w:val="21"/>
                      <w:szCs w:val="21"/>
                      <w:highlight w:val="none"/>
                      <w:lang w:val="en-US" w:eastAsia="zh-CN"/>
                    </w:rPr>
                    <w:t>t/a</w:t>
                  </w:r>
                </w:p>
              </w:tc>
              <w:tc>
                <w:tcPr>
                  <w:tcW w:w="0" w:type="auto"/>
                  <w:shd w:val="clear" w:color="auto" w:fill="auto"/>
                  <w:vAlign w:val="center"/>
                </w:tcPr>
                <w:p w14:paraId="164F37A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21"/>
                      <w:sz w:val="21"/>
                      <w:szCs w:val="21"/>
                      <w:highlight w:val="none"/>
                      <w:lang w:val="en-US" w:eastAsia="zh-CN" w:bidi="ar-SA"/>
                    </w:rPr>
                  </w:pPr>
                  <w:r>
                    <w:rPr>
                      <w:rFonts w:hint="eastAsia" w:cs="Times New Roman"/>
                      <w:smallCaps w:val="0"/>
                      <w:snapToGrid w:val="0"/>
                      <w:color w:val="auto"/>
                      <w:spacing w:val="0"/>
                      <w:kern w:val="21"/>
                      <w:sz w:val="21"/>
                      <w:szCs w:val="21"/>
                      <w:highlight w:val="none"/>
                      <w:lang w:val="en-US" w:eastAsia="zh-CN" w:bidi="ar-SA"/>
                    </w:rPr>
                    <w:t>3</w:t>
                  </w:r>
                  <w:r>
                    <w:rPr>
                      <w:rFonts w:hint="eastAsia" w:cs="Times New Roman"/>
                      <w:snapToGrid w:val="0"/>
                      <w:color w:val="auto"/>
                      <w:kern w:val="21"/>
                      <w:sz w:val="21"/>
                      <w:szCs w:val="21"/>
                      <w:highlight w:val="none"/>
                      <w:lang w:val="en-US" w:eastAsia="zh-CN"/>
                    </w:rPr>
                    <w:t>t/a</w:t>
                  </w:r>
                </w:p>
              </w:tc>
              <w:tc>
                <w:tcPr>
                  <w:tcW w:w="0" w:type="auto"/>
                  <w:shd w:val="clear" w:color="auto" w:fill="auto"/>
                  <w:vAlign w:val="center"/>
                </w:tcPr>
                <w:p w14:paraId="10C0CE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7727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428466BC">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w:t>
                  </w:r>
                </w:p>
              </w:tc>
              <w:tc>
                <w:tcPr>
                  <w:tcW w:w="0" w:type="auto"/>
                  <w:shd w:val="clear" w:color="auto" w:fill="auto"/>
                  <w:vAlign w:val="center"/>
                </w:tcPr>
                <w:p w14:paraId="7719099C">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0.05t/a</w:t>
                  </w:r>
                </w:p>
              </w:tc>
              <w:tc>
                <w:tcPr>
                  <w:tcW w:w="0" w:type="auto"/>
                  <w:shd w:val="clear" w:color="auto" w:fill="auto"/>
                  <w:vAlign w:val="center"/>
                </w:tcPr>
                <w:p w14:paraId="7EC5E281">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3D628127">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7A8083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r>
            <w:tr w14:paraId="1BF4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1243CA5C">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废润滑油桶</w:t>
                  </w:r>
                </w:p>
              </w:tc>
              <w:tc>
                <w:tcPr>
                  <w:tcW w:w="0" w:type="auto"/>
                  <w:shd w:val="clear" w:color="auto" w:fill="auto"/>
                  <w:vAlign w:val="center"/>
                </w:tcPr>
                <w:p w14:paraId="7FC9963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0" w:type="auto"/>
                  <w:shd w:val="clear" w:color="auto" w:fill="auto"/>
                  <w:vAlign w:val="center"/>
                </w:tcPr>
                <w:p w14:paraId="640F1012">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13B6BE55">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28A790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r>
            <w:tr w14:paraId="2838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0466EF39">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含油抹布及废劳保用品</w:t>
                  </w:r>
                </w:p>
              </w:tc>
              <w:tc>
                <w:tcPr>
                  <w:tcW w:w="0" w:type="auto"/>
                  <w:shd w:val="clear" w:color="auto" w:fill="auto"/>
                  <w:vAlign w:val="center"/>
                </w:tcPr>
                <w:p w14:paraId="0500A16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0.01t/a</w:t>
                  </w:r>
                </w:p>
              </w:tc>
              <w:tc>
                <w:tcPr>
                  <w:tcW w:w="0" w:type="auto"/>
                  <w:shd w:val="clear" w:color="auto" w:fill="auto"/>
                  <w:vAlign w:val="center"/>
                </w:tcPr>
                <w:p w14:paraId="26F72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5CC46D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2C19F2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-0.009</w:t>
                  </w:r>
                </w:p>
              </w:tc>
            </w:tr>
            <w:tr w14:paraId="2025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6D967869">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0" w:type="auto"/>
                  <w:shd w:val="clear" w:color="auto" w:fill="auto"/>
                  <w:vAlign w:val="center"/>
                </w:tcPr>
                <w:p w14:paraId="445A926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1.0t/a</w:t>
                  </w:r>
                </w:p>
              </w:tc>
              <w:tc>
                <w:tcPr>
                  <w:tcW w:w="0" w:type="auto"/>
                  <w:shd w:val="clear" w:color="auto" w:fill="auto"/>
                  <w:vAlign w:val="center"/>
                </w:tcPr>
                <w:p w14:paraId="7FCF1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0" w:type="auto"/>
                  <w:shd w:val="clear" w:color="auto" w:fill="auto"/>
                  <w:vAlign w:val="center"/>
                </w:tcPr>
                <w:p w14:paraId="05451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0" w:type="auto"/>
                  <w:shd w:val="clear" w:color="auto" w:fill="auto"/>
                  <w:vAlign w:val="center"/>
                </w:tcPr>
                <w:p w14:paraId="2B37D3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-0.995</w:t>
                  </w:r>
                </w:p>
              </w:tc>
            </w:tr>
            <w:tr w14:paraId="01D0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29673374">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0" w:type="auto"/>
                  <w:shd w:val="clear" w:color="auto" w:fill="auto"/>
                  <w:vAlign w:val="center"/>
                </w:tcPr>
                <w:p w14:paraId="1A1631A0">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0.018t/a</w:t>
                  </w:r>
                </w:p>
              </w:tc>
              <w:tc>
                <w:tcPr>
                  <w:tcW w:w="0" w:type="auto"/>
                  <w:shd w:val="clear" w:color="auto" w:fill="auto"/>
                  <w:vAlign w:val="center"/>
                </w:tcPr>
                <w:p w14:paraId="2663E4C3">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400BED52">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014C87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r>
            <w:tr w14:paraId="4A2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0EF53A63">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0" w:type="auto"/>
                  <w:shd w:val="clear" w:color="auto" w:fill="auto"/>
                  <w:vAlign w:val="center"/>
                </w:tcPr>
                <w:p w14:paraId="038F6C2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0" w:type="auto"/>
                  <w:shd w:val="clear" w:color="auto" w:fill="auto"/>
                  <w:vAlign w:val="center"/>
                </w:tcPr>
                <w:p w14:paraId="7A333CAF">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6D699EC6">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0" w:type="auto"/>
                  <w:shd w:val="clear" w:color="auto" w:fill="auto"/>
                  <w:vAlign w:val="center"/>
                </w:tcPr>
                <w:p w14:paraId="1A2602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r>
            <w:tr w14:paraId="7489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1704D646">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0" w:type="auto"/>
                  <w:shd w:val="clear" w:color="auto" w:fill="auto"/>
                  <w:vAlign w:val="center"/>
                </w:tcPr>
                <w:p w14:paraId="782298FD">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0" w:type="auto"/>
                  <w:shd w:val="clear" w:color="auto" w:fill="auto"/>
                  <w:vAlign w:val="center"/>
                </w:tcPr>
                <w:p w14:paraId="1744B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0" w:type="auto"/>
                  <w:shd w:val="clear" w:color="auto" w:fill="auto"/>
                  <w:vAlign w:val="center"/>
                </w:tcPr>
                <w:p w14:paraId="2B933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0" w:type="auto"/>
                  <w:shd w:val="clear" w:color="auto" w:fill="auto"/>
                  <w:vAlign w:val="center"/>
                </w:tcPr>
                <w:p w14:paraId="08BF0D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+0.131</w:t>
                  </w:r>
                </w:p>
              </w:tc>
            </w:tr>
            <w:tr w14:paraId="3AB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1FCB2051">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除尘灰</w:t>
                  </w:r>
                </w:p>
              </w:tc>
              <w:tc>
                <w:tcPr>
                  <w:tcW w:w="0" w:type="auto"/>
                  <w:shd w:val="clear" w:color="auto" w:fill="auto"/>
                  <w:vAlign w:val="center"/>
                </w:tcPr>
                <w:p w14:paraId="11C106DD">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0" w:type="auto"/>
                  <w:shd w:val="clear" w:color="auto" w:fill="auto"/>
                  <w:vAlign w:val="center"/>
                </w:tcPr>
                <w:p w14:paraId="4E3EC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0" w:type="auto"/>
                  <w:shd w:val="clear" w:color="auto" w:fill="auto"/>
                  <w:vAlign w:val="center"/>
                </w:tcPr>
                <w:p w14:paraId="193DF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0" w:type="auto"/>
                  <w:shd w:val="clear" w:color="auto" w:fill="auto"/>
                  <w:vAlign w:val="center"/>
                </w:tcPr>
                <w:p w14:paraId="66E968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+0.225</w:t>
                  </w:r>
                </w:p>
              </w:tc>
            </w:tr>
            <w:tr w14:paraId="364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50AB701F">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0" w:type="auto"/>
                  <w:shd w:val="clear" w:color="auto" w:fill="auto"/>
                  <w:vAlign w:val="center"/>
                </w:tcPr>
                <w:p w14:paraId="625A0B6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0.6t/a</w:t>
                  </w:r>
                </w:p>
              </w:tc>
              <w:tc>
                <w:tcPr>
                  <w:tcW w:w="0" w:type="auto"/>
                  <w:shd w:val="clear" w:color="auto" w:fill="auto"/>
                  <w:vAlign w:val="center"/>
                </w:tcPr>
                <w:p w14:paraId="26078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0" w:type="auto"/>
                  <w:shd w:val="clear" w:color="auto" w:fill="auto"/>
                  <w:vAlign w:val="center"/>
                </w:tcPr>
                <w:p w14:paraId="3FFB85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0" w:type="auto"/>
                  <w:shd w:val="clear" w:color="auto" w:fill="auto"/>
                  <w:vAlign w:val="center"/>
                </w:tcPr>
                <w:p w14:paraId="7A6314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2.751</w:t>
                  </w:r>
                </w:p>
              </w:tc>
            </w:tr>
          </w:tbl>
          <w:p w14:paraId="36031728">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370C0C11">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1F6B866D">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2D9F5544">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48380262">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442834D7">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19786DBE">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6EA08E8C">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7666E35F">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166F21C1">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3EA77B07">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4034BFCC">
            <w:pPr>
              <w:pStyle w:val="172"/>
              <w:keepNext w:val="0"/>
              <w:keepLines w:val="0"/>
              <w:suppressLineNumbers w:val="0"/>
              <w:spacing w:before="0" w:beforeAutospacing="0" w:after="0" w:afterAutospacing="0"/>
              <w:ind w:left="0" w:right="0" w:firstLine="480"/>
              <w:rPr>
                <w:rFonts w:hint="eastAsia" w:cs="Times New Roman"/>
                <w:smallCaps w:val="0"/>
                <w:color w:val="auto"/>
                <w:spacing w:val="0"/>
                <w:highlight w:val="none"/>
                <w:lang w:val="en-US" w:eastAsia="zh-CN"/>
              </w:rPr>
            </w:pPr>
          </w:p>
          <w:p w14:paraId="68AC7B29">
            <w:pPr>
              <w:pStyle w:val="172"/>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smallCaps w:val="0"/>
                <w:color w:val="auto"/>
                <w:spacing w:val="0"/>
                <w:highlight w:val="none"/>
                <w:lang w:val="en-US" w:eastAsia="zh-CN"/>
              </w:rPr>
            </w:pPr>
          </w:p>
        </w:tc>
      </w:tr>
    </w:tbl>
    <w:p w14:paraId="05588A5D">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5E4E1D55">
      <w:pPr>
        <w:pStyle w:val="41"/>
        <w:pageBreakBefore/>
        <w:jc w:val="center"/>
        <w:outlineLvl w:val="0"/>
        <w:rPr>
          <w:rFonts w:hint="default" w:ascii="Times New Roman" w:hAnsi="Times New Roman" w:eastAsia="黑体" w:cs="Times New Roman"/>
          <w:smallCaps w:val="0"/>
          <w:snapToGrid w:val="0"/>
          <w:color w:val="auto"/>
          <w:spacing w:val="0"/>
          <w:sz w:val="30"/>
          <w:szCs w:val="30"/>
          <w:highlight w:val="none"/>
        </w:rPr>
      </w:pPr>
      <w:bookmarkStart w:id="36" w:name="_Toc18955"/>
      <w:r>
        <w:rPr>
          <w:rFonts w:hint="default" w:ascii="Times New Roman" w:hAnsi="Times New Roman" w:eastAsia="黑体" w:cs="Times New Roman"/>
          <w:smallCaps w:val="0"/>
          <w:snapToGrid w:val="0"/>
          <w:color w:val="auto"/>
          <w:spacing w:val="0"/>
          <w:sz w:val="30"/>
          <w:szCs w:val="30"/>
          <w:highlight w:val="none"/>
        </w:rPr>
        <w:t>五、</w:t>
      </w:r>
      <w:bookmarkStart w:id="37" w:name="_Hlk54167917"/>
      <w:r>
        <w:rPr>
          <w:rFonts w:hint="default" w:ascii="Times New Roman" w:hAnsi="Times New Roman" w:eastAsia="黑体" w:cs="Times New Roman"/>
          <w:smallCaps w:val="0"/>
          <w:snapToGrid w:val="0"/>
          <w:color w:val="auto"/>
          <w:spacing w:val="0"/>
          <w:sz w:val="30"/>
          <w:szCs w:val="30"/>
          <w:highlight w:val="none"/>
        </w:rPr>
        <w:t>环境保护措施监督检查清单</w:t>
      </w:r>
      <w:bookmarkEnd w:id="36"/>
      <w:bookmarkEnd w:id="37"/>
    </w:p>
    <w:tbl>
      <w:tblPr>
        <w:tblStyle w:val="47"/>
        <w:tblW w:w="90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436"/>
        <w:gridCol w:w="1418"/>
        <w:gridCol w:w="1843"/>
        <w:gridCol w:w="1842"/>
        <w:gridCol w:w="1309"/>
      </w:tblGrid>
      <w:tr w14:paraId="3A8D0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tcBorders>
              <w:tl2br w:val="single" w:color="auto" w:sz="4" w:space="0"/>
            </w:tcBorders>
            <w:vAlign w:val="center"/>
          </w:tcPr>
          <w:p w14:paraId="291DBA2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 xml:space="preserve">      </w:t>
            </w:r>
          </w:p>
          <w:p w14:paraId="4A12301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 xml:space="preserve"> 内容</w:t>
            </w:r>
          </w:p>
          <w:p w14:paraId="3BBD163E">
            <w:pPr>
              <w:pStyle w:val="68"/>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p w14:paraId="3F25B9A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要素</w:t>
            </w:r>
          </w:p>
        </w:tc>
        <w:tc>
          <w:tcPr>
            <w:tcW w:w="1436" w:type="dxa"/>
            <w:vAlign w:val="center"/>
          </w:tcPr>
          <w:p w14:paraId="5B4AF49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排放口(编号、名称)/污染源</w:t>
            </w:r>
          </w:p>
        </w:tc>
        <w:tc>
          <w:tcPr>
            <w:tcW w:w="1418" w:type="dxa"/>
            <w:vAlign w:val="center"/>
          </w:tcPr>
          <w:p w14:paraId="20860C7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污染物项目</w:t>
            </w:r>
          </w:p>
        </w:tc>
        <w:tc>
          <w:tcPr>
            <w:tcW w:w="1843" w:type="dxa"/>
            <w:vAlign w:val="center"/>
          </w:tcPr>
          <w:p w14:paraId="79C3ADC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环境保护措施</w:t>
            </w:r>
          </w:p>
        </w:tc>
        <w:tc>
          <w:tcPr>
            <w:tcW w:w="3151" w:type="dxa"/>
            <w:gridSpan w:val="2"/>
            <w:vAlign w:val="center"/>
          </w:tcPr>
          <w:p w14:paraId="35920CFA">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执行标准</w:t>
            </w:r>
          </w:p>
        </w:tc>
      </w:tr>
      <w:tr w14:paraId="5CAE3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restart"/>
            <w:vAlign w:val="center"/>
          </w:tcPr>
          <w:p w14:paraId="3E52AA7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大气环境</w:t>
            </w:r>
          </w:p>
        </w:tc>
        <w:tc>
          <w:tcPr>
            <w:tcW w:w="1436" w:type="dxa"/>
            <w:vMerge w:val="restart"/>
            <w:shd w:val="clear" w:color="auto" w:fill="auto"/>
            <w:vAlign w:val="center"/>
          </w:tcPr>
          <w:p w14:paraId="77244729">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拆包、投料、烘干、注塑废气排放口</w:t>
            </w:r>
          </w:p>
        </w:tc>
        <w:tc>
          <w:tcPr>
            <w:tcW w:w="1418" w:type="dxa"/>
            <w:shd w:val="clear" w:color="auto" w:fill="auto"/>
            <w:vAlign w:val="center"/>
          </w:tcPr>
          <w:p w14:paraId="50ECA2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非甲烷总烃</w:t>
            </w:r>
          </w:p>
        </w:tc>
        <w:tc>
          <w:tcPr>
            <w:tcW w:w="1843" w:type="dxa"/>
            <w:vMerge w:val="restart"/>
            <w:vAlign w:val="center"/>
          </w:tcPr>
          <w:p w14:paraId="3CDC35BE">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布袋除尘器+两级活性炭吸附装置+15m高排气筒</w:t>
            </w:r>
          </w:p>
        </w:tc>
        <w:tc>
          <w:tcPr>
            <w:tcW w:w="3151" w:type="dxa"/>
            <w:gridSpan w:val="2"/>
            <w:shd w:val="clear" w:color="auto" w:fill="auto"/>
            <w:vAlign w:val="center"/>
          </w:tcPr>
          <w:p w14:paraId="3415EC9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default" w:cs="Times New Roman"/>
                <w:smallCaps w:val="0"/>
                <w:color w:val="auto"/>
                <w:spacing w:val="0"/>
                <w:szCs w:val="21"/>
                <w:highlight w:val="none"/>
                <w:lang w:val="en-US" w:eastAsia="zh-CN"/>
              </w:rPr>
              <w:t>《工业企业挥发性有机物排放控制标准》（DB13/2322-2025）表1（塑料制品制造）标准</w:t>
            </w:r>
          </w:p>
        </w:tc>
      </w:tr>
      <w:tr w14:paraId="42C68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205" w:type="dxa"/>
            <w:vMerge w:val="continue"/>
            <w:vAlign w:val="center"/>
          </w:tcPr>
          <w:p w14:paraId="1325C1D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266F674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418" w:type="dxa"/>
            <w:shd w:val="clear" w:color="auto" w:fill="auto"/>
            <w:vAlign w:val="center"/>
          </w:tcPr>
          <w:p w14:paraId="277AAF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1843" w:type="dxa"/>
            <w:vMerge w:val="continue"/>
            <w:vAlign w:val="center"/>
          </w:tcPr>
          <w:p w14:paraId="333C6144">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vMerge w:val="restart"/>
            <w:shd w:val="clear" w:color="auto" w:fill="auto"/>
            <w:vAlign w:val="center"/>
          </w:tcPr>
          <w:p w14:paraId="22B4175A">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《合成树脂工业污染物排放标准》（GB31572-2015）（含2024年修改单）表5标准</w:t>
            </w:r>
          </w:p>
        </w:tc>
      </w:tr>
      <w:tr w14:paraId="1130A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205" w:type="dxa"/>
            <w:vMerge w:val="continue"/>
            <w:vAlign w:val="center"/>
          </w:tcPr>
          <w:p w14:paraId="1857454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79A0BE6C">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418" w:type="dxa"/>
            <w:shd w:val="clear" w:color="auto" w:fill="auto"/>
            <w:vAlign w:val="center"/>
          </w:tcPr>
          <w:p w14:paraId="1DBB4AE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1843" w:type="dxa"/>
            <w:vMerge w:val="continue"/>
            <w:vAlign w:val="center"/>
          </w:tcPr>
          <w:p w14:paraId="0EA94BBF">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vMerge w:val="continue"/>
            <w:shd w:val="clear" w:color="auto" w:fill="auto"/>
            <w:vAlign w:val="center"/>
          </w:tcPr>
          <w:p w14:paraId="0D47E788">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p>
        </w:tc>
      </w:tr>
      <w:tr w14:paraId="29CBF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205" w:type="dxa"/>
            <w:vMerge w:val="continue"/>
            <w:vAlign w:val="center"/>
          </w:tcPr>
          <w:p w14:paraId="77670AFD">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1397FED6">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418" w:type="dxa"/>
            <w:shd w:val="clear" w:color="auto" w:fill="auto"/>
            <w:vAlign w:val="center"/>
          </w:tcPr>
          <w:p w14:paraId="05F8A8EA">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臭气浓度</w:t>
            </w:r>
          </w:p>
        </w:tc>
        <w:tc>
          <w:tcPr>
            <w:tcW w:w="1843" w:type="dxa"/>
            <w:vMerge w:val="continue"/>
            <w:vAlign w:val="center"/>
          </w:tcPr>
          <w:p w14:paraId="525F7A9A">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shd w:val="clear" w:color="auto" w:fill="auto"/>
            <w:vAlign w:val="center"/>
          </w:tcPr>
          <w:p w14:paraId="3E62662C">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《恶臭污染物排放标准》（GB14554-93）表2标准</w:t>
            </w:r>
          </w:p>
        </w:tc>
      </w:tr>
      <w:tr w14:paraId="418D5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05" w:type="dxa"/>
            <w:vMerge w:val="continue"/>
            <w:vAlign w:val="center"/>
          </w:tcPr>
          <w:p w14:paraId="3B5EE14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restart"/>
            <w:shd w:val="clear" w:color="auto" w:fill="auto"/>
            <w:vAlign w:val="center"/>
          </w:tcPr>
          <w:p w14:paraId="2B4B710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default" w:cs="Times New Roman"/>
                <w:smallCaps w:val="0"/>
                <w:color w:val="auto"/>
                <w:spacing w:val="0"/>
                <w:highlight w:val="none"/>
                <w:lang w:val="en-US" w:eastAsia="zh-CN"/>
              </w:rPr>
            </w:pPr>
            <w:r>
              <w:rPr>
                <w:rFonts w:hint="eastAsia" w:cs="Times New Roman"/>
                <w:smallCaps w:val="0"/>
                <w:color w:val="auto"/>
                <w:spacing w:val="0"/>
                <w:highlight w:val="none"/>
                <w:lang w:val="en-US" w:eastAsia="zh-CN"/>
              </w:rPr>
              <w:t>无组织</w:t>
            </w:r>
          </w:p>
        </w:tc>
        <w:tc>
          <w:tcPr>
            <w:tcW w:w="1418" w:type="dxa"/>
            <w:shd w:val="clear" w:color="auto" w:fill="auto"/>
            <w:vAlign w:val="center"/>
          </w:tcPr>
          <w:p w14:paraId="244B545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颗粒物</w:t>
            </w:r>
          </w:p>
        </w:tc>
        <w:tc>
          <w:tcPr>
            <w:tcW w:w="1843" w:type="dxa"/>
            <w:vMerge w:val="restart"/>
            <w:vAlign w:val="center"/>
          </w:tcPr>
          <w:p w14:paraId="22B51DF7">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原辅材料均在密闭库房内暂存，在贮存、输送、使用过程中保持密闭。本项目原料非即用状态袋装密封。加强拆包、投料、烘干、注塑废气集气罩收集。项目尼龙粒子采用原包料，采用密闭的包装袋进行转移；项目在开停工、检维修时，在退料阶段将残存物料退净，并用相应的密闭容器盛装，项目退料时两级活性炭吸附装置需开启</w:t>
            </w:r>
          </w:p>
        </w:tc>
        <w:tc>
          <w:tcPr>
            <w:tcW w:w="3151" w:type="dxa"/>
            <w:gridSpan w:val="2"/>
            <w:shd w:val="clear" w:color="auto" w:fill="auto"/>
            <w:vAlign w:val="center"/>
          </w:tcPr>
          <w:p w14:paraId="3E13E3D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《合成树脂工业污染物排放标准》（GB31572-2015）（含2024年修改单）表</w:t>
            </w:r>
            <w:r>
              <w:rPr>
                <w:rFonts w:hint="eastAsia" w:cs="Times New Roman"/>
                <w:smallCaps w:val="0"/>
                <w:color w:val="auto"/>
                <w:spacing w:val="0"/>
                <w:szCs w:val="21"/>
                <w:highlight w:val="none"/>
                <w:lang w:val="en-US" w:eastAsia="zh-CN"/>
              </w:rPr>
              <w:t>9</w:t>
            </w:r>
            <w:r>
              <w:rPr>
                <w:rFonts w:hint="eastAsia" w:cs="Times New Roman"/>
                <w:smallCaps w:val="0"/>
                <w:color w:val="auto"/>
                <w:spacing w:val="0"/>
                <w:szCs w:val="21"/>
                <w:highlight w:val="none"/>
                <w:lang w:eastAsia="zh-CN"/>
              </w:rPr>
              <w:t>标准</w:t>
            </w:r>
          </w:p>
        </w:tc>
      </w:tr>
      <w:tr w14:paraId="64D36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05" w:type="dxa"/>
            <w:vMerge w:val="continue"/>
            <w:vAlign w:val="center"/>
          </w:tcPr>
          <w:p w14:paraId="0746CFB6">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0E21F716">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418" w:type="dxa"/>
            <w:shd w:val="clear" w:color="auto" w:fill="auto"/>
            <w:vAlign w:val="center"/>
          </w:tcPr>
          <w:p w14:paraId="2EC981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val="en-US" w:eastAsia="zh-CN"/>
              </w:rPr>
              <w:t>氨</w:t>
            </w:r>
          </w:p>
        </w:tc>
        <w:tc>
          <w:tcPr>
            <w:tcW w:w="1843" w:type="dxa"/>
            <w:vMerge w:val="continue"/>
            <w:vAlign w:val="center"/>
          </w:tcPr>
          <w:p w14:paraId="087CE4B2">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shd w:val="clear" w:color="auto" w:fill="auto"/>
            <w:vAlign w:val="center"/>
          </w:tcPr>
          <w:p w14:paraId="1CC5364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《恶臭污染物排放标准》（GB14554-93）表1二级新扩改建标准</w:t>
            </w:r>
          </w:p>
        </w:tc>
      </w:tr>
      <w:tr w14:paraId="7DC8E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05" w:type="dxa"/>
            <w:vMerge w:val="continue"/>
            <w:vAlign w:val="center"/>
          </w:tcPr>
          <w:p w14:paraId="4A48D53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7BC904DD">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cs="Times New Roman"/>
                <w:smallCaps w:val="0"/>
                <w:color w:val="auto"/>
                <w:spacing w:val="0"/>
                <w:highlight w:val="none"/>
                <w:lang w:val="en-US" w:eastAsia="zh-CN"/>
              </w:rPr>
            </w:pPr>
          </w:p>
        </w:tc>
        <w:tc>
          <w:tcPr>
            <w:tcW w:w="1418" w:type="dxa"/>
            <w:shd w:val="clear" w:color="auto" w:fill="auto"/>
            <w:vAlign w:val="center"/>
          </w:tcPr>
          <w:p w14:paraId="469F6D90">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臭气浓度</w:t>
            </w:r>
          </w:p>
        </w:tc>
        <w:tc>
          <w:tcPr>
            <w:tcW w:w="1843" w:type="dxa"/>
            <w:vMerge w:val="continue"/>
            <w:vAlign w:val="center"/>
          </w:tcPr>
          <w:p w14:paraId="0141CFEE">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shd w:val="clear" w:color="auto" w:fill="auto"/>
            <w:vAlign w:val="center"/>
          </w:tcPr>
          <w:p w14:paraId="1C39AD8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szCs w:val="21"/>
                <w:highlight w:val="none"/>
                <w:lang w:eastAsia="zh-CN"/>
              </w:rPr>
              <w:t>《恶臭污染物排放标准》（GB14554-93）表1二级新扩改建标准</w:t>
            </w:r>
          </w:p>
        </w:tc>
      </w:tr>
      <w:tr w14:paraId="400FE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05" w:type="dxa"/>
            <w:vMerge w:val="continue"/>
            <w:vAlign w:val="center"/>
          </w:tcPr>
          <w:p w14:paraId="495AD4D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Merge w:val="continue"/>
            <w:shd w:val="clear" w:color="auto" w:fill="auto"/>
            <w:vAlign w:val="center"/>
          </w:tcPr>
          <w:p w14:paraId="21E087C0">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p>
        </w:tc>
        <w:tc>
          <w:tcPr>
            <w:tcW w:w="1418" w:type="dxa"/>
            <w:shd w:val="clear" w:color="auto" w:fill="auto"/>
            <w:vAlign w:val="center"/>
          </w:tcPr>
          <w:p w14:paraId="11F49E29">
            <w:pPr>
              <w:pStyle w:val="67"/>
              <w:keepNext w:val="0"/>
              <w:keepLines w:val="0"/>
              <w:pageBreakBefore w:val="0"/>
              <w:suppressLineNumbers w:val="0"/>
              <w:wordWrap/>
              <w:bidi w:val="0"/>
              <w:spacing w:before="0" w:beforeAutospacing="0" w:after="0" w:afterAutospacing="0" w:line="360" w:lineRule="exact"/>
              <w:ind w:left="0" w:leftChars="0" w:right="0" w:rightChars="0"/>
              <w:jc w:val="center"/>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非甲烷总烃</w:t>
            </w:r>
          </w:p>
        </w:tc>
        <w:tc>
          <w:tcPr>
            <w:tcW w:w="1843" w:type="dxa"/>
            <w:vMerge w:val="continue"/>
            <w:vAlign w:val="center"/>
          </w:tcPr>
          <w:p w14:paraId="776C6BC8">
            <w:pPr>
              <w:keepNext w:val="0"/>
              <w:keepLines w:val="0"/>
              <w:pageBreakBefore w:val="0"/>
              <w:widowControl w:val="0"/>
              <w:suppressLineNumbers w:val="0"/>
              <w:kinsoku/>
              <w:wordWrap/>
              <w:overflowPunct/>
              <w:bidi w:val="0"/>
              <w:spacing w:before="0" w:beforeAutospacing="0" w:after="0" w:afterAutospacing="0" w:line="320" w:lineRule="exact"/>
              <w:ind w:left="0" w:right="0"/>
              <w:jc w:val="center"/>
              <w:rPr>
                <w:rFonts w:hint="eastAsia" w:cs="Times New Roman"/>
                <w:smallCaps w:val="0"/>
                <w:color w:val="auto"/>
                <w:spacing w:val="0"/>
                <w:sz w:val="21"/>
                <w:szCs w:val="21"/>
                <w:highlight w:val="none"/>
                <w:lang w:val="en-US" w:eastAsia="zh-CN"/>
              </w:rPr>
            </w:pPr>
          </w:p>
        </w:tc>
        <w:tc>
          <w:tcPr>
            <w:tcW w:w="3151" w:type="dxa"/>
            <w:gridSpan w:val="2"/>
            <w:shd w:val="clear" w:color="auto" w:fill="auto"/>
            <w:vAlign w:val="center"/>
          </w:tcPr>
          <w:p w14:paraId="1F8EEF23">
            <w:pPr>
              <w:keepNext w:val="0"/>
              <w:keepLines w:val="0"/>
              <w:suppressLineNumbers w:val="0"/>
              <w:adjustRightInd w:val="0"/>
              <w:snapToGrid w:val="0"/>
              <w:spacing w:before="0" w:beforeAutospacing="0" w:after="0" w:afterAutospacing="0"/>
              <w:ind w:left="0" w:leftChars="0" w:right="0" w:rightChars="0"/>
              <w:jc w:val="center"/>
              <w:rPr>
                <w:rFonts w:hint="eastAsia" w:cs="Times New Roman"/>
                <w:smallCaps w:val="0"/>
                <w:color w:val="auto"/>
                <w:spacing w:val="0"/>
                <w:szCs w:val="21"/>
                <w:highlight w:val="none"/>
                <w:lang w:eastAsia="zh-CN"/>
              </w:rPr>
            </w:pPr>
            <w:r>
              <w:rPr>
                <w:rFonts w:hint="eastAsia" w:cs="Times New Roman"/>
                <w:smallCaps w:val="0"/>
                <w:color w:val="auto"/>
                <w:spacing w:val="0"/>
                <w:szCs w:val="21"/>
                <w:highlight w:val="none"/>
                <w:lang w:eastAsia="zh-CN"/>
              </w:rPr>
              <w:t>《工业企业挥发性有机物排放控制标准》（DB13/2322-2016）表2标准</w:t>
            </w:r>
          </w:p>
        </w:tc>
      </w:tr>
      <w:tr w14:paraId="13355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Align w:val="center"/>
          </w:tcPr>
          <w:p w14:paraId="17183A3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地表水环境</w:t>
            </w:r>
          </w:p>
        </w:tc>
        <w:tc>
          <w:tcPr>
            <w:tcW w:w="1436" w:type="dxa"/>
            <w:shd w:val="clear" w:color="auto" w:fill="auto"/>
            <w:vAlign w:val="center"/>
          </w:tcPr>
          <w:p w14:paraId="65C828CB">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职工生活污水</w:t>
            </w:r>
          </w:p>
        </w:tc>
        <w:tc>
          <w:tcPr>
            <w:tcW w:w="1418" w:type="dxa"/>
            <w:shd w:val="clear" w:color="auto" w:fill="auto"/>
            <w:vAlign w:val="center"/>
          </w:tcPr>
          <w:p w14:paraId="19D71D55">
            <w:pPr>
              <w:pStyle w:val="67"/>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smallCaps w:val="0"/>
                <w:color w:val="auto"/>
                <w:spacing w:val="0"/>
                <w:kern w:val="0"/>
                <w:sz w:val="21"/>
                <w:szCs w:val="22"/>
                <w:highlight w:val="none"/>
                <w:lang w:val="en-US" w:eastAsia="zh-CN" w:bidi="ar-SA"/>
              </w:rPr>
            </w:pPr>
            <w:r>
              <w:rPr>
                <w:rFonts w:hint="default" w:ascii="Times New Roman" w:hAnsi="Times New Roman" w:eastAsia="宋体" w:cs="Times New Roman"/>
                <w:color w:val="auto"/>
                <w:sz w:val="21"/>
                <w:szCs w:val="24"/>
                <w:highlight w:val="none"/>
              </w:rPr>
              <w:t>pH值、悬浮物、化学需氧量、五日生化需氧量、</w:t>
            </w:r>
            <w:r>
              <w:rPr>
                <w:rFonts w:hint="eastAsia" w:cs="Times New Roman"/>
                <w:color w:val="auto"/>
                <w:sz w:val="21"/>
                <w:szCs w:val="24"/>
                <w:highlight w:val="none"/>
                <w:lang w:eastAsia="zh-CN"/>
              </w:rPr>
              <w:t>氨氮、总氮、总磷</w:t>
            </w:r>
          </w:p>
        </w:tc>
        <w:tc>
          <w:tcPr>
            <w:tcW w:w="4994" w:type="dxa"/>
            <w:gridSpan w:val="3"/>
            <w:shd w:val="clear" w:color="auto" w:fill="auto"/>
            <w:vAlign w:val="center"/>
          </w:tcPr>
          <w:p w14:paraId="62598746">
            <w:pPr>
              <w:keepNext w:val="0"/>
              <w:keepLines w:val="0"/>
              <w:pageBreakBefore w:val="0"/>
              <w:widowControl w:val="0"/>
              <w:suppressLineNumbers w:val="0"/>
              <w:kinsoku/>
              <w:wordWrap/>
              <w:overflowPunct/>
              <w:bidi w:val="0"/>
              <w:spacing w:before="0" w:beforeAutospacing="0" w:after="0" w:afterAutospacing="0" w:line="320" w:lineRule="exact"/>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olor w:val="auto"/>
                <w:szCs w:val="20"/>
                <w:highlight w:val="none"/>
                <w:lang w:val="en-US" w:eastAsia="zh-CN"/>
              </w:rPr>
              <w:t>经集成式生物化粪池处理后经园区污水管网排入绿源污水处理有限公司进一步处理</w:t>
            </w:r>
          </w:p>
        </w:tc>
      </w:tr>
      <w:tr w14:paraId="16B86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Align w:val="center"/>
          </w:tcPr>
          <w:p w14:paraId="250CE43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声环境</w:t>
            </w:r>
          </w:p>
        </w:tc>
        <w:tc>
          <w:tcPr>
            <w:tcW w:w="1436" w:type="dxa"/>
            <w:vAlign w:val="center"/>
          </w:tcPr>
          <w:p w14:paraId="4E89657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生产设备</w:t>
            </w:r>
          </w:p>
        </w:tc>
        <w:tc>
          <w:tcPr>
            <w:tcW w:w="1418" w:type="dxa"/>
            <w:vAlign w:val="center"/>
          </w:tcPr>
          <w:p w14:paraId="77E6A83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等效A声级</w:t>
            </w:r>
          </w:p>
        </w:tc>
        <w:tc>
          <w:tcPr>
            <w:tcW w:w="1843" w:type="dxa"/>
            <w:vAlign w:val="center"/>
          </w:tcPr>
          <w:p w14:paraId="75084BA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eastAsia="zh-CN"/>
              </w:rPr>
            </w:pPr>
            <w:r>
              <w:rPr>
                <w:rFonts w:hint="default" w:ascii="Times New Roman" w:hAnsi="Times New Roman" w:eastAsia="宋体" w:cs="Times New Roman"/>
                <w:smallCaps w:val="0"/>
                <w:color w:val="auto"/>
                <w:spacing w:val="0"/>
                <w:sz w:val="21"/>
                <w:szCs w:val="21"/>
                <w:highlight w:val="none"/>
                <w:lang w:eastAsia="zh-CN"/>
              </w:rPr>
              <w:t>选用低噪声设备、基础减振、厂房隔声等措施</w:t>
            </w:r>
          </w:p>
        </w:tc>
        <w:tc>
          <w:tcPr>
            <w:tcW w:w="3151" w:type="dxa"/>
            <w:gridSpan w:val="2"/>
            <w:vAlign w:val="center"/>
          </w:tcPr>
          <w:p w14:paraId="2DF7190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rPr>
              <w:t>厂界执行《工业企业厂界环境噪声排放标准》(GB12348-2008）</w:t>
            </w:r>
            <w:r>
              <w:rPr>
                <w:rFonts w:hint="eastAsia" w:cs="Times New Roman"/>
                <w:smallCaps w:val="0"/>
                <w:color w:val="auto"/>
                <w:spacing w:val="0"/>
                <w:sz w:val="21"/>
                <w:szCs w:val="21"/>
                <w:highlight w:val="none"/>
                <w:lang w:val="en-US" w:eastAsia="zh-CN"/>
              </w:rPr>
              <w:t>3类</w:t>
            </w:r>
            <w:r>
              <w:rPr>
                <w:rFonts w:hint="default" w:ascii="Times New Roman" w:hAnsi="Times New Roman" w:eastAsia="宋体" w:cs="Times New Roman"/>
                <w:smallCaps w:val="0"/>
                <w:color w:val="auto"/>
                <w:spacing w:val="0"/>
                <w:sz w:val="21"/>
                <w:szCs w:val="21"/>
                <w:highlight w:val="none"/>
              </w:rPr>
              <w:t>标准（昼间≤</w:t>
            </w:r>
            <w:r>
              <w:rPr>
                <w:rFonts w:hint="eastAsia" w:cs="Times New Roman"/>
                <w:smallCaps w:val="0"/>
                <w:color w:val="auto"/>
                <w:spacing w:val="0"/>
                <w:sz w:val="21"/>
                <w:szCs w:val="21"/>
                <w:highlight w:val="none"/>
                <w:lang w:val="en-US" w:eastAsia="zh-CN"/>
              </w:rPr>
              <w:t>65</w:t>
            </w:r>
            <w:r>
              <w:rPr>
                <w:rFonts w:hint="default" w:ascii="Times New Roman" w:hAnsi="Times New Roman" w:eastAsia="宋体" w:cs="Times New Roman"/>
                <w:smallCaps w:val="0"/>
                <w:color w:val="auto"/>
                <w:spacing w:val="0"/>
                <w:sz w:val="21"/>
                <w:szCs w:val="21"/>
                <w:highlight w:val="none"/>
              </w:rPr>
              <w:t>dB（A）</w:t>
            </w:r>
            <w:r>
              <w:rPr>
                <w:rFonts w:hint="default" w:ascii="Times New Roman" w:hAnsi="Times New Roman" w:eastAsia="宋体" w:cs="Times New Roman"/>
                <w:smallCaps w:val="0"/>
                <w:color w:val="auto"/>
                <w:spacing w:val="0"/>
                <w:sz w:val="21"/>
                <w:szCs w:val="21"/>
                <w:highlight w:val="none"/>
                <w:lang w:eastAsia="zh-CN"/>
              </w:rPr>
              <w:t>，</w:t>
            </w:r>
            <w:r>
              <w:rPr>
                <w:rFonts w:hint="eastAsia" w:cs="Times New Roman"/>
                <w:smallCaps w:val="0"/>
                <w:color w:val="auto"/>
                <w:spacing w:val="0"/>
                <w:sz w:val="21"/>
                <w:szCs w:val="21"/>
                <w:highlight w:val="none"/>
                <w:lang w:val="en-US" w:eastAsia="zh-CN"/>
              </w:rPr>
              <w:t>夜间≤55</w:t>
            </w:r>
            <w:r>
              <w:rPr>
                <w:rFonts w:hint="default" w:ascii="Times New Roman" w:hAnsi="Times New Roman" w:eastAsia="宋体" w:cs="Times New Roman"/>
                <w:smallCaps w:val="0"/>
                <w:color w:val="auto"/>
                <w:spacing w:val="0"/>
                <w:sz w:val="21"/>
                <w:szCs w:val="21"/>
                <w:highlight w:val="none"/>
              </w:rPr>
              <w:t>dB（A））</w:t>
            </w:r>
          </w:p>
        </w:tc>
      </w:tr>
      <w:tr w14:paraId="7D335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Align w:val="center"/>
          </w:tcPr>
          <w:p w14:paraId="3077DE5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电磁辐射</w:t>
            </w:r>
          </w:p>
        </w:tc>
        <w:tc>
          <w:tcPr>
            <w:tcW w:w="7848" w:type="dxa"/>
            <w:gridSpan w:val="5"/>
            <w:vAlign w:val="center"/>
          </w:tcPr>
          <w:p w14:paraId="6289F3B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w:t>
            </w:r>
          </w:p>
        </w:tc>
      </w:tr>
      <w:tr w14:paraId="214B5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restart"/>
            <w:vAlign w:val="center"/>
          </w:tcPr>
          <w:p w14:paraId="04C96CD2">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eastAsia="zh-CN"/>
              </w:rPr>
            </w:pPr>
            <w:r>
              <w:rPr>
                <w:rFonts w:hint="default" w:ascii="Times New Roman" w:hAnsi="Times New Roman" w:cs="Times New Roman"/>
                <w:smallCaps w:val="0"/>
                <w:color w:val="auto"/>
                <w:spacing w:val="0"/>
                <w:sz w:val="21"/>
                <w:szCs w:val="21"/>
                <w:highlight w:val="none"/>
                <w:lang w:val="en-US" w:eastAsia="zh-CN"/>
              </w:rPr>
              <w:t>固体废物</w:t>
            </w:r>
          </w:p>
        </w:tc>
        <w:tc>
          <w:tcPr>
            <w:tcW w:w="1436" w:type="dxa"/>
            <w:shd w:val="clear" w:color="auto" w:fill="auto"/>
            <w:vAlign w:val="center"/>
          </w:tcPr>
          <w:p w14:paraId="60A5A418">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原辅料拆包</w:t>
            </w:r>
          </w:p>
        </w:tc>
        <w:tc>
          <w:tcPr>
            <w:tcW w:w="1418" w:type="dxa"/>
            <w:shd w:val="clear" w:color="auto" w:fill="auto"/>
            <w:vAlign w:val="center"/>
          </w:tcPr>
          <w:p w14:paraId="430704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废包装材料</w:t>
            </w:r>
          </w:p>
        </w:tc>
        <w:tc>
          <w:tcPr>
            <w:tcW w:w="3685" w:type="dxa"/>
            <w:gridSpan w:val="2"/>
            <w:vAlign w:val="center"/>
          </w:tcPr>
          <w:p w14:paraId="6834E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收集后外售</w:t>
            </w:r>
          </w:p>
        </w:tc>
        <w:tc>
          <w:tcPr>
            <w:tcW w:w="1309" w:type="dxa"/>
            <w:vMerge w:val="restart"/>
            <w:vAlign w:val="center"/>
          </w:tcPr>
          <w:p w14:paraId="1449C2E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合理处置</w:t>
            </w:r>
          </w:p>
        </w:tc>
      </w:tr>
      <w:tr w14:paraId="292EA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6656216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cs="Times New Roman"/>
                <w:smallCaps w:val="0"/>
                <w:color w:val="auto"/>
                <w:spacing w:val="0"/>
                <w:sz w:val="21"/>
                <w:szCs w:val="21"/>
                <w:highlight w:val="none"/>
                <w:lang w:val="en-US" w:eastAsia="zh-CN"/>
              </w:rPr>
            </w:pPr>
          </w:p>
        </w:tc>
        <w:tc>
          <w:tcPr>
            <w:tcW w:w="1436" w:type="dxa"/>
            <w:shd w:val="clear" w:color="auto" w:fill="auto"/>
            <w:vAlign w:val="center"/>
          </w:tcPr>
          <w:p w14:paraId="5D0ACFB7">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注塑</w:t>
            </w:r>
          </w:p>
        </w:tc>
        <w:tc>
          <w:tcPr>
            <w:tcW w:w="1418" w:type="dxa"/>
            <w:shd w:val="clear" w:color="auto" w:fill="auto"/>
            <w:vAlign w:val="center"/>
          </w:tcPr>
          <w:p w14:paraId="28366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废塑料边角料</w:t>
            </w:r>
          </w:p>
        </w:tc>
        <w:tc>
          <w:tcPr>
            <w:tcW w:w="3685" w:type="dxa"/>
            <w:gridSpan w:val="2"/>
            <w:vAlign w:val="center"/>
          </w:tcPr>
          <w:p w14:paraId="464BB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收集后外售</w:t>
            </w:r>
          </w:p>
        </w:tc>
        <w:tc>
          <w:tcPr>
            <w:tcW w:w="1309" w:type="dxa"/>
            <w:vMerge w:val="continue"/>
            <w:vAlign w:val="center"/>
          </w:tcPr>
          <w:p w14:paraId="27E4DD52">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71062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28B35DB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cs="Times New Roman"/>
                <w:smallCaps w:val="0"/>
                <w:color w:val="auto"/>
                <w:spacing w:val="0"/>
                <w:sz w:val="21"/>
                <w:szCs w:val="21"/>
                <w:highlight w:val="none"/>
                <w:lang w:val="en-US" w:eastAsia="zh-CN"/>
              </w:rPr>
            </w:pPr>
          </w:p>
        </w:tc>
        <w:tc>
          <w:tcPr>
            <w:tcW w:w="1436" w:type="dxa"/>
            <w:shd w:val="clear" w:color="auto" w:fill="auto"/>
            <w:vAlign w:val="center"/>
          </w:tcPr>
          <w:p w14:paraId="609947F8">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汽车塑料配件检验</w:t>
            </w:r>
          </w:p>
        </w:tc>
        <w:tc>
          <w:tcPr>
            <w:tcW w:w="1418" w:type="dxa"/>
            <w:shd w:val="clear" w:color="auto" w:fill="auto"/>
            <w:vAlign w:val="center"/>
          </w:tcPr>
          <w:p w14:paraId="3E58D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不合格品</w:t>
            </w:r>
          </w:p>
        </w:tc>
        <w:tc>
          <w:tcPr>
            <w:tcW w:w="3685" w:type="dxa"/>
            <w:gridSpan w:val="2"/>
            <w:vAlign w:val="center"/>
          </w:tcPr>
          <w:p w14:paraId="7427C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收集后外售</w:t>
            </w:r>
          </w:p>
        </w:tc>
        <w:tc>
          <w:tcPr>
            <w:tcW w:w="1309" w:type="dxa"/>
            <w:vMerge w:val="continue"/>
            <w:vAlign w:val="center"/>
          </w:tcPr>
          <w:p w14:paraId="5BB87C2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4CF06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61472F76">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cs="Times New Roman"/>
                <w:smallCaps w:val="0"/>
                <w:color w:val="auto"/>
                <w:spacing w:val="0"/>
                <w:sz w:val="21"/>
                <w:szCs w:val="21"/>
                <w:highlight w:val="none"/>
                <w:lang w:val="en-US" w:eastAsia="zh-CN"/>
              </w:rPr>
            </w:pPr>
          </w:p>
        </w:tc>
        <w:tc>
          <w:tcPr>
            <w:tcW w:w="1436" w:type="dxa"/>
            <w:shd w:val="clear" w:color="auto" w:fill="auto"/>
            <w:vAlign w:val="center"/>
          </w:tcPr>
          <w:p w14:paraId="29592B54">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剪板</w:t>
            </w:r>
          </w:p>
        </w:tc>
        <w:tc>
          <w:tcPr>
            <w:tcW w:w="1418" w:type="dxa"/>
            <w:shd w:val="clear" w:color="auto" w:fill="auto"/>
            <w:vAlign w:val="center"/>
          </w:tcPr>
          <w:p w14:paraId="60DA1E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金属下脚料</w:t>
            </w:r>
          </w:p>
        </w:tc>
        <w:tc>
          <w:tcPr>
            <w:tcW w:w="3685" w:type="dxa"/>
            <w:gridSpan w:val="2"/>
            <w:vAlign w:val="center"/>
          </w:tcPr>
          <w:p w14:paraId="462EC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收集后外售</w:t>
            </w:r>
          </w:p>
        </w:tc>
        <w:tc>
          <w:tcPr>
            <w:tcW w:w="1309" w:type="dxa"/>
            <w:vMerge w:val="continue"/>
            <w:vAlign w:val="center"/>
          </w:tcPr>
          <w:p w14:paraId="1D10FFC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5C819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61D1F7CD">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192E5C1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highlight w:val="none"/>
                <w:lang w:val="en-US" w:eastAsia="zh-CN"/>
              </w:rPr>
              <w:t>电极片检验</w:t>
            </w:r>
          </w:p>
        </w:tc>
        <w:tc>
          <w:tcPr>
            <w:tcW w:w="1418" w:type="dxa"/>
            <w:shd w:val="clear" w:color="auto" w:fill="auto"/>
            <w:vAlign w:val="center"/>
          </w:tcPr>
          <w:p w14:paraId="5365A7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不合格电极片</w:t>
            </w:r>
          </w:p>
        </w:tc>
        <w:tc>
          <w:tcPr>
            <w:tcW w:w="3685" w:type="dxa"/>
            <w:gridSpan w:val="2"/>
            <w:vAlign w:val="center"/>
          </w:tcPr>
          <w:p w14:paraId="0A9F82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kern w:val="2"/>
                <w:sz w:val="21"/>
                <w:szCs w:val="21"/>
                <w:highlight w:val="none"/>
                <w:lang w:val="en-US" w:eastAsia="zh-CN" w:bidi="ar-SA"/>
              </w:rPr>
              <w:t>收集后外售</w:t>
            </w:r>
          </w:p>
        </w:tc>
        <w:tc>
          <w:tcPr>
            <w:tcW w:w="1309" w:type="dxa"/>
            <w:vMerge w:val="continue"/>
            <w:vAlign w:val="center"/>
          </w:tcPr>
          <w:p w14:paraId="6086488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0C755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75FC177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22BDE6AA">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highlight w:val="none"/>
                <w:lang w:val="en-US" w:eastAsia="zh-CN"/>
              </w:rPr>
              <w:t>设备维护</w:t>
            </w:r>
          </w:p>
        </w:tc>
        <w:tc>
          <w:tcPr>
            <w:tcW w:w="1418" w:type="dxa"/>
            <w:shd w:val="clear" w:color="auto" w:fill="auto"/>
            <w:vAlign w:val="center"/>
          </w:tcPr>
          <w:p w14:paraId="64846B25">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w:t>
            </w:r>
          </w:p>
        </w:tc>
        <w:tc>
          <w:tcPr>
            <w:tcW w:w="3685" w:type="dxa"/>
            <w:gridSpan w:val="2"/>
            <w:vMerge w:val="restart"/>
            <w:vAlign w:val="center"/>
          </w:tcPr>
          <w:p w14:paraId="45B10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r>
              <w:rPr>
                <w:rFonts w:hint="eastAsia" w:cs="Times New Roman"/>
                <w:smallCaps w:val="0"/>
                <w:color w:val="auto"/>
                <w:spacing w:val="0"/>
                <w:sz w:val="21"/>
                <w:szCs w:val="21"/>
                <w:highlight w:val="none"/>
                <w:lang w:val="en-US" w:eastAsia="zh-CN"/>
              </w:rPr>
              <w:t>危废间暂存后</w:t>
            </w:r>
            <w:r>
              <w:rPr>
                <w:rFonts w:hint="default" w:ascii="Times New Roman" w:hAnsi="Times New Roman" w:cs="Times New Roman"/>
                <w:smallCaps w:val="0"/>
                <w:color w:val="auto"/>
                <w:spacing w:val="0"/>
                <w:sz w:val="21"/>
                <w:szCs w:val="21"/>
                <w:highlight w:val="none"/>
                <w:lang w:val="en-US" w:eastAsia="zh-CN"/>
              </w:rPr>
              <w:t>，</w:t>
            </w:r>
            <w:r>
              <w:rPr>
                <w:rFonts w:hint="eastAsia" w:cs="Times New Roman"/>
                <w:smallCaps w:val="0"/>
                <w:color w:val="auto"/>
                <w:spacing w:val="0"/>
                <w:sz w:val="21"/>
                <w:szCs w:val="21"/>
                <w:highlight w:val="none"/>
                <w:lang w:val="en-US" w:eastAsia="zh-CN"/>
              </w:rPr>
              <w:t>交由有危废处置资质单位处置</w:t>
            </w:r>
          </w:p>
        </w:tc>
        <w:tc>
          <w:tcPr>
            <w:tcW w:w="1309" w:type="dxa"/>
            <w:vMerge w:val="continue"/>
            <w:vAlign w:val="center"/>
          </w:tcPr>
          <w:p w14:paraId="1506DC8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43DA5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155444D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2C93FCE3">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highlight w:val="none"/>
                <w:lang w:val="en-US" w:eastAsia="zh-CN"/>
              </w:rPr>
              <w:t>设备维护</w:t>
            </w:r>
          </w:p>
        </w:tc>
        <w:tc>
          <w:tcPr>
            <w:tcW w:w="1418" w:type="dxa"/>
            <w:shd w:val="clear" w:color="auto" w:fill="auto"/>
            <w:vAlign w:val="center"/>
          </w:tcPr>
          <w:p w14:paraId="53B04400">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废润滑油桶</w:t>
            </w:r>
          </w:p>
        </w:tc>
        <w:tc>
          <w:tcPr>
            <w:tcW w:w="3685" w:type="dxa"/>
            <w:gridSpan w:val="2"/>
            <w:vMerge w:val="continue"/>
            <w:vAlign w:val="center"/>
          </w:tcPr>
          <w:p w14:paraId="0202D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7C66671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0CAE0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77F2F23A">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14C1777E">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cs="Times New Roman"/>
                <w:smallCaps w:val="0"/>
                <w:color w:val="auto"/>
                <w:spacing w:val="0"/>
                <w:highlight w:val="none"/>
                <w:lang w:val="en-US" w:eastAsia="zh-CN"/>
              </w:rPr>
              <w:t>设备维护</w:t>
            </w:r>
          </w:p>
        </w:tc>
        <w:tc>
          <w:tcPr>
            <w:tcW w:w="1418" w:type="dxa"/>
            <w:shd w:val="clear" w:color="auto" w:fill="auto"/>
            <w:vAlign w:val="center"/>
          </w:tcPr>
          <w:p w14:paraId="296B3D43">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含油抹布及废劳保用品</w:t>
            </w:r>
          </w:p>
        </w:tc>
        <w:tc>
          <w:tcPr>
            <w:tcW w:w="3685" w:type="dxa"/>
            <w:gridSpan w:val="2"/>
            <w:vMerge w:val="continue"/>
            <w:vAlign w:val="center"/>
          </w:tcPr>
          <w:p w14:paraId="07540B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238A0A3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2C30B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1461167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0D67405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bCs/>
                <w:smallCaps w:val="0"/>
                <w:color w:val="auto"/>
                <w:spacing w:val="0"/>
                <w:kern w:val="0"/>
                <w:sz w:val="21"/>
                <w:szCs w:val="20"/>
                <w:highlight w:val="none"/>
                <w:lang w:val="en-US" w:eastAsia="zh-CN" w:bidi="ar-SA"/>
              </w:rPr>
              <w:t>机加工</w:t>
            </w:r>
          </w:p>
        </w:tc>
        <w:tc>
          <w:tcPr>
            <w:tcW w:w="1418" w:type="dxa"/>
            <w:shd w:val="clear" w:color="auto" w:fill="auto"/>
            <w:vAlign w:val="center"/>
          </w:tcPr>
          <w:p w14:paraId="483A1F78">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3685" w:type="dxa"/>
            <w:gridSpan w:val="2"/>
            <w:vMerge w:val="continue"/>
            <w:vAlign w:val="center"/>
          </w:tcPr>
          <w:p w14:paraId="7A01C1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5DF7CFC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5A75C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29B8083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00E3D71D">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bCs/>
                <w:smallCaps w:val="0"/>
                <w:color w:val="auto"/>
                <w:spacing w:val="0"/>
                <w:kern w:val="0"/>
                <w:sz w:val="21"/>
                <w:szCs w:val="20"/>
                <w:highlight w:val="none"/>
                <w:lang w:val="en-US" w:eastAsia="zh-CN" w:bidi="ar-SA"/>
              </w:rPr>
              <w:t>注塑</w:t>
            </w:r>
          </w:p>
        </w:tc>
        <w:tc>
          <w:tcPr>
            <w:tcW w:w="1418" w:type="dxa"/>
            <w:shd w:val="clear" w:color="auto" w:fill="auto"/>
            <w:vAlign w:val="center"/>
          </w:tcPr>
          <w:p w14:paraId="6D41BCE2">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3685" w:type="dxa"/>
            <w:gridSpan w:val="2"/>
            <w:vMerge w:val="continue"/>
            <w:vAlign w:val="center"/>
          </w:tcPr>
          <w:p w14:paraId="01D63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74B1A66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43D70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631196B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45409435">
            <w:pPr>
              <w:pStyle w:val="67"/>
              <w:keepNext w:val="0"/>
              <w:keepLines w:val="0"/>
              <w:suppressLineNumbers w:val="0"/>
              <w:spacing w:before="0" w:beforeAutospacing="0" w:after="0" w:afterAutospacing="0"/>
              <w:ind w:left="0" w:leftChars="0" w:right="0" w:rightChars="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bCs/>
                <w:smallCaps w:val="0"/>
                <w:color w:val="auto"/>
                <w:spacing w:val="0"/>
                <w:kern w:val="0"/>
                <w:sz w:val="21"/>
                <w:szCs w:val="20"/>
                <w:highlight w:val="none"/>
                <w:lang w:val="en-US" w:eastAsia="zh-CN" w:bidi="ar-SA"/>
              </w:rPr>
              <w:t>注塑</w:t>
            </w:r>
          </w:p>
        </w:tc>
        <w:tc>
          <w:tcPr>
            <w:tcW w:w="1418" w:type="dxa"/>
            <w:shd w:val="clear" w:color="auto" w:fill="auto"/>
            <w:vAlign w:val="center"/>
          </w:tcPr>
          <w:p w14:paraId="64BBFA5D">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3685" w:type="dxa"/>
            <w:gridSpan w:val="2"/>
            <w:vMerge w:val="continue"/>
            <w:vAlign w:val="center"/>
          </w:tcPr>
          <w:p w14:paraId="4543D3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750A59F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2083F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7FE1CE06">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3E845C4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eastAsia" w:ascii="Times New Roman" w:hAnsi="Times New Roman"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布袋除尘器</w:t>
            </w:r>
          </w:p>
        </w:tc>
        <w:tc>
          <w:tcPr>
            <w:tcW w:w="1418" w:type="dxa"/>
            <w:shd w:val="clear" w:color="auto" w:fill="auto"/>
            <w:vAlign w:val="center"/>
          </w:tcPr>
          <w:p w14:paraId="4CDD15C7">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3685" w:type="dxa"/>
            <w:gridSpan w:val="2"/>
            <w:vMerge w:val="continue"/>
            <w:vAlign w:val="center"/>
          </w:tcPr>
          <w:p w14:paraId="58843C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2DD00BA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33729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72D0D950">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shd w:val="clear" w:color="auto" w:fill="auto"/>
            <w:vAlign w:val="center"/>
          </w:tcPr>
          <w:p w14:paraId="1D59661E">
            <w:pPr>
              <w:pStyle w:val="67"/>
              <w:keepNext w:val="0"/>
              <w:keepLines w:val="0"/>
              <w:pageBreakBefore w:val="0"/>
              <w:widowControl w:val="0"/>
              <w:suppressLineNumbers w:val="0"/>
              <w:kinsoku/>
              <w:wordWrap/>
              <w:overflowPunct/>
              <w:bidi w:val="0"/>
              <w:spacing w:before="0" w:beforeAutospacing="0" w:after="0" w:afterAutospacing="0" w:line="320" w:lineRule="exact"/>
              <w:ind w:left="0" w:leftChars="0" w:right="0" w:rightChars="0"/>
              <w:rPr>
                <w:rFonts w:hint="eastAsia" w:ascii="Times New Roman" w:hAnsi="Times New Roman" w:eastAsia="宋体" w:cs="Times New Roman"/>
                <w:bCs/>
                <w:smallCaps w:val="0"/>
                <w:color w:val="auto"/>
                <w:spacing w:val="0"/>
                <w:kern w:val="0"/>
                <w:sz w:val="21"/>
                <w:szCs w:val="20"/>
                <w:highlight w:val="none"/>
                <w:lang w:val="en-US" w:eastAsia="zh-CN" w:bidi="ar-SA"/>
              </w:rPr>
            </w:pPr>
            <w:r>
              <w:rPr>
                <w:rFonts w:hint="eastAsia" w:cs="Times New Roman"/>
                <w:smallCaps w:val="0"/>
                <w:color w:val="auto"/>
                <w:spacing w:val="0"/>
                <w:highlight w:val="none"/>
                <w:lang w:val="en-US" w:eastAsia="zh-CN"/>
              </w:rPr>
              <w:t>布袋除尘器</w:t>
            </w:r>
          </w:p>
        </w:tc>
        <w:tc>
          <w:tcPr>
            <w:tcW w:w="1418" w:type="dxa"/>
            <w:shd w:val="clear" w:color="auto" w:fill="auto"/>
            <w:vAlign w:val="center"/>
          </w:tcPr>
          <w:p w14:paraId="5B54D564">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除尘灰</w:t>
            </w:r>
          </w:p>
        </w:tc>
        <w:tc>
          <w:tcPr>
            <w:tcW w:w="3685" w:type="dxa"/>
            <w:gridSpan w:val="2"/>
            <w:vMerge w:val="continue"/>
            <w:vAlign w:val="center"/>
          </w:tcPr>
          <w:p w14:paraId="234D7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55267E4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5B232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4E425BE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6A4BF0F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cs="Times New Roman"/>
                <w:bCs/>
                <w:smallCaps w:val="0"/>
                <w:color w:val="auto"/>
                <w:spacing w:val="0"/>
                <w:kern w:val="0"/>
                <w:sz w:val="21"/>
                <w:szCs w:val="20"/>
                <w:highlight w:val="none"/>
                <w:lang w:val="en-US" w:eastAsia="zh-CN" w:bidi="ar-SA"/>
              </w:rPr>
            </w:pPr>
            <w:r>
              <w:rPr>
                <w:rFonts w:hint="eastAsia" w:cs="Times New Roman"/>
                <w:bCs/>
                <w:smallCaps w:val="0"/>
                <w:color w:val="auto"/>
                <w:spacing w:val="0"/>
                <w:kern w:val="0"/>
                <w:sz w:val="21"/>
                <w:szCs w:val="20"/>
                <w:highlight w:val="none"/>
                <w:lang w:val="en-US" w:eastAsia="zh-CN" w:bidi="ar-SA"/>
              </w:rPr>
              <w:t>两级活性吸附装置</w:t>
            </w:r>
          </w:p>
        </w:tc>
        <w:tc>
          <w:tcPr>
            <w:tcW w:w="1418" w:type="dxa"/>
            <w:shd w:val="clear" w:color="auto" w:fill="auto"/>
            <w:vAlign w:val="center"/>
          </w:tcPr>
          <w:p w14:paraId="778963DB">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3685" w:type="dxa"/>
            <w:gridSpan w:val="2"/>
            <w:vMerge w:val="continue"/>
            <w:vAlign w:val="center"/>
          </w:tcPr>
          <w:p w14:paraId="463BE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p>
        </w:tc>
        <w:tc>
          <w:tcPr>
            <w:tcW w:w="1309" w:type="dxa"/>
            <w:vMerge w:val="continue"/>
            <w:vAlign w:val="center"/>
          </w:tcPr>
          <w:p w14:paraId="712561A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028A6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Merge w:val="continue"/>
            <w:vAlign w:val="center"/>
          </w:tcPr>
          <w:p w14:paraId="3571D95A">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c>
          <w:tcPr>
            <w:tcW w:w="1436" w:type="dxa"/>
            <w:vAlign w:val="center"/>
          </w:tcPr>
          <w:p w14:paraId="4289CE2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职工生活</w:t>
            </w:r>
          </w:p>
        </w:tc>
        <w:tc>
          <w:tcPr>
            <w:tcW w:w="1418" w:type="dxa"/>
            <w:shd w:val="clear" w:color="auto" w:fill="auto"/>
            <w:vAlign w:val="center"/>
          </w:tcPr>
          <w:p w14:paraId="4197D0D4">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s="Times New Roman"/>
                <w:smallCaps/>
                <w:color w:val="auto"/>
                <w:kern w:val="0"/>
                <w:sz w:val="21"/>
                <w:szCs w:val="22"/>
                <w:highlight w:val="none"/>
                <w:lang w:val="en-US" w:eastAsia="zh-CN" w:bidi="ar-SA"/>
              </w:rPr>
              <w:t>职工生活垃圾</w:t>
            </w:r>
          </w:p>
        </w:tc>
        <w:tc>
          <w:tcPr>
            <w:tcW w:w="3685" w:type="dxa"/>
            <w:gridSpan w:val="2"/>
            <w:vAlign w:val="center"/>
          </w:tcPr>
          <w:p w14:paraId="13FCE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mallCaps w:val="0"/>
                <w:color w:val="auto"/>
                <w:spacing w:val="0"/>
                <w:sz w:val="21"/>
                <w:szCs w:val="21"/>
                <w:highlight w:val="none"/>
              </w:rPr>
            </w:pPr>
            <w:r>
              <w:rPr>
                <w:rFonts w:hint="eastAsia" w:cs="Times New Roman"/>
                <w:smallCaps w:val="0"/>
                <w:color w:val="auto"/>
                <w:spacing w:val="0"/>
                <w:szCs w:val="20"/>
                <w:highlight w:val="none"/>
                <w:lang w:val="en-US" w:eastAsia="zh-CN"/>
              </w:rPr>
              <w:t>收集后由环卫部门统一处置</w:t>
            </w:r>
          </w:p>
        </w:tc>
        <w:tc>
          <w:tcPr>
            <w:tcW w:w="1309" w:type="dxa"/>
            <w:vMerge w:val="continue"/>
            <w:vAlign w:val="center"/>
          </w:tcPr>
          <w:p w14:paraId="48682DFD">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p>
        </w:tc>
      </w:tr>
      <w:tr w14:paraId="20B89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205" w:type="dxa"/>
            <w:vAlign w:val="center"/>
          </w:tcPr>
          <w:p w14:paraId="4401873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土壤及地下水污染防治措施</w:t>
            </w:r>
          </w:p>
        </w:tc>
        <w:tc>
          <w:tcPr>
            <w:tcW w:w="7848" w:type="dxa"/>
            <w:gridSpan w:val="5"/>
            <w:vAlign w:val="center"/>
          </w:tcPr>
          <w:p w14:paraId="5352385A">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sz w:val="21"/>
                <w:szCs w:val="21"/>
                <w:highlight w:val="none"/>
                <w:lang w:val="en-US" w:eastAsia="zh-CN"/>
              </w:rPr>
            </w:pPr>
            <w:r>
              <w:rPr>
                <w:rFonts w:hint="eastAsia" w:cs="Times New Roman"/>
                <w:smallCaps w:val="0"/>
                <w:color w:val="auto"/>
                <w:spacing w:val="0"/>
                <w:sz w:val="21"/>
                <w:szCs w:val="21"/>
                <w:highlight w:val="none"/>
                <w:lang w:val="en-US" w:eastAsia="zh-CN"/>
              </w:rPr>
              <w:t>重点防渗区：危废间等效黏土防渗层 Mb≥6.0m，K≤1.0×10</w:t>
            </w:r>
            <w:r>
              <w:rPr>
                <w:rFonts w:hint="eastAsia" w:cs="Times New Roman"/>
                <w:smallCaps w:val="0"/>
                <w:color w:val="auto"/>
                <w:spacing w:val="0"/>
                <w:sz w:val="21"/>
                <w:szCs w:val="21"/>
                <w:highlight w:val="none"/>
                <w:vertAlign w:val="superscript"/>
                <w:lang w:val="en-US" w:eastAsia="zh-CN"/>
              </w:rPr>
              <w:t>-7</w:t>
            </w:r>
            <w:r>
              <w:rPr>
                <w:rFonts w:hint="eastAsia" w:cs="Times New Roman"/>
                <w:smallCaps w:val="0"/>
                <w:color w:val="auto"/>
                <w:spacing w:val="0"/>
                <w:sz w:val="21"/>
                <w:szCs w:val="21"/>
                <w:highlight w:val="none"/>
                <w:lang w:val="en-US" w:eastAsia="zh-CN"/>
              </w:rPr>
              <w:t>cm/s</w:t>
            </w:r>
            <w:r>
              <w:rPr>
                <w:rFonts w:hint="eastAsia" w:cs="Arial Unicode MS"/>
                <w:color w:val="auto"/>
                <w:sz w:val="21"/>
                <w:szCs w:val="21"/>
                <w:highlight w:val="none"/>
                <w:lang w:val="en-US" w:eastAsia="zh-CN"/>
              </w:rPr>
              <w:t>；</w:t>
            </w:r>
          </w:p>
          <w:p w14:paraId="31CEB879">
            <w:pPr>
              <w:pStyle w:val="67"/>
              <w:keepNext w:val="0"/>
              <w:keepLines w:val="0"/>
              <w:suppressLineNumbers w:val="0"/>
              <w:spacing w:before="0" w:beforeAutospacing="0" w:after="0" w:afterAutospacing="0"/>
              <w:ind w:left="0" w:right="0"/>
              <w:rPr>
                <w:rFonts w:hint="eastAsia"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一般防渗：</w:t>
            </w:r>
            <w:r>
              <w:rPr>
                <w:rFonts w:hint="eastAsia" w:cs="Times New Roman"/>
                <w:smallCaps w:val="0"/>
                <w:color w:val="auto"/>
                <w:spacing w:val="0"/>
                <w:sz w:val="21"/>
                <w:szCs w:val="21"/>
                <w:highlight w:val="none"/>
                <w:lang w:val="en-US" w:eastAsia="zh-CN"/>
              </w:rPr>
              <w:t>生产区、机加工区利用现有</w:t>
            </w:r>
            <w:r>
              <w:rPr>
                <w:rFonts w:hint="default" w:ascii="Times New Roman" w:hAnsi="Times New Roman" w:eastAsia="宋体" w:cs="Times New Roman"/>
                <w:smallCaps w:val="0"/>
                <w:color w:val="auto"/>
                <w:spacing w:val="0"/>
                <w:sz w:val="21"/>
                <w:szCs w:val="21"/>
                <w:highlight w:val="none"/>
                <w:lang w:val="en-US" w:eastAsia="zh-CN"/>
              </w:rPr>
              <w:t>防渗措施，其等效黏土防渗层Mb≥1.5m，渗透系数≤10</w:t>
            </w:r>
            <w:r>
              <w:rPr>
                <w:rFonts w:hint="default" w:ascii="Times New Roman" w:hAnsi="Times New Roman" w:eastAsia="宋体" w:cs="Times New Roman"/>
                <w:smallCaps w:val="0"/>
                <w:color w:val="auto"/>
                <w:spacing w:val="0"/>
                <w:sz w:val="21"/>
                <w:szCs w:val="21"/>
                <w:highlight w:val="none"/>
                <w:vertAlign w:val="superscript"/>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cm/s</w:t>
            </w:r>
            <w:r>
              <w:rPr>
                <w:rFonts w:hint="eastAsia" w:cs="Times New Roman"/>
                <w:smallCaps w:val="0"/>
                <w:color w:val="auto"/>
                <w:spacing w:val="0"/>
                <w:sz w:val="21"/>
                <w:szCs w:val="21"/>
                <w:highlight w:val="none"/>
                <w:lang w:val="en-US" w:eastAsia="zh-CN"/>
              </w:rPr>
              <w:t>；</w:t>
            </w:r>
          </w:p>
          <w:p w14:paraId="12747A31">
            <w:pPr>
              <w:pStyle w:val="67"/>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spacing w:val="0"/>
                <w:sz w:val="21"/>
                <w:szCs w:val="21"/>
                <w:highlight w:val="none"/>
              </w:rPr>
            </w:pPr>
            <w:r>
              <w:rPr>
                <w:rFonts w:hint="eastAsia" w:cs="Times New Roman"/>
                <w:smallCaps w:val="0"/>
                <w:color w:val="auto"/>
                <w:spacing w:val="0"/>
                <w:sz w:val="21"/>
                <w:szCs w:val="21"/>
                <w:highlight w:val="none"/>
                <w:lang w:val="en-US" w:eastAsia="zh-CN"/>
              </w:rPr>
              <w:t>简单防渗：办公室、杂物间、模具暂存区、原料区、成品区、人工组装区其他区域利用现有水泥硬化简单防渗措施</w:t>
            </w:r>
          </w:p>
        </w:tc>
      </w:tr>
      <w:tr w14:paraId="60BDE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5" w:type="dxa"/>
            <w:vAlign w:val="center"/>
          </w:tcPr>
          <w:p w14:paraId="25549D7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生态保护措施</w:t>
            </w:r>
          </w:p>
        </w:tc>
        <w:tc>
          <w:tcPr>
            <w:tcW w:w="7848" w:type="dxa"/>
            <w:gridSpan w:val="5"/>
            <w:vAlign w:val="center"/>
          </w:tcPr>
          <w:p w14:paraId="7960CA1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w:t>
            </w:r>
          </w:p>
        </w:tc>
      </w:tr>
      <w:tr w14:paraId="717E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05" w:type="dxa"/>
            <w:vAlign w:val="center"/>
          </w:tcPr>
          <w:p w14:paraId="62A22DD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环境风险防范措施</w:t>
            </w:r>
          </w:p>
        </w:tc>
        <w:tc>
          <w:tcPr>
            <w:tcW w:w="7848" w:type="dxa"/>
            <w:gridSpan w:val="5"/>
            <w:vAlign w:val="center"/>
          </w:tcPr>
          <w:p w14:paraId="7750AD2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①总图布置和建筑安全防范措施</w:t>
            </w:r>
          </w:p>
          <w:p w14:paraId="2D37B63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总图布置严格执行相关规范要求，所有构筑物之间或与其它场所之间留有足够的防火间距，防止在火灾或爆炸时相互影响；严格按工艺处理物料特性，对厂房区域进行危险区划分。厂房区域实行人、货流分开；在厂房总平面布置中配套建设应急救援设施、救援通道、应急疏散避难所等防护设施。按《安全标志》规定在装置区设置有关的安全标志。</w:t>
            </w:r>
          </w:p>
          <w:p w14:paraId="15A1835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放易发生爆炸设备的房间，不允许任何人员随便入内。</w:t>
            </w:r>
          </w:p>
          <w:p w14:paraId="398C18E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②生产过程中的风险防范措施</w:t>
            </w:r>
          </w:p>
          <w:p w14:paraId="39C94B6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Ⅰ、根据公司实际情况，建立安全生产岗位责任制，制定安全生产规章制度、安全操作规程。如生产过程必须有全套切实可行的安全操作规程，有专人负责检查安全操作规程的执行、安全设备及防护设备的使用情况；厂房应配备急救设备和药品；作业人员应学会自救和互救。</w:t>
            </w:r>
          </w:p>
          <w:p w14:paraId="6006212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Ⅱ、凡容易发生事故或危及生命安全的场所、设备以及需要提醒操作人员注意的地方，应设置安全标志；在各区域设置毒物周知卡；装置设物料走向、厂区设风向标等工艺技术设计安全防范措施。</w:t>
            </w:r>
          </w:p>
          <w:p w14:paraId="15AB63C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Ⅲ、项目所用的电源应设在防火区域以外；所有金属设备都应接地可靠，防止静电积聚和静电放电；生产线内严禁烟火，不许带火柴，打火机等火种进入生产线。</w:t>
            </w:r>
          </w:p>
          <w:p w14:paraId="58937EC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Ⅳ、加强工艺管理，严格控制工艺指标。加强安全教育，安全生产教育包括厂级、生产线、班组三级安全教育、特殊工种安全教育、日常安全教育、装置开前安全教育和外来人员安全教育五部分内容。让所有员工了解本厂各种原辅材料、化学制品以及固体废物的物理、化学和生理特性及其毒性，所有防护措施、环境影响等。</w:t>
            </w:r>
          </w:p>
          <w:p w14:paraId="0E8F12D6">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Ⅴ、加强对各生产设备、设施等定期检查，及时发现隐患，维护维修，关键设备实行定期大修制度。</w:t>
            </w:r>
          </w:p>
          <w:p w14:paraId="4875AFD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Ⅵ、原辅材料转移、计量、调配等过程应进行重点防范，避免由于操作失误造成物料泄漏。所有存放原辅材料的容器，除正在使用中外，均需保持紧盖。</w:t>
            </w:r>
          </w:p>
          <w:p w14:paraId="10A527E3">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Ⅶ、若由于包装破裂、倾倒或生产装置阀门损坏造成物料泄漏，应在第一时间按照泄漏物质相应的应急处理措施进行处理，泄漏的物料回收利用妥善处置。</w:t>
            </w:r>
          </w:p>
          <w:p w14:paraId="0822A7B6">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Ⅷ、生产车间内一般区域采用水泥硬化地面，储存区和生产区长期配备足够的应急物资，确保泄漏物料及时收集、转移。</w:t>
            </w:r>
          </w:p>
          <w:p w14:paraId="1E410A2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③暂存过程中的风险防范措施</w:t>
            </w:r>
          </w:p>
          <w:p w14:paraId="6380B7A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Ⅰ、物料存放时，应保持通风、干燥、防止日光直接照射，并应隔绝火源、远离热源。设置禁火标志及防静电措施等，配备有完善的防火及灭火装备。暂存区应具有良好的排风通风措施。</w:t>
            </w:r>
          </w:p>
          <w:p w14:paraId="4E6BDCC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Ⅱ、地面硬化且采取防腐防渗处理，并设置防风、防雨、防晒、防流失等措施，防止各种液体类原辅料漫流或泄漏。</w:t>
            </w:r>
          </w:p>
          <w:p w14:paraId="7231D92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Ⅲ、车间内配备足够的应急物资，确保泄漏物料及时收集、转移。</w:t>
            </w:r>
          </w:p>
          <w:p w14:paraId="418C57D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项目生产过程中涉及的主要危险化学品储存严格按照《危险化学品安全技术手册》、《危险化学品安全技术说明书》、《危险货物运输包装通用技术条件》等相关要求执行。</w:t>
            </w:r>
          </w:p>
          <w:p w14:paraId="4A53F43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④其它风险防范措施</w:t>
            </w:r>
          </w:p>
          <w:p w14:paraId="06182BD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根据相关事故案例分析，管理混乱、物料装卸不规范等也是导致风险事故的常见原因，故建设单位一定要采取相应措施防范此类事故发生。</w:t>
            </w:r>
          </w:p>
          <w:p w14:paraId="7172BAA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Ⅰ、加强巡检，定期对设备、阀门进行检查、维修。</w:t>
            </w:r>
          </w:p>
          <w:p w14:paraId="72C9C76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Ⅱ、加强对废包装桶等危险废物的管理，废弃包装桶应收集并即产即清，交有资质的单位处理。</w:t>
            </w:r>
          </w:p>
          <w:p w14:paraId="26F0D7DA">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Ⅲ、发生泄漏后，事故处置过程中产生的含物料沙土、废棉纱等及时有效收集并送有资质单位进行处置。</w:t>
            </w:r>
          </w:p>
          <w:p w14:paraId="4A5A669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2）事故应急预案</w:t>
            </w:r>
          </w:p>
          <w:p w14:paraId="059556A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为更好的做好项目的事故防范工作，应严格执行事故应急预案，并定期组织演练，具体如下：</w:t>
            </w:r>
          </w:p>
          <w:p w14:paraId="5F8631F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①建立内部救援队伍</w:t>
            </w:r>
          </w:p>
          <w:p w14:paraId="2B32E8E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cs="Times New Roman"/>
                <w:color w:val="auto"/>
                <w:sz w:val="21"/>
                <w:szCs w:val="21"/>
                <w:highlight w:val="none"/>
              </w:rPr>
              <w:t>建立事故应急救援指挥领导小组，由企业法人、及</w:t>
            </w:r>
            <w:r>
              <w:rPr>
                <w:rFonts w:hint="eastAsia" w:cs="Times New Roman"/>
                <w:color w:val="auto"/>
                <w:sz w:val="21"/>
                <w:szCs w:val="21"/>
                <w:highlight w:val="none"/>
                <w:lang w:val="en-US" w:eastAsia="zh-CN"/>
              </w:rPr>
              <w:t>车间主任</w:t>
            </w:r>
            <w:r>
              <w:rPr>
                <w:rFonts w:hint="default" w:ascii="Times New Roman" w:hAnsi="Times New Roman" w:cs="Times New Roman"/>
                <w:color w:val="auto"/>
                <w:sz w:val="21"/>
                <w:szCs w:val="21"/>
                <w:highlight w:val="none"/>
              </w:rPr>
              <w:t>等部门负责人组成</w:t>
            </w:r>
            <w:r>
              <w:rPr>
                <w:rFonts w:hint="default" w:ascii="Times New Roman" w:hAnsi="Times New Roman" w:eastAsia="宋体" w:cs="Times New Roman"/>
                <w:smallCaps w:val="0"/>
                <w:color w:val="auto"/>
                <w:spacing w:val="0"/>
                <w:sz w:val="21"/>
                <w:szCs w:val="21"/>
                <w:highlight w:val="none"/>
              </w:rPr>
              <w:t>。</w:t>
            </w:r>
          </w:p>
          <w:p w14:paraId="5457E1C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成立事故应急救援指挥部，负责一旦发生事故时的全厂应急救援的组织和指挥，企业法人任总指挥，若企业法人不在时，应明确有关领导全权负责应急救援工作。组织机构包括应急处置行动组、通讯联络组、疏散引导组、安全防护救护组等。</w:t>
            </w:r>
          </w:p>
          <w:p w14:paraId="75162C7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指挥领导小组应负责企业事故应急预案的制定、修订；组建应急救业队伍，组织预案实施和演练；检查督促做好危险源事故的预防措施和应急救援的准备工作，一旦发生事故，按照应急救援预案实施救援。</w:t>
            </w:r>
          </w:p>
          <w:p w14:paraId="7130384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②泄漏事故处置方案</w:t>
            </w:r>
          </w:p>
          <w:p w14:paraId="6EE4349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Ⅰ、停止使用，关闭有关设备和系统，立即向应急救援指挥部报告；</w:t>
            </w:r>
          </w:p>
          <w:p w14:paraId="50975D9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Ⅱ、事故现场严禁明火，切断电源，迅速撤离泄漏区人员至上风向安全处。同时在事故现场设置隔离区，禁止无关人员进入；</w:t>
            </w:r>
          </w:p>
          <w:p w14:paraId="089B10BA">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Ⅲ、应急处理人员必须配备必要的个人防护器具，严禁单独行动；</w:t>
            </w:r>
          </w:p>
          <w:p w14:paraId="29BF3B08">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Ⅳ、用预先确定的堵漏方式尽快堵漏，切断或控制泄漏源。尽快收集泄漏物料。</w:t>
            </w:r>
          </w:p>
          <w:p w14:paraId="339DE142">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Ⅴ、迅速撤离泄漏污染区的工作人员至安全区，并进行隔离，脱去被污染的衣着，用流动清水冲洗。</w:t>
            </w:r>
          </w:p>
          <w:p w14:paraId="4B9C53B7">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Ⅵ、在厂房内设置疏散工作指示方向标识。</w:t>
            </w:r>
          </w:p>
          <w:p w14:paraId="3B2979CF">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③火灾应急措施</w:t>
            </w:r>
          </w:p>
          <w:p w14:paraId="5722A76B">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Ⅰ、发现起火，立即报警，通过消防灭火，采用抗溶性泡沫、干粉、二氧化碳等灭火器灭火。</w:t>
            </w:r>
          </w:p>
          <w:p w14:paraId="1ACF2C2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Ⅱ、切断火势蔓延的途径，冷却和疏散受火势威胁的密闭容器和可燃物，控制燃烧范围，并积极抢救受伤和被困人员；</w:t>
            </w:r>
          </w:p>
          <w:p w14:paraId="44AA944C">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Ⅲ、通知安全、消防、救护等相关部门人员，启动相应的应急救护程序；</w:t>
            </w:r>
          </w:p>
          <w:p w14:paraId="45E9CE1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Ⅳ、组织救援小组，封锁现场，疏散人员；</w:t>
            </w:r>
          </w:p>
          <w:p w14:paraId="5AC3C8D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Ⅴ、灭火工作结束后，对现场进行恢复清理；</w:t>
            </w:r>
          </w:p>
          <w:p w14:paraId="7E985B20">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Ⅵ、调查和鉴定事故原因，提出事故评估报告，补充或修改事故防范措施和应急方案。</w:t>
            </w:r>
          </w:p>
          <w:p w14:paraId="2A05AE10">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④急救措施</w:t>
            </w:r>
          </w:p>
          <w:p w14:paraId="3D21BA3E">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皮肤接触：脱去污染的衣着，用流动清水冲洗。</w:t>
            </w:r>
          </w:p>
          <w:p w14:paraId="7EB223D9">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眼睛接触：提起眼睑，用流动清水或生理盐水冲洗，就医。</w:t>
            </w:r>
          </w:p>
          <w:p w14:paraId="791CB2C5">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吸入：脱离现场至空气新鲜处，保持呼吸道通畅；如呼吸困难，给输氧；如呼吸停止，立即进行人工呼吸，就医。</w:t>
            </w:r>
          </w:p>
          <w:p w14:paraId="6EC879C1">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食入：饮足量温水，催吐，就医。</w:t>
            </w:r>
          </w:p>
        </w:tc>
      </w:tr>
      <w:tr w14:paraId="39BC7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205" w:type="dxa"/>
            <w:vAlign w:val="center"/>
          </w:tcPr>
          <w:p w14:paraId="6FD9F83D">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其他环境管理要求</w:t>
            </w:r>
          </w:p>
        </w:tc>
        <w:tc>
          <w:tcPr>
            <w:tcW w:w="7848" w:type="dxa"/>
            <w:gridSpan w:val="5"/>
            <w:vAlign w:val="center"/>
          </w:tcPr>
          <w:p w14:paraId="69DE3E74">
            <w:pPr>
              <w:pStyle w:val="67"/>
              <w:keepNext w:val="0"/>
              <w:keepLines w:val="0"/>
              <w:pageBreakBefore w:val="0"/>
              <w:widowControl w:val="0"/>
              <w:suppressLineNumbers w:val="0"/>
              <w:kinsoku/>
              <w:wordWrap/>
              <w:overflowPunct/>
              <w:bidi w:val="0"/>
              <w:spacing w:before="0" w:beforeAutospacing="0" w:after="0" w:afterAutospacing="0" w:line="320" w:lineRule="exact"/>
              <w:ind w:left="0" w:right="0"/>
              <w:jc w:val="both"/>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val="0"/>
                <w:bCs w:val="0"/>
                <w:smallCaps w:val="0"/>
                <w:color w:val="auto"/>
                <w:spacing w:val="0"/>
                <w:sz w:val="21"/>
                <w:szCs w:val="21"/>
                <w:highlight w:val="none"/>
              </w:rPr>
              <w:t>公司设立环境管理人员，履行环保管理职责，生产前</w:t>
            </w:r>
            <w:r>
              <w:rPr>
                <w:rFonts w:hint="eastAsia" w:cs="Times New Roman"/>
                <w:b w:val="0"/>
                <w:bCs w:val="0"/>
                <w:smallCaps w:val="0"/>
                <w:color w:val="auto"/>
                <w:spacing w:val="0"/>
                <w:sz w:val="21"/>
                <w:szCs w:val="21"/>
                <w:highlight w:val="none"/>
                <w:lang w:val="en-US" w:eastAsia="zh-CN"/>
              </w:rPr>
              <w:t>需按照《固定污染源排污许可分类管理名录》（2019年版）（部令 第11号）取得排污手续</w:t>
            </w:r>
            <w:r>
              <w:rPr>
                <w:rFonts w:hint="default" w:ascii="Times New Roman" w:hAnsi="Times New Roman" w:eastAsia="宋体" w:cs="Times New Roman"/>
                <w:b w:val="0"/>
                <w:bCs w:val="0"/>
                <w:smallCaps w:val="0"/>
                <w:color w:val="auto"/>
                <w:spacing w:val="0"/>
                <w:sz w:val="21"/>
                <w:szCs w:val="21"/>
                <w:highlight w:val="none"/>
              </w:rPr>
              <w:t>，按污染源监测计划实施定期监测。</w:t>
            </w:r>
          </w:p>
        </w:tc>
      </w:tr>
    </w:tbl>
    <w:p w14:paraId="5D3FB1AB">
      <w:pPr>
        <w:pStyle w:val="41"/>
        <w:jc w:val="center"/>
        <w:outlineLvl w:val="0"/>
        <w:rPr>
          <w:rFonts w:hint="default" w:ascii="Times New Roman" w:hAnsi="Times New Roman" w:eastAsia="黑体" w:cs="Times New Roman"/>
          <w:smallCaps w:val="0"/>
          <w:snapToGrid w:val="0"/>
          <w:color w:val="auto"/>
          <w:spacing w:val="0"/>
          <w:sz w:val="30"/>
          <w:szCs w:val="30"/>
          <w:highlight w:val="none"/>
        </w:rPr>
      </w:pPr>
      <w:r>
        <w:rPr>
          <w:rFonts w:hint="default" w:ascii="Times New Roman" w:hAnsi="Times New Roman" w:cs="Times New Roman"/>
          <w:smallCaps w:val="0"/>
          <w:snapToGrid w:val="0"/>
          <w:color w:val="auto"/>
          <w:spacing w:val="0"/>
          <w:highlight w:val="none"/>
        </w:rPr>
        <w:br w:type="page"/>
      </w:r>
      <w:bookmarkStart w:id="38" w:name="_Toc5925"/>
      <w:r>
        <w:rPr>
          <w:rFonts w:hint="default" w:ascii="Times New Roman" w:hAnsi="Times New Roman" w:eastAsia="黑体" w:cs="Times New Roman"/>
          <w:smallCaps w:val="0"/>
          <w:snapToGrid w:val="0"/>
          <w:color w:val="auto"/>
          <w:spacing w:val="0"/>
          <w:sz w:val="30"/>
          <w:szCs w:val="30"/>
          <w:highlight w:val="none"/>
        </w:rPr>
        <w:t>六、结论</w:t>
      </w:r>
      <w:bookmarkEnd w:id="38"/>
    </w:p>
    <w:tbl>
      <w:tblPr>
        <w:tblStyle w:val="4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049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7F3D5964">
            <w:pPr>
              <w:pStyle w:val="172"/>
              <w:keepNext w:val="0"/>
              <w:keepLines w:val="0"/>
              <w:suppressLineNumbers w:val="0"/>
              <w:spacing w:before="0" w:beforeAutospacing="0" w:after="0" w:afterAutospacing="0"/>
              <w:ind w:left="0" w:right="0" w:firstLine="480"/>
              <w:rPr>
                <w:rFonts w:hint="default" w:ascii="Times New Roman" w:hAnsi="Times New Roman" w:cs="Times New Roman"/>
                <w:smallCaps w:val="0"/>
                <w:color w:val="auto"/>
                <w:spacing w:val="0"/>
                <w:highlight w:val="none"/>
              </w:rPr>
            </w:pPr>
            <w:r>
              <w:rPr>
                <w:rFonts w:hint="default" w:ascii="Times New Roman" w:hAnsi="Times New Roman" w:cs="Times New Roman"/>
                <w:smallCaps w:val="0"/>
                <w:color w:val="auto"/>
                <w:spacing w:val="0"/>
                <w:highlight w:val="none"/>
              </w:rPr>
              <w:t>综上所述</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本项目符合国家和地方的相关产业政策</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选址符合“三线一单”要求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所采用的污染防治措施合理可行</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可确保污染物稳定达标排放；项目污染物的排放量符合控制要求</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处理达标后的各项污染物对周围环境的影响较小</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不会改变当地环境功能区划</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项目的环境风险较小且可以接受。在落实本报告表提出的各项污染防治措施、严格执行“环境保护措施监督检查清单”的情况下</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从环保角度分析</w:t>
            </w:r>
            <w:r>
              <w:rPr>
                <w:rFonts w:hint="default" w:ascii="Times New Roman" w:hAnsi="Times New Roman" w:cs="Times New Roman"/>
                <w:smallCaps w:val="0"/>
                <w:color w:val="auto"/>
                <w:spacing w:val="0"/>
                <w:highlight w:val="none"/>
                <w:lang w:eastAsia="zh-CN"/>
              </w:rPr>
              <w:t>，</w:t>
            </w:r>
            <w:r>
              <w:rPr>
                <w:rFonts w:hint="default" w:ascii="Times New Roman" w:hAnsi="Times New Roman" w:cs="Times New Roman"/>
                <w:smallCaps w:val="0"/>
                <w:color w:val="auto"/>
                <w:spacing w:val="0"/>
                <w:highlight w:val="none"/>
              </w:rPr>
              <w:t>项目在拟建地的建设具备环境可行性。</w:t>
            </w:r>
          </w:p>
        </w:tc>
      </w:tr>
    </w:tbl>
    <w:p w14:paraId="09BEEE12">
      <w:pPr>
        <w:pStyle w:val="19"/>
        <w:rPr>
          <w:rFonts w:hint="default" w:ascii="Times New Roman" w:hAnsi="Times New Roman" w:cs="Times New Roman"/>
          <w:smallCaps w:val="0"/>
          <w:color w:val="auto"/>
          <w:spacing w:val="0"/>
          <w:highlight w:val="none"/>
        </w:rPr>
        <w:sectPr>
          <w:pgSz w:w="11907" w:h="16840"/>
          <w:pgMar w:top="1440" w:right="1800" w:bottom="1440" w:left="1800" w:header="851" w:footer="992" w:gutter="0"/>
          <w:cols w:space="720" w:num="1"/>
          <w:docGrid w:type="linesAndChars" w:linePitch="319" w:charSpace="0"/>
        </w:sectPr>
      </w:pPr>
    </w:p>
    <w:p w14:paraId="10BC32F6">
      <w:pPr>
        <w:pStyle w:val="41"/>
        <w:keepNext w:val="0"/>
        <w:keepLines w:val="0"/>
        <w:pageBreakBefore w:val="0"/>
        <w:widowControl/>
        <w:tabs>
          <w:tab w:val="left" w:pos="6521"/>
        </w:tabs>
        <w:kinsoku/>
        <w:wordWrap/>
        <w:overflowPunct/>
        <w:topLinePunct w:val="0"/>
        <w:autoSpaceDE/>
        <w:autoSpaceDN/>
        <w:bidi w:val="0"/>
        <w:adjustRightInd w:val="0"/>
        <w:snapToGrid w:val="0"/>
        <w:spacing w:before="0" w:beforeAutospacing="0" w:after="0" w:afterAutospacing="0" w:line="240" w:lineRule="auto"/>
        <w:ind w:firstLine="641"/>
        <w:textAlignment w:val="auto"/>
        <w:outlineLvl w:val="0"/>
        <w:rPr>
          <w:rFonts w:hint="default" w:ascii="Times New Roman" w:hAnsi="Times New Roman" w:eastAsia="黑体" w:cs="Times New Roman"/>
          <w:snapToGrid w:val="0"/>
          <w:color w:val="auto"/>
          <w:sz w:val="32"/>
          <w:szCs w:val="32"/>
          <w:highlight w:val="none"/>
        </w:rPr>
      </w:pPr>
      <w:bookmarkStart w:id="39" w:name="_Toc10899"/>
      <w:bookmarkStart w:id="40" w:name="_Toc27848"/>
      <w:r>
        <w:rPr>
          <w:rFonts w:hint="default" w:ascii="Times New Roman" w:hAnsi="Times New Roman" w:eastAsia="黑体" w:cs="Times New Roman"/>
          <w:snapToGrid w:val="0"/>
          <w:color w:val="auto"/>
          <w:sz w:val="32"/>
          <w:szCs w:val="32"/>
          <w:highlight w:val="none"/>
        </w:rPr>
        <w:t>附表</w:t>
      </w:r>
      <w:bookmarkEnd w:id="39"/>
      <w:bookmarkEnd w:id="40"/>
    </w:p>
    <w:p w14:paraId="6DA7F5E2">
      <w:pPr>
        <w:pStyle w:val="41"/>
        <w:keepNext w:val="0"/>
        <w:keepLines w:val="0"/>
        <w:pageBreakBefore w:val="0"/>
        <w:widowControl/>
        <w:tabs>
          <w:tab w:val="left" w:pos="6521"/>
        </w:tabs>
        <w:kinsoku/>
        <w:wordWrap/>
        <w:overflowPunct/>
        <w:topLinePunct w:val="0"/>
        <w:autoSpaceDE/>
        <w:autoSpaceDN/>
        <w:bidi w:val="0"/>
        <w:adjustRightInd w:val="0"/>
        <w:snapToGrid w:val="0"/>
        <w:spacing w:before="0" w:beforeAutospacing="0" w:after="0" w:afterAutospacing="0" w:line="240" w:lineRule="auto"/>
        <w:ind w:firstLine="760"/>
        <w:jc w:val="center"/>
        <w:textAlignment w:val="auto"/>
        <w:outlineLvl w:val="0"/>
        <w:rPr>
          <w:rFonts w:hint="default" w:ascii="Times New Roman" w:hAnsi="Times New Roman" w:eastAsia="方正小标宋_GBK" w:cs="Times New Roman"/>
          <w:snapToGrid w:val="0"/>
          <w:color w:val="auto"/>
          <w:sz w:val="38"/>
          <w:szCs w:val="38"/>
          <w:highlight w:val="none"/>
        </w:rPr>
      </w:pPr>
      <w:bookmarkStart w:id="41" w:name="_Toc21305"/>
      <w:bookmarkStart w:id="42" w:name="_Toc21880"/>
      <w:r>
        <w:rPr>
          <w:rFonts w:hint="default" w:ascii="Times New Roman" w:hAnsi="Times New Roman" w:eastAsia="方正小标宋_GBK" w:cs="Times New Roman"/>
          <w:snapToGrid w:val="0"/>
          <w:color w:val="auto"/>
          <w:sz w:val="38"/>
          <w:szCs w:val="38"/>
          <w:highlight w:val="none"/>
        </w:rPr>
        <w:t>建设项目污染物排放量汇总表</w:t>
      </w:r>
      <w:bookmarkEnd w:id="41"/>
    </w:p>
    <w:tbl>
      <w:tblPr>
        <w:tblStyle w:val="4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62"/>
        <w:gridCol w:w="1491"/>
        <w:gridCol w:w="1491"/>
        <w:gridCol w:w="1491"/>
        <w:gridCol w:w="1491"/>
        <w:gridCol w:w="1491"/>
        <w:gridCol w:w="1491"/>
        <w:gridCol w:w="1492"/>
      </w:tblGrid>
      <w:tr w14:paraId="6231A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tcBorders>
              <w:tl2br w:val="single" w:color="auto" w:sz="4" w:space="0"/>
            </w:tcBorders>
            <w:noWrap w:val="0"/>
            <w:tcMar>
              <w:left w:w="28" w:type="dxa"/>
              <w:right w:w="28" w:type="dxa"/>
            </w:tcMar>
            <w:vAlign w:val="center"/>
          </w:tcPr>
          <w:p w14:paraId="706554EC">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14:paraId="213AE848">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762" w:type="dxa"/>
            <w:noWrap w:val="0"/>
            <w:tcMar>
              <w:left w:w="28" w:type="dxa"/>
              <w:right w:w="28" w:type="dxa"/>
            </w:tcMar>
            <w:vAlign w:val="center"/>
          </w:tcPr>
          <w:p w14:paraId="5A3FE252">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491" w:type="dxa"/>
            <w:noWrap w:val="0"/>
            <w:tcMar>
              <w:left w:w="28" w:type="dxa"/>
              <w:right w:w="28" w:type="dxa"/>
            </w:tcMar>
            <w:vAlign w:val="center"/>
          </w:tcPr>
          <w:p w14:paraId="6671B636">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21CCB38E">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491" w:type="dxa"/>
            <w:noWrap w:val="0"/>
            <w:tcMar>
              <w:left w:w="28" w:type="dxa"/>
              <w:right w:w="28" w:type="dxa"/>
            </w:tcMar>
            <w:vAlign w:val="center"/>
          </w:tcPr>
          <w:p w14:paraId="1C2F7EA1">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5C7E0E3D">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0602C9C9">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p w14:paraId="51B12062">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eastAsia" w:ascii="Times New Roman" w:hAnsi="Times New Roman" w:eastAsia="黑体" w:cs="Times New Roman"/>
                <w:snapToGrid w:val="0"/>
                <w:color w:val="auto"/>
                <w:spacing w:val="-6"/>
                <w:kern w:val="21"/>
                <w:szCs w:val="21"/>
                <w:highlight w:val="none"/>
                <w:lang w:val="en-US" w:eastAsia="zh-CN"/>
              </w:rPr>
            </w:pPr>
            <w:r>
              <w:rPr>
                <w:rFonts w:hint="eastAsia" w:eastAsia="黑体" w:cs="Times New Roman"/>
                <w:snapToGrid w:val="0"/>
                <w:color w:val="auto"/>
                <w:spacing w:val="-6"/>
                <w:kern w:val="21"/>
                <w:szCs w:val="21"/>
                <w:highlight w:val="none"/>
                <w:lang w:val="en-US" w:eastAsia="zh-CN"/>
              </w:rPr>
              <w:t>总量控制指标</w:t>
            </w:r>
          </w:p>
        </w:tc>
        <w:tc>
          <w:tcPr>
            <w:tcW w:w="1491" w:type="dxa"/>
            <w:noWrap w:val="0"/>
            <w:tcMar>
              <w:left w:w="28" w:type="dxa"/>
              <w:right w:w="28" w:type="dxa"/>
            </w:tcMar>
            <w:vAlign w:val="center"/>
          </w:tcPr>
          <w:p w14:paraId="632A706A">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331A9F65">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491" w:type="dxa"/>
            <w:noWrap w:val="0"/>
            <w:tcMar>
              <w:left w:w="28" w:type="dxa"/>
              <w:right w:w="28" w:type="dxa"/>
            </w:tcMar>
            <w:vAlign w:val="center"/>
          </w:tcPr>
          <w:p w14:paraId="344A4C46">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eastAsia" w:ascii="Times New Roman" w:hAnsi="Times New Roman" w:eastAsia="黑体" w:cs="Times New Roman"/>
                <w:snapToGrid w:val="0"/>
                <w:color w:val="auto"/>
                <w:spacing w:val="-6"/>
                <w:kern w:val="21"/>
                <w:szCs w:val="21"/>
                <w:highlight w:val="none"/>
                <w:lang w:eastAsia="zh-CN"/>
              </w:rPr>
            </w:pPr>
            <w:r>
              <w:rPr>
                <w:rFonts w:hint="default" w:ascii="Times New Roman" w:hAnsi="Times New Roman" w:eastAsia="黑体" w:cs="Times New Roman"/>
                <w:snapToGrid w:val="0"/>
                <w:color w:val="auto"/>
                <w:spacing w:val="-6"/>
                <w:kern w:val="21"/>
                <w:szCs w:val="21"/>
                <w:highlight w:val="none"/>
              </w:rPr>
              <w:t>本项目</w:t>
            </w:r>
          </w:p>
          <w:p w14:paraId="711A0FDB">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491" w:type="dxa"/>
            <w:noWrap w:val="0"/>
            <w:tcMar>
              <w:left w:w="28" w:type="dxa"/>
              <w:right w:w="28" w:type="dxa"/>
            </w:tcMar>
            <w:vAlign w:val="center"/>
          </w:tcPr>
          <w:p w14:paraId="6295E4FE">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14:paraId="2B3B6977">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491" w:type="dxa"/>
            <w:noWrap w:val="0"/>
            <w:tcMar>
              <w:left w:w="28" w:type="dxa"/>
              <w:right w:w="28" w:type="dxa"/>
            </w:tcMar>
            <w:vAlign w:val="center"/>
          </w:tcPr>
          <w:p w14:paraId="79C98B05">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5FD13643">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492" w:type="dxa"/>
            <w:noWrap w:val="0"/>
            <w:tcMar>
              <w:left w:w="28" w:type="dxa"/>
              <w:right w:w="28" w:type="dxa"/>
            </w:tcMar>
            <w:vAlign w:val="center"/>
          </w:tcPr>
          <w:p w14:paraId="03F0BD1C">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4EB19171">
            <w:pPr>
              <w:pStyle w:val="131"/>
              <w:keepNext w:val="0"/>
              <w:keepLines w:val="0"/>
              <w:pageBreakBefore w:val="0"/>
              <w:widowControl w:val="0"/>
              <w:suppressLineNumbers w:val="0"/>
              <w:tabs>
                <w:tab w:val="left" w:pos="6521"/>
              </w:tabs>
              <w:kinsoku/>
              <w:wordWrap/>
              <w:overflowPunct/>
              <w:bidi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666B9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174FA304">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762" w:type="dxa"/>
            <w:noWrap w:val="0"/>
            <w:vAlign w:val="center"/>
          </w:tcPr>
          <w:p w14:paraId="3837B6E2">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bCs/>
                <w:color w:val="auto"/>
                <w:szCs w:val="21"/>
                <w:highlight w:val="none"/>
                <w:lang w:val="en-US" w:eastAsia="zh-CN"/>
              </w:rPr>
              <w:t>颗粒物</w:t>
            </w:r>
          </w:p>
        </w:tc>
        <w:tc>
          <w:tcPr>
            <w:tcW w:w="1491" w:type="dxa"/>
            <w:noWrap w:val="0"/>
            <w:vAlign w:val="center"/>
          </w:tcPr>
          <w:p w14:paraId="6C1DB9B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0.411t/a</w:t>
            </w:r>
          </w:p>
        </w:tc>
        <w:tc>
          <w:tcPr>
            <w:tcW w:w="1491" w:type="dxa"/>
            <w:noWrap w:val="0"/>
            <w:vAlign w:val="center"/>
          </w:tcPr>
          <w:p w14:paraId="3DE4B26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075ED7C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2E31B95C">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0.225t/a</w:t>
            </w:r>
          </w:p>
        </w:tc>
        <w:tc>
          <w:tcPr>
            <w:tcW w:w="1491" w:type="dxa"/>
            <w:shd w:val="clear" w:color="auto" w:fill="auto"/>
            <w:noWrap w:val="0"/>
            <w:vAlign w:val="center"/>
          </w:tcPr>
          <w:p w14:paraId="647D3F5C">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smallCaps w:val="0"/>
                <w:color w:val="auto"/>
                <w:spacing w:val="0"/>
                <w:kern w:val="0"/>
                <w:sz w:val="21"/>
                <w:szCs w:val="21"/>
                <w:highlight w:val="none"/>
                <w:lang w:val="en-US" w:eastAsia="zh-CN" w:bidi="ar-SA"/>
              </w:rPr>
            </w:pPr>
            <w:r>
              <w:rPr>
                <w:rFonts w:hint="eastAsia" w:cs="Times New Roman"/>
                <w:bCs/>
                <w:smallCaps w:val="0"/>
                <w:color w:val="auto"/>
                <w:spacing w:val="0"/>
                <w:kern w:val="0"/>
                <w:sz w:val="21"/>
                <w:szCs w:val="21"/>
                <w:highlight w:val="none"/>
                <w:lang w:val="en-US" w:eastAsia="zh-CN" w:bidi="ar-SA"/>
              </w:rPr>
              <w:t>0.411t/a</w:t>
            </w:r>
          </w:p>
        </w:tc>
        <w:tc>
          <w:tcPr>
            <w:tcW w:w="1491" w:type="dxa"/>
            <w:shd w:val="clear" w:color="auto" w:fill="auto"/>
            <w:noWrap w:val="0"/>
            <w:vAlign w:val="center"/>
          </w:tcPr>
          <w:p w14:paraId="3801B698">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0.225t/a</w:t>
            </w:r>
          </w:p>
        </w:tc>
        <w:tc>
          <w:tcPr>
            <w:tcW w:w="1492" w:type="dxa"/>
            <w:shd w:val="clear" w:color="auto" w:fill="auto"/>
            <w:noWrap w:val="0"/>
            <w:vAlign w:val="center"/>
          </w:tcPr>
          <w:p w14:paraId="62A1AE0C">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-0.186</w:t>
            </w:r>
          </w:p>
        </w:tc>
      </w:tr>
      <w:tr w14:paraId="3A6E7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7646217B">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noWrap w:val="0"/>
            <w:vAlign w:val="center"/>
          </w:tcPr>
          <w:p w14:paraId="4A815233">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default" w:cs="Times New Roman"/>
                <w:smallCaps w:val="0"/>
                <w:color w:val="auto"/>
                <w:spacing w:val="0"/>
                <w:sz w:val="21"/>
                <w:szCs w:val="21"/>
                <w:highlight w:val="none"/>
                <w:lang w:val="en-US" w:eastAsia="zh-CN"/>
              </w:rPr>
            </w:pPr>
            <w:r>
              <w:rPr>
                <w:rFonts w:hint="eastAsia"/>
                <w:bCs/>
                <w:color w:val="auto"/>
                <w:szCs w:val="21"/>
                <w:highlight w:val="none"/>
                <w:lang w:val="en-US" w:eastAsia="zh-CN"/>
              </w:rPr>
              <w:t>氨</w:t>
            </w:r>
          </w:p>
        </w:tc>
        <w:tc>
          <w:tcPr>
            <w:tcW w:w="1491" w:type="dxa"/>
            <w:noWrap w:val="0"/>
            <w:vAlign w:val="center"/>
          </w:tcPr>
          <w:p w14:paraId="11E51A2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0.127t/a</w:t>
            </w:r>
          </w:p>
        </w:tc>
        <w:tc>
          <w:tcPr>
            <w:tcW w:w="1491" w:type="dxa"/>
            <w:noWrap w:val="0"/>
            <w:vAlign w:val="center"/>
          </w:tcPr>
          <w:p w14:paraId="04C9D2F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noWrap w:val="0"/>
            <w:vAlign w:val="center"/>
          </w:tcPr>
          <w:p w14:paraId="0591707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noWrap w:val="0"/>
            <w:vAlign w:val="center"/>
          </w:tcPr>
          <w:p w14:paraId="3CE5A1B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0.125t/a</w:t>
            </w:r>
          </w:p>
        </w:tc>
        <w:tc>
          <w:tcPr>
            <w:tcW w:w="1491" w:type="dxa"/>
            <w:shd w:val="clear" w:color="auto" w:fill="auto"/>
            <w:noWrap w:val="0"/>
            <w:vAlign w:val="center"/>
          </w:tcPr>
          <w:p w14:paraId="05F65DE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0.127t/a</w:t>
            </w:r>
          </w:p>
        </w:tc>
        <w:tc>
          <w:tcPr>
            <w:tcW w:w="1491" w:type="dxa"/>
            <w:shd w:val="clear" w:color="auto" w:fill="auto"/>
            <w:noWrap w:val="0"/>
            <w:vAlign w:val="center"/>
          </w:tcPr>
          <w:p w14:paraId="57E605B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0.125t/a</w:t>
            </w:r>
          </w:p>
        </w:tc>
        <w:tc>
          <w:tcPr>
            <w:tcW w:w="1492" w:type="dxa"/>
            <w:shd w:val="clear" w:color="auto" w:fill="auto"/>
            <w:noWrap w:val="0"/>
            <w:vAlign w:val="center"/>
          </w:tcPr>
          <w:p w14:paraId="22CB8B6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-0.002</w:t>
            </w:r>
          </w:p>
        </w:tc>
      </w:tr>
      <w:tr w14:paraId="71AE7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0B95675E">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noWrap w:val="0"/>
            <w:vAlign w:val="center"/>
          </w:tcPr>
          <w:p w14:paraId="1D57C073">
            <w:pPr>
              <w:keepNext w:val="0"/>
              <w:keepLines w:val="0"/>
              <w:suppressLineNumbers w:val="0"/>
              <w:autoSpaceDE w:val="0"/>
              <w:autoSpaceDN w:val="0"/>
              <w:adjustRightInd w:val="0"/>
              <w:spacing w:before="0" w:beforeAutospacing="0" w:after="0" w:afterAutospacing="0" w:line="320" w:lineRule="exact"/>
              <w:ind w:left="0" w:leftChars="0" w:right="0" w:rightChars="0"/>
              <w:jc w:val="center"/>
              <w:rPr>
                <w:rFonts w:hint="eastAsia" w:cs="Times New Roman"/>
                <w:smallCaps w:val="0"/>
                <w:color w:val="auto"/>
                <w:spacing w:val="0"/>
                <w:sz w:val="21"/>
                <w:szCs w:val="21"/>
                <w:highlight w:val="none"/>
                <w:lang w:val="en-US" w:eastAsia="zh-CN"/>
              </w:rPr>
            </w:pPr>
            <w:r>
              <w:rPr>
                <w:rFonts w:hint="eastAsia"/>
                <w:bCs/>
                <w:color w:val="auto"/>
                <w:szCs w:val="21"/>
                <w:highlight w:val="none"/>
                <w:lang w:val="en-US" w:eastAsia="zh-CN"/>
              </w:rPr>
              <w:t>非甲烷总烃</w:t>
            </w:r>
          </w:p>
        </w:tc>
        <w:tc>
          <w:tcPr>
            <w:tcW w:w="1491" w:type="dxa"/>
            <w:shd w:val="clear" w:color="auto" w:fill="auto"/>
            <w:noWrap w:val="0"/>
            <w:vAlign w:val="center"/>
          </w:tcPr>
          <w:p w14:paraId="7ED3A34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0.152t/a</w:t>
            </w:r>
          </w:p>
        </w:tc>
        <w:tc>
          <w:tcPr>
            <w:tcW w:w="1491" w:type="dxa"/>
            <w:shd w:val="clear" w:color="auto" w:fill="auto"/>
            <w:noWrap w:val="0"/>
            <w:vAlign w:val="center"/>
          </w:tcPr>
          <w:p w14:paraId="6A6BA64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w:t>
            </w:r>
          </w:p>
        </w:tc>
        <w:tc>
          <w:tcPr>
            <w:tcW w:w="1491" w:type="dxa"/>
            <w:shd w:val="clear" w:color="auto" w:fill="auto"/>
            <w:noWrap w:val="0"/>
            <w:vAlign w:val="center"/>
          </w:tcPr>
          <w:p w14:paraId="050E42B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w:t>
            </w:r>
          </w:p>
        </w:tc>
        <w:tc>
          <w:tcPr>
            <w:tcW w:w="1491" w:type="dxa"/>
            <w:noWrap w:val="0"/>
            <w:vAlign w:val="center"/>
          </w:tcPr>
          <w:p w14:paraId="7EF3F4E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0.076t/a</w:t>
            </w:r>
          </w:p>
        </w:tc>
        <w:tc>
          <w:tcPr>
            <w:tcW w:w="1491" w:type="dxa"/>
            <w:shd w:val="clear" w:color="auto" w:fill="auto"/>
            <w:noWrap w:val="0"/>
            <w:vAlign w:val="center"/>
          </w:tcPr>
          <w:p w14:paraId="15F510F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0.152t/a</w:t>
            </w:r>
          </w:p>
        </w:tc>
        <w:tc>
          <w:tcPr>
            <w:tcW w:w="1491" w:type="dxa"/>
            <w:shd w:val="clear" w:color="auto" w:fill="auto"/>
            <w:noWrap w:val="0"/>
            <w:vAlign w:val="center"/>
          </w:tcPr>
          <w:p w14:paraId="4AB2B9B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0.076t/a</w:t>
            </w:r>
          </w:p>
        </w:tc>
        <w:tc>
          <w:tcPr>
            <w:tcW w:w="1492" w:type="dxa"/>
            <w:shd w:val="clear" w:color="auto" w:fill="auto"/>
            <w:noWrap w:val="0"/>
            <w:vAlign w:val="center"/>
          </w:tcPr>
          <w:p w14:paraId="52F04E8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-0.076</w:t>
            </w:r>
          </w:p>
        </w:tc>
      </w:tr>
      <w:tr w14:paraId="22B98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588" w:type="dxa"/>
            <w:vMerge w:val="restart"/>
            <w:noWrap w:val="0"/>
            <w:vAlign w:val="center"/>
          </w:tcPr>
          <w:p w14:paraId="77ADA8FC">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762" w:type="dxa"/>
            <w:noWrap w:val="0"/>
            <w:vAlign w:val="center"/>
          </w:tcPr>
          <w:p w14:paraId="6C0E8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pH</w:t>
            </w:r>
          </w:p>
        </w:tc>
        <w:tc>
          <w:tcPr>
            <w:tcW w:w="1491" w:type="dxa"/>
            <w:noWrap w:val="0"/>
            <w:vAlign w:val="center"/>
          </w:tcPr>
          <w:p w14:paraId="1D9B25A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37AD889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766C995E">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35B3C5C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shd w:val="clear" w:color="auto" w:fill="auto"/>
            <w:noWrap w:val="0"/>
            <w:vAlign w:val="center"/>
          </w:tcPr>
          <w:p w14:paraId="5B95F3D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29473C1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w:t>
            </w:r>
          </w:p>
        </w:tc>
        <w:tc>
          <w:tcPr>
            <w:tcW w:w="1492" w:type="dxa"/>
            <w:shd w:val="clear" w:color="auto" w:fill="auto"/>
            <w:noWrap w:val="0"/>
            <w:vAlign w:val="center"/>
          </w:tcPr>
          <w:p w14:paraId="1387142B">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r>
      <w:tr w14:paraId="20A8D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431FB029">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254D7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悬浮物</w:t>
            </w:r>
          </w:p>
        </w:tc>
        <w:tc>
          <w:tcPr>
            <w:tcW w:w="1491" w:type="dxa"/>
            <w:noWrap w:val="0"/>
            <w:vAlign w:val="center"/>
          </w:tcPr>
          <w:p w14:paraId="451AAFE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0.006t/a</w:t>
            </w:r>
          </w:p>
        </w:tc>
        <w:tc>
          <w:tcPr>
            <w:tcW w:w="1491" w:type="dxa"/>
            <w:noWrap w:val="0"/>
            <w:vAlign w:val="center"/>
          </w:tcPr>
          <w:p w14:paraId="5D30956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74C852C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0435934">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0.020</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60FB10F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0.006t/a</w:t>
            </w:r>
          </w:p>
        </w:tc>
        <w:tc>
          <w:tcPr>
            <w:tcW w:w="1491" w:type="dxa"/>
            <w:shd w:val="clear" w:color="auto" w:fill="auto"/>
            <w:noWrap w:val="0"/>
            <w:vAlign w:val="center"/>
          </w:tcPr>
          <w:p w14:paraId="2646DEAB">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4"/>
                <w:highlight w:val="none"/>
                <w:lang w:val="en-US" w:eastAsia="zh-CN"/>
              </w:rPr>
              <w:t>0.020</w:t>
            </w:r>
            <w:r>
              <w:rPr>
                <w:rFonts w:hint="eastAsia" w:cs="Times New Roman"/>
                <w:snapToGrid w:val="0"/>
                <w:color w:val="auto"/>
                <w:kern w:val="21"/>
                <w:sz w:val="21"/>
                <w:szCs w:val="21"/>
                <w:highlight w:val="none"/>
                <w:lang w:val="en-US" w:eastAsia="zh-CN"/>
              </w:rPr>
              <w:t>t/a</w:t>
            </w:r>
          </w:p>
        </w:tc>
        <w:tc>
          <w:tcPr>
            <w:tcW w:w="1492" w:type="dxa"/>
            <w:shd w:val="clear" w:color="auto" w:fill="auto"/>
            <w:noWrap w:val="0"/>
            <w:vAlign w:val="center"/>
          </w:tcPr>
          <w:p w14:paraId="6EB60BE8">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0.014</w:t>
            </w:r>
          </w:p>
        </w:tc>
      </w:tr>
      <w:tr w14:paraId="2529D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718A3720">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185498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化学需氧量</w:t>
            </w:r>
          </w:p>
        </w:tc>
        <w:tc>
          <w:tcPr>
            <w:tcW w:w="1491" w:type="dxa"/>
            <w:noWrap w:val="0"/>
            <w:vAlign w:val="center"/>
          </w:tcPr>
          <w:p w14:paraId="747297F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0.006t/a</w:t>
            </w:r>
          </w:p>
        </w:tc>
        <w:tc>
          <w:tcPr>
            <w:tcW w:w="1491" w:type="dxa"/>
            <w:noWrap w:val="0"/>
            <w:vAlign w:val="center"/>
          </w:tcPr>
          <w:p w14:paraId="5A338640">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3E60EC91">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945FF74">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snapToGrid w:val="0"/>
                <w:color w:val="auto"/>
                <w:kern w:val="21"/>
                <w:sz w:val="21"/>
                <w:szCs w:val="21"/>
                <w:highlight w:val="none"/>
                <w:lang w:val="en-US" w:eastAsia="zh-CN"/>
              </w:rPr>
              <w:t>0.049t/a</w:t>
            </w:r>
          </w:p>
        </w:tc>
        <w:tc>
          <w:tcPr>
            <w:tcW w:w="1491" w:type="dxa"/>
            <w:shd w:val="clear" w:color="auto" w:fill="auto"/>
            <w:noWrap w:val="0"/>
            <w:vAlign w:val="center"/>
          </w:tcPr>
          <w:p w14:paraId="6381628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0.006t/a</w:t>
            </w:r>
          </w:p>
        </w:tc>
        <w:tc>
          <w:tcPr>
            <w:tcW w:w="1491" w:type="dxa"/>
            <w:shd w:val="clear" w:color="auto" w:fill="auto"/>
            <w:noWrap w:val="0"/>
            <w:vAlign w:val="center"/>
          </w:tcPr>
          <w:p w14:paraId="41A3EE93">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snapToGrid w:val="0"/>
                <w:color w:val="auto"/>
                <w:kern w:val="21"/>
                <w:sz w:val="21"/>
                <w:szCs w:val="21"/>
                <w:highlight w:val="none"/>
                <w:lang w:val="en-US" w:eastAsia="zh-CN"/>
              </w:rPr>
              <w:t>0.049t/a</w:t>
            </w:r>
          </w:p>
        </w:tc>
        <w:tc>
          <w:tcPr>
            <w:tcW w:w="1492" w:type="dxa"/>
            <w:shd w:val="clear" w:color="auto" w:fill="auto"/>
            <w:noWrap w:val="0"/>
            <w:vAlign w:val="center"/>
          </w:tcPr>
          <w:p w14:paraId="033E19CC">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0.043</w:t>
            </w:r>
          </w:p>
        </w:tc>
      </w:tr>
      <w:tr w14:paraId="76BBB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544D0621">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0EDFC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五日生化需氧量</w:t>
            </w:r>
          </w:p>
        </w:tc>
        <w:tc>
          <w:tcPr>
            <w:tcW w:w="1491" w:type="dxa"/>
            <w:noWrap w:val="0"/>
            <w:vAlign w:val="center"/>
          </w:tcPr>
          <w:p w14:paraId="65F0D82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0.007t/a</w:t>
            </w:r>
          </w:p>
        </w:tc>
        <w:tc>
          <w:tcPr>
            <w:tcW w:w="1491" w:type="dxa"/>
            <w:noWrap w:val="0"/>
            <w:vAlign w:val="center"/>
          </w:tcPr>
          <w:p w14:paraId="5314F3F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1C0F1E4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17BF7E86">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snapToGrid w:val="0"/>
                <w:color w:val="auto"/>
                <w:kern w:val="21"/>
                <w:sz w:val="21"/>
                <w:szCs w:val="21"/>
                <w:highlight w:val="none"/>
                <w:lang w:val="en-US" w:eastAsia="zh-CN"/>
              </w:rPr>
              <w:t>0.026t/a</w:t>
            </w:r>
          </w:p>
        </w:tc>
        <w:tc>
          <w:tcPr>
            <w:tcW w:w="1491" w:type="dxa"/>
            <w:shd w:val="clear" w:color="auto" w:fill="auto"/>
            <w:noWrap w:val="0"/>
            <w:vAlign w:val="center"/>
          </w:tcPr>
          <w:p w14:paraId="30F4C8F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0.007t/a</w:t>
            </w:r>
          </w:p>
        </w:tc>
        <w:tc>
          <w:tcPr>
            <w:tcW w:w="1491" w:type="dxa"/>
            <w:shd w:val="clear" w:color="auto" w:fill="auto"/>
            <w:noWrap w:val="0"/>
            <w:vAlign w:val="center"/>
          </w:tcPr>
          <w:p w14:paraId="3F6203F8">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snapToGrid w:val="0"/>
                <w:color w:val="auto"/>
                <w:kern w:val="21"/>
                <w:sz w:val="21"/>
                <w:szCs w:val="21"/>
                <w:highlight w:val="none"/>
                <w:lang w:val="en-US" w:eastAsia="zh-CN"/>
              </w:rPr>
              <w:t>0.026t/a</w:t>
            </w:r>
          </w:p>
        </w:tc>
        <w:tc>
          <w:tcPr>
            <w:tcW w:w="1492" w:type="dxa"/>
            <w:shd w:val="clear" w:color="auto" w:fill="auto"/>
            <w:noWrap w:val="0"/>
            <w:vAlign w:val="center"/>
          </w:tcPr>
          <w:p w14:paraId="51500CEA">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cs="Times New Roman"/>
                <w:snapToGrid w:val="0"/>
                <w:color w:val="auto"/>
                <w:kern w:val="21"/>
                <w:sz w:val="21"/>
                <w:szCs w:val="21"/>
                <w:highlight w:val="none"/>
                <w:lang w:val="en-US" w:eastAsia="zh-CN"/>
              </w:rPr>
              <w:t>0.019</w:t>
            </w:r>
          </w:p>
        </w:tc>
      </w:tr>
      <w:tr w14:paraId="1E21A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2299C5D2">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06BE99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氨氮</w:t>
            </w:r>
          </w:p>
        </w:tc>
        <w:tc>
          <w:tcPr>
            <w:tcW w:w="1491" w:type="dxa"/>
            <w:noWrap w:val="0"/>
            <w:vAlign w:val="center"/>
          </w:tcPr>
          <w:p w14:paraId="57ACC24E">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9.370</w:t>
            </w:r>
            <w:r>
              <w:rPr>
                <w:rFonts w:hint="default" w:ascii="Times New Roman" w:hAnsi="Times New Roman" w:eastAsia="宋体" w:cs="Times New Roman"/>
                <w:smallCaps w:val="0"/>
                <w:color w:val="auto"/>
                <w:spacing w:val="0"/>
                <w:kern w:val="0"/>
                <w:szCs w:val="21"/>
                <w:highlight w:val="none"/>
                <w:lang w:val="en-US" w:eastAsia="zh-CN"/>
              </w:rPr>
              <w:t>×10</w:t>
            </w:r>
            <w:r>
              <w:rPr>
                <w:rFonts w:hint="default" w:ascii="Times New Roman" w:hAnsi="Times New Roman" w:eastAsia="宋体" w:cs="Times New Roman"/>
                <w:smallCaps w:val="0"/>
                <w:color w:val="auto"/>
                <w:spacing w:val="0"/>
                <w:kern w:val="0"/>
                <w:szCs w:val="21"/>
                <w:highlight w:val="none"/>
                <w:vertAlign w:val="superscript"/>
                <w:lang w:val="en-US" w:eastAsia="zh-CN"/>
              </w:rPr>
              <w:t>-4</w:t>
            </w:r>
            <w:r>
              <w:rPr>
                <w:rFonts w:hint="eastAsia" w:cs="Times New Roman"/>
                <w:snapToGrid w:val="0"/>
                <w:color w:val="auto"/>
                <w:kern w:val="21"/>
                <w:sz w:val="21"/>
                <w:szCs w:val="21"/>
                <w:highlight w:val="none"/>
                <w:lang w:val="en-US" w:eastAsia="zh-CN"/>
              </w:rPr>
              <w:t>t/a</w:t>
            </w:r>
          </w:p>
        </w:tc>
        <w:tc>
          <w:tcPr>
            <w:tcW w:w="1491" w:type="dxa"/>
            <w:noWrap w:val="0"/>
            <w:vAlign w:val="center"/>
          </w:tcPr>
          <w:p w14:paraId="736B675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068F0744">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2B7C1A9B">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0.004</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40298B18">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9.370</w:t>
            </w:r>
            <w:r>
              <w:rPr>
                <w:rFonts w:hint="default" w:ascii="Times New Roman" w:hAnsi="Times New Roman" w:eastAsia="宋体" w:cs="Times New Roman"/>
                <w:smallCaps w:val="0"/>
                <w:color w:val="auto"/>
                <w:spacing w:val="0"/>
                <w:kern w:val="0"/>
                <w:szCs w:val="21"/>
                <w:highlight w:val="none"/>
                <w:lang w:val="en-US" w:eastAsia="zh-CN"/>
              </w:rPr>
              <w:t>×10</w:t>
            </w:r>
            <w:r>
              <w:rPr>
                <w:rFonts w:hint="default" w:ascii="Times New Roman" w:hAnsi="Times New Roman" w:eastAsia="宋体" w:cs="Times New Roman"/>
                <w:smallCaps w:val="0"/>
                <w:color w:val="auto"/>
                <w:spacing w:val="0"/>
                <w:kern w:val="0"/>
                <w:szCs w:val="21"/>
                <w:highlight w:val="none"/>
                <w:vertAlign w:val="superscript"/>
                <w:lang w:val="en-US" w:eastAsia="zh-CN"/>
              </w:rPr>
              <w:t>-4</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70ABCCBA">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0.004</w:t>
            </w:r>
            <w:r>
              <w:rPr>
                <w:rFonts w:hint="eastAsia" w:cs="Times New Roman"/>
                <w:snapToGrid w:val="0"/>
                <w:color w:val="auto"/>
                <w:kern w:val="21"/>
                <w:sz w:val="21"/>
                <w:szCs w:val="21"/>
                <w:highlight w:val="none"/>
                <w:lang w:val="en-US" w:eastAsia="zh-CN"/>
              </w:rPr>
              <w:t>t/a</w:t>
            </w:r>
          </w:p>
        </w:tc>
        <w:tc>
          <w:tcPr>
            <w:tcW w:w="1492" w:type="dxa"/>
            <w:shd w:val="clear" w:color="auto" w:fill="auto"/>
            <w:noWrap w:val="0"/>
            <w:vAlign w:val="center"/>
          </w:tcPr>
          <w:p w14:paraId="364F1D1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+0.003</w:t>
            </w:r>
          </w:p>
        </w:tc>
      </w:tr>
      <w:tr w14:paraId="30F5F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3428AEBB">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2307E3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总氮</w:t>
            </w:r>
          </w:p>
        </w:tc>
        <w:tc>
          <w:tcPr>
            <w:tcW w:w="1491" w:type="dxa"/>
            <w:noWrap w:val="0"/>
            <w:vAlign w:val="center"/>
          </w:tcPr>
          <w:p w14:paraId="1DB8FF84">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46E2B56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4BC98ED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7CC06266">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0.007</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4A43B969">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6155D032">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0.007</w:t>
            </w:r>
            <w:r>
              <w:rPr>
                <w:rFonts w:hint="eastAsia" w:cs="Times New Roman"/>
                <w:snapToGrid w:val="0"/>
                <w:color w:val="auto"/>
                <w:kern w:val="21"/>
                <w:sz w:val="21"/>
                <w:szCs w:val="21"/>
                <w:highlight w:val="none"/>
                <w:lang w:val="en-US" w:eastAsia="zh-CN"/>
              </w:rPr>
              <w:t>t/a</w:t>
            </w:r>
          </w:p>
        </w:tc>
        <w:tc>
          <w:tcPr>
            <w:tcW w:w="1492" w:type="dxa"/>
            <w:shd w:val="clear" w:color="auto" w:fill="auto"/>
            <w:noWrap w:val="0"/>
            <w:vAlign w:val="center"/>
          </w:tcPr>
          <w:p w14:paraId="34E1EFC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+0.007</w:t>
            </w:r>
          </w:p>
        </w:tc>
      </w:tr>
      <w:tr w14:paraId="3D012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6DFFB51B">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2BD90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总磷</w:t>
            </w:r>
          </w:p>
        </w:tc>
        <w:tc>
          <w:tcPr>
            <w:tcW w:w="1491" w:type="dxa"/>
            <w:noWrap w:val="0"/>
            <w:vAlign w:val="center"/>
          </w:tcPr>
          <w:p w14:paraId="7C81538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0B4A9C0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2C7E8B5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7851467">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3903F98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7659DA76">
            <w:pPr>
              <w:keepNext w:val="0"/>
              <w:keepLines w:val="0"/>
              <w:suppressLineNumbers w:val="0"/>
              <w:snapToGrid w:val="0"/>
              <w:spacing w:before="0" w:beforeLines="0" w:beforeAutospacing="0" w:after="0" w:afterLines="0" w:afterAutospacing="0" w:line="360" w:lineRule="exact"/>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r>
              <w:rPr>
                <w:rFonts w:hint="eastAsia" w:cs="Times New Roman"/>
                <w:snapToGrid w:val="0"/>
                <w:color w:val="auto"/>
                <w:kern w:val="21"/>
                <w:sz w:val="21"/>
                <w:szCs w:val="21"/>
                <w:highlight w:val="none"/>
                <w:lang w:val="en-US" w:eastAsia="zh-CN"/>
              </w:rPr>
              <w:t>t/a</w:t>
            </w:r>
          </w:p>
        </w:tc>
        <w:tc>
          <w:tcPr>
            <w:tcW w:w="1492" w:type="dxa"/>
            <w:shd w:val="clear" w:color="auto" w:fill="auto"/>
            <w:noWrap w:val="0"/>
            <w:vAlign w:val="center"/>
          </w:tcPr>
          <w:p w14:paraId="4334C14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r>
              <w:rPr>
                <w:rFonts w:hint="default" w:ascii="Times New Roman" w:hAnsi="Times New Roman" w:eastAsia="宋体" w:cs="Times New Roman"/>
                <w:color w:val="auto"/>
                <w:sz w:val="21"/>
                <w:szCs w:val="24"/>
                <w:highlight w:val="none"/>
                <w:lang w:val="en-US" w:eastAsia="zh-CN"/>
              </w:rPr>
              <w:t>8.64×10</w:t>
            </w:r>
            <w:r>
              <w:rPr>
                <w:rFonts w:hint="default" w:ascii="Times New Roman" w:hAnsi="Times New Roman" w:eastAsia="宋体" w:cs="Times New Roman"/>
                <w:color w:val="auto"/>
                <w:sz w:val="21"/>
                <w:szCs w:val="24"/>
                <w:highlight w:val="none"/>
                <w:vertAlign w:val="superscript"/>
                <w:lang w:val="en-US" w:eastAsia="zh-CN"/>
              </w:rPr>
              <w:t>-4</w:t>
            </w:r>
          </w:p>
        </w:tc>
      </w:tr>
      <w:tr w14:paraId="070AC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00730AC7">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w:t>
            </w:r>
          </w:p>
          <w:p w14:paraId="5D9739B7">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固体废物</w:t>
            </w:r>
          </w:p>
        </w:tc>
        <w:tc>
          <w:tcPr>
            <w:tcW w:w="1762" w:type="dxa"/>
            <w:shd w:val="clear" w:color="auto" w:fill="auto"/>
            <w:noWrap w:val="0"/>
            <w:vAlign w:val="center"/>
          </w:tcPr>
          <w:p w14:paraId="60304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废包装材料</w:t>
            </w:r>
          </w:p>
        </w:tc>
        <w:tc>
          <w:tcPr>
            <w:tcW w:w="1491" w:type="dxa"/>
            <w:noWrap w:val="0"/>
            <w:vAlign w:val="center"/>
          </w:tcPr>
          <w:p w14:paraId="059E18D8">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0.5t/a</w:t>
            </w:r>
          </w:p>
        </w:tc>
        <w:tc>
          <w:tcPr>
            <w:tcW w:w="1491" w:type="dxa"/>
            <w:noWrap w:val="0"/>
            <w:vAlign w:val="center"/>
          </w:tcPr>
          <w:p w14:paraId="044B47B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21F0613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DE39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0.353</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noWrap w:val="0"/>
            <w:vAlign w:val="center"/>
          </w:tcPr>
          <w:p w14:paraId="02B0D7A9">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21"/>
                <w:sz w:val="21"/>
                <w:szCs w:val="21"/>
                <w:highlight w:val="none"/>
                <w:lang w:val="en-US" w:eastAsia="zh-CN"/>
              </w:rPr>
              <w:t>0.5t/a</w:t>
            </w:r>
          </w:p>
        </w:tc>
        <w:tc>
          <w:tcPr>
            <w:tcW w:w="1491" w:type="dxa"/>
            <w:shd w:val="clear" w:color="auto" w:fill="auto"/>
            <w:noWrap w:val="0"/>
            <w:vAlign w:val="center"/>
          </w:tcPr>
          <w:p w14:paraId="416A20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0.353</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noWrap w:val="0"/>
            <w:vAlign w:val="center"/>
          </w:tcPr>
          <w:p w14:paraId="04771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-0.147</w:t>
            </w:r>
          </w:p>
        </w:tc>
      </w:tr>
      <w:tr w14:paraId="30107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61F4FCA1">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4B63B5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废塑料边角料</w:t>
            </w:r>
          </w:p>
        </w:tc>
        <w:tc>
          <w:tcPr>
            <w:tcW w:w="1491" w:type="dxa"/>
            <w:shd w:val="clear" w:color="auto" w:fill="auto"/>
            <w:noWrap w:val="0"/>
            <w:vAlign w:val="center"/>
          </w:tcPr>
          <w:p w14:paraId="27C4B9A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1.0t/a</w:t>
            </w:r>
          </w:p>
        </w:tc>
        <w:tc>
          <w:tcPr>
            <w:tcW w:w="1491" w:type="dxa"/>
            <w:shd w:val="clear" w:color="auto" w:fill="auto"/>
            <w:noWrap w:val="0"/>
            <w:vAlign w:val="center"/>
          </w:tcPr>
          <w:p w14:paraId="17A0776D">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403BB27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704338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noWrap w:val="0"/>
            <w:vAlign w:val="center"/>
          </w:tcPr>
          <w:p w14:paraId="22513F6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1.0t/a</w:t>
            </w:r>
          </w:p>
        </w:tc>
        <w:tc>
          <w:tcPr>
            <w:tcW w:w="1491" w:type="dxa"/>
            <w:shd w:val="clear" w:color="auto" w:fill="auto"/>
            <w:noWrap w:val="0"/>
            <w:vAlign w:val="center"/>
          </w:tcPr>
          <w:p w14:paraId="66FAD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noWrap w:val="0"/>
            <w:vAlign w:val="center"/>
          </w:tcPr>
          <w:p w14:paraId="7ADA5C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w:t>
            </w:r>
          </w:p>
        </w:tc>
      </w:tr>
      <w:tr w14:paraId="463A3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2ADC43BD">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3FA00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不合格品</w:t>
            </w:r>
          </w:p>
        </w:tc>
        <w:tc>
          <w:tcPr>
            <w:tcW w:w="1491" w:type="dxa"/>
            <w:noWrap w:val="0"/>
            <w:vAlign w:val="center"/>
          </w:tcPr>
          <w:p w14:paraId="5B25B556">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0.5t/a</w:t>
            </w:r>
          </w:p>
        </w:tc>
        <w:tc>
          <w:tcPr>
            <w:tcW w:w="1491" w:type="dxa"/>
            <w:noWrap w:val="0"/>
            <w:vAlign w:val="center"/>
          </w:tcPr>
          <w:p w14:paraId="694519E6">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23EEC55C">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926F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0.1t/a</w:t>
            </w:r>
          </w:p>
        </w:tc>
        <w:tc>
          <w:tcPr>
            <w:tcW w:w="1491" w:type="dxa"/>
            <w:shd w:val="clear" w:color="auto" w:fill="auto"/>
            <w:noWrap w:val="0"/>
            <w:vAlign w:val="center"/>
          </w:tcPr>
          <w:p w14:paraId="372BFCB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0.5t/a</w:t>
            </w:r>
          </w:p>
        </w:tc>
        <w:tc>
          <w:tcPr>
            <w:tcW w:w="1491" w:type="dxa"/>
            <w:shd w:val="clear" w:color="auto" w:fill="auto"/>
            <w:noWrap w:val="0"/>
            <w:vAlign w:val="center"/>
          </w:tcPr>
          <w:p w14:paraId="4C9D51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0.1t/a</w:t>
            </w:r>
          </w:p>
        </w:tc>
        <w:tc>
          <w:tcPr>
            <w:tcW w:w="1492" w:type="dxa"/>
            <w:shd w:val="clear" w:color="auto" w:fill="auto"/>
            <w:noWrap w:val="0"/>
            <w:vAlign w:val="center"/>
          </w:tcPr>
          <w:p w14:paraId="33067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r>
      <w:tr w14:paraId="374F6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275E5951">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49247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金属下脚料</w:t>
            </w:r>
          </w:p>
        </w:tc>
        <w:tc>
          <w:tcPr>
            <w:tcW w:w="1491" w:type="dxa"/>
            <w:noWrap w:val="0"/>
            <w:vAlign w:val="center"/>
          </w:tcPr>
          <w:p w14:paraId="2923E63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1.0t/a</w:t>
            </w:r>
          </w:p>
        </w:tc>
        <w:tc>
          <w:tcPr>
            <w:tcW w:w="1491" w:type="dxa"/>
            <w:noWrap w:val="0"/>
            <w:vAlign w:val="center"/>
          </w:tcPr>
          <w:p w14:paraId="458C379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0D40C0C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37B12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1491" w:type="dxa"/>
            <w:shd w:val="clear" w:color="auto" w:fill="auto"/>
            <w:noWrap w:val="0"/>
            <w:vAlign w:val="center"/>
          </w:tcPr>
          <w:p w14:paraId="065ACDD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1.0t/a</w:t>
            </w:r>
          </w:p>
        </w:tc>
        <w:tc>
          <w:tcPr>
            <w:tcW w:w="1491" w:type="dxa"/>
            <w:shd w:val="clear" w:color="auto" w:fill="auto"/>
            <w:noWrap w:val="0"/>
            <w:vAlign w:val="center"/>
          </w:tcPr>
          <w:p w14:paraId="771D2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1492" w:type="dxa"/>
            <w:shd w:val="clear" w:color="auto" w:fill="auto"/>
            <w:noWrap w:val="0"/>
            <w:vAlign w:val="center"/>
          </w:tcPr>
          <w:p w14:paraId="2A62F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-0.97</w:t>
            </w:r>
          </w:p>
        </w:tc>
      </w:tr>
      <w:tr w14:paraId="0A183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3E9FEFB8">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noWrap w:val="0"/>
            <w:vAlign w:val="center"/>
          </w:tcPr>
          <w:p w14:paraId="5763B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不合格电极片</w:t>
            </w:r>
          </w:p>
        </w:tc>
        <w:tc>
          <w:tcPr>
            <w:tcW w:w="1491" w:type="dxa"/>
            <w:noWrap w:val="0"/>
            <w:vAlign w:val="center"/>
          </w:tcPr>
          <w:p w14:paraId="05C6BE25">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0.5t/a</w:t>
            </w:r>
          </w:p>
        </w:tc>
        <w:tc>
          <w:tcPr>
            <w:tcW w:w="1491" w:type="dxa"/>
            <w:noWrap w:val="0"/>
            <w:vAlign w:val="center"/>
          </w:tcPr>
          <w:p w14:paraId="16D4B80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noWrap w:val="0"/>
            <w:vAlign w:val="center"/>
          </w:tcPr>
          <w:p w14:paraId="5537237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6D2967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1491" w:type="dxa"/>
            <w:shd w:val="clear" w:color="auto" w:fill="auto"/>
            <w:noWrap w:val="0"/>
            <w:vAlign w:val="center"/>
          </w:tcPr>
          <w:p w14:paraId="57ED029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0.5t/a</w:t>
            </w:r>
          </w:p>
        </w:tc>
        <w:tc>
          <w:tcPr>
            <w:tcW w:w="1491" w:type="dxa"/>
            <w:shd w:val="clear" w:color="auto" w:fill="auto"/>
            <w:noWrap w:val="0"/>
            <w:vAlign w:val="center"/>
          </w:tcPr>
          <w:p w14:paraId="0D6F35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0.03t/a</w:t>
            </w:r>
          </w:p>
        </w:tc>
        <w:tc>
          <w:tcPr>
            <w:tcW w:w="1492" w:type="dxa"/>
            <w:shd w:val="clear" w:color="auto" w:fill="auto"/>
            <w:noWrap w:val="0"/>
            <w:vAlign w:val="center"/>
          </w:tcPr>
          <w:p w14:paraId="7476F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r>
      <w:tr w14:paraId="04AF0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noWrap w:val="0"/>
            <w:vAlign w:val="center"/>
          </w:tcPr>
          <w:p w14:paraId="2BB1A18E">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职工生活垃圾</w:t>
            </w:r>
          </w:p>
        </w:tc>
        <w:tc>
          <w:tcPr>
            <w:tcW w:w="1762" w:type="dxa"/>
            <w:noWrap w:val="0"/>
            <w:vAlign w:val="center"/>
          </w:tcPr>
          <w:p w14:paraId="5E8F0C7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生活垃圾</w:t>
            </w:r>
          </w:p>
        </w:tc>
        <w:tc>
          <w:tcPr>
            <w:tcW w:w="1491" w:type="dxa"/>
            <w:noWrap w:val="0"/>
            <w:vAlign w:val="center"/>
          </w:tcPr>
          <w:p w14:paraId="4AC0F12A">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3t/a</w:t>
            </w:r>
          </w:p>
        </w:tc>
        <w:tc>
          <w:tcPr>
            <w:tcW w:w="1491" w:type="dxa"/>
            <w:noWrap w:val="0"/>
            <w:vAlign w:val="center"/>
          </w:tcPr>
          <w:p w14:paraId="1C4843F7">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76328522">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0DB4EF46">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eastAsia" w:cs="Times New Roman"/>
                <w:smallCaps w:val="0"/>
                <w:snapToGrid w:val="0"/>
                <w:color w:val="auto"/>
                <w:spacing w:val="0"/>
                <w:kern w:val="21"/>
                <w:sz w:val="21"/>
                <w:szCs w:val="21"/>
                <w:highlight w:val="none"/>
                <w:lang w:val="en-US" w:eastAsia="zh-CN" w:bidi="ar-SA"/>
              </w:rPr>
              <w:t>3</w:t>
            </w:r>
            <w:r>
              <w:rPr>
                <w:rFonts w:hint="eastAsia" w:cs="Times New Roman"/>
                <w:snapToGrid w:val="0"/>
                <w:color w:val="auto"/>
                <w:kern w:val="21"/>
                <w:sz w:val="21"/>
                <w:szCs w:val="21"/>
                <w:highlight w:val="none"/>
                <w:lang w:val="en-US" w:eastAsia="zh-CN"/>
              </w:rPr>
              <w:t>t/a</w:t>
            </w:r>
          </w:p>
        </w:tc>
        <w:tc>
          <w:tcPr>
            <w:tcW w:w="1491" w:type="dxa"/>
            <w:shd w:val="clear" w:color="auto" w:fill="auto"/>
            <w:noWrap w:val="0"/>
            <w:vAlign w:val="center"/>
          </w:tcPr>
          <w:p w14:paraId="1002655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3t/a</w:t>
            </w:r>
          </w:p>
        </w:tc>
        <w:tc>
          <w:tcPr>
            <w:tcW w:w="1491" w:type="dxa"/>
            <w:shd w:val="clear" w:color="auto" w:fill="auto"/>
            <w:noWrap w:val="0"/>
            <w:vAlign w:val="center"/>
          </w:tcPr>
          <w:p w14:paraId="5206963F">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eastAsia" w:cs="Times New Roman"/>
                <w:smallCaps w:val="0"/>
                <w:snapToGrid w:val="0"/>
                <w:color w:val="auto"/>
                <w:spacing w:val="0"/>
                <w:kern w:val="21"/>
                <w:sz w:val="21"/>
                <w:szCs w:val="21"/>
                <w:highlight w:val="none"/>
                <w:lang w:val="en-US" w:eastAsia="zh-CN" w:bidi="ar-SA"/>
              </w:rPr>
              <w:t>3</w:t>
            </w:r>
            <w:r>
              <w:rPr>
                <w:rFonts w:hint="eastAsia" w:cs="Times New Roman"/>
                <w:snapToGrid w:val="0"/>
                <w:color w:val="auto"/>
                <w:kern w:val="21"/>
                <w:sz w:val="21"/>
                <w:szCs w:val="21"/>
                <w:highlight w:val="none"/>
                <w:lang w:val="en-US" w:eastAsia="zh-CN"/>
              </w:rPr>
              <w:t>t/a</w:t>
            </w:r>
          </w:p>
        </w:tc>
        <w:tc>
          <w:tcPr>
            <w:tcW w:w="1492" w:type="dxa"/>
            <w:shd w:val="clear" w:color="auto" w:fill="auto"/>
            <w:noWrap w:val="0"/>
            <w:vAlign w:val="center"/>
          </w:tcPr>
          <w:p w14:paraId="5AA837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44C4D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47217F76">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危险废物</w:t>
            </w:r>
          </w:p>
        </w:tc>
        <w:tc>
          <w:tcPr>
            <w:tcW w:w="1762" w:type="dxa"/>
            <w:shd w:val="clear" w:color="auto" w:fill="auto"/>
            <w:noWrap w:val="0"/>
            <w:vAlign w:val="center"/>
          </w:tcPr>
          <w:p w14:paraId="7AAEC994">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w:t>
            </w:r>
          </w:p>
        </w:tc>
        <w:tc>
          <w:tcPr>
            <w:tcW w:w="1491" w:type="dxa"/>
            <w:shd w:val="clear" w:color="auto" w:fill="auto"/>
            <w:noWrap w:val="0"/>
            <w:vAlign w:val="center"/>
          </w:tcPr>
          <w:p w14:paraId="0D78E93D">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0.05t/a</w:t>
            </w:r>
          </w:p>
        </w:tc>
        <w:tc>
          <w:tcPr>
            <w:tcW w:w="1491" w:type="dxa"/>
            <w:noWrap w:val="0"/>
            <w:vAlign w:val="center"/>
          </w:tcPr>
          <w:p w14:paraId="46C40D6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3AA6DBB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noWrap w:val="0"/>
            <w:vAlign w:val="center"/>
          </w:tcPr>
          <w:p w14:paraId="64311F62">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noWrap w:val="0"/>
            <w:vAlign w:val="center"/>
          </w:tcPr>
          <w:p w14:paraId="4C510DD6">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0.05t/a</w:t>
            </w:r>
          </w:p>
        </w:tc>
        <w:tc>
          <w:tcPr>
            <w:tcW w:w="1491" w:type="dxa"/>
            <w:shd w:val="clear" w:color="auto" w:fill="auto"/>
            <w:noWrap w:val="0"/>
            <w:vAlign w:val="center"/>
          </w:tcPr>
          <w:p w14:paraId="49BBE186">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noWrap w:val="0"/>
            <w:vAlign w:val="center"/>
          </w:tcPr>
          <w:p w14:paraId="18864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r>
      <w:tr w14:paraId="09DA6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4E2847C5">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52D4F34D">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废润滑油桶</w:t>
            </w:r>
          </w:p>
        </w:tc>
        <w:tc>
          <w:tcPr>
            <w:tcW w:w="1491" w:type="dxa"/>
            <w:shd w:val="clear" w:color="auto" w:fill="auto"/>
            <w:vAlign w:val="center"/>
          </w:tcPr>
          <w:p w14:paraId="7F6121F3">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vAlign w:val="center"/>
          </w:tcPr>
          <w:p w14:paraId="1A2A9CC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0B02D3F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5355DB4F">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vAlign w:val="center"/>
          </w:tcPr>
          <w:p w14:paraId="5DA77AB8">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21846418">
            <w:pPr>
              <w:keepNext w:val="0"/>
              <w:keepLines w:val="0"/>
              <w:suppressLineNumbers w:val="0"/>
              <w:snapToGrid w:val="0"/>
              <w:spacing w:before="0" w:beforeAutospacing="0" w:after="0" w:afterAutospacing="0" w:line="36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vAlign w:val="center"/>
          </w:tcPr>
          <w:p w14:paraId="049CF1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28"/>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r>
      <w:tr w14:paraId="2CE4C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43711031">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22A21185">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含油抹布及废劳保用品</w:t>
            </w:r>
          </w:p>
        </w:tc>
        <w:tc>
          <w:tcPr>
            <w:tcW w:w="1491" w:type="dxa"/>
            <w:vAlign w:val="center"/>
          </w:tcPr>
          <w:p w14:paraId="3A2EB91C">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0.01t/a</w:t>
            </w:r>
          </w:p>
        </w:tc>
        <w:tc>
          <w:tcPr>
            <w:tcW w:w="1491" w:type="dxa"/>
            <w:vAlign w:val="center"/>
          </w:tcPr>
          <w:p w14:paraId="40C28C4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4E2E84DF">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1B4672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vAlign w:val="center"/>
          </w:tcPr>
          <w:p w14:paraId="17CCF22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0.01t/a</w:t>
            </w:r>
          </w:p>
        </w:tc>
        <w:tc>
          <w:tcPr>
            <w:tcW w:w="1491" w:type="dxa"/>
            <w:shd w:val="clear" w:color="auto" w:fill="auto"/>
            <w:vAlign w:val="center"/>
          </w:tcPr>
          <w:p w14:paraId="18E94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vAlign w:val="center"/>
          </w:tcPr>
          <w:p w14:paraId="4774C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snapToGrid w:val="0"/>
                <w:color w:val="auto"/>
                <w:spacing w:val="0"/>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-0.009</w:t>
            </w:r>
          </w:p>
        </w:tc>
      </w:tr>
      <w:tr w14:paraId="49A72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0317423C">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28EB07A3">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含油金属屑</w:t>
            </w:r>
          </w:p>
        </w:tc>
        <w:tc>
          <w:tcPr>
            <w:tcW w:w="1491" w:type="dxa"/>
            <w:vAlign w:val="center"/>
          </w:tcPr>
          <w:p w14:paraId="50570350">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1.0t/a</w:t>
            </w:r>
          </w:p>
        </w:tc>
        <w:tc>
          <w:tcPr>
            <w:tcW w:w="1491" w:type="dxa"/>
            <w:vAlign w:val="center"/>
          </w:tcPr>
          <w:p w14:paraId="021275DB">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28FA3BA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6B667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1491" w:type="dxa"/>
            <w:shd w:val="clear" w:color="auto" w:fill="auto"/>
            <w:vAlign w:val="center"/>
          </w:tcPr>
          <w:p w14:paraId="65CCDA9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1.0t/a</w:t>
            </w:r>
          </w:p>
        </w:tc>
        <w:tc>
          <w:tcPr>
            <w:tcW w:w="1491" w:type="dxa"/>
            <w:shd w:val="clear" w:color="auto" w:fill="auto"/>
            <w:vAlign w:val="center"/>
          </w:tcPr>
          <w:p w14:paraId="06A42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0.005t/a</w:t>
            </w:r>
          </w:p>
        </w:tc>
        <w:tc>
          <w:tcPr>
            <w:tcW w:w="1492" w:type="dxa"/>
            <w:shd w:val="clear" w:color="auto" w:fill="auto"/>
            <w:vAlign w:val="center"/>
          </w:tcPr>
          <w:p w14:paraId="106F68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-0.995</w:t>
            </w:r>
          </w:p>
        </w:tc>
      </w:tr>
      <w:tr w14:paraId="15E8F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3DBF0A64">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31FF21A9">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w:t>
            </w:r>
          </w:p>
        </w:tc>
        <w:tc>
          <w:tcPr>
            <w:tcW w:w="1491" w:type="dxa"/>
            <w:vAlign w:val="center"/>
          </w:tcPr>
          <w:p w14:paraId="584875B9">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0.018t/a</w:t>
            </w:r>
          </w:p>
        </w:tc>
        <w:tc>
          <w:tcPr>
            <w:tcW w:w="1491" w:type="dxa"/>
            <w:vAlign w:val="center"/>
          </w:tcPr>
          <w:p w14:paraId="4BD204B3">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5DD2A520">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73D1EA2D">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vAlign w:val="center"/>
          </w:tcPr>
          <w:p w14:paraId="18080F3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0.018t/a</w:t>
            </w:r>
          </w:p>
        </w:tc>
        <w:tc>
          <w:tcPr>
            <w:tcW w:w="1491" w:type="dxa"/>
            <w:shd w:val="clear" w:color="auto" w:fill="auto"/>
            <w:vAlign w:val="center"/>
          </w:tcPr>
          <w:p w14:paraId="0B8E59B0">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0.005</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vAlign w:val="center"/>
          </w:tcPr>
          <w:p w14:paraId="1D847C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r>
      <w:tr w14:paraId="0BFBE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244FA546">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5BFBD40A">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废切削液桶</w:t>
            </w:r>
          </w:p>
        </w:tc>
        <w:tc>
          <w:tcPr>
            <w:tcW w:w="1491" w:type="dxa"/>
            <w:vAlign w:val="center"/>
          </w:tcPr>
          <w:p w14:paraId="5F1E0E15">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vAlign w:val="center"/>
          </w:tcPr>
          <w:p w14:paraId="372C14F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33DC3379">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27594867">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1" w:type="dxa"/>
            <w:shd w:val="clear" w:color="auto" w:fill="auto"/>
            <w:vAlign w:val="center"/>
          </w:tcPr>
          <w:p w14:paraId="48B37A3F">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04766527">
            <w:pPr>
              <w:keepNext w:val="0"/>
              <w:keepLines w:val="0"/>
              <w:suppressLineNumbers w:val="0"/>
              <w:snapToGrid w:val="0"/>
              <w:spacing w:before="0" w:beforeAutospacing="0" w:after="0" w:afterAutospacing="0" w:line="36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0.001</w:t>
            </w:r>
            <w:r>
              <w:rPr>
                <w:rFonts w:hint="default" w:ascii="Times New Roman" w:hAnsi="Times New Roman" w:cs="Times New Roman"/>
                <w:smallCaps w:val="0"/>
                <w:color w:val="auto"/>
                <w:spacing w:val="0"/>
                <w:kern w:val="2"/>
                <w:sz w:val="21"/>
                <w:szCs w:val="21"/>
                <w:highlight w:val="none"/>
                <w:lang w:val="en-US" w:eastAsia="zh-CN" w:bidi="ar-SA"/>
              </w:rPr>
              <w:t>t/a</w:t>
            </w:r>
          </w:p>
        </w:tc>
        <w:tc>
          <w:tcPr>
            <w:tcW w:w="1492" w:type="dxa"/>
            <w:shd w:val="clear" w:color="auto" w:fill="auto"/>
            <w:vAlign w:val="center"/>
          </w:tcPr>
          <w:p w14:paraId="788AF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r>
      <w:tr w14:paraId="09C02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6FA9D3AF">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46B9AABF">
            <w:pPr>
              <w:pStyle w:val="3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废布袋</w:t>
            </w:r>
          </w:p>
        </w:tc>
        <w:tc>
          <w:tcPr>
            <w:tcW w:w="1491" w:type="dxa"/>
            <w:vAlign w:val="center"/>
          </w:tcPr>
          <w:p w14:paraId="3C200B64">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vAlign w:val="center"/>
          </w:tcPr>
          <w:p w14:paraId="7A904522">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1BDA6A5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6D61F7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1491" w:type="dxa"/>
            <w:shd w:val="clear" w:color="auto" w:fill="auto"/>
            <w:vAlign w:val="center"/>
          </w:tcPr>
          <w:p w14:paraId="3073505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19379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0.131t/a</w:t>
            </w:r>
          </w:p>
        </w:tc>
        <w:tc>
          <w:tcPr>
            <w:tcW w:w="1492" w:type="dxa"/>
            <w:shd w:val="clear" w:color="auto" w:fill="auto"/>
            <w:vAlign w:val="center"/>
          </w:tcPr>
          <w:p w14:paraId="4F6594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+0.131</w:t>
            </w:r>
          </w:p>
        </w:tc>
      </w:tr>
      <w:tr w14:paraId="16767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764D35EB">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68AE7501">
            <w:pPr>
              <w:pStyle w:val="39"/>
              <w:keepNext w:val="0"/>
              <w:keepLines w:val="0"/>
              <w:suppressLineNumbers w:val="0"/>
              <w:spacing w:before="0" w:beforeAutospacing="0" w:after="0" w:afterAutospacing="0" w:line="360" w:lineRule="exact"/>
              <w:ind w:left="0" w:leftChars="0" w:right="0" w:rightChars="0"/>
              <w:jc w:val="center"/>
              <w:rPr>
                <w:rFonts w:hint="default"/>
                <w:color w:val="auto"/>
                <w:sz w:val="21"/>
                <w:szCs w:val="22"/>
                <w:highlight w:val="none"/>
                <w:lang w:val="en-US" w:eastAsia="zh-CN"/>
              </w:rPr>
            </w:pPr>
            <w:r>
              <w:rPr>
                <w:rFonts w:hint="eastAsia"/>
                <w:color w:val="auto"/>
                <w:sz w:val="21"/>
                <w:szCs w:val="22"/>
                <w:highlight w:val="none"/>
                <w:lang w:val="en-US" w:eastAsia="zh-CN"/>
              </w:rPr>
              <w:t>除尘灰</w:t>
            </w:r>
          </w:p>
        </w:tc>
        <w:tc>
          <w:tcPr>
            <w:tcW w:w="1491" w:type="dxa"/>
            <w:vAlign w:val="center"/>
          </w:tcPr>
          <w:p w14:paraId="50C68317">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vAlign w:val="center"/>
          </w:tcPr>
          <w:p w14:paraId="2A55C045">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shd w:val="clear" w:color="auto" w:fill="auto"/>
            <w:vAlign w:val="center"/>
          </w:tcPr>
          <w:p w14:paraId="690C8A76">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shd w:val="clear" w:color="auto" w:fill="auto"/>
            <w:vAlign w:val="center"/>
          </w:tcPr>
          <w:p w14:paraId="403A76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1491" w:type="dxa"/>
            <w:shd w:val="clear" w:color="auto" w:fill="auto"/>
            <w:vAlign w:val="center"/>
          </w:tcPr>
          <w:p w14:paraId="38E4C7AB">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91" w:type="dxa"/>
            <w:shd w:val="clear" w:color="auto" w:fill="auto"/>
            <w:vAlign w:val="center"/>
          </w:tcPr>
          <w:p w14:paraId="7E0E3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0.225t/a</w:t>
            </w:r>
          </w:p>
        </w:tc>
        <w:tc>
          <w:tcPr>
            <w:tcW w:w="1492" w:type="dxa"/>
            <w:shd w:val="clear" w:color="auto" w:fill="auto"/>
            <w:vAlign w:val="center"/>
          </w:tcPr>
          <w:p w14:paraId="0FBC9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+0.225</w:t>
            </w:r>
          </w:p>
        </w:tc>
      </w:tr>
      <w:tr w14:paraId="59007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vAlign w:val="center"/>
          </w:tcPr>
          <w:p w14:paraId="6ED8E79D">
            <w:pPr>
              <w:pStyle w:val="131"/>
              <w:keepNext w:val="0"/>
              <w:keepLines w:val="0"/>
              <w:pageBreakBefore w:val="0"/>
              <w:widowControl w:val="0"/>
              <w:suppressLineNumbers w:val="0"/>
              <w:tabs>
                <w:tab w:val="left" w:pos="6521"/>
              </w:tabs>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rPr>
            </w:pPr>
          </w:p>
        </w:tc>
        <w:tc>
          <w:tcPr>
            <w:tcW w:w="1762" w:type="dxa"/>
            <w:shd w:val="clear" w:color="auto" w:fill="auto"/>
            <w:vAlign w:val="center"/>
          </w:tcPr>
          <w:p w14:paraId="1F8F5723">
            <w:pPr>
              <w:pStyle w:val="3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smallCaps/>
                <w:color w:val="auto"/>
                <w:kern w:val="0"/>
                <w:sz w:val="21"/>
                <w:szCs w:val="22"/>
                <w:highlight w:val="none"/>
                <w:lang w:val="en-US" w:eastAsia="zh-CN" w:bidi="ar-SA"/>
              </w:rPr>
            </w:pPr>
            <w:r>
              <w:rPr>
                <w:rFonts w:hint="eastAsia"/>
                <w:color w:val="auto"/>
                <w:sz w:val="21"/>
                <w:szCs w:val="22"/>
                <w:highlight w:val="none"/>
                <w:lang w:val="en-US" w:eastAsia="zh-CN"/>
              </w:rPr>
              <w:t>废活性炭</w:t>
            </w:r>
          </w:p>
        </w:tc>
        <w:tc>
          <w:tcPr>
            <w:tcW w:w="1491" w:type="dxa"/>
            <w:vAlign w:val="center"/>
          </w:tcPr>
          <w:p w14:paraId="7AE8AA4F">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0.6t/a</w:t>
            </w:r>
          </w:p>
        </w:tc>
        <w:tc>
          <w:tcPr>
            <w:tcW w:w="1491" w:type="dxa"/>
            <w:vAlign w:val="center"/>
          </w:tcPr>
          <w:p w14:paraId="5BC3ED6F">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54419F5E">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91" w:type="dxa"/>
            <w:shd w:val="clear" w:color="auto" w:fill="auto"/>
            <w:vAlign w:val="center"/>
          </w:tcPr>
          <w:p w14:paraId="0DCC95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1491" w:type="dxa"/>
            <w:shd w:val="clear" w:color="auto" w:fill="auto"/>
            <w:vAlign w:val="center"/>
          </w:tcPr>
          <w:p w14:paraId="2AE83120">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0.6t/a</w:t>
            </w:r>
          </w:p>
        </w:tc>
        <w:tc>
          <w:tcPr>
            <w:tcW w:w="1491" w:type="dxa"/>
            <w:shd w:val="clear" w:color="auto" w:fill="auto"/>
            <w:vAlign w:val="center"/>
          </w:tcPr>
          <w:p w14:paraId="6296A8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eastAsia" w:cs="Times New Roman"/>
                <w:smallCaps w:val="0"/>
                <w:color w:val="auto"/>
                <w:spacing w:val="0"/>
                <w:kern w:val="2"/>
                <w:sz w:val="21"/>
                <w:szCs w:val="21"/>
                <w:highlight w:val="none"/>
                <w:lang w:val="en-US" w:eastAsia="zh-CN" w:bidi="ar-SA"/>
              </w:rPr>
              <w:t>3.351t/a</w:t>
            </w:r>
          </w:p>
        </w:tc>
        <w:tc>
          <w:tcPr>
            <w:tcW w:w="1492" w:type="dxa"/>
            <w:shd w:val="clear" w:color="auto" w:fill="auto"/>
            <w:vAlign w:val="center"/>
          </w:tcPr>
          <w:p w14:paraId="5E443FA6">
            <w:pPr>
              <w:keepNext w:val="0"/>
              <w:keepLines w:val="0"/>
              <w:widowControl/>
              <w:suppressLineNumbers w:val="0"/>
              <w:spacing w:before="0" w:beforeAutospacing="0" w:after="0" w:afterAutospacing="0"/>
              <w:ind w:left="0" w:right="0"/>
              <w:jc w:val="center"/>
              <w:textAlignment w:val="center"/>
              <w:rPr>
                <w:rFonts w:hint="default"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2.751</w:t>
            </w:r>
          </w:p>
        </w:tc>
      </w:tr>
    </w:tbl>
    <w:p w14:paraId="207270AF">
      <w:pPr>
        <w:pStyle w:val="131"/>
        <w:tabs>
          <w:tab w:val="left" w:pos="6521"/>
        </w:tabs>
        <w:spacing w:before="192" w:beforeLines="80" w:after="24"/>
        <w:ind w:firstLine="480"/>
        <w:jc w:val="left"/>
        <w:rPr>
          <w:rFonts w:hint="default" w:ascii="Times New Roman" w:hAnsi="Times New Roman" w:cs="Times New Roman"/>
          <w:smallCaps w:val="0"/>
          <w:color w:val="auto"/>
          <w:spacing w:val="0"/>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bookmarkEnd w:id="42"/>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w:altName w:val="Courier New"/>
    <w:panose1 w:val="02070409020205020404"/>
    <w:charset w:val="00"/>
    <w:family w:val="moder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66519">
    <w:pPr>
      <w:pStyle w:val="3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845D0">
    <w:pPr>
      <w:pStyle w:val="30"/>
      <w:framePr w:wrap="around" w:vAnchor="text" w:hAnchor="margin" w:xAlign="center" w:y="1"/>
      <w:rPr>
        <w:rStyle w:val="52"/>
      </w:rPr>
    </w:pPr>
    <w:r>
      <w:fldChar w:fldCharType="begin"/>
    </w:r>
    <w:r>
      <w:rPr>
        <w:rStyle w:val="52"/>
      </w:rPr>
      <w:instrText xml:space="preserve">PAGE  </w:instrText>
    </w:r>
    <w:r>
      <w:fldChar w:fldCharType="end"/>
    </w:r>
  </w:p>
  <w:p w14:paraId="544A3034">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0001520"/>
    </w:sdtPr>
    <w:sdtContent>
      <w:p w14:paraId="12AF349C">
        <w:pPr>
          <w:pStyle w:val="30"/>
          <w:jc w:val="center"/>
        </w:pPr>
        <w:r>
          <w:fldChar w:fldCharType="begin"/>
        </w:r>
        <w:r>
          <w:instrText xml:space="preserve">PAGE   \* MERGEFORMAT</w:instrText>
        </w:r>
        <w:r>
          <w:fldChar w:fldCharType="separate"/>
        </w:r>
        <w:r>
          <w:rPr>
            <w:lang w:val="zh-CN"/>
          </w:rPr>
          <w:t>1</w:t>
        </w:r>
        <w:r>
          <w:fldChar w:fldCharType="end"/>
        </w:r>
      </w:p>
    </w:sdtContent>
  </w:sdt>
  <w:p w14:paraId="18CC10D7">
    <w:pPr>
      <w:pStyle w:val="30"/>
      <w:spacing w:before="48" w:after="48"/>
      <w:ind w:right="360" w:firstLine="52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7D80C">
    <w:pPr>
      <w:pStyle w:val="3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1C678F">
                          <w:pPr>
                            <w:pStyle w:val="30"/>
                            <w:ind w:firstLine="360"/>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14:paraId="571C678F">
                    <w:pPr>
                      <w:pStyle w:val="30"/>
                      <w:ind w:firstLine="36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8A5E5F"/>
    <w:multiLevelType w:val="singleLevel"/>
    <w:tmpl w:val="E48A5E5F"/>
    <w:lvl w:ilvl="0" w:tentative="0">
      <w:start w:val="1"/>
      <w:numFmt w:val="decimal"/>
      <w:suff w:val="nothing"/>
      <w:lvlText w:val="%1、"/>
      <w:lvlJc w:val="left"/>
    </w:lvl>
  </w:abstractNum>
  <w:abstractNum w:abstractNumId="1">
    <w:nsid w:val="24952AB3"/>
    <w:multiLevelType w:val="singleLevel"/>
    <w:tmpl w:val="24952AB3"/>
    <w:lvl w:ilvl="0" w:tentative="0">
      <w:start w:val="1"/>
      <w:numFmt w:val="bullet"/>
      <w:pStyle w:val="25"/>
      <w:lvlText w:val=""/>
      <w:lvlJc w:val="left"/>
      <w:pPr>
        <w:tabs>
          <w:tab w:val="left" w:pos="2040"/>
        </w:tabs>
        <w:ind w:left="2040" w:hanging="360"/>
      </w:pPr>
      <w:rPr>
        <w:rFonts w:hint="default" w:ascii="Wingdings" w:hAnsi="Wingdings"/>
      </w:rPr>
    </w:lvl>
  </w:abstractNum>
  <w:abstractNum w:abstractNumId="2">
    <w:nsid w:val="4518F294"/>
    <w:multiLevelType w:val="singleLevel"/>
    <w:tmpl w:val="4518F294"/>
    <w:lvl w:ilvl="0" w:tentative="0">
      <w:start w:val="14"/>
      <w:numFmt w:val="chineseCounting"/>
      <w:suff w:val="nothing"/>
      <w:lvlText w:val="第%1条、"/>
      <w:lvlJc w:val="left"/>
      <w:rPr>
        <w:rFonts w:hint="eastAsia"/>
      </w:rPr>
    </w:lvl>
  </w:abstractNum>
  <w:abstractNum w:abstractNumId="3">
    <w:nsid w:val="4B733353"/>
    <w:multiLevelType w:val="multilevel"/>
    <w:tmpl w:val="4B733353"/>
    <w:lvl w:ilvl="0" w:tentative="0">
      <w:start w:val="1"/>
      <w:numFmt w:val="decimal"/>
      <w:pStyle w:val="143"/>
      <w:lvlText w:val="%1、"/>
      <w:lvlJc w:val="left"/>
      <w:pPr>
        <w:tabs>
          <w:tab w:val="left" w:pos="1203"/>
        </w:tabs>
        <w:ind w:left="1203" w:hanging="765"/>
      </w:pPr>
      <w:rPr>
        <w:rFonts w:hint="default"/>
      </w:rPr>
    </w:lvl>
    <w:lvl w:ilvl="1" w:tentative="0">
      <w:start w:val="1"/>
      <w:numFmt w:val="lowerLetter"/>
      <w:pStyle w:val="140"/>
      <w:lvlText w:val="%2)"/>
      <w:lvlJc w:val="left"/>
      <w:pPr>
        <w:tabs>
          <w:tab w:val="left" w:pos="1278"/>
        </w:tabs>
        <w:ind w:left="1278" w:hanging="420"/>
      </w:pPr>
    </w:lvl>
    <w:lvl w:ilvl="2" w:tentative="0">
      <w:start w:val="1"/>
      <w:numFmt w:val="lowerRoman"/>
      <w:lvlText w:val="%3."/>
      <w:lvlJc w:val="right"/>
      <w:pPr>
        <w:tabs>
          <w:tab w:val="left" w:pos="1698"/>
        </w:tabs>
        <w:ind w:left="1698" w:hanging="420"/>
      </w:pPr>
    </w:lvl>
    <w:lvl w:ilvl="3" w:tentative="0">
      <w:start w:val="1"/>
      <w:numFmt w:val="decimal"/>
      <w:lvlText w:val="%4."/>
      <w:lvlJc w:val="left"/>
      <w:pPr>
        <w:tabs>
          <w:tab w:val="left" w:pos="2118"/>
        </w:tabs>
        <w:ind w:left="2118" w:hanging="420"/>
      </w:pPr>
    </w:lvl>
    <w:lvl w:ilvl="4" w:tentative="0">
      <w:start w:val="1"/>
      <w:numFmt w:val="lowerLetter"/>
      <w:lvlText w:val="%5)"/>
      <w:lvlJc w:val="left"/>
      <w:pPr>
        <w:tabs>
          <w:tab w:val="left" w:pos="2538"/>
        </w:tabs>
        <w:ind w:left="2538" w:hanging="420"/>
      </w:pPr>
    </w:lvl>
    <w:lvl w:ilvl="5" w:tentative="0">
      <w:start w:val="1"/>
      <w:numFmt w:val="lowerRoman"/>
      <w:lvlText w:val="%6."/>
      <w:lvlJc w:val="right"/>
      <w:pPr>
        <w:tabs>
          <w:tab w:val="left" w:pos="2958"/>
        </w:tabs>
        <w:ind w:left="2958" w:hanging="420"/>
      </w:pPr>
    </w:lvl>
    <w:lvl w:ilvl="6" w:tentative="0">
      <w:start w:val="1"/>
      <w:numFmt w:val="decimal"/>
      <w:lvlText w:val="%7."/>
      <w:lvlJc w:val="left"/>
      <w:pPr>
        <w:tabs>
          <w:tab w:val="left" w:pos="3378"/>
        </w:tabs>
        <w:ind w:left="3378" w:hanging="420"/>
      </w:pPr>
    </w:lvl>
    <w:lvl w:ilvl="7" w:tentative="0">
      <w:start w:val="1"/>
      <w:numFmt w:val="lowerLetter"/>
      <w:lvlText w:val="%8)"/>
      <w:lvlJc w:val="left"/>
      <w:pPr>
        <w:tabs>
          <w:tab w:val="left" w:pos="3798"/>
        </w:tabs>
        <w:ind w:left="3798" w:hanging="420"/>
      </w:pPr>
    </w:lvl>
    <w:lvl w:ilvl="8" w:tentative="0">
      <w:start w:val="1"/>
      <w:numFmt w:val="lowerRoman"/>
      <w:lvlText w:val="%9."/>
      <w:lvlJc w:val="right"/>
      <w:pPr>
        <w:tabs>
          <w:tab w:val="left" w:pos="4218"/>
        </w:tabs>
        <w:ind w:left="4218"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0M2MwYzc1MWQ3YzM2NWI5OWY3ZWFkOTI2MzA0NDAifQ=="/>
  </w:docVars>
  <w:rsids>
    <w:rsidRoot w:val="00CC611A"/>
    <w:rsid w:val="000006C4"/>
    <w:rsid w:val="00000DF0"/>
    <w:rsid w:val="00000E55"/>
    <w:rsid w:val="0000116F"/>
    <w:rsid w:val="00001672"/>
    <w:rsid w:val="000016C9"/>
    <w:rsid w:val="000019D5"/>
    <w:rsid w:val="00001D9D"/>
    <w:rsid w:val="000020E1"/>
    <w:rsid w:val="00002552"/>
    <w:rsid w:val="000028DE"/>
    <w:rsid w:val="00002CE9"/>
    <w:rsid w:val="00002D5C"/>
    <w:rsid w:val="0000381C"/>
    <w:rsid w:val="00003E00"/>
    <w:rsid w:val="00003E79"/>
    <w:rsid w:val="00003FF1"/>
    <w:rsid w:val="000041B1"/>
    <w:rsid w:val="00004202"/>
    <w:rsid w:val="00004249"/>
    <w:rsid w:val="0000431F"/>
    <w:rsid w:val="00004526"/>
    <w:rsid w:val="00004B50"/>
    <w:rsid w:val="00004C97"/>
    <w:rsid w:val="00004F28"/>
    <w:rsid w:val="00004F3E"/>
    <w:rsid w:val="00004F75"/>
    <w:rsid w:val="0000514B"/>
    <w:rsid w:val="00005169"/>
    <w:rsid w:val="000057FD"/>
    <w:rsid w:val="00005837"/>
    <w:rsid w:val="00005F06"/>
    <w:rsid w:val="00005F34"/>
    <w:rsid w:val="00006524"/>
    <w:rsid w:val="00006FDE"/>
    <w:rsid w:val="00010412"/>
    <w:rsid w:val="0001082D"/>
    <w:rsid w:val="000113CB"/>
    <w:rsid w:val="00012950"/>
    <w:rsid w:val="00012AAE"/>
    <w:rsid w:val="0001365E"/>
    <w:rsid w:val="00013809"/>
    <w:rsid w:val="0001399D"/>
    <w:rsid w:val="00013C18"/>
    <w:rsid w:val="0001461B"/>
    <w:rsid w:val="0001468C"/>
    <w:rsid w:val="000146C5"/>
    <w:rsid w:val="00014900"/>
    <w:rsid w:val="00014998"/>
    <w:rsid w:val="000154E2"/>
    <w:rsid w:val="00015593"/>
    <w:rsid w:val="000159A2"/>
    <w:rsid w:val="00015C1D"/>
    <w:rsid w:val="00015F3B"/>
    <w:rsid w:val="00015F54"/>
    <w:rsid w:val="0001613A"/>
    <w:rsid w:val="000166D6"/>
    <w:rsid w:val="0001672C"/>
    <w:rsid w:val="00016CFA"/>
    <w:rsid w:val="0002032C"/>
    <w:rsid w:val="00020821"/>
    <w:rsid w:val="00020B90"/>
    <w:rsid w:val="000214DB"/>
    <w:rsid w:val="000221AF"/>
    <w:rsid w:val="000222AA"/>
    <w:rsid w:val="0002250F"/>
    <w:rsid w:val="0002290B"/>
    <w:rsid w:val="00023D90"/>
    <w:rsid w:val="00024435"/>
    <w:rsid w:val="00024573"/>
    <w:rsid w:val="00025402"/>
    <w:rsid w:val="000256B2"/>
    <w:rsid w:val="000257DD"/>
    <w:rsid w:val="000264F7"/>
    <w:rsid w:val="00026785"/>
    <w:rsid w:val="00026F4C"/>
    <w:rsid w:val="000272A4"/>
    <w:rsid w:val="000273C2"/>
    <w:rsid w:val="000274A3"/>
    <w:rsid w:val="0002756A"/>
    <w:rsid w:val="000275B7"/>
    <w:rsid w:val="00027954"/>
    <w:rsid w:val="00027AF5"/>
    <w:rsid w:val="00027E0E"/>
    <w:rsid w:val="00027F88"/>
    <w:rsid w:val="00030249"/>
    <w:rsid w:val="00030480"/>
    <w:rsid w:val="00030AC7"/>
    <w:rsid w:val="00030B17"/>
    <w:rsid w:val="00030CB0"/>
    <w:rsid w:val="00032083"/>
    <w:rsid w:val="00032723"/>
    <w:rsid w:val="000327B1"/>
    <w:rsid w:val="00032B08"/>
    <w:rsid w:val="000331B3"/>
    <w:rsid w:val="000338C2"/>
    <w:rsid w:val="00033D6E"/>
    <w:rsid w:val="00034405"/>
    <w:rsid w:val="00034BD3"/>
    <w:rsid w:val="000351A3"/>
    <w:rsid w:val="00035733"/>
    <w:rsid w:val="00035D14"/>
    <w:rsid w:val="00035E00"/>
    <w:rsid w:val="00036B60"/>
    <w:rsid w:val="00036ED3"/>
    <w:rsid w:val="00037A2B"/>
    <w:rsid w:val="00037C68"/>
    <w:rsid w:val="000407F5"/>
    <w:rsid w:val="0004102D"/>
    <w:rsid w:val="000413DD"/>
    <w:rsid w:val="0004192D"/>
    <w:rsid w:val="000422D9"/>
    <w:rsid w:val="00042343"/>
    <w:rsid w:val="00042E34"/>
    <w:rsid w:val="000430F9"/>
    <w:rsid w:val="0004378C"/>
    <w:rsid w:val="0004387A"/>
    <w:rsid w:val="00043905"/>
    <w:rsid w:val="00043A6F"/>
    <w:rsid w:val="00044115"/>
    <w:rsid w:val="000441ED"/>
    <w:rsid w:val="000445F0"/>
    <w:rsid w:val="000448F3"/>
    <w:rsid w:val="00044BDE"/>
    <w:rsid w:val="00044EBA"/>
    <w:rsid w:val="00044EE0"/>
    <w:rsid w:val="00044FA2"/>
    <w:rsid w:val="000454C0"/>
    <w:rsid w:val="0004559B"/>
    <w:rsid w:val="00045C9E"/>
    <w:rsid w:val="00045D3F"/>
    <w:rsid w:val="00046BC0"/>
    <w:rsid w:val="00046EBA"/>
    <w:rsid w:val="00047550"/>
    <w:rsid w:val="0004773E"/>
    <w:rsid w:val="0004797E"/>
    <w:rsid w:val="00050099"/>
    <w:rsid w:val="0005013F"/>
    <w:rsid w:val="000509FB"/>
    <w:rsid w:val="00050B4D"/>
    <w:rsid w:val="00050C1F"/>
    <w:rsid w:val="00050EE1"/>
    <w:rsid w:val="00051817"/>
    <w:rsid w:val="00051839"/>
    <w:rsid w:val="00051D62"/>
    <w:rsid w:val="00052011"/>
    <w:rsid w:val="0005271A"/>
    <w:rsid w:val="00052A18"/>
    <w:rsid w:val="00052EEF"/>
    <w:rsid w:val="00053AF0"/>
    <w:rsid w:val="00053E4A"/>
    <w:rsid w:val="00054146"/>
    <w:rsid w:val="00055A41"/>
    <w:rsid w:val="0005629D"/>
    <w:rsid w:val="00056D7C"/>
    <w:rsid w:val="00057272"/>
    <w:rsid w:val="000574E1"/>
    <w:rsid w:val="00057BD5"/>
    <w:rsid w:val="00057BF7"/>
    <w:rsid w:val="00057CEA"/>
    <w:rsid w:val="000602EC"/>
    <w:rsid w:val="00060469"/>
    <w:rsid w:val="00060567"/>
    <w:rsid w:val="00060D9B"/>
    <w:rsid w:val="000619E2"/>
    <w:rsid w:val="000628E9"/>
    <w:rsid w:val="0006383E"/>
    <w:rsid w:val="000641FA"/>
    <w:rsid w:val="000647FD"/>
    <w:rsid w:val="00064D35"/>
    <w:rsid w:val="00064DA4"/>
    <w:rsid w:val="00064F85"/>
    <w:rsid w:val="00065781"/>
    <w:rsid w:val="000658C1"/>
    <w:rsid w:val="000660BB"/>
    <w:rsid w:val="00066769"/>
    <w:rsid w:val="00066B7A"/>
    <w:rsid w:val="00067105"/>
    <w:rsid w:val="00067452"/>
    <w:rsid w:val="00067C7F"/>
    <w:rsid w:val="00070484"/>
    <w:rsid w:val="00070516"/>
    <w:rsid w:val="00070A3A"/>
    <w:rsid w:val="00070FC3"/>
    <w:rsid w:val="00071297"/>
    <w:rsid w:val="00071644"/>
    <w:rsid w:val="00071A1F"/>
    <w:rsid w:val="0007213E"/>
    <w:rsid w:val="000722EA"/>
    <w:rsid w:val="00072839"/>
    <w:rsid w:val="00073469"/>
    <w:rsid w:val="000735CB"/>
    <w:rsid w:val="00073684"/>
    <w:rsid w:val="0007393B"/>
    <w:rsid w:val="00073ABD"/>
    <w:rsid w:val="00073FB1"/>
    <w:rsid w:val="000740E2"/>
    <w:rsid w:val="00074484"/>
    <w:rsid w:val="0007495C"/>
    <w:rsid w:val="00074FB2"/>
    <w:rsid w:val="0007523E"/>
    <w:rsid w:val="000755D9"/>
    <w:rsid w:val="000756CB"/>
    <w:rsid w:val="0007597C"/>
    <w:rsid w:val="00075E8C"/>
    <w:rsid w:val="0007642F"/>
    <w:rsid w:val="000766AE"/>
    <w:rsid w:val="00076AA6"/>
    <w:rsid w:val="00077384"/>
    <w:rsid w:val="00077594"/>
    <w:rsid w:val="0007765F"/>
    <w:rsid w:val="000777D8"/>
    <w:rsid w:val="000800A1"/>
    <w:rsid w:val="00080244"/>
    <w:rsid w:val="0008034C"/>
    <w:rsid w:val="000804F2"/>
    <w:rsid w:val="00080C6D"/>
    <w:rsid w:val="00080F71"/>
    <w:rsid w:val="000813DC"/>
    <w:rsid w:val="0008150E"/>
    <w:rsid w:val="00081721"/>
    <w:rsid w:val="00081A54"/>
    <w:rsid w:val="00081C03"/>
    <w:rsid w:val="00081E2C"/>
    <w:rsid w:val="000821D8"/>
    <w:rsid w:val="00082A76"/>
    <w:rsid w:val="00083024"/>
    <w:rsid w:val="00083603"/>
    <w:rsid w:val="000838F8"/>
    <w:rsid w:val="00083A2F"/>
    <w:rsid w:val="00083C03"/>
    <w:rsid w:val="00084065"/>
    <w:rsid w:val="00084B94"/>
    <w:rsid w:val="00085095"/>
    <w:rsid w:val="0008618A"/>
    <w:rsid w:val="000861C8"/>
    <w:rsid w:val="0008623E"/>
    <w:rsid w:val="00086801"/>
    <w:rsid w:val="00086B3D"/>
    <w:rsid w:val="000871BD"/>
    <w:rsid w:val="000873C9"/>
    <w:rsid w:val="000874E2"/>
    <w:rsid w:val="000875FC"/>
    <w:rsid w:val="0008782A"/>
    <w:rsid w:val="00090C69"/>
    <w:rsid w:val="00091501"/>
    <w:rsid w:val="00091980"/>
    <w:rsid w:val="00091DF6"/>
    <w:rsid w:val="00091F6F"/>
    <w:rsid w:val="00092333"/>
    <w:rsid w:val="00092A90"/>
    <w:rsid w:val="00092CB0"/>
    <w:rsid w:val="00092ED1"/>
    <w:rsid w:val="0009339E"/>
    <w:rsid w:val="0009380C"/>
    <w:rsid w:val="00093B01"/>
    <w:rsid w:val="00093D40"/>
    <w:rsid w:val="000940FC"/>
    <w:rsid w:val="000942B7"/>
    <w:rsid w:val="00094390"/>
    <w:rsid w:val="00094DE5"/>
    <w:rsid w:val="000958D6"/>
    <w:rsid w:val="00095C21"/>
    <w:rsid w:val="00095E87"/>
    <w:rsid w:val="00095F40"/>
    <w:rsid w:val="0009601D"/>
    <w:rsid w:val="000972E1"/>
    <w:rsid w:val="000977A5"/>
    <w:rsid w:val="000A002F"/>
    <w:rsid w:val="000A0124"/>
    <w:rsid w:val="000A1079"/>
    <w:rsid w:val="000A131E"/>
    <w:rsid w:val="000A1391"/>
    <w:rsid w:val="000A1407"/>
    <w:rsid w:val="000A187A"/>
    <w:rsid w:val="000A1BC9"/>
    <w:rsid w:val="000A22C3"/>
    <w:rsid w:val="000A2647"/>
    <w:rsid w:val="000A2BF6"/>
    <w:rsid w:val="000A3191"/>
    <w:rsid w:val="000A4278"/>
    <w:rsid w:val="000A4349"/>
    <w:rsid w:val="000A531D"/>
    <w:rsid w:val="000A569E"/>
    <w:rsid w:val="000A5E33"/>
    <w:rsid w:val="000A6102"/>
    <w:rsid w:val="000A616E"/>
    <w:rsid w:val="000A6309"/>
    <w:rsid w:val="000A679B"/>
    <w:rsid w:val="000A67A4"/>
    <w:rsid w:val="000A6BF7"/>
    <w:rsid w:val="000A6D35"/>
    <w:rsid w:val="000A6E6D"/>
    <w:rsid w:val="000A7444"/>
    <w:rsid w:val="000A7525"/>
    <w:rsid w:val="000B19C6"/>
    <w:rsid w:val="000B1FC5"/>
    <w:rsid w:val="000B2328"/>
    <w:rsid w:val="000B26FA"/>
    <w:rsid w:val="000B2740"/>
    <w:rsid w:val="000B2EF9"/>
    <w:rsid w:val="000B30C7"/>
    <w:rsid w:val="000B329A"/>
    <w:rsid w:val="000B3DCA"/>
    <w:rsid w:val="000B3E40"/>
    <w:rsid w:val="000B4031"/>
    <w:rsid w:val="000B41B8"/>
    <w:rsid w:val="000B43A0"/>
    <w:rsid w:val="000B4BFB"/>
    <w:rsid w:val="000B5337"/>
    <w:rsid w:val="000B54ED"/>
    <w:rsid w:val="000B559B"/>
    <w:rsid w:val="000B5648"/>
    <w:rsid w:val="000B5A06"/>
    <w:rsid w:val="000B5D9B"/>
    <w:rsid w:val="000B5DD9"/>
    <w:rsid w:val="000B5F97"/>
    <w:rsid w:val="000B6654"/>
    <w:rsid w:val="000B683B"/>
    <w:rsid w:val="000B6910"/>
    <w:rsid w:val="000B6A54"/>
    <w:rsid w:val="000B701C"/>
    <w:rsid w:val="000B7609"/>
    <w:rsid w:val="000B78C8"/>
    <w:rsid w:val="000B78DD"/>
    <w:rsid w:val="000C0120"/>
    <w:rsid w:val="000C0786"/>
    <w:rsid w:val="000C0D4A"/>
    <w:rsid w:val="000C10E5"/>
    <w:rsid w:val="000C164A"/>
    <w:rsid w:val="000C185C"/>
    <w:rsid w:val="000C19C5"/>
    <w:rsid w:val="000C1A6F"/>
    <w:rsid w:val="000C1B47"/>
    <w:rsid w:val="000C1DD1"/>
    <w:rsid w:val="000C2279"/>
    <w:rsid w:val="000C3077"/>
    <w:rsid w:val="000C3D8F"/>
    <w:rsid w:val="000C4313"/>
    <w:rsid w:val="000C478F"/>
    <w:rsid w:val="000C47C0"/>
    <w:rsid w:val="000C48C7"/>
    <w:rsid w:val="000C49B6"/>
    <w:rsid w:val="000C5F0E"/>
    <w:rsid w:val="000C64F4"/>
    <w:rsid w:val="000C694C"/>
    <w:rsid w:val="000C7432"/>
    <w:rsid w:val="000C7CD1"/>
    <w:rsid w:val="000C7F7C"/>
    <w:rsid w:val="000D0314"/>
    <w:rsid w:val="000D0C1A"/>
    <w:rsid w:val="000D1518"/>
    <w:rsid w:val="000D1615"/>
    <w:rsid w:val="000D1DB6"/>
    <w:rsid w:val="000D1F42"/>
    <w:rsid w:val="000D21D1"/>
    <w:rsid w:val="000D225B"/>
    <w:rsid w:val="000D26D2"/>
    <w:rsid w:val="000D2766"/>
    <w:rsid w:val="000D2929"/>
    <w:rsid w:val="000D3562"/>
    <w:rsid w:val="000D35D4"/>
    <w:rsid w:val="000D3740"/>
    <w:rsid w:val="000D38AC"/>
    <w:rsid w:val="000D3940"/>
    <w:rsid w:val="000D3AD7"/>
    <w:rsid w:val="000D4125"/>
    <w:rsid w:val="000D42A6"/>
    <w:rsid w:val="000D42BE"/>
    <w:rsid w:val="000D4710"/>
    <w:rsid w:val="000D4DD2"/>
    <w:rsid w:val="000D4F6F"/>
    <w:rsid w:val="000D54FE"/>
    <w:rsid w:val="000D574D"/>
    <w:rsid w:val="000D5AB1"/>
    <w:rsid w:val="000D5BBB"/>
    <w:rsid w:val="000D5F32"/>
    <w:rsid w:val="000D5F94"/>
    <w:rsid w:val="000D60D7"/>
    <w:rsid w:val="000D698E"/>
    <w:rsid w:val="000D6B50"/>
    <w:rsid w:val="000D6BBE"/>
    <w:rsid w:val="000D7409"/>
    <w:rsid w:val="000D774B"/>
    <w:rsid w:val="000E019A"/>
    <w:rsid w:val="000E0988"/>
    <w:rsid w:val="000E1302"/>
    <w:rsid w:val="000E159E"/>
    <w:rsid w:val="000E17FB"/>
    <w:rsid w:val="000E1B2B"/>
    <w:rsid w:val="000E2347"/>
    <w:rsid w:val="000E24DE"/>
    <w:rsid w:val="000E2622"/>
    <w:rsid w:val="000E2731"/>
    <w:rsid w:val="000E2A41"/>
    <w:rsid w:val="000E2B70"/>
    <w:rsid w:val="000E3981"/>
    <w:rsid w:val="000E419F"/>
    <w:rsid w:val="000E490E"/>
    <w:rsid w:val="000E49BD"/>
    <w:rsid w:val="000E4C0F"/>
    <w:rsid w:val="000E4DF8"/>
    <w:rsid w:val="000E50D0"/>
    <w:rsid w:val="000E53CF"/>
    <w:rsid w:val="000E592F"/>
    <w:rsid w:val="000E60A0"/>
    <w:rsid w:val="000E6587"/>
    <w:rsid w:val="000E6D4C"/>
    <w:rsid w:val="000E70AA"/>
    <w:rsid w:val="000E760C"/>
    <w:rsid w:val="000E761A"/>
    <w:rsid w:val="000E78F0"/>
    <w:rsid w:val="000E7927"/>
    <w:rsid w:val="000E7F7F"/>
    <w:rsid w:val="000E7F94"/>
    <w:rsid w:val="000F05D9"/>
    <w:rsid w:val="000F07CF"/>
    <w:rsid w:val="000F0AB7"/>
    <w:rsid w:val="000F0B40"/>
    <w:rsid w:val="000F0B99"/>
    <w:rsid w:val="000F0BE8"/>
    <w:rsid w:val="000F0F9F"/>
    <w:rsid w:val="000F1000"/>
    <w:rsid w:val="000F101E"/>
    <w:rsid w:val="000F1529"/>
    <w:rsid w:val="000F18D8"/>
    <w:rsid w:val="000F1A69"/>
    <w:rsid w:val="000F23CD"/>
    <w:rsid w:val="000F2672"/>
    <w:rsid w:val="000F3203"/>
    <w:rsid w:val="000F378C"/>
    <w:rsid w:val="000F3E9C"/>
    <w:rsid w:val="000F3ED7"/>
    <w:rsid w:val="000F4374"/>
    <w:rsid w:val="000F45BE"/>
    <w:rsid w:val="000F46BE"/>
    <w:rsid w:val="000F4B64"/>
    <w:rsid w:val="000F4F33"/>
    <w:rsid w:val="000F4F54"/>
    <w:rsid w:val="000F50C7"/>
    <w:rsid w:val="000F5A29"/>
    <w:rsid w:val="000F5C9D"/>
    <w:rsid w:val="000F661D"/>
    <w:rsid w:val="000F661E"/>
    <w:rsid w:val="000F73C6"/>
    <w:rsid w:val="000F7820"/>
    <w:rsid w:val="000F79BD"/>
    <w:rsid w:val="000F7C22"/>
    <w:rsid w:val="000F7E73"/>
    <w:rsid w:val="000F7E75"/>
    <w:rsid w:val="0010028A"/>
    <w:rsid w:val="00100798"/>
    <w:rsid w:val="001008F7"/>
    <w:rsid w:val="00101181"/>
    <w:rsid w:val="00101F0E"/>
    <w:rsid w:val="00102497"/>
    <w:rsid w:val="00102524"/>
    <w:rsid w:val="001038F5"/>
    <w:rsid w:val="0010433F"/>
    <w:rsid w:val="0010542E"/>
    <w:rsid w:val="0010558F"/>
    <w:rsid w:val="0010596C"/>
    <w:rsid w:val="00105B3E"/>
    <w:rsid w:val="00105F37"/>
    <w:rsid w:val="001061BF"/>
    <w:rsid w:val="001068FD"/>
    <w:rsid w:val="00106B85"/>
    <w:rsid w:val="00106E01"/>
    <w:rsid w:val="00107357"/>
    <w:rsid w:val="00107434"/>
    <w:rsid w:val="0010747A"/>
    <w:rsid w:val="001074B6"/>
    <w:rsid w:val="0010753F"/>
    <w:rsid w:val="001078E3"/>
    <w:rsid w:val="00107B70"/>
    <w:rsid w:val="00107D49"/>
    <w:rsid w:val="001106B4"/>
    <w:rsid w:val="00110927"/>
    <w:rsid w:val="00110AAF"/>
    <w:rsid w:val="00110B22"/>
    <w:rsid w:val="00110EA5"/>
    <w:rsid w:val="0011155B"/>
    <w:rsid w:val="00111AEC"/>
    <w:rsid w:val="00111B27"/>
    <w:rsid w:val="00111F85"/>
    <w:rsid w:val="0011232B"/>
    <w:rsid w:val="00112C15"/>
    <w:rsid w:val="00112F7A"/>
    <w:rsid w:val="001131FC"/>
    <w:rsid w:val="0011351A"/>
    <w:rsid w:val="00113E71"/>
    <w:rsid w:val="0011411A"/>
    <w:rsid w:val="0011475D"/>
    <w:rsid w:val="001155A8"/>
    <w:rsid w:val="00116161"/>
    <w:rsid w:val="00116261"/>
    <w:rsid w:val="00116725"/>
    <w:rsid w:val="00116AB3"/>
    <w:rsid w:val="00116F99"/>
    <w:rsid w:val="00117733"/>
    <w:rsid w:val="00117FBD"/>
    <w:rsid w:val="00117FDB"/>
    <w:rsid w:val="0012000E"/>
    <w:rsid w:val="00120260"/>
    <w:rsid w:val="00120C42"/>
    <w:rsid w:val="00121034"/>
    <w:rsid w:val="001217AE"/>
    <w:rsid w:val="00121955"/>
    <w:rsid w:val="00121D38"/>
    <w:rsid w:val="001222AC"/>
    <w:rsid w:val="001228C0"/>
    <w:rsid w:val="00123082"/>
    <w:rsid w:val="0012319A"/>
    <w:rsid w:val="0012374B"/>
    <w:rsid w:val="00123E8B"/>
    <w:rsid w:val="00124361"/>
    <w:rsid w:val="001255C5"/>
    <w:rsid w:val="001257A8"/>
    <w:rsid w:val="00125861"/>
    <w:rsid w:val="00125B4B"/>
    <w:rsid w:val="00125C79"/>
    <w:rsid w:val="00125E30"/>
    <w:rsid w:val="00125E4D"/>
    <w:rsid w:val="0012608D"/>
    <w:rsid w:val="00126959"/>
    <w:rsid w:val="00126A15"/>
    <w:rsid w:val="00126B12"/>
    <w:rsid w:val="00126D2D"/>
    <w:rsid w:val="00127296"/>
    <w:rsid w:val="001274DC"/>
    <w:rsid w:val="001278F1"/>
    <w:rsid w:val="00130CE6"/>
    <w:rsid w:val="0013107A"/>
    <w:rsid w:val="001310FA"/>
    <w:rsid w:val="001311E0"/>
    <w:rsid w:val="00131A11"/>
    <w:rsid w:val="0013248B"/>
    <w:rsid w:val="00132520"/>
    <w:rsid w:val="00132A40"/>
    <w:rsid w:val="00132AF9"/>
    <w:rsid w:val="00132EF9"/>
    <w:rsid w:val="00133ED7"/>
    <w:rsid w:val="0013425E"/>
    <w:rsid w:val="00134CBD"/>
    <w:rsid w:val="00134E1D"/>
    <w:rsid w:val="001352B0"/>
    <w:rsid w:val="00135794"/>
    <w:rsid w:val="00135D70"/>
    <w:rsid w:val="00136161"/>
    <w:rsid w:val="001362E5"/>
    <w:rsid w:val="00136D03"/>
    <w:rsid w:val="001371D7"/>
    <w:rsid w:val="00137EB5"/>
    <w:rsid w:val="001402BD"/>
    <w:rsid w:val="0014031A"/>
    <w:rsid w:val="00140349"/>
    <w:rsid w:val="001403FA"/>
    <w:rsid w:val="00140512"/>
    <w:rsid w:val="001408E0"/>
    <w:rsid w:val="00140B18"/>
    <w:rsid w:val="0014169B"/>
    <w:rsid w:val="001416CA"/>
    <w:rsid w:val="00141C1F"/>
    <w:rsid w:val="00141D54"/>
    <w:rsid w:val="00142015"/>
    <w:rsid w:val="00142629"/>
    <w:rsid w:val="00142A81"/>
    <w:rsid w:val="00142E3C"/>
    <w:rsid w:val="00142F0A"/>
    <w:rsid w:val="00143013"/>
    <w:rsid w:val="001430CF"/>
    <w:rsid w:val="001432AA"/>
    <w:rsid w:val="0014335E"/>
    <w:rsid w:val="00143692"/>
    <w:rsid w:val="00143BCF"/>
    <w:rsid w:val="00144231"/>
    <w:rsid w:val="00144393"/>
    <w:rsid w:val="001452A5"/>
    <w:rsid w:val="00145709"/>
    <w:rsid w:val="00145E98"/>
    <w:rsid w:val="00145F30"/>
    <w:rsid w:val="0014660C"/>
    <w:rsid w:val="00146BB0"/>
    <w:rsid w:val="00147647"/>
    <w:rsid w:val="0014775A"/>
    <w:rsid w:val="0015089C"/>
    <w:rsid w:val="00150C92"/>
    <w:rsid w:val="00150E07"/>
    <w:rsid w:val="00150E68"/>
    <w:rsid w:val="00151156"/>
    <w:rsid w:val="00151373"/>
    <w:rsid w:val="00151607"/>
    <w:rsid w:val="001519EF"/>
    <w:rsid w:val="00151CBD"/>
    <w:rsid w:val="00151CD6"/>
    <w:rsid w:val="00151D2D"/>
    <w:rsid w:val="00151D7E"/>
    <w:rsid w:val="001520B9"/>
    <w:rsid w:val="00152A00"/>
    <w:rsid w:val="00152A7C"/>
    <w:rsid w:val="00153C54"/>
    <w:rsid w:val="00153D56"/>
    <w:rsid w:val="00153ED8"/>
    <w:rsid w:val="0015554F"/>
    <w:rsid w:val="00155A72"/>
    <w:rsid w:val="00155D3D"/>
    <w:rsid w:val="001566E9"/>
    <w:rsid w:val="00156751"/>
    <w:rsid w:val="00157274"/>
    <w:rsid w:val="001573B6"/>
    <w:rsid w:val="00157ADD"/>
    <w:rsid w:val="00160246"/>
    <w:rsid w:val="00161C9C"/>
    <w:rsid w:val="00161F42"/>
    <w:rsid w:val="0016238F"/>
    <w:rsid w:val="0016247B"/>
    <w:rsid w:val="00162659"/>
    <w:rsid w:val="00162EE3"/>
    <w:rsid w:val="001637A9"/>
    <w:rsid w:val="0016499B"/>
    <w:rsid w:val="00164C88"/>
    <w:rsid w:val="0016515C"/>
    <w:rsid w:val="001654F8"/>
    <w:rsid w:val="00165790"/>
    <w:rsid w:val="00165AA2"/>
    <w:rsid w:val="00165D2A"/>
    <w:rsid w:val="00166747"/>
    <w:rsid w:val="00166EF2"/>
    <w:rsid w:val="0016710E"/>
    <w:rsid w:val="00167225"/>
    <w:rsid w:val="0016743B"/>
    <w:rsid w:val="00170A04"/>
    <w:rsid w:val="00170E17"/>
    <w:rsid w:val="001710DB"/>
    <w:rsid w:val="001720FA"/>
    <w:rsid w:val="00172D96"/>
    <w:rsid w:val="001747D1"/>
    <w:rsid w:val="001748D6"/>
    <w:rsid w:val="0017493C"/>
    <w:rsid w:val="00175312"/>
    <w:rsid w:val="00175BCA"/>
    <w:rsid w:val="0017636E"/>
    <w:rsid w:val="001767C3"/>
    <w:rsid w:val="00176A98"/>
    <w:rsid w:val="00176B4D"/>
    <w:rsid w:val="00176CB1"/>
    <w:rsid w:val="00176E48"/>
    <w:rsid w:val="00177B5E"/>
    <w:rsid w:val="00177F9C"/>
    <w:rsid w:val="00180252"/>
    <w:rsid w:val="00180745"/>
    <w:rsid w:val="001807BA"/>
    <w:rsid w:val="00181085"/>
    <w:rsid w:val="00181762"/>
    <w:rsid w:val="0018181C"/>
    <w:rsid w:val="00181AC1"/>
    <w:rsid w:val="001823F3"/>
    <w:rsid w:val="001826AA"/>
    <w:rsid w:val="00182C54"/>
    <w:rsid w:val="00182F51"/>
    <w:rsid w:val="00182F66"/>
    <w:rsid w:val="001836A9"/>
    <w:rsid w:val="00183BCD"/>
    <w:rsid w:val="00183D8D"/>
    <w:rsid w:val="00183F6E"/>
    <w:rsid w:val="00184A12"/>
    <w:rsid w:val="001850E9"/>
    <w:rsid w:val="00185A16"/>
    <w:rsid w:val="00186954"/>
    <w:rsid w:val="00187137"/>
    <w:rsid w:val="00187B8D"/>
    <w:rsid w:val="001904B6"/>
    <w:rsid w:val="00190638"/>
    <w:rsid w:val="00190774"/>
    <w:rsid w:val="00191069"/>
    <w:rsid w:val="00191395"/>
    <w:rsid w:val="0019179C"/>
    <w:rsid w:val="00191DAC"/>
    <w:rsid w:val="00191EB5"/>
    <w:rsid w:val="001926A1"/>
    <w:rsid w:val="0019289E"/>
    <w:rsid w:val="00192B01"/>
    <w:rsid w:val="00193101"/>
    <w:rsid w:val="00193274"/>
    <w:rsid w:val="0019363E"/>
    <w:rsid w:val="00193B08"/>
    <w:rsid w:val="001941E1"/>
    <w:rsid w:val="001941FB"/>
    <w:rsid w:val="00194273"/>
    <w:rsid w:val="00194299"/>
    <w:rsid w:val="0019444D"/>
    <w:rsid w:val="00194CBD"/>
    <w:rsid w:val="00194D27"/>
    <w:rsid w:val="00194EB2"/>
    <w:rsid w:val="00194ECE"/>
    <w:rsid w:val="00195578"/>
    <w:rsid w:val="00196848"/>
    <w:rsid w:val="001975D9"/>
    <w:rsid w:val="00197B80"/>
    <w:rsid w:val="001A19CE"/>
    <w:rsid w:val="001A1D8B"/>
    <w:rsid w:val="001A1FD7"/>
    <w:rsid w:val="001A204A"/>
    <w:rsid w:val="001A2638"/>
    <w:rsid w:val="001A288D"/>
    <w:rsid w:val="001A2AA6"/>
    <w:rsid w:val="001A2FAC"/>
    <w:rsid w:val="001A31CD"/>
    <w:rsid w:val="001A343B"/>
    <w:rsid w:val="001A36E1"/>
    <w:rsid w:val="001A3949"/>
    <w:rsid w:val="001A39D3"/>
    <w:rsid w:val="001A42A4"/>
    <w:rsid w:val="001A4435"/>
    <w:rsid w:val="001A49A7"/>
    <w:rsid w:val="001A49E1"/>
    <w:rsid w:val="001A4A64"/>
    <w:rsid w:val="001A4D58"/>
    <w:rsid w:val="001A4FDA"/>
    <w:rsid w:val="001A5152"/>
    <w:rsid w:val="001A55C8"/>
    <w:rsid w:val="001A5942"/>
    <w:rsid w:val="001A5CF4"/>
    <w:rsid w:val="001A644D"/>
    <w:rsid w:val="001A667E"/>
    <w:rsid w:val="001A686C"/>
    <w:rsid w:val="001A6926"/>
    <w:rsid w:val="001A6A9C"/>
    <w:rsid w:val="001A6EBF"/>
    <w:rsid w:val="001A7039"/>
    <w:rsid w:val="001A7257"/>
    <w:rsid w:val="001A773B"/>
    <w:rsid w:val="001A777A"/>
    <w:rsid w:val="001A7DC0"/>
    <w:rsid w:val="001A7F73"/>
    <w:rsid w:val="001A7F81"/>
    <w:rsid w:val="001B050E"/>
    <w:rsid w:val="001B1204"/>
    <w:rsid w:val="001B14EC"/>
    <w:rsid w:val="001B1528"/>
    <w:rsid w:val="001B1A25"/>
    <w:rsid w:val="001B1A8F"/>
    <w:rsid w:val="001B210F"/>
    <w:rsid w:val="001B24ED"/>
    <w:rsid w:val="001B24F3"/>
    <w:rsid w:val="001B2C6A"/>
    <w:rsid w:val="001B2D11"/>
    <w:rsid w:val="001B2E94"/>
    <w:rsid w:val="001B3656"/>
    <w:rsid w:val="001B3919"/>
    <w:rsid w:val="001B504D"/>
    <w:rsid w:val="001B50D9"/>
    <w:rsid w:val="001B51E2"/>
    <w:rsid w:val="001B52E0"/>
    <w:rsid w:val="001B5580"/>
    <w:rsid w:val="001B6761"/>
    <w:rsid w:val="001B69DD"/>
    <w:rsid w:val="001B6B8A"/>
    <w:rsid w:val="001B6F31"/>
    <w:rsid w:val="001B74B9"/>
    <w:rsid w:val="001B7617"/>
    <w:rsid w:val="001B77E2"/>
    <w:rsid w:val="001B7CC1"/>
    <w:rsid w:val="001C0163"/>
    <w:rsid w:val="001C01F3"/>
    <w:rsid w:val="001C05E4"/>
    <w:rsid w:val="001C1324"/>
    <w:rsid w:val="001C16F8"/>
    <w:rsid w:val="001C19AC"/>
    <w:rsid w:val="001C24DD"/>
    <w:rsid w:val="001C2E45"/>
    <w:rsid w:val="001C33BB"/>
    <w:rsid w:val="001C3B90"/>
    <w:rsid w:val="001C3BEF"/>
    <w:rsid w:val="001C3EC5"/>
    <w:rsid w:val="001C4361"/>
    <w:rsid w:val="001C439D"/>
    <w:rsid w:val="001C4934"/>
    <w:rsid w:val="001C4960"/>
    <w:rsid w:val="001C4A25"/>
    <w:rsid w:val="001C4F63"/>
    <w:rsid w:val="001C51EE"/>
    <w:rsid w:val="001C525C"/>
    <w:rsid w:val="001C52F3"/>
    <w:rsid w:val="001C5AFC"/>
    <w:rsid w:val="001C5E8E"/>
    <w:rsid w:val="001C6587"/>
    <w:rsid w:val="001C6723"/>
    <w:rsid w:val="001C6746"/>
    <w:rsid w:val="001C6EC0"/>
    <w:rsid w:val="001C7220"/>
    <w:rsid w:val="001C763E"/>
    <w:rsid w:val="001C7826"/>
    <w:rsid w:val="001C793C"/>
    <w:rsid w:val="001C7B03"/>
    <w:rsid w:val="001C7C92"/>
    <w:rsid w:val="001C7DD7"/>
    <w:rsid w:val="001C7EE8"/>
    <w:rsid w:val="001D0903"/>
    <w:rsid w:val="001D14D1"/>
    <w:rsid w:val="001D1C93"/>
    <w:rsid w:val="001D1CED"/>
    <w:rsid w:val="001D258A"/>
    <w:rsid w:val="001D28E0"/>
    <w:rsid w:val="001D29E7"/>
    <w:rsid w:val="001D2A05"/>
    <w:rsid w:val="001D2AE6"/>
    <w:rsid w:val="001D3637"/>
    <w:rsid w:val="001D45F9"/>
    <w:rsid w:val="001D4961"/>
    <w:rsid w:val="001D4B23"/>
    <w:rsid w:val="001D4E36"/>
    <w:rsid w:val="001D4F30"/>
    <w:rsid w:val="001D5173"/>
    <w:rsid w:val="001D5204"/>
    <w:rsid w:val="001D5629"/>
    <w:rsid w:val="001D5906"/>
    <w:rsid w:val="001D59A4"/>
    <w:rsid w:val="001D5AD7"/>
    <w:rsid w:val="001D5BBD"/>
    <w:rsid w:val="001D618F"/>
    <w:rsid w:val="001D6246"/>
    <w:rsid w:val="001D6AF8"/>
    <w:rsid w:val="001D6E92"/>
    <w:rsid w:val="001D709A"/>
    <w:rsid w:val="001D7283"/>
    <w:rsid w:val="001D7CC4"/>
    <w:rsid w:val="001E080A"/>
    <w:rsid w:val="001E0EAC"/>
    <w:rsid w:val="001E114C"/>
    <w:rsid w:val="001E1D16"/>
    <w:rsid w:val="001E201C"/>
    <w:rsid w:val="001E25E8"/>
    <w:rsid w:val="001E2BC4"/>
    <w:rsid w:val="001E3443"/>
    <w:rsid w:val="001E3B3D"/>
    <w:rsid w:val="001E3B5C"/>
    <w:rsid w:val="001E3C04"/>
    <w:rsid w:val="001E4531"/>
    <w:rsid w:val="001E46CA"/>
    <w:rsid w:val="001E47E6"/>
    <w:rsid w:val="001E518F"/>
    <w:rsid w:val="001E55E7"/>
    <w:rsid w:val="001E597C"/>
    <w:rsid w:val="001E5C96"/>
    <w:rsid w:val="001E5E0C"/>
    <w:rsid w:val="001E619B"/>
    <w:rsid w:val="001E65D8"/>
    <w:rsid w:val="001E6A3A"/>
    <w:rsid w:val="001E6A59"/>
    <w:rsid w:val="001E7132"/>
    <w:rsid w:val="001E737B"/>
    <w:rsid w:val="001E7672"/>
    <w:rsid w:val="001E78C5"/>
    <w:rsid w:val="001E7A0B"/>
    <w:rsid w:val="001E7BEC"/>
    <w:rsid w:val="001F03F0"/>
    <w:rsid w:val="001F16D3"/>
    <w:rsid w:val="001F1ABC"/>
    <w:rsid w:val="001F21B1"/>
    <w:rsid w:val="001F2571"/>
    <w:rsid w:val="001F2E9A"/>
    <w:rsid w:val="001F2F0B"/>
    <w:rsid w:val="001F3462"/>
    <w:rsid w:val="001F371D"/>
    <w:rsid w:val="001F39DB"/>
    <w:rsid w:val="001F3BAD"/>
    <w:rsid w:val="001F3CD9"/>
    <w:rsid w:val="001F3D11"/>
    <w:rsid w:val="001F5072"/>
    <w:rsid w:val="001F52D4"/>
    <w:rsid w:val="001F533E"/>
    <w:rsid w:val="001F568B"/>
    <w:rsid w:val="001F620A"/>
    <w:rsid w:val="001F6303"/>
    <w:rsid w:val="001F64A9"/>
    <w:rsid w:val="001F6C49"/>
    <w:rsid w:val="001F716D"/>
    <w:rsid w:val="001F7545"/>
    <w:rsid w:val="001F7939"/>
    <w:rsid w:val="001F7DA0"/>
    <w:rsid w:val="002007E5"/>
    <w:rsid w:val="00200DCF"/>
    <w:rsid w:val="00201154"/>
    <w:rsid w:val="00201AC0"/>
    <w:rsid w:val="00201B74"/>
    <w:rsid w:val="00202005"/>
    <w:rsid w:val="00202654"/>
    <w:rsid w:val="002027F3"/>
    <w:rsid w:val="00202AF4"/>
    <w:rsid w:val="00203B8F"/>
    <w:rsid w:val="00203C1A"/>
    <w:rsid w:val="00203E71"/>
    <w:rsid w:val="002044B3"/>
    <w:rsid w:val="0020474F"/>
    <w:rsid w:val="002047BD"/>
    <w:rsid w:val="002052CF"/>
    <w:rsid w:val="00205EC2"/>
    <w:rsid w:val="00206241"/>
    <w:rsid w:val="00206595"/>
    <w:rsid w:val="00206FAA"/>
    <w:rsid w:val="00206FD4"/>
    <w:rsid w:val="0020721F"/>
    <w:rsid w:val="0020774B"/>
    <w:rsid w:val="00207852"/>
    <w:rsid w:val="00207D87"/>
    <w:rsid w:val="00210470"/>
    <w:rsid w:val="002107D9"/>
    <w:rsid w:val="00211022"/>
    <w:rsid w:val="002115E7"/>
    <w:rsid w:val="002116B7"/>
    <w:rsid w:val="00211707"/>
    <w:rsid w:val="00211A26"/>
    <w:rsid w:val="00211C2C"/>
    <w:rsid w:val="00212185"/>
    <w:rsid w:val="00213690"/>
    <w:rsid w:val="0021393C"/>
    <w:rsid w:val="002139F0"/>
    <w:rsid w:val="0021401F"/>
    <w:rsid w:val="002154D3"/>
    <w:rsid w:val="00215B24"/>
    <w:rsid w:val="00215C5E"/>
    <w:rsid w:val="00216103"/>
    <w:rsid w:val="00216567"/>
    <w:rsid w:val="00216EDE"/>
    <w:rsid w:val="00217251"/>
    <w:rsid w:val="0021736F"/>
    <w:rsid w:val="00220283"/>
    <w:rsid w:val="00220625"/>
    <w:rsid w:val="00220DB6"/>
    <w:rsid w:val="0022162A"/>
    <w:rsid w:val="0022180B"/>
    <w:rsid w:val="00221EDD"/>
    <w:rsid w:val="002220EE"/>
    <w:rsid w:val="00222581"/>
    <w:rsid w:val="00222D6B"/>
    <w:rsid w:val="00222FBF"/>
    <w:rsid w:val="0022342A"/>
    <w:rsid w:val="00223C54"/>
    <w:rsid w:val="002245D9"/>
    <w:rsid w:val="00224602"/>
    <w:rsid w:val="00224B9A"/>
    <w:rsid w:val="002255BC"/>
    <w:rsid w:val="002257C5"/>
    <w:rsid w:val="00225C69"/>
    <w:rsid w:val="00225E04"/>
    <w:rsid w:val="00225FB4"/>
    <w:rsid w:val="00226501"/>
    <w:rsid w:val="00226E39"/>
    <w:rsid w:val="00226EF0"/>
    <w:rsid w:val="0023025B"/>
    <w:rsid w:val="00230373"/>
    <w:rsid w:val="002307C5"/>
    <w:rsid w:val="00230D21"/>
    <w:rsid w:val="00230F61"/>
    <w:rsid w:val="00232502"/>
    <w:rsid w:val="00233474"/>
    <w:rsid w:val="00233692"/>
    <w:rsid w:val="00233C26"/>
    <w:rsid w:val="00233FFB"/>
    <w:rsid w:val="002344F0"/>
    <w:rsid w:val="00235757"/>
    <w:rsid w:val="0023577B"/>
    <w:rsid w:val="002359C7"/>
    <w:rsid w:val="00235DE6"/>
    <w:rsid w:val="0023604C"/>
    <w:rsid w:val="00236300"/>
    <w:rsid w:val="002363F7"/>
    <w:rsid w:val="002367D8"/>
    <w:rsid w:val="00236B3C"/>
    <w:rsid w:val="00236DF1"/>
    <w:rsid w:val="00236EAE"/>
    <w:rsid w:val="00236F0B"/>
    <w:rsid w:val="0023730A"/>
    <w:rsid w:val="002373A3"/>
    <w:rsid w:val="00237A00"/>
    <w:rsid w:val="00237A5E"/>
    <w:rsid w:val="0024022C"/>
    <w:rsid w:val="00240420"/>
    <w:rsid w:val="0024062E"/>
    <w:rsid w:val="00240CCA"/>
    <w:rsid w:val="00241AC6"/>
    <w:rsid w:val="00241BFB"/>
    <w:rsid w:val="00241CDF"/>
    <w:rsid w:val="0024241A"/>
    <w:rsid w:val="00242C05"/>
    <w:rsid w:val="00243788"/>
    <w:rsid w:val="002438B1"/>
    <w:rsid w:val="00244733"/>
    <w:rsid w:val="0024548D"/>
    <w:rsid w:val="00245675"/>
    <w:rsid w:val="00245763"/>
    <w:rsid w:val="002460F7"/>
    <w:rsid w:val="002462AB"/>
    <w:rsid w:val="00246994"/>
    <w:rsid w:val="00246ACD"/>
    <w:rsid w:val="002477EA"/>
    <w:rsid w:val="00247A4F"/>
    <w:rsid w:val="00247ABB"/>
    <w:rsid w:val="00247D54"/>
    <w:rsid w:val="00250065"/>
    <w:rsid w:val="00250226"/>
    <w:rsid w:val="002507FF"/>
    <w:rsid w:val="00251453"/>
    <w:rsid w:val="00251598"/>
    <w:rsid w:val="002519CE"/>
    <w:rsid w:val="0025354E"/>
    <w:rsid w:val="00253D5F"/>
    <w:rsid w:val="00253DA0"/>
    <w:rsid w:val="002540F5"/>
    <w:rsid w:val="00254362"/>
    <w:rsid w:val="0025501A"/>
    <w:rsid w:val="0025511F"/>
    <w:rsid w:val="0025598F"/>
    <w:rsid w:val="00255AFD"/>
    <w:rsid w:val="0025632C"/>
    <w:rsid w:val="002563ED"/>
    <w:rsid w:val="002576C9"/>
    <w:rsid w:val="00257EDA"/>
    <w:rsid w:val="00260651"/>
    <w:rsid w:val="0026197A"/>
    <w:rsid w:val="00261FF9"/>
    <w:rsid w:val="002620FA"/>
    <w:rsid w:val="00262975"/>
    <w:rsid w:val="00262DFF"/>
    <w:rsid w:val="00263016"/>
    <w:rsid w:val="00263082"/>
    <w:rsid w:val="002636F4"/>
    <w:rsid w:val="00263707"/>
    <w:rsid w:val="00263B2C"/>
    <w:rsid w:val="0026452B"/>
    <w:rsid w:val="00265252"/>
    <w:rsid w:val="002655EC"/>
    <w:rsid w:val="0026581F"/>
    <w:rsid w:val="00265B93"/>
    <w:rsid w:val="00266033"/>
    <w:rsid w:val="00266A2B"/>
    <w:rsid w:val="00266F6E"/>
    <w:rsid w:val="002672FC"/>
    <w:rsid w:val="0026746C"/>
    <w:rsid w:val="00267503"/>
    <w:rsid w:val="00267741"/>
    <w:rsid w:val="00267D5A"/>
    <w:rsid w:val="0027092C"/>
    <w:rsid w:val="00270B65"/>
    <w:rsid w:val="00270BF6"/>
    <w:rsid w:val="002710E6"/>
    <w:rsid w:val="002714B7"/>
    <w:rsid w:val="00271C1D"/>
    <w:rsid w:val="0027243A"/>
    <w:rsid w:val="002729EB"/>
    <w:rsid w:val="00272DF2"/>
    <w:rsid w:val="002732BA"/>
    <w:rsid w:val="00273304"/>
    <w:rsid w:val="0027349C"/>
    <w:rsid w:val="00274E63"/>
    <w:rsid w:val="00275359"/>
    <w:rsid w:val="00275444"/>
    <w:rsid w:val="002755F0"/>
    <w:rsid w:val="00275C92"/>
    <w:rsid w:val="00275DCA"/>
    <w:rsid w:val="002766B4"/>
    <w:rsid w:val="00277402"/>
    <w:rsid w:val="002775D7"/>
    <w:rsid w:val="00277D70"/>
    <w:rsid w:val="00277F42"/>
    <w:rsid w:val="0028017D"/>
    <w:rsid w:val="00280261"/>
    <w:rsid w:val="00280696"/>
    <w:rsid w:val="00280A3C"/>
    <w:rsid w:val="0028109F"/>
    <w:rsid w:val="0028142A"/>
    <w:rsid w:val="00282222"/>
    <w:rsid w:val="0028275A"/>
    <w:rsid w:val="00283F64"/>
    <w:rsid w:val="00284487"/>
    <w:rsid w:val="002848BB"/>
    <w:rsid w:val="00285A39"/>
    <w:rsid w:val="00285A41"/>
    <w:rsid w:val="00285A56"/>
    <w:rsid w:val="00285B73"/>
    <w:rsid w:val="00285FE3"/>
    <w:rsid w:val="002860D5"/>
    <w:rsid w:val="002866DF"/>
    <w:rsid w:val="002867BD"/>
    <w:rsid w:val="0028690C"/>
    <w:rsid w:val="00287634"/>
    <w:rsid w:val="00287B1C"/>
    <w:rsid w:val="002904D4"/>
    <w:rsid w:val="002905E4"/>
    <w:rsid w:val="00290AD9"/>
    <w:rsid w:val="00290CF9"/>
    <w:rsid w:val="002917AB"/>
    <w:rsid w:val="00291BF2"/>
    <w:rsid w:val="00292A9F"/>
    <w:rsid w:val="00292CAE"/>
    <w:rsid w:val="0029426A"/>
    <w:rsid w:val="0029446D"/>
    <w:rsid w:val="00294523"/>
    <w:rsid w:val="0029455C"/>
    <w:rsid w:val="00294A49"/>
    <w:rsid w:val="00296717"/>
    <w:rsid w:val="00296FE3"/>
    <w:rsid w:val="002A0739"/>
    <w:rsid w:val="002A0777"/>
    <w:rsid w:val="002A1332"/>
    <w:rsid w:val="002A16CB"/>
    <w:rsid w:val="002A1C96"/>
    <w:rsid w:val="002A298E"/>
    <w:rsid w:val="002A3095"/>
    <w:rsid w:val="002A3466"/>
    <w:rsid w:val="002A363A"/>
    <w:rsid w:val="002A4228"/>
    <w:rsid w:val="002A43C6"/>
    <w:rsid w:val="002A4520"/>
    <w:rsid w:val="002A47F3"/>
    <w:rsid w:val="002A4845"/>
    <w:rsid w:val="002A49F6"/>
    <w:rsid w:val="002A4BAE"/>
    <w:rsid w:val="002A4E51"/>
    <w:rsid w:val="002A59A1"/>
    <w:rsid w:val="002A5A5B"/>
    <w:rsid w:val="002A5CF7"/>
    <w:rsid w:val="002A627A"/>
    <w:rsid w:val="002A662A"/>
    <w:rsid w:val="002A6E07"/>
    <w:rsid w:val="002A7452"/>
    <w:rsid w:val="002A7AAA"/>
    <w:rsid w:val="002A7C6E"/>
    <w:rsid w:val="002B0139"/>
    <w:rsid w:val="002B0A24"/>
    <w:rsid w:val="002B1C41"/>
    <w:rsid w:val="002B1EB3"/>
    <w:rsid w:val="002B1FA4"/>
    <w:rsid w:val="002B243D"/>
    <w:rsid w:val="002B2449"/>
    <w:rsid w:val="002B2707"/>
    <w:rsid w:val="002B2E73"/>
    <w:rsid w:val="002B3088"/>
    <w:rsid w:val="002B4573"/>
    <w:rsid w:val="002B45DE"/>
    <w:rsid w:val="002B48DC"/>
    <w:rsid w:val="002B4A21"/>
    <w:rsid w:val="002B508D"/>
    <w:rsid w:val="002B52A7"/>
    <w:rsid w:val="002B5D27"/>
    <w:rsid w:val="002B5DB1"/>
    <w:rsid w:val="002B5FAD"/>
    <w:rsid w:val="002B60DB"/>
    <w:rsid w:val="002B6196"/>
    <w:rsid w:val="002B63CB"/>
    <w:rsid w:val="002B65C8"/>
    <w:rsid w:val="002B6F21"/>
    <w:rsid w:val="002B753B"/>
    <w:rsid w:val="002B7639"/>
    <w:rsid w:val="002B7DF4"/>
    <w:rsid w:val="002C009F"/>
    <w:rsid w:val="002C024E"/>
    <w:rsid w:val="002C0BD0"/>
    <w:rsid w:val="002C0C09"/>
    <w:rsid w:val="002C10F0"/>
    <w:rsid w:val="002C16B4"/>
    <w:rsid w:val="002C20D4"/>
    <w:rsid w:val="002C296E"/>
    <w:rsid w:val="002C2A43"/>
    <w:rsid w:val="002C317C"/>
    <w:rsid w:val="002C32E3"/>
    <w:rsid w:val="002C32FA"/>
    <w:rsid w:val="002C3781"/>
    <w:rsid w:val="002C3915"/>
    <w:rsid w:val="002C3A19"/>
    <w:rsid w:val="002C3D83"/>
    <w:rsid w:val="002C3EDE"/>
    <w:rsid w:val="002C419C"/>
    <w:rsid w:val="002C4404"/>
    <w:rsid w:val="002C4E24"/>
    <w:rsid w:val="002C548C"/>
    <w:rsid w:val="002C58B6"/>
    <w:rsid w:val="002C629D"/>
    <w:rsid w:val="002C694F"/>
    <w:rsid w:val="002C7052"/>
    <w:rsid w:val="002C7371"/>
    <w:rsid w:val="002C782F"/>
    <w:rsid w:val="002C7C7B"/>
    <w:rsid w:val="002D0A6F"/>
    <w:rsid w:val="002D1179"/>
    <w:rsid w:val="002D11B6"/>
    <w:rsid w:val="002D13CE"/>
    <w:rsid w:val="002D1434"/>
    <w:rsid w:val="002D1803"/>
    <w:rsid w:val="002D1EE7"/>
    <w:rsid w:val="002D2AD6"/>
    <w:rsid w:val="002D343F"/>
    <w:rsid w:val="002D36FF"/>
    <w:rsid w:val="002D3A4D"/>
    <w:rsid w:val="002D41D2"/>
    <w:rsid w:val="002D4CA9"/>
    <w:rsid w:val="002D5AEC"/>
    <w:rsid w:val="002D5B22"/>
    <w:rsid w:val="002D5B7F"/>
    <w:rsid w:val="002D5D5E"/>
    <w:rsid w:val="002D60E7"/>
    <w:rsid w:val="002D6361"/>
    <w:rsid w:val="002D640B"/>
    <w:rsid w:val="002D6701"/>
    <w:rsid w:val="002D6CAF"/>
    <w:rsid w:val="002D721C"/>
    <w:rsid w:val="002D727F"/>
    <w:rsid w:val="002D7446"/>
    <w:rsid w:val="002D7539"/>
    <w:rsid w:val="002D7AE4"/>
    <w:rsid w:val="002D7DFE"/>
    <w:rsid w:val="002D7EEF"/>
    <w:rsid w:val="002D7F3C"/>
    <w:rsid w:val="002E0130"/>
    <w:rsid w:val="002E02D5"/>
    <w:rsid w:val="002E02E0"/>
    <w:rsid w:val="002E0304"/>
    <w:rsid w:val="002E05D4"/>
    <w:rsid w:val="002E0827"/>
    <w:rsid w:val="002E0FFD"/>
    <w:rsid w:val="002E15EA"/>
    <w:rsid w:val="002E1B0C"/>
    <w:rsid w:val="002E1CD0"/>
    <w:rsid w:val="002E203D"/>
    <w:rsid w:val="002E2114"/>
    <w:rsid w:val="002E21D2"/>
    <w:rsid w:val="002E2415"/>
    <w:rsid w:val="002E3045"/>
    <w:rsid w:val="002E30CB"/>
    <w:rsid w:val="002E3234"/>
    <w:rsid w:val="002E34C1"/>
    <w:rsid w:val="002E3527"/>
    <w:rsid w:val="002E3984"/>
    <w:rsid w:val="002E3BFC"/>
    <w:rsid w:val="002E3CEE"/>
    <w:rsid w:val="002E4261"/>
    <w:rsid w:val="002E4329"/>
    <w:rsid w:val="002E50CD"/>
    <w:rsid w:val="002E5260"/>
    <w:rsid w:val="002E53CC"/>
    <w:rsid w:val="002E543D"/>
    <w:rsid w:val="002E6626"/>
    <w:rsid w:val="002E71C9"/>
    <w:rsid w:val="002E7761"/>
    <w:rsid w:val="002F0BD1"/>
    <w:rsid w:val="002F0BF7"/>
    <w:rsid w:val="002F0E43"/>
    <w:rsid w:val="002F1196"/>
    <w:rsid w:val="002F15E8"/>
    <w:rsid w:val="002F1802"/>
    <w:rsid w:val="002F1E30"/>
    <w:rsid w:val="002F22C1"/>
    <w:rsid w:val="002F2345"/>
    <w:rsid w:val="002F2604"/>
    <w:rsid w:val="002F2925"/>
    <w:rsid w:val="002F2932"/>
    <w:rsid w:val="002F3EDC"/>
    <w:rsid w:val="002F3F27"/>
    <w:rsid w:val="002F3F82"/>
    <w:rsid w:val="002F4215"/>
    <w:rsid w:val="002F45C0"/>
    <w:rsid w:val="002F45E3"/>
    <w:rsid w:val="002F4AF2"/>
    <w:rsid w:val="002F57D9"/>
    <w:rsid w:val="002F5989"/>
    <w:rsid w:val="002F5CF9"/>
    <w:rsid w:val="002F6115"/>
    <w:rsid w:val="002F6249"/>
    <w:rsid w:val="002F6941"/>
    <w:rsid w:val="002F7807"/>
    <w:rsid w:val="002F7A60"/>
    <w:rsid w:val="002F7CF1"/>
    <w:rsid w:val="003002D6"/>
    <w:rsid w:val="0030037D"/>
    <w:rsid w:val="0030048E"/>
    <w:rsid w:val="003004AD"/>
    <w:rsid w:val="003004BC"/>
    <w:rsid w:val="00300756"/>
    <w:rsid w:val="00300825"/>
    <w:rsid w:val="00300CB5"/>
    <w:rsid w:val="00300F7F"/>
    <w:rsid w:val="0030119B"/>
    <w:rsid w:val="003019D0"/>
    <w:rsid w:val="00301C5C"/>
    <w:rsid w:val="00301E7F"/>
    <w:rsid w:val="00301FD0"/>
    <w:rsid w:val="003020D9"/>
    <w:rsid w:val="0030254D"/>
    <w:rsid w:val="0030273A"/>
    <w:rsid w:val="003028E9"/>
    <w:rsid w:val="00302A51"/>
    <w:rsid w:val="0030391E"/>
    <w:rsid w:val="00303B58"/>
    <w:rsid w:val="00303F7D"/>
    <w:rsid w:val="003045B4"/>
    <w:rsid w:val="00304B4B"/>
    <w:rsid w:val="00304D5E"/>
    <w:rsid w:val="00304E8B"/>
    <w:rsid w:val="00305484"/>
    <w:rsid w:val="00305754"/>
    <w:rsid w:val="00306A5E"/>
    <w:rsid w:val="00306BAE"/>
    <w:rsid w:val="003102E6"/>
    <w:rsid w:val="00310626"/>
    <w:rsid w:val="00311265"/>
    <w:rsid w:val="00311285"/>
    <w:rsid w:val="00311BCE"/>
    <w:rsid w:val="00311CE4"/>
    <w:rsid w:val="00312463"/>
    <w:rsid w:val="0031249A"/>
    <w:rsid w:val="00312509"/>
    <w:rsid w:val="00312B55"/>
    <w:rsid w:val="00313693"/>
    <w:rsid w:val="0031438A"/>
    <w:rsid w:val="00314681"/>
    <w:rsid w:val="003151A9"/>
    <w:rsid w:val="003151CA"/>
    <w:rsid w:val="003155CD"/>
    <w:rsid w:val="00315961"/>
    <w:rsid w:val="00315FA6"/>
    <w:rsid w:val="00316065"/>
    <w:rsid w:val="003160F6"/>
    <w:rsid w:val="00316138"/>
    <w:rsid w:val="00316453"/>
    <w:rsid w:val="00316B61"/>
    <w:rsid w:val="00316DCD"/>
    <w:rsid w:val="0031717F"/>
    <w:rsid w:val="00317A98"/>
    <w:rsid w:val="00317DF3"/>
    <w:rsid w:val="003203D5"/>
    <w:rsid w:val="00320C11"/>
    <w:rsid w:val="00320D03"/>
    <w:rsid w:val="0032113C"/>
    <w:rsid w:val="00321140"/>
    <w:rsid w:val="0032154A"/>
    <w:rsid w:val="00321690"/>
    <w:rsid w:val="00321AB6"/>
    <w:rsid w:val="00321B03"/>
    <w:rsid w:val="00321F67"/>
    <w:rsid w:val="003221BC"/>
    <w:rsid w:val="003224AB"/>
    <w:rsid w:val="00322985"/>
    <w:rsid w:val="00322C64"/>
    <w:rsid w:val="0032309A"/>
    <w:rsid w:val="00323182"/>
    <w:rsid w:val="003231EC"/>
    <w:rsid w:val="003232B2"/>
    <w:rsid w:val="0032343C"/>
    <w:rsid w:val="00323898"/>
    <w:rsid w:val="00323E2A"/>
    <w:rsid w:val="0032421A"/>
    <w:rsid w:val="003244B4"/>
    <w:rsid w:val="00324706"/>
    <w:rsid w:val="0032484B"/>
    <w:rsid w:val="00324936"/>
    <w:rsid w:val="00324A23"/>
    <w:rsid w:val="00324C23"/>
    <w:rsid w:val="00325232"/>
    <w:rsid w:val="0032539A"/>
    <w:rsid w:val="0032547E"/>
    <w:rsid w:val="0032594E"/>
    <w:rsid w:val="00325B47"/>
    <w:rsid w:val="00325D92"/>
    <w:rsid w:val="00326A36"/>
    <w:rsid w:val="00326DBF"/>
    <w:rsid w:val="00326ED4"/>
    <w:rsid w:val="0032717E"/>
    <w:rsid w:val="003272F0"/>
    <w:rsid w:val="003274F7"/>
    <w:rsid w:val="0032793B"/>
    <w:rsid w:val="00327BDD"/>
    <w:rsid w:val="00327C70"/>
    <w:rsid w:val="00327E5C"/>
    <w:rsid w:val="00327F8D"/>
    <w:rsid w:val="00330CF6"/>
    <w:rsid w:val="00330E08"/>
    <w:rsid w:val="00331C74"/>
    <w:rsid w:val="003327F5"/>
    <w:rsid w:val="00332BD7"/>
    <w:rsid w:val="00332D84"/>
    <w:rsid w:val="003333D1"/>
    <w:rsid w:val="003337E1"/>
    <w:rsid w:val="00334407"/>
    <w:rsid w:val="003347F1"/>
    <w:rsid w:val="00334E70"/>
    <w:rsid w:val="00334EAF"/>
    <w:rsid w:val="00335AAF"/>
    <w:rsid w:val="0033651C"/>
    <w:rsid w:val="00336571"/>
    <w:rsid w:val="00336F66"/>
    <w:rsid w:val="00337196"/>
    <w:rsid w:val="003375DF"/>
    <w:rsid w:val="0033776B"/>
    <w:rsid w:val="00340088"/>
    <w:rsid w:val="0034056C"/>
    <w:rsid w:val="0034112B"/>
    <w:rsid w:val="00341B35"/>
    <w:rsid w:val="00342093"/>
    <w:rsid w:val="00342D1F"/>
    <w:rsid w:val="00343679"/>
    <w:rsid w:val="00343989"/>
    <w:rsid w:val="00343E37"/>
    <w:rsid w:val="003444B2"/>
    <w:rsid w:val="00344651"/>
    <w:rsid w:val="003446D7"/>
    <w:rsid w:val="00344EB6"/>
    <w:rsid w:val="00345665"/>
    <w:rsid w:val="00345CAA"/>
    <w:rsid w:val="003461D8"/>
    <w:rsid w:val="00346248"/>
    <w:rsid w:val="0034679B"/>
    <w:rsid w:val="00346966"/>
    <w:rsid w:val="003474F9"/>
    <w:rsid w:val="00347612"/>
    <w:rsid w:val="0034774C"/>
    <w:rsid w:val="00347F09"/>
    <w:rsid w:val="00347F1E"/>
    <w:rsid w:val="00350534"/>
    <w:rsid w:val="00350785"/>
    <w:rsid w:val="00350855"/>
    <w:rsid w:val="00350A9C"/>
    <w:rsid w:val="00350E6F"/>
    <w:rsid w:val="00350E85"/>
    <w:rsid w:val="00351A44"/>
    <w:rsid w:val="00351B6B"/>
    <w:rsid w:val="003522E1"/>
    <w:rsid w:val="0035265B"/>
    <w:rsid w:val="003526A3"/>
    <w:rsid w:val="00352C1A"/>
    <w:rsid w:val="00353385"/>
    <w:rsid w:val="0035352B"/>
    <w:rsid w:val="003537F4"/>
    <w:rsid w:val="003542BC"/>
    <w:rsid w:val="003548F3"/>
    <w:rsid w:val="00354C41"/>
    <w:rsid w:val="00354D4F"/>
    <w:rsid w:val="0035538F"/>
    <w:rsid w:val="00355696"/>
    <w:rsid w:val="0035571C"/>
    <w:rsid w:val="003558E3"/>
    <w:rsid w:val="00355A06"/>
    <w:rsid w:val="00355D1B"/>
    <w:rsid w:val="00356508"/>
    <w:rsid w:val="003567CA"/>
    <w:rsid w:val="00356C8A"/>
    <w:rsid w:val="00356DA8"/>
    <w:rsid w:val="00357835"/>
    <w:rsid w:val="003578D0"/>
    <w:rsid w:val="00357BAC"/>
    <w:rsid w:val="00357CF6"/>
    <w:rsid w:val="00357FF4"/>
    <w:rsid w:val="00360746"/>
    <w:rsid w:val="003609D2"/>
    <w:rsid w:val="00360B4A"/>
    <w:rsid w:val="00360D20"/>
    <w:rsid w:val="0036163C"/>
    <w:rsid w:val="00361A6F"/>
    <w:rsid w:val="0036219C"/>
    <w:rsid w:val="00362596"/>
    <w:rsid w:val="0036288C"/>
    <w:rsid w:val="00362E67"/>
    <w:rsid w:val="00363C4F"/>
    <w:rsid w:val="00363EF1"/>
    <w:rsid w:val="00364AA2"/>
    <w:rsid w:val="00364EE8"/>
    <w:rsid w:val="00365161"/>
    <w:rsid w:val="003653FB"/>
    <w:rsid w:val="00365580"/>
    <w:rsid w:val="0036594F"/>
    <w:rsid w:val="00365DEC"/>
    <w:rsid w:val="0036603D"/>
    <w:rsid w:val="0036656D"/>
    <w:rsid w:val="0036670E"/>
    <w:rsid w:val="00366824"/>
    <w:rsid w:val="00367280"/>
    <w:rsid w:val="00367715"/>
    <w:rsid w:val="00367747"/>
    <w:rsid w:val="003678D4"/>
    <w:rsid w:val="003679ED"/>
    <w:rsid w:val="00367D6A"/>
    <w:rsid w:val="00370171"/>
    <w:rsid w:val="0037021E"/>
    <w:rsid w:val="00370313"/>
    <w:rsid w:val="0037099A"/>
    <w:rsid w:val="00371392"/>
    <w:rsid w:val="00371459"/>
    <w:rsid w:val="0037198E"/>
    <w:rsid w:val="00371A9C"/>
    <w:rsid w:val="00371EEB"/>
    <w:rsid w:val="0037240C"/>
    <w:rsid w:val="00372A5D"/>
    <w:rsid w:val="003732C1"/>
    <w:rsid w:val="00373341"/>
    <w:rsid w:val="00373BDC"/>
    <w:rsid w:val="00373FBC"/>
    <w:rsid w:val="00374042"/>
    <w:rsid w:val="0037438E"/>
    <w:rsid w:val="00375237"/>
    <w:rsid w:val="003754A9"/>
    <w:rsid w:val="00375855"/>
    <w:rsid w:val="003758C7"/>
    <w:rsid w:val="00375F23"/>
    <w:rsid w:val="00375FD6"/>
    <w:rsid w:val="003764C6"/>
    <w:rsid w:val="00376A1A"/>
    <w:rsid w:val="00376C78"/>
    <w:rsid w:val="00376FAE"/>
    <w:rsid w:val="00377348"/>
    <w:rsid w:val="00377381"/>
    <w:rsid w:val="003777D4"/>
    <w:rsid w:val="00377A16"/>
    <w:rsid w:val="00377A29"/>
    <w:rsid w:val="00380137"/>
    <w:rsid w:val="003801C9"/>
    <w:rsid w:val="00380447"/>
    <w:rsid w:val="003805B1"/>
    <w:rsid w:val="003805EF"/>
    <w:rsid w:val="003809F9"/>
    <w:rsid w:val="00380DDD"/>
    <w:rsid w:val="00381400"/>
    <w:rsid w:val="00381692"/>
    <w:rsid w:val="003817BA"/>
    <w:rsid w:val="0038182E"/>
    <w:rsid w:val="0038190E"/>
    <w:rsid w:val="00381B19"/>
    <w:rsid w:val="00381FF3"/>
    <w:rsid w:val="003824C7"/>
    <w:rsid w:val="00382509"/>
    <w:rsid w:val="00382AC0"/>
    <w:rsid w:val="00382B08"/>
    <w:rsid w:val="00384C2E"/>
    <w:rsid w:val="00384D1B"/>
    <w:rsid w:val="00385EB1"/>
    <w:rsid w:val="00385EBF"/>
    <w:rsid w:val="00386488"/>
    <w:rsid w:val="00386686"/>
    <w:rsid w:val="0038672A"/>
    <w:rsid w:val="003878EC"/>
    <w:rsid w:val="00387EBC"/>
    <w:rsid w:val="0039068D"/>
    <w:rsid w:val="00390714"/>
    <w:rsid w:val="003907E1"/>
    <w:rsid w:val="003908DF"/>
    <w:rsid w:val="00390A2E"/>
    <w:rsid w:val="00390B74"/>
    <w:rsid w:val="00390FC7"/>
    <w:rsid w:val="0039100C"/>
    <w:rsid w:val="00391338"/>
    <w:rsid w:val="00391433"/>
    <w:rsid w:val="00391444"/>
    <w:rsid w:val="003915FC"/>
    <w:rsid w:val="00391998"/>
    <w:rsid w:val="00392526"/>
    <w:rsid w:val="00392BD0"/>
    <w:rsid w:val="00392C45"/>
    <w:rsid w:val="00392CF7"/>
    <w:rsid w:val="0039347E"/>
    <w:rsid w:val="00393791"/>
    <w:rsid w:val="0039388B"/>
    <w:rsid w:val="00393E99"/>
    <w:rsid w:val="00393E9A"/>
    <w:rsid w:val="0039413C"/>
    <w:rsid w:val="00394532"/>
    <w:rsid w:val="0039484C"/>
    <w:rsid w:val="00394F62"/>
    <w:rsid w:val="003959E2"/>
    <w:rsid w:val="00395A74"/>
    <w:rsid w:val="00395F3E"/>
    <w:rsid w:val="0039605B"/>
    <w:rsid w:val="0039608D"/>
    <w:rsid w:val="003965A9"/>
    <w:rsid w:val="00396A93"/>
    <w:rsid w:val="00396E4B"/>
    <w:rsid w:val="00397312"/>
    <w:rsid w:val="00397ACD"/>
    <w:rsid w:val="00397C4D"/>
    <w:rsid w:val="003A021F"/>
    <w:rsid w:val="003A0398"/>
    <w:rsid w:val="003A07B3"/>
    <w:rsid w:val="003A0986"/>
    <w:rsid w:val="003A09E4"/>
    <w:rsid w:val="003A16F0"/>
    <w:rsid w:val="003A17C0"/>
    <w:rsid w:val="003A1D88"/>
    <w:rsid w:val="003A201D"/>
    <w:rsid w:val="003A2213"/>
    <w:rsid w:val="003A29D7"/>
    <w:rsid w:val="003A2E3D"/>
    <w:rsid w:val="003A2F51"/>
    <w:rsid w:val="003A2F72"/>
    <w:rsid w:val="003A38BD"/>
    <w:rsid w:val="003A3B15"/>
    <w:rsid w:val="003A4114"/>
    <w:rsid w:val="003A41E0"/>
    <w:rsid w:val="003A429F"/>
    <w:rsid w:val="003A4420"/>
    <w:rsid w:val="003A4B64"/>
    <w:rsid w:val="003A4C36"/>
    <w:rsid w:val="003A4CCE"/>
    <w:rsid w:val="003A4DAC"/>
    <w:rsid w:val="003A5B43"/>
    <w:rsid w:val="003A6D3B"/>
    <w:rsid w:val="003A6D3C"/>
    <w:rsid w:val="003A6ECE"/>
    <w:rsid w:val="003A71EF"/>
    <w:rsid w:val="003A75B1"/>
    <w:rsid w:val="003A7770"/>
    <w:rsid w:val="003A7B3C"/>
    <w:rsid w:val="003B012A"/>
    <w:rsid w:val="003B0397"/>
    <w:rsid w:val="003B045F"/>
    <w:rsid w:val="003B0A2D"/>
    <w:rsid w:val="003B1442"/>
    <w:rsid w:val="003B14E1"/>
    <w:rsid w:val="003B19CF"/>
    <w:rsid w:val="003B32F2"/>
    <w:rsid w:val="003B3308"/>
    <w:rsid w:val="003B3DE0"/>
    <w:rsid w:val="003B40A8"/>
    <w:rsid w:val="003B40F9"/>
    <w:rsid w:val="003B4CEA"/>
    <w:rsid w:val="003B53A9"/>
    <w:rsid w:val="003B5460"/>
    <w:rsid w:val="003B56B1"/>
    <w:rsid w:val="003B5966"/>
    <w:rsid w:val="003B5B55"/>
    <w:rsid w:val="003B5B79"/>
    <w:rsid w:val="003B5ED3"/>
    <w:rsid w:val="003B625D"/>
    <w:rsid w:val="003B678A"/>
    <w:rsid w:val="003B6E7F"/>
    <w:rsid w:val="003B6E93"/>
    <w:rsid w:val="003B7732"/>
    <w:rsid w:val="003B7DD6"/>
    <w:rsid w:val="003C078C"/>
    <w:rsid w:val="003C1C75"/>
    <w:rsid w:val="003C1E8C"/>
    <w:rsid w:val="003C231C"/>
    <w:rsid w:val="003C2457"/>
    <w:rsid w:val="003C36D9"/>
    <w:rsid w:val="003C38B5"/>
    <w:rsid w:val="003C412C"/>
    <w:rsid w:val="003C4938"/>
    <w:rsid w:val="003C4E13"/>
    <w:rsid w:val="003C50A8"/>
    <w:rsid w:val="003C53C3"/>
    <w:rsid w:val="003C53EB"/>
    <w:rsid w:val="003C5788"/>
    <w:rsid w:val="003C6154"/>
    <w:rsid w:val="003C6489"/>
    <w:rsid w:val="003C6AF5"/>
    <w:rsid w:val="003C70F7"/>
    <w:rsid w:val="003C74EA"/>
    <w:rsid w:val="003C79B1"/>
    <w:rsid w:val="003C79D3"/>
    <w:rsid w:val="003C7C9E"/>
    <w:rsid w:val="003D03E6"/>
    <w:rsid w:val="003D17E2"/>
    <w:rsid w:val="003D26DE"/>
    <w:rsid w:val="003D2AC7"/>
    <w:rsid w:val="003D2DD4"/>
    <w:rsid w:val="003D37C1"/>
    <w:rsid w:val="003D37E5"/>
    <w:rsid w:val="003D385D"/>
    <w:rsid w:val="003D3A7C"/>
    <w:rsid w:val="003D3D36"/>
    <w:rsid w:val="003D3DD0"/>
    <w:rsid w:val="003D4081"/>
    <w:rsid w:val="003D4234"/>
    <w:rsid w:val="003D43D1"/>
    <w:rsid w:val="003D44B1"/>
    <w:rsid w:val="003D5047"/>
    <w:rsid w:val="003D537D"/>
    <w:rsid w:val="003D54E7"/>
    <w:rsid w:val="003D5648"/>
    <w:rsid w:val="003D596E"/>
    <w:rsid w:val="003D6108"/>
    <w:rsid w:val="003D63F7"/>
    <w:rsid w:val="003D6706"/>
    <w:rsid w:val="003D7DC1"/>
    <w:rsid w:val="003D7FB6"/>
    <w:rsid w:val="003E06B8"/>
    <w:rsid w:val="003E1757"/>
    <w:rsid w:val="003E1AC6"/>
    <w:rsid w:val="003E22C8"/>
    <w:rsid w:val="003E2801"/>
    <w:rsid w:val="003E2AE4"/>
    <w:rsid w:val="003E2E57"/>
    <w:rsid w:val="003E30DF"/>
    <w:rsid w:val="003E34F3"/>
    <w:rsid w:val="003E3540"/>
    <w:rsid w:val="003E3568"/>
    <w:rsid w:val="003E38B4"/>
    <w:rsid w:val="003E42B3"/>
    <w:rsid w:val="003E521F"/>
    <w:rsid w:val="003E5B22"/>
    <w:rsid w:val="003E60F3"/>
    <w:rsid w:val="003E6166"/>
    <w:rsid w:val="003E62CE"/>
    <w:rsid w:val="003E678A"/>
    <w:rsid w:val="003E7135"/>
    <w:rsid w:val="003E758A"/>
    <w:rsid w:val="003E7B23"/>
    <w:rsid w:val="003F131B"/>
    <w:rsid w:val="003F1334"/>
    <w:rsid w:val="003F1931"/>
    <w:rsid w:val="003F1E8B"/>
    <w:rsid w:val="003F20A9"/>
    <w:rsid w:val="003F22F0"/>
    <w:rsid w:val="003F2500"/>
    <w:rsid w:val="003F2934"/>
    <w:rsid w:val="003F2DCF"/>
    <w:rsid w:val="003F2E3A"/>
    <w:rsid w:val="003F2EE4"/>
    <w:rsid w:val="003F304A"/>
    <w:rsid w:val="003F3707"/>
    <w:rsid w:val="003F3A18"/>
    <w:rsid w:val="003F3FD9"/>
    <w:rsid w:val="003F4080"/>
    <w:rsid w:val="003F42A3"/>
    <w:rsid w:val="003F492B"/>
    <w:rsid w:val="003F4C67"/>
    <w:rsid w:val="003F4E10"/>
    <w:rsid w:val="003F5A89"/>
    <w:rsid w:val="003F5F1A"/>
    <w:rsid w:val="003F6906"/>
    <w:rsid w:val="003F6B74"/>
    <w:rsid w:val="003F70A4"/>
    <w:rsid w:val="003F7923"/>
    <w:rsid w:val="003F7DA6"/>
    <w:rsid w:val="003F7FC0"/>
    <w:rsid w:val="00400384"/>
    <w:rsid w:val="004011CB"/>
    <w:rsid w:val="00401629"/>
    <w:rsid w:val="00401ED4"/>
    <w:rsid w:val="00402BE1"/>
    <w:rsid w:val="00402C40"/>
    <w:rsid w:val="0040355E"/>
    <w:rsid w:val="004039B2"/>
    <w:rsid w:val="00403AC5"/>
    <w:rsid w:val="00403CDB"/>
    <w:rsid w:val="00403F71"/>
    <w:rsid w:val="00404579"/>
    <w:rsid w:val="00404924"/>
    <w:rsid w:val="00404DC8"/>
    <w:rsid w:val="00404EE0"/>
    <w:rsid w:val="00404FAD"/>
    <w:rsid w:val="004053C0"/>
    <w:rsid w:val="00405478"/>
    <w:rsid w:val="00406679"/>
    <w:rsid w:val="00406A1D"/>
    <w:rsid w:val="00406AFD"/>
    <w:rsid w:val="00406BEA"/>
    <w:rsid w:val="00406CD0"/>
    <w:rsid w:val="00406F4C"/>
    <w:rsid w:val="00406FE8"/>
    <w:rsid w:val="00407482"/>
    <w:rsid w:val="00407B6D"/>
    <w:rsid w:val="00407C16"/>
    <w:rsid w:val="00407DD1"/>
    <w:rsid w:val="00410103"/>
    <w:rsid w:val="0041026E"/>
    <w:rsid w:val="004105DA"/>
    <w:rsid w:val="00411885"/>
    <w:rsid w:val="00411D53"/>
    <w:rsid w:val="004120F8"/>
    <w:rsid w:val="00412302"/>
    <w:rsid w:val="004129D4"/>
    <w:rsid w:val="00412ABC"/>
    <w:rsid w:val="00412CD7"/>
    <w:rsid w:val="00413383"/>
    <w:rsid w:val="004133BE"/>
    <w:rsid w:val="004133CC"/>
    <w:rsid w:val="00413A98"/>
    <w:rsid w:val="00414165"/>
    <w:rsid w:val="004141FE"/>
    <w:rsid w:val="004143F4"/>
    <w:rsid w:val="00414AE3"/>
    <w:rsid w:val="00414B0F"/>
    <w:rsid w:val="00414B8D"/>
    <w:rsid w:val="00415429"/>
    <w:rsid w:val="004157AE"/>
    <w:rsid w:val="00415836"/>
    <w:rsid w:val="00415CDC"/>
    <w:rsid w:val="00415E79"/>
    <w:rsid w:val="0041608C"/>
    <w:rsid w:val="004164FF"/>
    <w:rsid w:val="004170D5"/>
    <w:rsid w:val="00417EAA"/>
    <w:rsid w:val="004202DE"/>
    <w:rsid w:val="00420E68"/>
    <w:rsid w:val="00421241"/>
    <w:rsid w:val="00421661"/>
    <w:rsid w:val="00421A6D"/>
    <w:rsid w:val="00421BAE"/>
    <w:rsid w:val="0042229C"/>
    <w:rsid w:val="00422B1F"/>
    <w:rsid w:val="00422C0A"/>
    <w:rsid w:val="0042309F"/>
    <w:rsid w:val="00423E0A"/>
    <w:rsid w:val="00424484"/>
    <w:rsid w:val="004245BE"/>
    <w:rsid w:val="00424851"/>
    <w:rsid w:val="00424887"/>
    <w:rsid w:val="00424E53"/>
    <w:rsid w:val="00424F09"/>
    <w:rsid w:val="00425A1B"/>
    <w:rsid w:val="00425DA6"/>
    <w:rsid w:val="00425DDE"/>
    <w:rsid w:val="00425E35"/>
    <w:rsid w:val="00426003"/>
    <w:rsid w:val="00426668"/>
    <w:rsid w:val="004269DB"/>
    <w:rsid w:val="00427103"/>
    <w:rsid w:val="004272F6"/>
    <w:rsid w:val="00427489"/>
    <w:rsid w:val="004275B8"/>
    <w:rsid w:val="00427797"/>
    <w:rsid w:val="00427994"/>
    <w:rsid w:val="00427B84"/>
    <w:rsid w:val="0043020A"/>
    <w:rsid w:val="00430414"/>
    <w:rsid w:val="004305FC"/>
    <w:rsid w:val="004306A0"/>
    <w:rsid w:val="00430780"/>
    <w:rsid w:val="00430F4F"/>
    <w:rsid w:val="0043121B"/>
    <w:rsid w:val="00431665"/>
    <w:rsid w:val="00431925"/>
    <w:rsid w:val="00431A19"/>
    <w:rsid w:val="00431A89"/>
    <w:rsid w:val="0043278F"/>
    <w:rsid w:val="004329EF"/>
    <w:rsid w:val="00432CA2"/>
    <w:rsid w:val="00433327"/>
    <w:rsid w:val="004335A4"/>
    <w:rsid w:val="004337A2"/>
    <w:rsid w:val="0043393C"/>
    <w:rsid w:val="00433CDD"/>
    <w:rsid w:val="00433CF4"/>
    <w:rsid w:val="00434383"/>
    <w:rsid w:val="00434EC3"/>
    <w:rsid w:val="00435239"/>
    <w:rsid w:val="00435DF6"/>
    <w:rsid w:val="00436B46"/>
    <w:rsid w:val="00436C25"/>
    <w:rsid w:val="00436EF9"/>
    <w:rsid w:val="004371AD"/>
    <w:rsid w:val="004372F9"/>
    <w:rsid w:val="00437550"/>
    <w:rsid w:val="0043780A"/>
    <w:rsid w:val="00437F72"/>
    <w:rsid w:val="004405C5"/>
    <w:rsid w:val="00440C58"/>
    <w:rsid w:val="00440E4E"/>
    <w:rsid w:val="004414A7"/>
    <w:rsid w:val="00441526"/>
    <w:rsid w:val="00441768"/>
    <w:rsid w:val="004417E3"/>
    <w:rsid w:val="00442391"/>
    <w:rsid w:val="00442E35"/>
    <w:rsid w:val="00443A22"/>
    <w:rsid w:val="00443D77"/>
    <w:rsid w:val="004441EE"/>
    <w:rsid w:val="004444BF"/>
    <w:rsid w:val="004447A4"/>
    <w:rsid w:val="004447F0"/>
    <w:rsid w:val="00444986"/>
    <w:rsid w:val="00444C6A"/>
    <w:rsid w:val="0044509A"/>
    <w:rsid w:val="004450C2"/>
    <w:rsid w:val="0044519B"/>
    <w:rsid w:val="004452FE"/>
    <w:rsid w:val="00445302"/>
    <w:rsid w:val="004461DF"/>
    <w:rsid w:val="004461E8"/>
    <w:rsid w:val="004463E9"/>
    <w:rsid w:val="00446558"/>
    <w:rsid w:val="00446876"/>
    <w:rsid w:val="00446E26"/>
    <w:rsid w:val="00447734"/>
    <w:rsid w:val="00447783"/>
    <w:rsid w:val="00447988"/>
    <w:rsid w:val="004504D3"/>
    <w:rsid w:val="00451735"/>
    <w:rsid w:val="00451C10"/>
    <w:rsid w:val="004522D0"/>
    <w:rsid w:val="0045276E"/>
    <w:rsid w:val="00452E30"/>
    <w:rsid w:val="0045320F"/>
    <w:rsid w:val="00453294"/>
    <w:rsid w:val="00453543"/>
    <w:rsid w:val="004535C8"/>
    <w:rsid w:val="004535FA"/>
    <w:rsid w:val="0045478B"/>
    <w:rsid w:val="0045483A"/>
    <w:rsid w:val="0045499A"/>
    <w:rsid w:val="00454A5B"/>
    <w:rsid w:val="004562B5"/>
    <w:rsid w:val="00456568"/>
    <w:rsid w:val="004565BC"/>
    <w:rsid w:val="004565DE"/>
    <w:rsid w:val="00456BEF"/>
    <w:rsid w:val="00456FC9"/>
    <w:rsid w:val="00457309"/>
    <w:rsid w:val="00457800"/>
    <w:rsid w:val="004602FC"/>
    <w:rsid w:val="004603F6"/>
    <w:rsid w:val="00460E43"/>
    <w:rsid w:val="00461144"/>
    <w:rsid w:val="0046149F"/>
    <w:rsid w:val="0046160F"/>
    <w:rsid w:val="0046197B"/>
    <w:rsid w:val="0046198B"/>
    <w:rsid w:val="00461B5E"/>
    <w:rsid w:val="00461C23"/>
    <w:rsid w:val="00462D1C"/>
    <w:rsid w:val="00463384"/>
    <w:rsid w:val="00464173"/>
    <w:rsid w:val="00464680"/>
    <w:rsid w:val="004649A1"/>
    <w:rsid w:val="00464DA6"/>
    <w:rsid w:val="0046560F"/>
    <w:rsid w:val="0046579F"/>
    <w:rsid w:val="004657E4"/>
    <w:rsid w:val="004657F0"/>
    <w:rsid w:val="00465DA6"/>
    <w:rsid w:val="00465E0F"/>
    <w:rsid w:val="0046605A"/>
    <w:rsid w:val="004664FD"/>
    <w:rsid w:val="0046674F"/>
    <w:rsid w:val="004670A2"/>
    <w:rsid w:val="0046719D"/>
    <w:rsid w:val="004672B9"/>
    <w:rsid w:val="004674F6"/>
    <w:rsid w:val="00467AD3"/>
    <w:rsid w:val="00467B30"/>
    <w:rsid w:val="00467E3E"/>
    <w:rsid w:val="004705D3"/>
    <w:rsid w:val="00470778"/>
    <w:rsid w:val="0047149B"/>
    <w:rsid w:val="00471653"/>
    <w:rsid w:val="00471A25"/>
    <w:rsid w:val="00472209"/>
    <w:rsid w:val="00472805"/>
    <w:rsid w:val="004728E0"/>
    <w:rsid w:val="00472DA0"/>
    <w:rsid w:val="00472FFC"/>
    <w:rsid w:val="0047323A"/>
    <w:rsid w:val="0047375C"/>
    <w:rsid w:val="004737D8"/>
    <w:rsid w:val="004738C3"/>
    <w:rsid w:val="00473A96"/>
    <w:rsid w:val="00473F73"/>
    <w:rsid w:val="004743E0"/>
    <w:rsid w:val="004745F3"/>
    <w:rsid w:val="00474708"/>
    <w:rsid w:val="00474761"/>
    <w:rsid w:val="004748D9"/>
    <w:rsid w:val="004753E0"/>
    <w:rsid w:val="004758A2"/>
    <w:rsid w:val="00475A45"/>
    <w:rsid w:val="00475EE1"/>
    <w:rsid w:val="00475F5A"/>
    <w:rsid w:val="004766A0"/>
    <w:rsid w:val="00476B44"/>
    <w:rsid w:val="00476CE0"/>
    <w:rsid w:val="004776D3"/>
    <w:rsid w:val="00477F24"/>
    <w:rsid w:val="00480BE0"/>
    <w:rsid w:val="00481651"/>
    <w:rsid w:val="004816D2"/>
    <w:rsid w:val="00481827"/>
    <w:rsid w:val="004826F2"/>
    <w:rsid w:val="004827EA"/>
    <w:rsid w:val="00482A3D"/>
    <w:rsid w:val="00482E82"/>
    <w:rsid w:val="00482F90"/>
    <w:rsid w:val="00483046"/>
    <w:rsid w:val="0048349C"/>
    <w:rsid w:val="004834BB"/>
    <w:rsid w:val="004837A9"/>
    <w:rsid w:val="004842C5"/>
    <w:rsid w:val="0048516F"/>
    <w:rsid w:val="004856C5"/>
    <w:rsid w:val="00485A59"/>
    <w:rsid w:val="00485B04"/>
    <w:rsid w:val="00485E82"/>
    <w:rsid w:val="00486060"/>
    <w:rsid w:val="00486630"/>
    <w:rsid w:val="004869CE"/>
    <w:rsid w:val="00486F23"/>
    <w:rsid w:val="00487036"/>
    <w:rsid w:val="00487111"/>
    <w:rsid w:val="00487130"/>
    <w:rsid w:val="004874D5"/>
    <w:rsid w:val="00487DBC"/>
    <w:rsid w:val="00487F55"/>
    <w:rsid w:val="0049016C"/>
    <w:rsid w:val="00490278"/>
    <w:rsid w:val="004902E2"/>
    <w:rsid w:val="00490939"/>
    <w:rsid w:val="00490950"/>
    <w:rsid w:val="00490B0C"/>
    <w:rsid w:val="004910D6"/>
    <w:rsid w:val="004911CD"/>
    <w:rsid w:val="0049132B"/>
    <w:rsid w:val="004916BB"/>
    <w:rsid w:val="0049173F"/>
    <w:rsid w:val="004917C1"/>
    <w:rsid w:val="00491C79"/>
    <w:rsid w:val="00491C7B"/>
    <w:rsid w:val="00491FDC"/>
    <w:rsid w:val="004923A4"/>
    <w:rsid w:val="00492DA4"/>
    <w:rsid w:val="00492E11"/>
    <w:rsid w:val="004930E6"/>
    <w:rsid w:val="00494CBB"/>
    <w:rsid w:val="00494FBF"/>
    <w:rsid w:val="004950F8"/>
    <w:rsid w:val="00495170"/>
    <w:rsid w:val="00495B43"/>
    <w:rsid w:val="00495CE7"/>
    <w:rsid w:val="00495E4C"/>
    <w:rsid w:val="0049618D"/>
    <w:rsid w:val="004963CE"/>
    <w:rsid w:val="0049733F"/>
    <w:rsid w:val="00497558"/>
    <w:rsid w:val="00497B20"/>
    <w:rsid w:val="004A00F6"/>
    <w:rsid w:val="004A0E56"/>
    <w:rsid w:val="004A1004"/>
    <w:rsid w:val="004A141B"/>
    <w:rsid w:val="004A1C8F"/>
    <w:rsid w:val="004A1CA8"/>
    <w:rsid w:val="004A26CB"/>
    <w:rsid w:val="004A2874"/>
    <w:rsid w:val="004A3237"/>
    <w:rsid w:val="004A3B23"/>
    <w:rsid w:val="004A3ED6"/>
    <w:rsid w:val="004A40D7"/>
    <w:rsid w:val="004A423B"/>
    <w:rsid w:val="004A44A6"/>
    <w:rsid w:val="004A4593"/>
    <w:rsid w:val="004A46B5"/>
    <w:rsid w:val="004A5858"/>
    <w:rsid w:val="004A6229"/>
    <w:rsid w:val="004A63D9"/>
    <w:rsid w:val="004A6B18"/>
    <w:rsid w:val="004A7151"/>
    <w:rsid w:val="004B0821"/>
    <w:rsid w:val="004B1113"/>
    <w:rsid w:val="004B16FE"/>
    <w:rsid w:val="004B17BF"/>
    <w:rsid w:val="004B18A5"/>
    <w:rsid w:val="004B1A2D"/>
    <w:rsid w:val="004B203D"/>
    <w:rsid w:val="004B21BB"/>
    <w:rsid w:val="004B26EF"/>
    <w:rsid w:val="004B285F"/>
    <w:rsid w:val="004B28DF"/>
    <w:rsid w:val="004B2AA8"/>
    <w:rsid w:val="004B2BB1"/>
    <w:rsid w:val="004B2E71"/>
    <w:rsid w:val="004B34D7"/>
    <w:rsid w:val="004B413B"/>
    <w:rsid w:val="004B61CF"/>
    <w:rsid w:val="004B6559"/>
    <w:rsid w:val="004B688B"/>
    <w:rsid w:val="004B6A48"/>
    <w:rsid w:val="004B6A63"/>
    <w:rsid w:val="004B6D10"/>
    <w:rsid w:val="004B6DC2"/>
    <w:rsid w:val="004B7049"/>
    <w:rsid w:val="004B7317"/>
    <w:rsid w:val="004B78A7"/>
    <w:rsid w:val="004C0884"/>
    <w:rsid w:val="004C1446"/>
    <w:rsid w:val="004C18E3"/>
    <w:rsid w:val="004C1B4A"/>
    <w:rsid w:val="004C222A"/>
    <w:rsid w:val="004C24D7"/>
    <w:rsid w:val="004C2947"/>
    <w:rsid w:val="004C29A9"/>
    <w:rsid w:val="004C2EEC"/>
    <w:rsid w:val="004C3140"/>
    <w:rsid w:val="004C384C"/>
    <w:rsid w:val="004C3934"/>
    <w:rsid w:val="004C399D"/>
    <w:rsid w:val="004C3BE9"/>
    <w:rsid w:val="004C3C6C"/>
    <w:rsid w:val="004C3C6D"/>
    <w:rsid w:val="004C3EFF"/>
    <w:rsid w:val="004C4490"/>
    <w:rsid w:val="004C4996"/>
    <w:rsid w:val="004C509E"/>
    <w:rsid w:val="004C5317"/>
    <w:rsid w:val="004C596E"/>
    <w:rsid w:val="004C5C9E"/>
    <w:rsid w:val="004C5D4E"/>
    <w:rsid w:val="004C5D6E"/>
    <w:rsid w:val="004C6578"/>
    <w:rsid w:val="004C6991"/>
    <w:rsid w:val="004C6CE7"/>
    <w:rsid w:val="004C6D09"/>
    <w:rsid w:val="004C7347"/>
    <w:rsid w:val="004C788E"/>
    <w:rsid w:val="004C7D81"/>
    <w:rsid w:val="004C7F94"/>
    <w:rsid w:val="004C7FE3"/>
    <w:rsid w:val="004D0789"/>
    <w:rsid w:val="004D0893"/>
    <w:rsid w:val="004D0AC1"/>
    <w:rsid w:val="004D0B6C"/>
    <w:rsid w:val="004D0E98"/>
    <w:rsid w:val="004D1282"/>
    <w:rsid w:val="004D173F"/>
    <w:rsid w:val="004D1758"/>
    <w:rsid w:val="004D189C"/>
    <w:rsid w:val="004D1B18"/>
    <w:rsid w:val="004D1E7C"/>
    <w:rsid w:val="004D2190"/>
    <w:rsid w:val="004D2A7D"/>
    <w:rsid w:val="004D2C02"/>
    <w:rsid w:val="004D3400"/>
    <w:rsid w:val="004D35C6"/>
    <w:rsid w:val="004D3B49"/>
    <w:rsid w:val="004D3F83"/>
    <w:rsid w:val="004D4041"/>
    <w:rsid w:val="004D4066"/>
    <w:rsid w:val="004D45C0"/>
    <w:rsid w:val="004D466C"/>
    <w:rsid w:val="004D4CD6"/>
    <w:rsid w:val="004D5036"/>
    <w:rsid w:val="004D5309"/>
    <w:rsid w:val="004D5528"/>
    <w:rsid w:val="004D5BFD"/>
    <w:rsid w:val="004D62D5"/>
    <w:rsid w:val="004D6B74"/>
    <w:rsid w:val="004D6C7D"/>
    <w:rsid w:val="004D6E0F"/>
    <w:rsid w:val="004D7073"/>
    <w:rsid w:val="004D7E68"/>
    <w:rsid w:val="004E05BC"/>
    <w:rsid w:val="004E06B1"/>
    <w:rsid w:val="004E0C38"/>
    <w:rsid w:val="004E1021"/>
    <w:rsid w:val="004E10EE"/>
    <w:rsid w:val="004E1460"/>
    <w:rsid w:val="004E150E"/>
    <w:rsid w:val="004E1D49"/>
    <w:rsid w:val="004E2C7A"/>
    <w:rsid w:val="004E2FB8"/>
    <w:rsid w:val="004E359C"/>
    <w:rsid w:val="004E378F"/>
    <w:rsid w:val="004E3A79"/>
    <w:rsid w:val="004E3FE2"/>
    <w:rsid w:val="004E406B"/>
    <w:rsid w:val="004E46AF"/>
    <w:rsid w:val="004E5A63"/>
    <w:rsid w:val="004E5DDB"/>
    <w:rsid w:val="004E5E42"/>
    <w:rsid w:val="004E6272"/>
    <w:rsid w:val="004E62B8"/>
    <w:rsid w:val="004E6A72"/>
    <w:rsid w:val="004E7750"/>
    <w:rsid w:val="004E789F"/>
    <w:rsid w:val="004F0788"/>
    <w:rsid w:val="004F0918"/>
    <w:rsid w:val="004F1074"/>
    <w:rsid w:val="004F1409"/>
    <w:rsid w:val="004F15D8"/>
    <w:rsid w:val="004F1984"/>
    <w:rsid w:val="004F1B28"/>
    <w:rsid w:val="004F1E0A"/>
    <w:rsid w:val="004F1E8E"/>
    <w:rsid w:val="004F27A2"/>
    <w:rsid w:val="004F3799"/>
    <w:rsid w:val="004F3963"/>
    <w:rsid w:val="004F3C96"/>
    <w:rsid w:val="004F3EA6"/>
    <w:rsid w:val="004F3F41"/>
    <w:rsid w:val="004F40C2"/>
    <w:rsid w:val="004F4365"/>
    <w:rsid w:val="004F465E"/>
    <w:rsid w:val="004F497E"/>
    <w:rsid w:val="004F4AF0"/>
    <w:rsid w:val="004F4D3D"/>
    <w:rsid w:val="004F4FF1"/>
    <w:rsid w:val="004F5FE1"/>
    <w:rsid w:val="004F6218"/>
    <w:rsid w:val="004F74E7"/>
    <w:rsid w:val="004F76B3"/>
    <w:rsid w:val="004F7A33"/>
    <w:rsid w:val="004F7B4D"/>
    <w:rsid w:val="004F7DDE"/>
    <w:rsid w:val="005005D9"/>
    <w:rsid w:val="005008F8"/>
    <w:rsid w:val="00500903"/>
    <w:rsid w:val="00500C85"/>
    <w:rsid w:val="00500C99"/>
    <w:rsid w:val="005017CB"/>
    <w:rsid w:val="00501E65"/>
    <w:rsid w:val="00502110"/>
    <w:rsid w:val="005021E0"/>
    <w:rsid w:val="00502565"/>
    <w:rsid w:val="00502575"/>
    <w:rsid w:val="005025C6"/>
    <w:rsid w:val="005027EF"/>
    <w:rsid w:val="00502A6F"/>
    <w:rsid w:val="00503AE3"/>
    <w:rsid w:val="00503CE6"/>
    <w:rsid w:val="005043E8"/>
    <w:rsid w:val="00505041"/>
    <w:rsid w:val="0050554D"/>
    <w:rsid w:val="005057F2"/>
    <w:rsid w:val="005058DB"/>
    <w:rsid w:val="00505BB5"/>
    <w:rsid w:val="0050652B"/>
    <w:rsid w:val="0050685F"/>
    <w:rsid w:val="00506904"/>
    <w:rsid w:val="00506ECD"/>
    <w:rsid w:val="005072CE"/>
    <w:rsid w:val="005076FC"/>
    <w:rsid w:val="0051002F"/>
    <w:rsid w:val="005105D5"/>
    <w:rsid w:val="00510835"/>
    <w:rsid w:val="00510896"/>
    <w:rsid w:val="0051094E"/>
    <w:rsid w:val="00510B68"/>
    <w:rsid w:val="005115E1"/>
    <w:rsid w:val="00511F1A"/>
    <w:rsid w:val="0051231D"/>
    <w:rsid w:val="005128ED"/>
    <w:rsid w:val="005131CE"/>
    <w:rsid w:val="005132FF"/>
    <w:rsid w:val="005134CE"/>
    <w:rsid w:val="0051355E"/>
    <w:rsid w:val="005136A9"/>
    <w:rsid w:val="005139FF"/>
    <w:rsid w:val="00513A72"/>
    <w:rsid w:val="005140C5"/>
    <w:rsid w:val="00514531"/>
    <w:rsid w:val="005147E5"/>
    <w:rsid w:val="00514F0B"/>
    <w:rsid w:val="0051502B"/>
    <w:rsid w:val="00515131"/>
    <w:rsid w:val="00515D46"/>
    <w:rsid w:val="00515DF9"/>
    <w:rsid w:val="00515FB4"/>
    <w:rsid w:val="00516278"/>
    <w:rsid w:val="005165A9"/>
    <w:rsid w:val="005166B7"/>
    <w:rsid w:val="005172C0"/>
    <w:rsid w:val="00517569"/>
    <w:rsid w:val="00517C6D"/>
    <w:rsid w:val="005202C9"/>
    <w:rsid w:val="0052031F"/>
    <w:rsid w:val="005209DD"/>
    <w:rsid w:val="005211A1"/>
    <w:rsid w:val="00521666"/>
    <w:rsid w:val="0052285B"/>
    <w:rsid w:val="00522959"/>
    <w:rsid w:val="00522978"/>
    <w:rsid w:val="0052366E"/>
    <w:rsid w:val="00523983"/>
    <w:rsid w:val="005241AF"/>
    <w:rsid w:val="005246BA"/>
    <w:rsid w:val="0052485C"/>
    <w:rsid w:val="00524BAB"/>
    <w:rsid w:val="005251CB"/>
    <w:rsid w:val="005260CE"/>
    <w:rsid w:val="00526164"/>
    <w:rsid w:val="00526236"/>
    <w:rsid w:val="00526F4F"/>
    <w:rsid w:val="00527693"/>
    <w:rsid w:val="0052779B"/>
    <w:rsid w:val="00527EAB"/>
    <w:rsid w:val="0053002A"/>
    <w:rsid w:val="0053010E"/>
    <w:rsid w:val="0053034F"/>
    <w:rsid w:val="005310ED"/>
    <w:rsid w:val="0053118F"/>
    <w:rsid w:val="00531409"/>
    <w:rsid w:val="00531B33"/>
    <w:rsid w:val="00531B68"/>
    <w:rsid w:val="00532070"/>
    <w:rsid w:val="005320D9"/>
    <w:rsid w:val="00532158"/>
    <w:rsid w:val="0053219B"/>
    <w:rsid w:val="0053234E"/>
    <w:rsid w:val="00532FBA"/>
    <w:rsid w:val="005332CF"/>
    <w:rsid w:val="005334FC"/>
    <w:rsid w:val="005336B5"/>
    <w:rsid w:val="00533E3D"/>
    <w:rsid w:val="00534767"/>
    <w:rsid w:val="00534AEA"/>
    <w:rsid w:val="00534AF7"/>
    <w:rsid w:val="00534C30"/>
    <w:rsid w:val="0053571F"/>
    <w:rsid w:val="005358C8"/>
    <w:rsid w:val="00535AA9"/>
    <w:rsid w:val="00535B01"/>
    <w:rsid w:val="00535D50"/>
    <w:rsid w:val="00535EE6"/>
    <w:rsid w:val="00536058"/>
    <w:rsid w:val="0053687D"/>
    <w:rsid w:val="005369D1"/>
    <w:rsid w:val="005369EE"/>
    <w:rsid w:val="00536C7A"/>
    <w:rsid w:val="00537131"/>
    <w:rsid w:val="00537681"/>
    <w:rsid w:val="00537F7F"/>
    <w:rsid w:val="0054090F"/>
    <w:rsid w:val="0054104F"/>
    <w:rsid w:val="00541488"/>
    <w:rsid w:val="005417A8"/>
    <w:rsid w:val="00541FA0"/>
    <w:rsid w:val="00542285"/>
    <w:rsid w:val="00542E80"/>
    <w:rsid w:val="0054318A"/>
    <w:rsid w:val="00543E72"/>
    <w:rsid w:val="00543F69"/>
    <w:rsid w:val="00544432"/>
    <w:rsid w:val="005447A7"/>
    <w:rsid w:val="00544F2B"/>
    <w:rsid w:val="00546466"/>
    <w:rsid w:val="005465D6"/>
    <w:rsid w:val="0054688C"/>
    <w:rsid w:val="005468D6"/>
    <w:rsid w:val="0054757D"/>
    <w:rsid w:val="005509C5"/>
    <w:rsid w:val="0055191B"/>
    <w:rsid w:val="00551BC9"/>
    <w:rsid w:val="00551E06"/>
    <w:rsid w:val="005528B7"/>
    <w:rsid w:val="00552F6A"/>
    <w:rsid w:val="00553056"/>
    <w:rsid w:val="0055386F"/>
    <w:rsid w:val="00553946"/>
    <w:rsid w:val="00553BDB"/>
    <w:rsid w:val="00554326"/>
    <w:rsid w:val="005545FC"/>
    <w:rsid w:val="00554B13"/>
    <w:rsid w:val="00554E3D"/>
    <w:rsid w:val="00554F3B"/>
    <w:rsid w:val="005551E4"/>
    <w:rsid w:val="00555404"/>
    <w:rsid w:val="005558F7"/>
    <w:rsid w:val="005567D6"/>
    <w:rsid w:val="005567F5"/>
    <w:rsid w:val="00556EC0"/>
    <w:rsid w:val="00556F9A"/>
    <w:rsid w:val="0055735F"/>
    <w:rsid w:val="00557457"/>
    <w:rsid w:val="00557D7A"/>
    <w:rsid w:val="0056050C"/>
    <w:rsid w:val="005607B9"/>
    <w:rsid w:val="00560A75"/>
    <w:rsid w:val="00561146"/>
    <w:rsid w:val="005612E3"/>
    <w:rsid w:val="00561846"/>
    <w:rsid w:val="00561D51"/>
    <w:rsid w:val="00561DE4"/>
    <w:rsid w:val="00561E71"/>
    <w:rsid w:val="00562278"/>
    <w:rsid w:val="00564885"/>
    <w:rsid w:val="00564B1C"/>
    <w:rsid w:val="0056578A"/>
    <w:rsid w:val="00565E1B"/>
    <w:rsid w:val="00566100"/>
    <w:rsid w:val="00567398"/>
    <w:rsid w:val="0056769E"/>
    <w:rsid w:val="00567BAC"/>
    <w:rsid w:val="00567E06"/>
    <w:rsid w:val="00567ED1"/>
    <w:rsid w:val="00567F37"/>
    <w:rsid w:val="00570260"/>
    <w:rsid w:val="00570A34"/>
    <w:rsid w:val="00570C5E"/>
    <w:rsid w:val="00570DD4"/>
    <w:rsid w:val="00570FEF"/>
    <w:rsid w:val="0057103F"/>
    <w:rsid w:val="005712E9"/>
    <w:rsid w:val="0057130F"/>
    <w:rsid w:val="00571EF9"/>
    <w:rsid w:val="005721F8"/>
    <w:rsid w:val="005722AD"/>
    <w:rsid w:val="00572C02"/>
    <w:rsid w:val="00573134"/>
    <w:rsid w:val="0057327D"/>
    <w:rsid w:val="00573900"/>
    <w:rsid w:val="00573D6F"/>
    <w:rsid w:val="00573DBB"/>
    <w:rsid w:val="0057415C"/>
    <w:rsid w:val="00575491"/>
    <w:rsid w:val="00575E64"/>
    <w:rsid w:val="00575FD9"/>
    <w:rsid w:val="0057658F"/>
    <w:rsid w:val="00576737"/>
    <w:rsid w:val="0057692E"/>
    <w:rsid w:val="00576CF9"/>
    <w:rsid w:val="00577D17"/>
    <w:rsid w:val="0058047D"/>
    <w:rsid w:val="00580569"/>
    <w:rsid w:val="00580810"/>
    <w:rsid w:val="00580ADC"/>
    <w:rsid w:val="00580AEF"/>
    <w:rsid w:val="00580B16"/>
    <w:rsid w:val="00580C9B"/>
    <w:rsid w:val="0058166F"/>
    <w:rsid w:val="00581797"/>
    <w:rsid w:val="00581C5F"/>
    <w:rsid w:val="00581C98"/>
    <w:rsid w:val="00582A01"/>
    <w:rsid w:val="00582D51"/>
    <w:rsid w:val="00582F14"/>
    <w:rsid w:val="005830F3"/>
    <w:rsid w:val="005831BF"/>
    <w:rsid w:val="0058327D"/>
    <w:rsid w:val="005837A0"/>
    <w:rsid w:val="00583A52"/>
    <w:rsid w:val="00585B78"/>
    <w:rsid w:val="00585DA5"/>
    <w:rsid w:val="00586540"/>
    <w:rsid w:val="00586CBB"/>
    <w:rsid w:val="00587BE0"/>
    <w:rsid w:val="00587C1F"/>
    <w:rsid w:val="0059016E"/>
    <w:rsid w:val="00591BF6"/>
    <w:rsid w:val="00592060"/>
    <w:rsid w:val="005922C2"/>
    <w:rsid w:val="005926FD"/>
    <w:rsid w:val="00592C25"/>
    <w:rsid w:val="0059376D"/>
    <w:rsid w:val="00593926"/>
    <w:rsid w:val="0059396C"/>
    <w:rsid w:val="00593BF3"/>
    <w:rsid w:val="00593CD6"/>
    <w:rsid w:val="00593ECD"/>
    <w:rsid w:val="0059488F"/>
    <w:rsid w:val="005948F7"/>
    <w:rsid w:val="00594AAF"/>
    <w:rsid w:val="00594DC3"/>
    <w:rsid w:val="005953A4"/>
    <w:rsid w:val="005953CF"/>
    <w:rsid w:val="00595440"/>
    <w:rsid w:val="00595803"/>
    <w:rsid w:val="00596009"/>
    <w:rsid w:val="0059664E"/>
    <w:rsid w:val="005967E5"/>
    <w:rsid w:val="00597A75"/>
    <w:rsid w:val="00597D1C"/>
    <w:rsid w:val="00597E8F"/>
    <w:rsid w:val="005A013D"/>
    <w:rsid w:val="005A0497"/>
    <w:rsid w:val="005A0814"/>
    <w:rsid w:val="005A0B56"/>
    <w:rsid w:val="005A11B5"/>
    <w:rsid w:val="005A1582"/>
    <w:rsid w:val="005A296C"/>
    <w:rsid w:val="005A2D0A"/>
    <w:rsid w:val="005A3891"/>
    <w:rsid w:val="005A3DB0"/>
    <w:rsid w:val="005A447A"/>
    <w:rsid w:val="005A44C3"/>
    <w:rsid w:val="005A4B2E"/>
    <w:rsid w:val="005A54E2"/>
    <w:rsid w:val="005A567A"/>
    <w:rsid w:val="005A59F4"/>
    <w:rsid w:val="005A5A4B"/>
    <w:rsid w:val="005A5F9F"/>
    <w:rsid w:val="005A6718"/>
    <w:rsid w:val="005A6754"/>
    <w:rsid w:val="005A6DB0"/>
    <w:rsid w:val="005A794E"/>
    <w:rsid w:val="005A7D77"/>
    <w:rsid w:val="005B0583"/>
    <w:rsid w:val="005B05FF"/>
    <w:rsid w:val="005B0F75"/>
    <w:rsid w:val="005B0FC2"/>
    <w:rsid w:val="005B11B2"/>
    <w:rsid w:val="005B12B3"/>
    <w:rsid w:val="005B205F"/>
    <w:rsid w:val="005B261D"/>
    <w:rsid w:val="005B2819"/>
    <w:rsid w:val="005B2A0A"/>
    <w:rsid w:val="005B3182"/>
    <w:rsid w:val="005B339E"/>
    <w:rsid w:val="005B34F5"/>
    <w:rsid w:val="005B36BE"/>
    <w:rsid w:val="005B3C2F"/>
    <w:rsid w:val="005B3EF4"/>
    <w:rsid w:val="005B473C"/>
    <w:rsid w:val="005B4945"/>
    <w:rsid w:val="005B4F53"/>
    <w:rsid w:val="005B593D"/>
    <w:rsid w:val="005B5E52"/>
    <w:rsid w:val="005B6491"/>
    <w:rsid w:val="005B6F1C"/>
    <w:rsid w:val="005B70BA"/>
    <w:rsid w:val="005B733E"/>
    <w:rsid w:val="005B7C8D"/>
    <w:rsid w:val="005B7FAC"/>
    <w:rsid w:val="005C001B"/>
    <w:rsid w:val="005C071C"/>
    <w:rsid w:val="005C08C0"/>
    <w:rsid w:val="005C09F1"/>
    <w:rsid w:val="005C0BB3"/>
    <w:rsid w:val="005C0FA6"/>
    <w:rsid w:val="005C1D64"/>
    <w:rsid w:val="005C1F87"/>
    <w:rsid w:val="005C2804"/>
    <w:rsid w:val="005C2E9F"/>
    <w:rsid w:val="005C333F"/>
    <w:rsid w:val="005C339D"/>
    <w:rsid w:val="005C344B"/>
    <w:rsid w:val="005C3672"/>
    <w:rsid w:val="005C36B9"/>
    <w:rsid w:val="005C3D57"/>
    <w:rsid w:val="005C48A3"/>
    <w:rsid w:val="005C5CAA"/>
    <w:rsid w:val="005C5EFF"/>
    <w:rsid w:val="005C5F37"/>
    <w:rsid w:val="005C5FA1"/>
    <w:rsid w:val="005C65B2"/>
    <w:rsid w:val="005C695D"/>
    <w:rsid w:val="005C7517"/>
    <w:rsid w:val="005C7876"/>
    <w:rsid w:val="005C7B28"/>
    <w:rsid w:val="005C7B7D"/>
    <w:rsid w:val="005C7E69"/>
    <w:rsid w:val="005D026B"/>
    <w:rsid w:val="005D081D"/>
    <w:rsid w:val="005D0901"/>
    <w:rsid w:val="005D13D6"/>
    <w:rsid w:val="005D19D2"/>
    <w:rsid w:val="005D19F2"/>
    <w:rsid w:val="005D1B7F"/>
    <w:rsid w:val="005D2623"/>
    <w:rsid w:val="005D27B1"/>
    <w:rsid w:val="005D3012"/>
    <w:rsid w:val="005D383C"/>
    <w:rsid w:val="005D3D3E"/>
    <w:rsid w:val="005D3E73"/>
    <w:rsid w:val="005D41E4"/>
    <w:rsid w:val="005D4F16"/>
    <w:rsid w:val="005D4FD1"/>
    <w:rsid w:val="005D5956"/>
    <w:rsid w:val="005D6093"/>
    <w:rsid w:val="005D70CD"/>
    <w:rsid w:val="005D725D"/>
    <w:rsid w:val="005D7891"/>
    <w:rsid w:val="005D7EEF"/>
    <w:rsid w:val="005E07DC"/>
    <w:rsid w:val="005E0B9E"/>
    <w:rsid w:val="005E0D24"/>
    <w:rsid w:val="005E0DF5"/>
    <w:rsid w:val="005E11C0"/>
    <w:rsid w:val="005E1826"/>
    <w:rsid w:val="005E1918"/>
    <w:rsid w:val="005E1D7E"/>
    <w:rsid w:val="005E2696"/>
    <w:rsid w:val="005E27A2"/>
    <w:rsid w:val="005E29B9"/>
    <w:rsid w:val="005E2C9D"/>
    <w:rsid w:val="005E37BA"/>
    <w:rsid w:val="005E3C4C"/>
    <w:rsid w:val="005E3F2F"/>
    <w:rsid w:val="005E3FDE"/>
    <w:rsid w:val="005E4083"/>
    <w:rsid w:val="005E432A"/>
    <w:rsid w:val="005E44E4"/>
    <w:rsid w:val="005E4A87"/>
    <w:rsid w:val="005E4BF3"/>
    <w:rsid w:val="005E588C"/>
    <w:rsid w:val="005E58A8"/>
    <w:rsid w:val="005E616A"/>
    <w:rsid w:val="005E64C6"/>
    <w:rsid w:val="005E6578"/>
    <w:rsid w:val="005E6CCF"/>
    <w:rsid w:val="005E7894"/>
    <w:rsid w:val="005E7BA7"/>
    <w:rsid w:val="005F0271"/>
    <w:rsid w:val="005F0EEA"/>
    <w:rsid w:val="005F0EFE"/>
    <w:rsid w:val="005F17A4"/>
    <w:rsid w:val="005F2427"/>
    <w:rsid w:val="005F2C49"/>
    <w:rsid w:val="005F2D62"/>
    <w:rsid w:val="005F43FD"/>
    <w:rsid w:val="005F44C9"/>
    <w:rsid w:val="005F460D"/>
    <w:rsid w:val="005F4EB8"/>
    <w:rsid w:val="005F5201"/>
    <w:rsid w:val="005F53FC"/>
    <w:rsid w:val="005F58D2"/>
    <w:rsid w:val="005F5D20"/>
    <w:rsid w:val="005F5FD6"/>
    <w:rsid w:val="005F6502"/>
    <w:rsid w:val="005F6B34"/>
    <w:rsid w:val="005F6F02"/>
    <w:rsid w:val="005F714D"/>
    <w:rsid w:val="005F72FA"/>
    <w:rsid w:val="005F7547"/>
    <w:rsid w:val="005F7764"/>
    <w:rsid w:val="005F7B24"/>
    <w:rsid w:val="00600518"/>
    <w:rsid w:val="006008B4"/>
    <w:rsid w:val="00600B42"/>
    <w:rsid w:val="00600EC9"/>
    <w:rsid w:val="00600FE9"/>
    <w:rsid w:val="00602173"/>
    <w:rsid w:val="006022C3"/>
    <w:rsid w:val="00602357"/>
    <w:rsid w:val="0060282D"/>
    <w:rsid w:val="00602852"/>
    <w:rsid w:val="00602A26"/>
    <w:rsid w:val="00602B89"/>
    <w:rsid w:val="006035C8"/>
    <w:rsid w:val="006037C4"/>
    <w:rsid w:val="00603A51"/>
    <w:rsid w:val="0060416A"/>
    <w:rsid w:val="00604708"/>
    <w:rsid w:val="006047E2"/>
    <w:rsid w:val="006048F7"/>
    <w:rsid w:val="00604D62"/>
    <w:rsid w:val="00604ED2"/>
    <w:rsid w:val="00604F52"/>
    <w:rsid w:val="00605CB7"/>
    <w:rsid w:val="00605CC7"/>
    <w:rsid w:val="00605E94"/>
    <w:rsid w:val="006062C0"/>
    <w:rsid w:val="006068AF"/>
    <w:rsid w:val="00606D61"/>
    <w:rsid w:val="00607096"/>
    <w:rsid w:val="006078E6"/>
    <w:rsid w:val="0060790F"/>
    <w:rsid w:val="00607DFB"/>
    <w:rsid w:val="00607E75"/>
    <w:rsid w:val="00607FD5"/>
    <w:rsid w:val="00610240"/>
    <w:rsid w:val="006102C6"/>
    <w:rsid w:val="006108F4"/>
    <w:rsid w:val="00610A7A"/>
    <w:rsid w:val="0061130F"/>
    <w:rsid w:val="00611A3E"/>
    <w:rsid w:val="00611D9C"/>
    <w:rsid w:val="00611FC7"/>
    <w:rsid w:val="0061267A"/>
    <w:rsid w:val="00612AA2"/>
    <w:rsid w:val="006132C2"/>
    <w:rsid w:val="00614403"/>
    <w:rsid w:val="00614737"/>
    <w:rsid w:val="00614822"/>
    <w:rsid w:val="00614A58"/>
    <w:rsid w:val="00614D62"/>
    <w:rsid w:val="00614F43"/>
    <w:rsid w:val="006156CA"/>
    <w:rsid w:val="0061583D"/>
    <w:rsid w:val="00617092"/>
    <w:rsid w:val="00617629"/>
    <w:rsid w:val="00617AB1"/>
    <w:rsid w:val="00620089"/>
    <w:rsid w:val="006203FD"/>
    <w:rsid w:val="00620A2A"/>
    <w:rsid w:val="00620C6C"/>
    <w:rsid w:val="00620D6A"/>
    <w:rsid w:val="00621B31"/>
    <w:rsid w:val="00621D6C"/>
    <w:rsid w:val="00622D85"/>
    <w:rsid w:val="00622E14"/>
    <w:rsid w:val="00622FBC"/>
    <w:rsid w:val="00623548"/>
    <w:rsid w:val="00623736"/>
    <w:rsid w:val="006239E9"/>
    <w:rsid w:val="00623BE8"/>
    <w:rsid w:val="0062417B"/>
    <w:rsid w:val="006248A6"/>
    <w:rsid w:val="00624943"/>
    <w:rsid w:val="00624A22"/>
    <w:rsid w:val="00624D4D"/>
    <w:rsid w:val="00626565"/>
    <w:rsid w:val="0062698B"/>
    <w:rsid w:val="00626A09"/>
    <w:rsid w:val="00626AAC"/>
    <w:rsid w:val="00626B7D"/>
    <w:rsid w:val="00626C74"/>
    <w:rsid w:val="00627101"/>
    <w:rsid w:val="00627253"/>
    <w:rsid w:val="00627E6B"/>
    <w:rsid w:val="006304A0"/>
    <w:rsid w:val="00630E33"/>
    <w:rsid w:val="00630F1A"/>
    <w:rsid w:val="00631077"/>
    <w:rsid w:val="00631086"/>
    <w:rsid w:val="00631476"/>
    <w:rsid w:val="00632BB9"/>
    <w:rsid w:val="00632CBA"/>
    <w:rsid w:val="00632D30"/>
    <w:rsid w:val="00632D5D"/>
    <w:rsid w:val="00633232"/>
    <w:rsid w:val="00633247"/>
    <w:rsid w:val="00633927"/>
    <w:rsid w:val="006339EE"/>
    <w:rsid w:val="00633D1A"/>
    <w:rsid w:val="00634161"/>
    <w:rsid w:val="00634E39"/>
    <w:rsid w:val="00635E73"/>
    <w:rsid w:val="006361A6"/>
    <w:rsid w:val="00636666"/>
    <w:rsid w:val="006366E2"/>
    <w:rsid w:val="00636A31"/>
    <w:rsid w:val="00636DFD"/>
    <w:rsid w:val="006371C7"/>
    <w:rsid w:val="006375CC"/>
    <w:rsid w:val="00637648"/>
    <w:rsid w:val="00637BC3"/>
    <w:rsid w:val="00637E03"/>
    <w:rsid w:val="00637E7A"/>
    <w:rsid w:val="0064009C"/>
    <w:rsid w:val="00640167"/>
    <w:rsid w:val="00640B39"/>
    <w:rsid w:val="00641B11"/>
    <w:rsid w:val="00641ED3"/>
    <w:rsid w:val="006421FE"/>
    <w:rsid w:val="00642520"/>
    <w:rsid w:val="006428F8"/>
    <w:rsid w:val="00642AD9"/>
    <w:rsid w:val="0064336D"/>
    <w:rsid w:val="006438DC"/>
    <w:rsid w:val="006439CC"/>
    <w:rsid w:val="00643B14"/>
    <w:rsid w:val="00643C8E"/>
    <w:rsid w:val="00643D81"/>
    <w:rsid w:val="00644537"/>
    <w:rsid w:val="00644BA7"/>
    <w:rsid w:val="00644D6E"/>
    <w:rsid w:val="006453F4"/>
    <w:rsid w:val="0064574D"/>
    <w:rsid w:val="00645C09"/>
    <w:rsid w:val="006467F8"/>
    <w:rsid w:val="00646958"/>
    <w:rsid w:val="006469BA"/>
    <w:rsid w:val="006469F2"/>
    <w:rsid w:val="00646BDC"/>
    <w:rsid w:val="00646EBF"/>
    <w:rsid w:val="00647112"/>
    <w:rsid w:val="006474FC"/>
    <w:rsid w:val="006476CA"/>
    <w:rsid w:val="00647755"/>
    <w:rsid w:val="0065010E"/>
    <w:rsid w:val="0065027F"/>
    <w:rsid w:val="00650647"/>
    <w:rsid w:val="00650755"/>
    <w:rsid w:val="00650F59"/>
    <w:rsid w:val="0065114D"/>
    <w:rsid w:val="0065137E"/>
    <w:rsid w:val="00651917"/>
    <w:rsid w:val="00651918"/>
    <w:rsid w:val="0065198C"/>
    <w:rsid w:val="00651EBD"/>
    <w:rsid w:val="006525AD"/>
    <w:rsid w:val="00652698"/>
    <w:rsid w:val="006526A2"/>
    <w:rsid w:val="0065277D"/>
    <w:rsid w:val="00652888"/>
    <w:rsid w:val="00652F59"/>
    <w:rsid w:val="0065390E"/>
    <w:rsid w:val="00654094"/>
    <w:rsid w:val="006540B9"/>
    <w:rsid w:val="00654665"/>
    <w:rsid w:val="0065488B"/>
    <w:rsid w:val="006549C1"/>
    <w:rsid w:val="006550C8"/>
    <w:rsid w:val="00655229"/>
    <w:rsid w:val="006558A2"/>
    <w:rsid w:val="00655A00"/>
    <w:rsid w:val="00655B1F"/>
    <w:rsid w:val="00656202"/>
    <w:rsid w:val="00656612"/>
    <w:rsid w:val="006569C7"/>
    <w:rsid w:val="00656A9A"/>
    <w:rsid w:val="00656DAA"/>
    <w:rsid w:val="00656EDF"/>
    <w:rsid w:val="00657A73"/>
    <w:rsid w:val="00657AF9"/>
    <w:rsid w:val="00657F63"/>
    <w:rsid w:val="00660613"/>
    <w:rsid w:val="00660697"/>
    <w:rsid w:val="006609AC"/>
    <w:rsid w:val="00660D53"/>
    <w:rsid w:val="00660E00"/>
    <w:rsid w:val="00660EB1"/>
    <w:rsid w:val="00660FE8"/>
    <w:rsid w:val="00661042"/>
    <w:rsid w:val="006611C9"/>
    <w:rsid w:val="006618AD"/>
    <w:rsid w:val="00662443"/>
    <w:rsid w:val="00662B86"/>
    <w:rsid w:val="00662CC2"/>
    <w:rsid w:val="0066350B"/>
    <w:rsid w:val="006642FC"/>
    <w:rsid w:val="006646A8"/>
    <w:rsid w:val="00664732"/>
    <w:rsid w:val="006649A1"/>
    <w:rsid w:val="00664B4D"/>
    <w:rsid w:val="00664C5C"/>
    <w:rsid w:val="006657C8"/>
    <w:rsid w:val="006657D8"/>
    <w:rsid w:val="00666C56"/>
    <w:rsid w:val="00666DD3"/>
    <w:rsid w:val="00667838"/>
    <w:rsid w:val="00670086"/>
    <w:rsid w:val="00670254"/>
    <w:rsid w:val="00670561"/>
    <w:rsid w:val="0067056D"/>
    <w:rsid w:val="006705C7"/>
    <w:rsid w:val="006709CF"/>
    <w:rsid w:val="00670EDF"/>
    <w:rsid w:val="00671838"/>
    <w:rsid w:val="00671E59"/>
    <w:rsid w:val="00671EB3"/>
    <w:rsid w:val="0067283A"/>
    <w:rsid w:val="00672D01"/>
    <w:rsid w:val="006736D9"/>
    <w:rsid w:val="00673817"/>
    <w:rsid w:val="006742E8"/>
    <w:rsid w:val="00674885"/>
    <w:rsid w:val="00674FD2"/>
    <w:rsid w:val="006751B4"/>
    <w:rsid w:val="0067539A"/>
    <w:rsid w:val="00676185"/>
    <w:rsid w:val="006764DC"/>
    <w:rsid w:val="006764FA"/>
    <w:rsid w:val="006771D1"/>
    <w:rsid w:val="00677CAA"/>
    <w:rsid w:val="00680520"/>
    <w:rsid w:val="0068076C"/>
    <w:rsid w:val="0068089C"/>
    <w:rsid w:val="0068167D"/>
    <w:rsid w:val="00681806"/>
    <w:rsid w:val="00681AAB"/>
    <w:rsid w:val="00681D78"/>
    <w:rsid w:val="00681FD9"/>
    <w:rsid w:val="0068256B"/>
    <w:rsid w:val="0068265B"/>
    <w:rsid w:val="006826D1"/>
    <w:rsid w:val="00682CFE"/>
    <w:rsid w:val="00682DCB"/>
    <w:rsid w:val="00682EFD"/>
    <w:rsid w:val="00682FEA"/>
    <w:rsid w:val="00683445"/>
    <w:rsid w:val="006835AB"/>
    <w:rsid w:val="006838E4"/>
    <w:rsid w:val="0068399D"/>
    <w:rsid w:val="00683E75"/>
    <w:rsid w:val="006842AA"/>
    <w:rsid w:val="006845AB"/>
    <w:rsid w:val="006848DF"/>
    <w:rsid w:val="00684C96"/>
    <w:rsid w:val="00684C9D"/>
    <w:rsid w:val="00685318"/>
    <w:rsid w:val="006861AE"/>
    <w:rsid w:val="00686311"/>
    <w:rsid w:val="0068694B"/>
    <w:rsid w:val="006869A9"/>
    <w:rsid w:val="00686A17"/>
    <w:rsid w:val="00686C0B"/>
    <w:rsid w:val="00686CD7"/>
    <w:rsid w:val="00686F5C"/>
    <w:rsid w:val="00690768"/>
    <w:rsid w:val="00690A9B"/>
    <w:rsid w:val="00690D6D"/>
    <w:rsid w:val="00690DB7"/>
    <w:rsid w:val="00691013"/>
    <w:rsid w:val="0069101B"/>
    <w:rsid w:val="006910A1"/>
    <w:rsid w:val="0069198A"/>
    <w:rsid w:val="00691A0C"/>
    <w:rsid w:val="00691BC2"/>
    <w:rsid w:val="006926A3"/>
    <w:rsid w:val="006928E6"/>
    <w:rsid w:val="006931BA"/>
    <w:rsid w:val="006932E4"/>
    <w:rsid w:val="0069330C"/>
    <w:rsid w:val="00693381"/>
    <w:rsid w:val="006934C4"/>
    <w:rsid w:val="0069365B"/>
    <w:rsid w:val="00693B8B"/>
    <w:rsid w:val="00693CD8"/>
    <w:rsid w:val="00693D10"/>
    <w:rsid w:val="00693E48"/>
    <w:rsid w:val="006941A7"/>
    <w:rsid w:val="006947F4"/>
    <w:rsid w:val="00694830"/>
    <w:rsid w:val="00694C57"/>
    <w:rsid w:val="00694D2D"/>
    <w:rsid w:val="00694F4D"/>
    <w:rsid w:val="00694F4F"/>
    <w:rsid w:val="006951D1"/>
    <w:rsid w:val="006955CD"/>
    <w:rsid w:val="006958A1"/>
    <w:rsid w:val="0069617B"/>
    <w:rsid w:val="0069648B"/>
    <w:rsid w:val="006968D2"/>
    <w:rsid w:val="00696D63"/>
    <w:rsid w:val="00696ED4"/>
    <w:rsid w:val="006971AA"/>
    <w:rsid w:val="006979D6"/>
    <w:rsid w:val="00697FCF"/>
    <w:rsid w:val="006A04D0"/>
    <w:rsid w:val="006A04EC"/>
    <w:rsid w:val="006A0527"/>
    <w:rsid w:val="006A0A43"/>
    <w:rsid w:val="006A0BD0"/>
    <w:rsid w:val="006A0D07"/>
    <w:rsid w:val="006A0F9A"/>
    <w:rsid w:val="006A12C8"/>
    <w:rsid w:val="006A1477"/>
    <w:rsid w:val="006A168C"/>
    <w:rsid w:val="006A1AF7"/>
    <w:rsid w:val="006A1D66"/>
    <w:rsid w:val="006A2193"/>
    <w:rsid w:val="006A26AB"/>
    <w:rsid w:val="006A26F0"/>
    <w:rsid w:val="006A38EF"/>
    <w:rsid w:val="006A4EA8"/>
    <w:rsid w:val="006A506D"/>
    <w:rsid w:val="006A50F4"/>
    <w:rsid w:val="006A5363"/>
    <w:rsid w:val="006A5F51"/>
    <w:rsid w:val="006A60D8"/>
    <w:rsid w:val="006A69D4"/>
    <w:rsid w:val="006A6CCB"/>
    <w:rsid w:val="006A7512"/>
    <w:rsid w:val="006A7B7E"/>
    <w:rsid w:val="006A7FA1"/>
    <w:rsid w:val="006B0039"/>
    <w:rsid w:val="006B0895"/>
    <w:rsid w:val="006B0A5C"/>
    <w:rsid w:val="006B0C42"/>
    <w:rsid w:val="006B0FBA"/>
    <w:rsid w:val="006B164E"/>
    <w:rsid w:val="006B16E6"/>
    <w:rsid w:val="006B1B18"/>
    <w:rsid w:val="006B1B37"/>
    <w:rsid w:val="006B1D65"/>
    <w:rsid w:val="006B1DD1"/>
    <w:rsid w:val="006B1F63"/>
    <w:rsid w:val="006B223A"/>
    <w:rsid w:val="006B2322"/>
    <w:rsid w:val="006B2481"/>
    <w:rsid w:val="006B3074"/>
    <w:rsid w:val="006B31CF"/>
    <w:rsid w:val="006B3487"/>
    <w:rsid w:val="006B3D63"/>
    <w:rsid w:val="006B4280"/>
    <w:rsid w:val="006B437E"/>
    <w:rsid w:val="006B48A2"/>
    <w:rsid w:val="006B52FE"/>
    <w:rsid w:val="006B5CA4"/>
    <w:rsid w:val="006B628E"/>
    <w:rsid w:val="006B6A7F"/>
    <w:rsid w:val="006B6AFC"/>
    <w:rsid w:val="006B701E"/>
    <w:rsid w:val="006B75E6"/>
    <w:rsid w:val="006B774C"/>
    <w:rsid w:val="006B7FDB"/>
    <w:rsid w:val="006C01F8"/>
    <w:rsid w:val="006C0DA7"/>
    <w:rsid w:val="006C0E50"/>
    <w:rsid w:val="006C0EF8"/>
    <w:rsid w:val="006C1177"/>
    <w:rsid w:val="006C162E"/>
    <w:rsid w:val="006C24BD"/>
    <w:rsid w:val="006C2ABF"/>
    <w:rsid w:val="006C33F0"/>
    <w:rsid w:val="006C3826"/>
    <w:rsid w:val="006C3C2B"/>
    <w:rsid w:val="006C45D0"/>
    <w:rsid w:val="006C48A8"/>
    <w:rsid w:val="006C4DBB"/>
    <w:rsid w:val="006C4E69"/>
    <w:rsid w:val="006C58F3"/>
    <w:rsid w:val="006C5E91"/>
    <w:rsid w:val="006C61A0"/>
    <w:rsid w:val="006C6281"/>
    <w:rsid w:val="006C66A3"/>
    <w:rsid w:val="006C6880"/>
    <w:rsid w:val="006C7126"/>
    <w:rsid w:val="006C7136"/>
    <w:rsid w:val="006C7293"/>
    <w:rsid w:val="006D07EA"/>
    <w:rsid w:val="006D0CBC"/>
    <w:rsid w:val="006D0F1C"/>
    <w:rsid w:val="006D11A8"/>
    <w:rsid w:val="006D14AE"/>
    <w:rsid w:val="006D1B44"/>
    <w:rsid w:val="006D1D1E"/>
    <w:rsid w:val="006D1E58"/>
    <w:rsid w:val="006D26B6"/>
    <w:rsid w:val="006D277A"/>
    <w:rsid w:val="006D2A65"/>
    <w:rsid w:val="006D2D7B"/>
    <w:rsid w:val="006D3364"/>
    <w:rsid w:val="006D3BB3"/>
    <w:rsid w:val="006D473D"/>
    <w:rsid w:val="006D5818"/>
    <w:rsid w:val="006D583F"/>
    <w:rsid w:val="006D5A94"/>
    <w:rsid w:val="006D5D8D"/>
    <w:rsid w:val="006D6199"/>
    <w:rsid w:val="006D620C"/>
    <w:rsid w:val="006D647C"/>
    <w:rsid w:val="006D6523"/>
    <w:rsid w:val="006D6713"/>
    <w:rsid w:val="006D69C9"/>
    <w:rsid w:val="006D6ABC"/>
    <w:rsid w:val="006D70EA"/>
    <w:rsid w:val="006D7B7A"/>
    <w:rsid w:val="006E0814"/>
    <w:rsid w:val="006E0977"/>
    <w:rsid w:val="006E0E38"/>
    <w:rsid w:val="006E0EA7"/>
    <w:rsid w:val="006E0F9A"/>
    <w:rsid w:val="006E1294"/>
    <w:rsid w:val="006E12A9"/>
    <w:rsid w:val="006E19F1"/>
    <w:rsid w:val="006E1B81"/>
    <w:rsid w:val="006E2058"/>
    <w:rsid w:val="006E2486"/>
    <w:rsid w:val="006E2DB2"/>
    <w:rsid w:val="006E30CE"/>
    <w:rsid w:val="006E3306"/>
    <w:rsid w:val="006E36AD"/>
    <w:rsid w:val="006E3823"/>
    <w:rsid w:val="006E4536"/>
    <w:rsid w:val="006E4588"/>
    <w:rsid w:val="006E4990"/>
    <w:rsid w:val="006E4FEB"/>
    <w:rsid w:val="006E50DF"/>
    <w:rsid w:val="006E5CAB"/>
    <w:rsid w:val="006E5DAF"/>
    <w:rsid w:val="006E742A"/>
    <w:rsid w:val="006E79F5"/>
    <w:rsid w:val="006E7CD4"/>
    <w:rsid w:val="006E7F03"/>
    <w:rsid w:val="006E7F50"/>
    <w:rsid w:val="006F05C3"/>
    <w:rsid w:val="006F0759"/>
    <w:rsid w:val="006F0779"/>
    <w:rsid w:val="006F12CD"/>
    <w:rsid w:val="006F12DE"/>
    <w:rsid w:val="006F1D77"/>
    <w:rsid w:val="006F1F60"/>
    <w:rsid w:val="006F2A55"/>
    <w:rsid w:val="006F2A83"/>
    <w:rsid w:val="006F3342"/>
    <w:rsid w:val="006F3A02"/>
    <w:rsid w:val="006F3F75"/>
    <w:rsid w:val="006F585C"/>
    <w:rsid w:val="006F5937"/>
    <w:rsid w:val="006F5CAF"/>
    <w:rsid w:val="006F5E63"/>
    <w:rsid w:val="006F6304"/>
    <w:rsid w:val="006F6404"/>
    <w:rsid w:val="006F6434"/>
    <w:rsid w:val="006F658C"/>
    <w:rsid w:val="006F66B9"/>
    <w:rsid w:val="006F6792"/>
    <w:rsid w:val="006F6814"/>
    <w:rsid w:val="006F6EA6"/>
    <w:rsid w:val="006F77D0"/>
    <w:rsid w:val="006F7948"/>
    <w:rsid w:val="006F7A2E"/>
    <w:rsid w:val="0070019A"/>
    <w:rsid w:val="0070027C"/>
    <w:rsid w:val="007003D2"/>
    <w:rsid w:val="00700579"/>
    <w:rsid w:val="007009C8"/>
    <w:rsid w:val="00700AEA"/>
    <w:rsid w:val="00700BBF"/>
    <w:rsid w:val="00700FA7"/>
    <w:rsid w:val="00701725"/>
    <w:rsid w:val="007017B1"/>
    <w:rsid w:val="0070181C"/>
    <w:rsid w:val="00701F3C"/>
    <w:rsid w:val="0070212F"/>
    <w:rsid w:val="007021DE"/>
    <w:rsid w:val="0070251C"/>
    <w:rsid w:val="00702588"/>
    <w:rsid w:val="007037E9"/>
    <w:rsid w:val="00703B19"/>
    <w:rsid w:val="007040C5"/>
    <w:rsid w:val="00704211"/>
    <w:rsid w:val="00704280"/>
    <w:rsid w:val="007045BA"/>
    <w:rsid w:val="0070484B"/>
    <w:rsid w:val="00704A0C"/>
    <w:rsid w:val="0070521A"/>
    <w:rsid w:val="0070537E"/>
    <w:rsid w:val="007056EC"/>
    <w:rsid w:val="007057AE"/>
    <w:rsid w:val="007057E6"/>
    <w:rsid w:val="00705AB7"/>
    <w:rsid w:val="007061EB"/>
    <w:rsid w:val="00706243"/>
    <w:rsid w:val="0070633D"/>
    <w:rsid w:val="00706849"/>
    <w:rsid w:val="00706EC7"/>
    <w:rsid w:val="007070F2"/>
    <w:rsid w:val="007072CB"/>
    <w:rsid w:val="00707793"/>
    <w:rsid w:val="00710597"/>
    <w:rsid w:val="007109F2"/>
    <w:rsid w:val="00710C85"/>
    <w:rsid w:val="00711057"/>
    <w:rsid w:val="0071134D"/>
    <w:rsid w:val="00711F2B"/>
    <w:rsid w:val="0071267F"/>
    <w:rsid w:val="00712922"/>
    <w:rsid w:val="00712B0A"/>
    <w:rsid w:val="00712E5E"/>
    <w:rsid w:val="007130F4"/>
    <w:rsid w:val="007131C3"/>
    <w:rsid w:val="0071336A"/>
    <w:rsid w:val="00713471"/>
    <w:rsid w:val="00713D31"/>
    <w:rsid w:val="00714399"/>
    <w:rsid w:val="00714A42"/>
    <w:rsid w:val="00714ADE"/>
    <w:rsid w:val="00714C20"/>
    <w:rsid w:val="0071530F"/>
    <w:rsid w:val="007154AD"/>
    <w:rsid w:val="007156D3"/>
    <w:rsid w:val="00715C85"/>
    <w:rsid w:val="00716080"/>
    <w:rsid w:val="00716614"/>
    <w:rsid w:val="00716717"/>
    <w:rsid w:val="0071721C"/>
    <w:rsid w:val="007172D6"/>
    <w:rsid w:val="00720675"/>
    <w:rsid w:val="00720708"/>
    <w:rsid w:val="00720CB3"/>
    <w:rsid w:val="00720E35"/>
    <w:rsid w:val="00720F65"/>
    <w:rsid w:val="00721360"/>
    <w:rsid w:val="00721A15"/>
    <w:rsid w:val="00721FB5"/>
    <w:rsid w:val="00722694"/>
    <w:rsid w:val="007226EC"/>
    <w:rsid w:val="00722990"/>
    <w:rsid w:val="00722B2D"/>
    <w:rsid w:val="00722EB6"/>
    <w:rsid w:val="0072368D"/>
    <w:rsid w:val="00724845"/>
    <w:rsid w:val="00724C9F"/>
    <w:rsid w:val="00724CDA"/>
    <w:rsid w:val="007251C3"/>
    <w:rsid w:val="00725518"/>
    <w:rsid w:val="0072598D"/>
    <w:rsid w:val="00725ADB"/>
    <w:rsid w:val="00725CA1"/>
    <w:rsid w:val="007264D4"/>
    <w:rsid w:val="00726503"/>
    <w:rsid w:val="00726564"/>
    <w:rsid w:val="00727848"/>
    <w:rsid w:val="007279EB"/>
    <w:rsid w:val="00727BF9"/>
    <w:rsid w:val="00727E26"/>
    <w:rsid w:val="00730213"/>
    <w:rsid w:val="00731902"/>
    <w:rsid w:val="00731C1E"/>
    <w:rsid w:val="00731D9B"/>
    <w:rsid w:val="00732BCC"/>
    <w:rsid w:val="00732C56"/>
    <w:rsid w:val="00732C9E"/>
    <w:rsid w:val="00732F89"/>
    <w:rsid w:val="007331A9"/>
    <w:rsid w:val="00733296"/>
    <w:rsid w:val="00733844"/>
    <w:rsid w:val="00733918"/>
    <w:rsid w:val="007341BF"/>
    <w:rsid w:val="00734214"/>
    <w:rsid w:val="007348E1"/>
    <w:rsid w:val="00735BE8"/>
    <w:rsid w:val="00735F21"/>
    <w:rsid w:val="007362F7"/>
    <w:rsid w:val="007364CC"/>
    <w:rsid w:val="00736556"/>
    <w:rsid w:val="00736590"/>
    <w:rsid w:val="00736B5B"/>
    <w:rsid w:val="0073721E"/>
    <w:rsid w:val="00737A0D"/>
    <w:rsid w:val="00737B8F"/>
    <w:rsid w:val="007400FE"/>
    <w:rsid w:val="00740410"/>
    <w:rsid w:val="00740550"/>
    <w:rsid w:val="00740BD9"/>
    <w:rsid w:val="00740FDA"/>
    <w:rsid w:val="00741164"/>
    <w:rsid w:val="00741289"/>
    <w:rsid w:val="00741945"/>
    <w:rsid w:val="00741AB0"/>
    <w:rsid w:val="0074263A"/>
    <w:rsid w:val="00742972"/>
    <w:rsid w:val="00743C2A"/>
    <w:rsid w:val="00744087"/>
    <w:rsid w:val="0074411A"/>
    <w:rsid w:val="007445E5"/>
    <w:rsid w:val="00744871"/>
    <w:rsid w:val="00744873"/>
    <w:rsid w:val="00744E33"/>
    <w:rsid w:val="0074522B"/>
    <w:rsid w:val="007452AF"/>
    <w:rsid w:val="00745357"/>
    <w:rsid w:val="00745659"/>
    <w:rsid w:val="007458C1"/>
    <w:rsid w:val="00745E5C"/>
    <w:rsid w:val="007465EA"/>
    <w:rsid w:val="007466CB"/>
    <w:rsid w:val="00746C84"/>
    <w:rsid w:val="00746E59"/>
    <w:rsid w:val="007473E9"/>
    <w:rsid w:val="00747F1B"/>
    <w:rsid w:val="0075041F"/>
    <w:rsid w:val="007504FD"/>
    <w:rsid w:val="00750791"/>
    <w:rsid w:val="00750A7F"/>
    <w:rsid w:val="00750A9A"/>
    <w:rsid w:val="0075144A"/>
    <w:rsid w:val="00751DBE"/>
    <w:rsid w:val="00751E6D"/>
    <w:rsid w:val="0075299E"/>
    <w:rsid w:val="00752A5F"/>
    <w:rsid w:val="00752C77"/>
    <w:rsid w:val="00752E84"/>
    <w:rsid w:val="00752EB2"/>
    <w:rsid w:val="00752F6A"/>
    <w:rsid w:val="0075313C"/>
    <w:rsid w:val="00753214"/>
    <w:rsid w:val="007532F9"/>
    <w:rsid w:val="00753B67"/>
    <w:rsid w:val="00754030"/>
    <w:rsid w:val="00754299"/>
    <w:rsid w:val="00754985"/>
    <w:rsid w:val="00754C3E"/>
    <w:rsid w:val="00755DF0"/>
    <w:rsid w:val="00755F16"/>
    <w:rsid w:val="0075612E"/>
    <w:rsid w:val="007568B9"/>
    <w:rsid w:val="00756F14"/>
    <w:rsid w:val="007572CE"/>
    <w:rsid w:val="00757384"/>
    <w:rsid w:val="0075754E"/>
    <w:rsid w:val="00757F90"/>
    <w:rsid w:val="00757FA4"/>
    <w:rsid w:val="00757FB5"/>
    <w:rsid w:val="0076076E"/>
    <w:rsid w:val="0076125E"/>
    <w:rsid w:val="00761CEF"/>
    <w:rsid w:val="0076232E"/>
    <w:rsid w:val="00762452"/>
    <w:rsid w:val="00762618"/>
    <w:rsid w:val="00762855"/>
    <w:rsid w:val="00762BF3"/>
    <w:rsid w:val="00762C5C"/>
    <w:rsid w:val="00763609"/>
    <w:rsid w:val="007638F4"/>
    <w:rsid w:val="00763973"/>
    <w:rsid w:val="00763F45"/>
    <w:rsid w:val="007651BD"/>
    <w:rsid w:val="007653DD"/>
    <w:rsid w:val="0076542D"/>
    <w:rsid w:val="007658DB"/>
    <w:rsid w:val="00765E49"/>
    <w:rsid w:val="007667DD"/>
    <w:rsid w:val="007667FC"/>
    <w:rsid w:val="00766810"/>
    <w:rsid w:val="007669A0"/>
    <w:rsid w:val="00766BCF"/>
    <w:rsid w:val="00766BF4"/>
    <w:rsid w:val="00766DD2"/>
    <w:rsid w:val="00766FC4"/>
    <w:rsid w:val="00766FDF"/>
    <w:rsid w:val="00767844"/>
    <w:rsid w:val="00767ACB"/>
    <w:rsid w:val="00767C34"/>
    <w:rsid w:val="00767D32"/>
    <w:rsid w:val="007705A6"/>
    <w:rsid w:val="007708C4"/>
    <w:rsid w:val="0077092D"/>
    <w:rsid w:val="00770953"/>
    <w:rsid w:val="00770CF3"/>
    <w:rsid w:val="00770EB2"/>
    <w:rsid w:val="007710A5"/>
    <w:rsid w:val="007710CD"/>
    <w:rsid w:val="00771292"/>
    <w:rsid w:val="0077157D"/>
    <w:rsid w:val="0077162E"/>
    <w:rsid w:val="007719F5"/>
    <w:rsid w:val="00771A18"/>
    <w:rsid w:val="00772202"/>
    <w:rsid w:val="00772479"/>
    <w:rsid w:val="007729EC"/>
    <w:rsid w:val="007737A0"/>
    <w:rsid w:val="00773C55"/>
    <w:rsid w:val="00773E7F"/>
    <w:rsid w:val="0077441D"/>
    <w:rsid w:val="00774CB0"/>
    <w:rsid w:val="00774ED6"/>
    <w:rsid w:val="007750D1"/>
    <w:rsid w:val="00776506"/>
    <w:rsid w:val="00776E9F"/>
    <w:rsid w:val="00777318"/>
    <w:rsid w:val="00777ADD"/>
    <w:rsid w:val="00777AE9"/>
    <w:rsid w:val="0078011C"/>
    <w:rsid w:val="0078098C"/>
    <w:rsid w:val="00780C20"/>
    <w:rsid w:val="00781DD8"/>
    <w:rsid w:val="00782242"/>
    <w:rsid w:val="0078267A"/>
    <w:rsid w:val="00782A96"/>
    <w:rsid w:val="00783064"/>
    <w:rsid w:val="00783AAE"/>
    <w:rsid w:val="00783B7C"/>
    <w:rsid w:val="00783D92"/>
    <w:rsid w:val="0078423D"/>
    <w:rsid w:val="00784C1B"/>
    <w:rsid w:val="00784D7F"/>
    <w:rsid w:val="0078531B"/>
    <w:rsid w:val="00785830"/>
    <w:rsid w:val="00786112"/>
    <w:rsid w:val="0078628E"/>
    <w:rsid w:val="00786A1A"/>
    <w:rsid w:val="00786C67"/>
    <w:rsid w:val="00786FEE"/>
    <w:rsid w:val="007879CA"/>
    <w:rsid w:val="00787A5C"/>
    <w:rsid w:val="00790236"/>
    <w:rsid w:val="00790624"/>
    <w:rsid w:val="00790C19"/>
    <w:rsid w:val="007917AB"/>
    <w:rsid w:val="00792087"/>
    <w:rsid w:val="007922D1"/>
    <w:rsid w:val="0079294F"/>
    <w:rsid w:val="00792C36"/>
    <w:rsid w:val="00792CD4"/>
    <w:rsid w:val="00793711"/>
    <w:rsid w:val="007939F2"/>
    <w:rsid w:val="00793C48"/>
    <w:rsid w:val="00793E5A"/>
    <w:rsid w:val="00794158"/>
    <w:rsid w:val="007942BC"/>
    <w:rsid w:val="00794531"/>
    <w:rsid w:val="00794885"/>
    <w:rsid w:val="007951C2"/>
    <w:rsid w:val="00795C83"/>
    <w:rsid w:val="00795C92"/>
    <w:rsid w:val="00795DC9"/>
    <w:rsid w:val="00795E21"/>
    <w:rsid w:val="00796253"/>
    <w:rsid w:val="00796BB6"/>
    <w:rsid w:val="007A038E"/>
    <w:rsid w:val="007A0785"/>
    <w:rsid w:val="007A080A"/>
    <w:rsid w:val="007A0BFC"/>
    <w:rsid w:val="007A0D00"/>
    <w:rsid w:val="007A0F8A"/>
    <w:rsid w:val="007A19D6"/>
    <w:rsid w:val="007A1BCE"/>
    <w:rsid w:val="007A1DD3"/>
    <w:rsid w:val="007A255A"/>
    <w:rsid w:val="007A2BF4"/>
    <w:rsid w:val="007A2C29"/>
    <w:rsid w:val="007A325B"/>
    <w:rsid w:val="007A33D7"/>
    <w:rsid w:val="007A3F5C"/>
    <w:rsid w:val="007A4641"/>
    <w:rsid w:val="007A4BF4"/>
    <w:rsid w:val="007A4E2C"/>
    <w:rsid w:val="007A4FF2"/>
    <w:rsid w:val="007A579C"/>
    <w:rsid w:val="007A58CF"/>
    <w:rsid w:val="007A597C"/>
    <w:rsid w:val="007A5AFB"/>
    <w:rsid w:val="007A5C62"/>
    <w:rsid w:val="007A662B"/>
    <w:rsid w:val="007A669E"/>
    <w:rsid w:val="007A692C"/>
    <w:rsid w:val="007A6B44"/>
    <w:rsid w:val="007A70CD"/>
    <w:rsid w:val="007A73A8"/>
    <w:rsid w:val="007A743C"/>
    <w:rsid w:val="007A7689"/>
    <w:rsid w:val="007A7986"/>
    <w:rsid w:val="007B012C"/>
    <w:rsid w:val="007B04AB"/>
    <w:rsid w:val="007B0E91"/>
    <w:rsid w:val="007B101F"/>
    <w:rsid w:val="007B1173"/>
    <w:rsid w:val="007B133B"/>
    <w:rsid w:val="007B19E7"/>
    <w:rsid w:val="007B1C99"/>
    <w:rsid w:val="007B21BF"/>
    <w:rsid w:val="007B230C"/>
    <w:rsid w:val="007B2F2F"/>
    <w:rsid w:val="007B3043"/>
    <w:rsid w:val="007B3624"/>
    <w:rsid w:val="007B4F82"/>
    <w:rsid w:val="007B539C"/>
    <w:rsid w:val="007B5575"/>
    <w:rsid w:val="007B5701"/>
    <w:rsid w:val="007B5E6D"/>
    <w:rsid w:val="007B627F"/>
    <w:rsid w:val="007B649E"/>
    <w:rsid w:val="007B6BF9"/>
    <w:rsid w:val="007B6E0F"/>
    <w:rsid w:val="007B7693"/>
    <w:rsid w:val="007B776F"/>
    <w:rsid w:val="007C03F4"/>
    <w:rsid w:val="007C040A"/>
    <w:rsid w:val="007C0C21"/>
    <w:rsid w:val="007C0CBB"/>
    <w:rsid w:val="007C1129"/>
    <w:rsid w:val="007C122D"/>
    <w:rsid w:val="007C13EB"/>
    <w:rsid w:val="007C1818"/>
    <w:rsid w:val="007C1A05"/>
    <w:rsid w:val="007C1A3B"/>
    <w:rsid w:val="007C1CAB"/>
    <w:rsid w:val="007C1DD6"/>
    <w:rsid w:val="007C2B5A"/>
    <w:rsid w:val="007C2B65"/>
    <w:rsid w:val="007C2CA6"/>
    <w:rsid w:val="007C2CB8"/>
    <w:rsid w:val="007C2F9C"/>
    <w:rsid w:val="007C3266"/>
    <w:rsid w:val="007C3948"/>
    <w:rsid w:val="007C3A50"/>
    <w:rsid w:val="007C3A66"/>
    <w:rsid w:val="007C3AD4"/>
    <w:rsid w:val="007C4000"/>
    <w:rsid w:val="007C46B5"/>
    <w:rsid w:val="007C46DC"/>
    <w:rsid w:val="007C48ED"/>
    <w:rsid w:val="007C4C30"/>
    <w:rsid w:val="007C503A"/>
    <w:rsid w:val="007C56D4"/>
    <w:rsid w:val="007C572E"/>
    <w:rsid w:val="007C5871"/>
    <w:rsid w:val="007C5D5E"/>
    <w:rsid w:val="007C7E80"/>
    <w:rsid w:val="007D05D8"/>
    <w:rsid w:val="007D0725"/>
    <w:rsid w:val="007D145F"/>
    <w:rsid w:val="007D14E9"/>
    <w:rsid w:val="007D1650"/>
    <w:rsid w:val="007D2A63"/>
    <w:rsid w:val="007D2F90"/>
    <w:rsid w:val="007D4A0C"/>
    <w:rsid w:val="007D4D96"/>
    <w:rsid w:val="007D4EEF"/>
    <w:rsid w:val="007D50EA"/>
    <w:rsid w:val="007D51DB"/>
    <w:rsid w:val="007D65A0"/>
    <w:rsid w:val="007D682C"/>
    <w:rsid w:val="007D7449"/>
    <w:rsid w:val="007D7465"/>
    <w:rsid w:val="007D77CF"/>
    <w:rsid w:val="007D7CA6"/>
    <w:rsid w:val="007D7CF4"/>
    <w:rsid w:val="007D7FAF"/>
    <w:rsid w:val="007E002A"/>
    <w:rsid w:val="007E01C1"/>
    <w:rsid w:val="007E044C"/>
    <w:rsid w:val="007E0455"/>
    <w:rsid w:val="007E065B"/>
    <w:rsid w:val="007E0670"/>
    <w:rsid w:val="007E11F0"/>
    <w:rsid w:val="007E124E"/>
    <w:rsid w:val="007E20C7"/>
    <w:rsid w:val="007E26DE"/>
    <w:rsid w:val="007E28B0"/>
    <w:rsid w:val="007E2D77"/>
    <w:rsid w:val="007E2DC1"/>
    <w:rsid w:val="007E2E4D"/>
    <w:rsid w:val="007E30F1"/>
    <w:rsid w:val="007E36FA"/>
    <w:rsid w:val="007E3C01"/>
    <w:rsid w:val="007E3EAF"/>
    <w:rsid w:val="007E40E3"/>
    <w:rsid w:val="007E4611"/>
    <w:rsid w:val="007E4E00"/>
    <w:rsid w:val="007E5419"/>
    <w:rsid w:val="007E5AD2"/>
    <w:rsid w:val="007E6144"/>
    <w:rsid w:val="007E61AD"/>
    <w:rsid w:val="007E6521"/>
    <w:rsid w:val="007E6F71"/>
    <w:rsid w:val="007E7014"/>
    <w:rsid w:val="007E7DE6"/>
    <w:rsid w:val="007F0186"/>
    <w:rsid w:val="007F02A0"/>
    <w:rsid w:val="007F0B02"/>
    <w:rsid w:val="007F0B45"/>
    <w:rsid w:val="007F0C02"/>
    <w:rsid w:val="007F0F3B"/>
    <w:rsid w:val="007F1742"/>
    <w:rsid w:val="007F197B"/>
    <w:rsid w:val="007F19B5"/>
    <w:rsid w:val="007F1F17"/>
    <w:rsid w:val="007F235F"/>
    <w:rsid w:val="007F27CB"/>
    <w:rsid w:val="007F28BF"/>
    <w:rsid w:val="007F314C"/>
    <w:rsid w:val="007F35AA"/>
    <w:rsid w:val="007F3D7C"/>
    <w:rsid w:val="007F4367"/>
    <w:rsid w:val="007F4376"/>
    <w:rsid w:val="007F44AF"/>
    <w:rsid w:val="007F47A0"/>
    <w:rsid w:val="007F5B14"/>
    <w:rsid w:val="007F6131"/>
    <w:rsid w:val="007F6243"/>
    <w:rsid w:val="007F64F4"/>
    <w:rsid w:val="007F6864"/>
    <w:rsid w:val="007F688C"/>
    <w:rsid w:val="007F6CC2"/>
    <w:rsid w:val="007F6F04"/>
    <w:rsid w:val="007F721C"/>
    <w:rsid w:val="007F7D85"/>
    <w:rsid w:val="00800EAE"/>
    <w:rsid w:val="00800F1E"/>
    <w:rsid w:val="008015D5"/>
    <w:rsid w:val="00801750"/>
    <w:rsid w:val="00801933"/>
    <w:rsid w:val="008020FF"/>
    <w:rsid w:val="00802643"/>
    <w:rsid w:val="00802C86"/>
    <w:rsid w:val="008031B7"/>
    <w:rsid w:val="00803390"/>
    <w:rsid w:val="00803BF1"/>
    <w:rsid w:val="00803CAB"/>
    <w:rsid w:val="00803E22"/>
    <w:rsid w:val="00803EC4"/>
    <w:rsid w:val="00803F6D"/>
    <w:rsid w:val="0080418E"/>
    <w:rsid w:val="0080561D"/>
    <w:rsid w:val="00805CB5"/>
    <w:rsid w:val="00805DD7"/>
    <w:rsid w:val="00805ECF"/>
    <w:rsid w:val="0080611D"/>
    <w:rsid w:val="008062C0"/>
    <w:rsid w:val="00806350"/>
    <w:rsid w:val="008064EA"/>
    <w:rsid w:val="008065F4"/>
    <w:rsid w:val="008104E5"/>
    <w:rsid w:val="00810919"/>
    <w:rsid w:val="008111E0"/>
    <w:rsid w:val="00811218"/>
    <w:rsid w:val="0081135C"/>
    <w:rsid w:val="00811454"/>
    <w:rsid w:val="00811ACE"/>
    <w:rsid w:val="00811CD3"/>
    <w:rsid w:val="00812A66"/>
    <w:rsid w:val="00813AC7"/>
    <w:rsid w:val="00814455"/>
    <w:rsid w:val="00814641"/>
    <w:rsid w:val="008147F4"/>
    <w:rsid w:val="008147F6"/>
    <w:rsid w:val="00814838"/>
    <w:rsid w:val="00814BD4"/>
    <w:rsid w:val="00814DCA"/>
    <w:rsid w:val="00814F08"/>
    <w:rsid w:val="00815109"/>
    <w:rsid w:val="0081596C"/>
    <w:rsid w:val="00815A67"/>
    <w:rsid w:val="008160DF"/>
    <w:rsid w:val="008160FA"/>
    <w:rsid w:val="00816BB6"/>
    <w:rsid w:val="0081727F"/>
    <w:rsid w:val="008177B6"/>
    <w:rsid w:val="00817F6F"/>
    <w:rsid w:val="0082045E"/>
    <w:rsid w:val="00820999"/>
    <w:rsid w:val="00820DCA"/>
    <w:rsid w:val="00821307"/>
    <w:rsid w:val="0082130B"/>
    <w:rsid w:val="00821796"/>
    <w:rsid w:val="0082181E"/>
    <w:rsid w:val="008224B1"/>
    <w:rsid w:val="00822527"/>
    <w:rsid w:val="0082269F"/>
    <w:rsid w:val="00822800"/>
    <w:rsid w:val="00822E2F"/>
    <w:rsid w:val="00823623"/>
    <w:rsid w:val="00824039"/>
    <w:rsid w:val="0082472E"/>
    <w:rsid w:val="00824756"/>
    <w:rsid w:val="00825245"/>
    <w:rsid w:val="00825354"/>
    <w:rsid w:val="0082701E"/>
    <w:rsid w:val="008272A5"/>
    <w:rsid w:val="00827523"/>
    <w:rsid w:val="00827758"/>
    <w:rsid w:val="00827984"/>
    <w:rsid w:val="00827F49"/>
    <w:rsid w:val="008306A8"/>
    <w:rsid w:val="00830707"/>
    <w:rsid w:val="00830FA6"/>
    <w:rsid w:val="00831056"/>
    <w:rsid w:val="00831C04"/>
    <w:rsid w:val="0083216A"/>
    <w:rsid w:val="008327CC"/>
    <w:rsid w:val="008333D1"/>
    <w:rsid w:val="00833A02"/>
    <w:rsid w:val="00833CC5"/>
    <w:rsid w:val="00833DA2"/>
    <w:rsid w:val="00834002"/>
    <w:rsid w:val="00834D7B"/>
    <w:rsid w:val="008350E9"/>
    <w:rsid w:val="0083561D"/>
    <w:rsid w:val="0083571B"/>
    <w:rsid w:val="00835BEC"/>
    <w:rsid w:val="00835CAB"/>
    <w:rsid w:val="008361ED"/>
    <w:rsid w:val="00836763"/>
    <w:rsid w:val="0083720B"/>
    <w:rsid w:val="008377CE"/>
    <w:rsid w:val="00837A20"/>
    <w:rsid w:val="0084065E"/>
    <w:rsid w:val="008408A4"/>
    <w:rsid w:val="008409E2"/>
    <w:rsid w:val="00840D86"/>
    <w:rsid w:val="008410FD"/>
    <w:rsid w:val="008415AF"/>
    <w:rsid w:val="00842116"/>
    <w:rsid w:val="0084224C"/>
    <w:rsid w:val="00842280"/>
    <w:rsid w:val="0084265F"/>
    <w:rsid w:val="008426D2"/>
    <w:rsid w:val="0084273D"/>
    <w:rsid w:val="00842798"/>
    <w:rsid w:val="00843755"/>
    <w:rsid w:val="00843B5B"/>
    <w:rsid w:val="00844301"/>
    <w:rsid w:val="0084455A"/>
    <w:rsid w:val="00844802"/>
    <w:rsid w:val="0084532A"/>
    <w:rsid w:val="008454E7"/>
    <w:rsid w:val="00845C01"/>
    <w:rsid w:val="00845C80"/>
    <w:rsid w:val="00845DDA"/>
    <w:rsid w:val="0084636D"/>
    <w:rsid w:val="008471D8"/>
    <w:rsid w:val="00847A8E"/>
    <w:rsid w:val="00850D6C"/>
    <w:rsid w:val="008510CC"/>
    <w:rsid w:val="0085143E"/>
    <w:rsid w:val="00851570"/>
    <w:rsid w:val="008518D0"/>
    <w:rsid w:val="00851A64"/>
    <w:rsid w:val="00851B87"/>
    <w:rsid w:val="00851DD5"/>
    <w:rsid w:val="00851FEB"/>
    <w:rsid w:val="00852163"/>
    <w:rsid w:val="00852CDE"/>
    <w:rsid w:val="00852E01"/>
    <w:rsid w:val="00853064"/>
    <w:rsid w:val="008532CA"/>
    <w:rsid w:val="0085365B"/>
    <w:rsid w:val="0085371F"/>
    <w:rsid w:val="00853C66"/>
    <w:rsid w:val="00853DE6"/>
    <w:rsid w:val="00854608"/>
    <w:rsid w:val="008548C6"/>
    <w:rsid w:val="00854A70"/>
    <w:rsid w:val="008557E5"/>
    <w:rsid w:val="00855A8A"/>
    <w:rsid w:val="00856601"/>
    <w:rsid w:val="00856E8A"/>
    <w:rsid w:val="008570F1"/>
    <w:rsid w:val="008575BC"/>
    <w:rsid w:val="0085761B"/>
    <w:rsid w:val="0085779A"/>
    <w:rsid w:val="00857ECD"/>
    <w:rsid w:val="00857FF8"/>
    <w:rsid w:val="00860339"/>
    <w:rsid w:val="008604C3"/>
    <w:rsid w:val="0086056E"/>
    <w:rsid w:val="0086077D"/>
    <w:rsid w:val="00860EAE"/>
    <w:rsid w:val="00860F2A"/>
    <w:rsid w:val="008618E1"/>
    <w:rsid w:val="00862211"/>
    <w:rsid w:val="00862526"/>
    <w:rsid w:val="00862CC1"/>
    <w:rsid w:val="008636E2"/>
    <w:rsid w:val="00863D7F"/>
    <w:rsid w:val="008640BC"/>
    <w:rsid w:val="0086464B"/>
    <w:rsid w:val="008647FF"/>
    <w:rsid w:val="00864966"/>
    <w:rsid w:val="00864D2F"/>
    <w:rsid w:val="00865221"/>
    <w:rsid w:val="00865268"/>
    <w:rsid w:val="00865735"/>
    <w:rsid w:val="008658EC"/>
    <w:rsid w:val="0086593D"/>
    <w:rsid w:val="00865A1B"/>
    <w:rsid w:val="00865A46"/>
    <w:rsid w:val="00866017"/>
    <w:rsid w:val="00866329"/>
    <w:rsid w:val="008664CD"/>
    <w:rsid w:val="008665EA"/>
    <w:rsid w:val="00866F92"/>
    <w:rsid w:val="008670C2"/>
    <w:rsid w:val="008672A8"/>
    <w:rsid w:val="00867806"/>
    <w:rsid w:val="00867FF1"/>
    <w:rsid w:val="0087054E"/>
    <w:rsid w:val="00872150"/>
    <w:rsid w:val="0087239A"/>
    <w:rsid w:val="00872DBE"/>
    <w:rsid w:val="00872F63"/>
    <w:rsid w:val="00873518"/>
    <w:rsid w:val="0087386E"/>
    <w:rsid w:val="008744CF"/>
    <w:rsid w:val="008745B5"/>
    <w:rsid w:val="008747D7"/>
    <w:rsid w:val="00874995"/>
    <w:rsid w:val="00874ED8"/>
    <w:rsid w:val="008751B1"/>
    <w:rsid w:val="008755B9"/>
    <w:rsid w:val="0087568D"/>
    <w:rsid w:val="00875B3B"/>
    <w:rsid w:val="00875D5C"/>
    <w:rsid w:val="00875D8B"/>
    <w:rsid w:val="008763D6"/>
    <w:rsid w:val="00876505"/>
    <w:rsid w:val="00876963"/>
    <w:rsid w:val="00876E5A"/>
    <w:rsid w:val="008774DC"/>
    <w:rsid w:val="00877711"/>
    <w:rsid w:val="00877CE9"/>
    <w:rsid w:val="00880128"/>
    <w:rsid w:val="00880567"/>
    <w:rsid w:val="0088056E"/>
    <w:rsid w:val="00880DE7"/>
    <w:rsid w:val="00880F68"/>
    <w:rsid w:val="008819B8"/>
    <w:rsid w:val="00881AFF"/>
    <w:rsid w:val="0088275E"/>
    <w:rsid w:val="008829A9"/>
    <w:rsid w:val="00882C1C"/>
    <w:rsid w:val="00882DDE"/>
    <w:rsid w:val="00882F57"/>
    <w:rsid w:val="00882F8F"/>
    <w:rsid w:val="008831DD"/>
    <w:rsid w:val="00883993"/>
    <w:rsid w:val="00883ABA"/>
    <w:rsid w:val="00883B92"/>
    <w:rsid w:val="00883CBB"/>
    <w:rsid w:val="008841AB"/>
    <w:rsid w:val="008841B8"/>
    <w:rsid w:val="00884662"/>
    <w:rsid w:val="00884888"/>
    <w:rsid w:val="00884CFC"/>
    <w:rsid w:val="0088530B"/>
    <w:rsid w:val="008854CE"/>
    <w:rsid w:val="00885686"/>
    <w:rsid w:val="00885E83"/>
    <w:rsid w:val="008863F0"/>
    <w:rsid w:val="00886808"/>
    <w:rsid w:val="00886898"/>
    <w:rsid w:val="00886C73"/>
    <w:rsid w:val="00886F2F"/>
    <w:rsid w:val="00886FEF"/>
    <w:rsid w:val="008871D2"/>
    <w:rsid w:val="008876D2"/>
    <w:rsid w:val="00887E3D"/>
    <w:rsid w:val="00890051"/>
    <w:rsid w:val="008900C4"/>
    <w:rsid w:val="0089048F"/>
    <w:rsid w:val="0089052F"/>
    <w:rsid w:val="00890714"/>
    <w:rsid w:val="00890AA3"/>
    <w:rsid w:val="00890BBF"/>
    <w:rsid w:val="00890DBA"/>
    <w:rsid w:val="00890E0E"/>
    <w:rsid w:val="00891B96"/>
    <w:rsid w:val="00891C8D"/>
    <w:rsid w:val="00891E7F"/>
    <w:rsid w:val="00892132"/>
    <w:rsid w:val="008927A4"/>
    <w:rsid w:val="00892817"/>
    <w:rsid w:val="00893374"/>
    <w:rsid w:val="00893D2A"/>
    <w:rsid w:val="00893EF0"/>
    <w:rsid w:val="0089410C"/>
    <w:rsid w:val="008944D8"/>
    <w:rsid w:val="0089458D"/>
    <w:rsid w:val="00894C8F"/>
    <w:rsid w:val="00894D93"/>
    <w:rsid w:val="00894FBC"/>
    <w:rsid w:val="00895712"/>
    <w:rsid w:val="0089596D"/>
    <w:rsid w:val="008960D9"/>
    <w:rsid w:val="00896842"/>
    <w:rsid w:val="00896E0A"/>
    <w:rsid w:val="00896F7A"/>
    <w:rsid w:val="00897219"/>
    <w:rsid w:val="00897481"/>
    <w:rsid w:val="00897C4E"/>
    <w:rsid w:val="00897C78"/>
    <w:rsid w:val="00897D3C"/>
    <w:rsid w:val="00897D53"/>
    <w:rsid w:val="00897D8E"/>
    <w:rsid w:val="00897E47"/>
    <w:rsid w:val="008A02A1"/>
    <w:rsid w:val="008A1594"/>
    <w:rsid w:val="008A1C43"/>
    <w:rsid w:val="008A1C85"/>
    <w:rsid w:val="008A1D4F"/>
    <w:rsid w:val="008A1D5F"/>
    <w:rsid w:val="008A1E84"/>
    <w:rsid w:val="008A2216"/>
    <w:rsid w:val="008A2421"/>
    <w:rsid w:val="008A24A6"/>
    <w:rsid w:val="008A2531"/>
    <w:rsid w:val="008A25F0"/>
    <w:rsid w:val="008A274D"/>
    <w:rsid w:val="008A28C9"/>
    <w:rsid w:val="008A2C9A"/>
    <w:rsid w:val="008A2EF4"/>
    <w:rsid w:val="008A3230"/>
    <w:rsid w:val="008A35C4"/>
    <w:rsid w:val="008A3951"/>
    <w:rsid w:val="008A3BEC"/>
    <w:rsid w:val="008A3DA6"/>
    <w:rsid w:val="008A4356"/>
    <w:rsid w:val="008A49EB"/>
    <w:rsid w:val="008A4A31"/>
    <w:rsid w:val="008A4FBB"/>
    <w:rsid w:val="008A4FEA"/>
    <w:rsid w:val="008A5CF7"/>
    <w:rsid w:val="008A6035"/>
    <w:rsid w:val="008A60B5"/>
    <w:rsid w:val="008A6708"/>
    <w:rsid w:val="008A70C6"/>
    <w:rsid w:val="008A77B5"/>
    <w:rsid w:val="008A7D19"/>
    <w:rsid w:val="008A7ED5"/>
    <w:rsid w:val="008B05A2"/>
    <w:rsid w:val="008B0C3D"/>
    <w:rsid w:val="008B0E3D"/>
    <w:rsid w:val="008B17E5"/>
    <w:rsid w:val="008B18B3"/>
    <w:rsid w:val="008B1E22"/>
    <w:rsid w:val="008B1FAC"/>
    <w:rsid w:val="008B2106"/>
    <w:rsid w:val="008B23B2"/>
    <w:rsid w:val="008B2938"/>
    <w:rsid w:val="008B2CAE"/>
    <w:rsid w:val="008B3112"/>
    <w:rsid w:val="008B3914"/>
    <w:rsid w:val="008B3CF1"/>
    <w:rsid w:val="008B3D3D"/>
    <w:rsid w:val="008B3EAD"/>
    <w:rsid w:val="008B4398"/>
    <w:rsid w:val="008B44C5"/>
    <w:rsid w:val="008B4FA9"/>
    <w:rsid w:val="008B509A"/>
    <w:rsid w:val="008B5B61"/>
    <w:rsid w:val="008B5C11"/>
    <w:rsid w:val="008B5FAE"/>
    <w:rsid w:val="008B633A"/>
    <w:rsid w:val="008B63FD"/>
    <w:rsid w:val="008B6457"/>
    <w:rsid w:val="008B6BC6"/>
    <w:rsid w:val="008B6F9F"/>
    <w:rsid w:val="008B74FE"/>
    <w:rsid w:val="008B7AC4"/>
    <w:rsid w:val="008B7F20"/>
    <w:rsid w:val="008C00E5"/>
    <w:rsid w:val="008C07E1"/>
    <w:rsid w:val="008C0AA7"/>
    <w:rsid w:val="008C0C50"/>
    <w:rsid w:val="008C0FCE"/>
    <w:rsid w:val="008C1251"/>
    <w:rsid w:val="008C127E"/>
    <w:rsid w:val="008C1534"/>
    <w:rsid w:val="008C16D6"/>
    <w:rsid w:val="008C1742"/>
    <w:rsid w:val="008C23CE"/>
    <w:rsid w:val="008C255E"/>
    <w:rsid w:val="008C2B58"/>
    <w:rsid w:val="008C2BC8"/>
    <w:rsid w:val="008C34C9"/>
    <w:rsid w:val="008C38FA"/>
    <w:rsid w:val="008C39F4"/>
    <w:rsid w:val="008C3E69"/>
    <w:rsid w:val="008C3F73"/>
    <w:rsid w:val="008C44C2"/>
    <w:rsid w:val="008C4633"/>
    <w:rsid w:val="008C4B29"/>
    <w:rsid w:val="008C5066"/>
    <w:rsid w:val="008C56C9"/>
    <w:rsid w:val="008C5AD5"/>
    <w:rsid w:val="008C5CD7"/>
    <w:rsid w:val="008C5D1C"/>
    <w:rsid w:val="008C64C4"/>
    <w:rsid w:val="008C660A"/>
    <w:rsid w:val="008C679C"/>
    <w:rsid w:val="008C7247"/>
    <w:rsid w:val="008C73FA"/>
    <w:rsid w:val="008C742C"/>
    <w:rsid w:val="008C748A"/>
    <w:rsid w:val="008C7F58"/>
    <w:rsid w:val="008D0210"/>
    <w:rsid w:val="008D069D"/>
    <w:rsid w:val="008D076C"/>
    <w:rsid w:val="008D0EF2"/>
    <w:rsid w:val="008D1531"/>
    <w:rsid w:val="008D184F"/>
    <w:rsid w:val="008D192D"/>
    <w:rsid w:val="008D1AD1"/>
    <w:rsid w:val="008D1C00"/>
    <w:rsid w:val="008D1CC2"/>
    <w:rsid w:val="008D2008"/>
    <w:rsid w:val="008D24E4"/>
    <w:rsid w:val="008D41BB"/>
    <w:rsid w:val="008D4410"/>
    <w:rsid w:val="008D46B5"/>
    <w:rsid w:val="008D49EA"/>
    <w:rsid w:val="008D4A22"/>
    <w:rsid w:val="008D4FAD"/>
    <w:rsid w:val="008D529C"/>
    <w:rsid w:val="008D559A"/>
    <w:rsid w:val="008D5DD8"/>
    <w:rsid w:val="008D602C"/>
    <w:rsid w:val="008D6116"/>
    <w:rsid w:val="008D6AE7"/>
    <w:rsid w:val="008D6BE6"/>
    <w:rsid w:val="008D6EBD"/>
    <w:rsid w:val="008D777E"/>
    <w:rsid w:val="008D7C47"/>
    <w:rsid w:val="008E0531"/>
    <w:rsid w:val="008E0651"/>
    <w:rsid w:val="008E111B"/>
    <w:rsid w:val="008E11FB"/>
    <w:rsid w:val="008E14EB"/>
    <w:rsid w:val="008E237B"/>
    <w:rsid w:val="008E32A7"/>
    <w:rsid w:val="008E3913"/>
    <w:rsid w:val="008E397B"/>
    <w:rsid w:val="008E4350"/>
    <w:rsid w:val="008E4642"/>
    <w:rsid w:val="008E464F"/>
    <w:rsid w:val="008E4968"/>
    <w:rsid w:val="008E4EDC"/>
    <w:rsid w:val="008E4FB0"/>
    <w:rsid w:val="008E5122"/>
    <w:rsid w:val="008E5347"/>
    <w:rsid w:val="008E5446"/>
    <w:rsid w:val="008E5695"/>
    <w:rsid w:val="008E5862"/>
    <w:rsid w:val="008E5A00"/>
    <w:rsid w:val="008E5BFD"/>
    <w:rsid w:val="008E6985"/>
    <w:rsid w:val="008E6A0B"/>
    <w:rsid w:val="008E6A1F"/>
    <w:rsid w:val="008E6AF1"/>
    <w:rsid w:val="008E6BEB"/>
    <w:rsid w:val="008E6EC5"/>
    <w:rsid w:val="008E765D"/>
    <w:rsid w:val="008E7B10"/>
    <w:rsid w:val="008E7BF3"/>
    <w:rsid w:val="008E7E84"/>
    <w:rsid w:val="008F00E5"/>
    <w:rsid w:val="008F0429"/>
    <w:rsid w:val="008F0C28"/>
    <w:rsid w:val="008F0F79"/>
    <w:rsid w:val="008F16DA"/>
    <w:rsid w:val="008F1742"/>
    <w:rsid w:val="008F181C"/>
    <w:rsid w:val="008F1C7D"/>
    <w:rsid w:val="008F1D5D"/>
    <w:rsid w:val="008F1EA9"/>
    <w:rsid w:val="008F2060"/>
    <w:rsid w:val="008F2189"/>
    <w:rsid w:val="008F2816"/>
    <w:rsid w:val="008F2968"/>
    <w:rsid w:val="008F29C9"/>
    <w:rsid w:val="008F2D8F"/>
    <w:rsid w:val="008F2D9F"/>
    <w:rsid w:val="008F3715"/>
    <w:rsid w:val="008F3771"/>
    <w:rsid w:val="008F3D20"/>
    <w:rsid w:val="008F3F2E"/>
    <w:rsid w:val="008F42C9"/>
    <w:rsid w:val="008F44D4"/>
    <w:rsid w:val="008F471E"/>
    <w:rsid w:val="008F4A5D"/>
    <w:rsid w:val="008F4CA5"/>
    <w:rsid w:val="008F4DAF"/>
    <w:rsid w:val="008F52EC"/>
    <w:rsid w:val="008F611C"/>
    <w:rsid w:val="008F6393"/>
    <w:rsid w:val="008F6DBE"/>
    <w:rsid w:val="008F753B"/>
    <w:rsid w:val="008F7BA1"/>
    <w:rsid w:val="00900D8D"/>
    <w:rsid w:val="0090136F"/>
    <w:rsid w:val="00901650"/>
    <w:rsid w:val="0090165F"/>
    <w:rsid w:val="00902214"/>
    <w:rsid w:val="009022D0"/>
    <w:rsid w:val="0090244F"/>
    <w:rsid w:val="009027C4"/>
    <w:rsid w:val="009030EC"/>
    <w:rsid w:val="0090359C"/>
    <w:rsid w:val="00903C1F"/>
    <w:rsid w:val="00903D6F"/>
    <w:rsid w:val="00904691"/>
    <w:rsid w:val="00904828"/>
    <w:rsid w:val="00904840"/>
    <w:rsid w:val="00904F66"/>
    <w:rsid w:val="009055F4"/>
    <w:rsid w:val="009056FF"/>
    <w:rsid w:val="00905C29"/>
    <w:rsid w:val="009061CB"/>
    <w:rsid w:val="0090676C"/>
    <w:rsid w:val="00907096"/>
    <w:rsid w:val="00907599"/>
    <w:rsid w:val="009078C3"/>
    <w:rsid w:val="009079FC"/>
    <w:rsid w:val="00907CCC"/>
    <w:rsid w:val="00907F94"/>
    <w:rsid w:val="00910BAA"/>
    <w:rsid w:val="00910E53"/>
    <w:rsid w:val="00911245"/>
    <w:rsid w:val="00911595"/>
    <w:rsid w:val="0091165E"/>
    <w:rsid w:val="00912412"/>
    <w:rsid w:val="00912709"/>
    <w:rsid w:val="00912969"/>
    <w:rsid w:val="00912974"/>
    <w:rsid w:val="00912A9B"/>
    <w:rsid w:val="00913098"/>
    <w:rsid w:val="00913363"/>
    <w:rsid w:val="009136F9"/>
    <w:rsid w:val="00913946"/>
    <w:rsid w:val="009139FD"/>
    <w:rsid w:val="00914114"/>
    <w:rsid w:val="00914B3E"/>
    <w:rsid w:val="00914D79"/>
    <w:rsid w:val="0091523E"/>
    <w:rsid w:val="009157C5"/>
    <w:rsid w:val="00915939"/>
    <w:rsid w:val="00915B81"/>
    <w:rsid w:val="00915E93"/>
    <w:rsid w:val="009160F9"/>
    <w:rsid w:val="0091698A"/>
    <w:rsid w:val="00916FD2"/>
    <w:rsid w:val="00917965"/>
    <w:rsid w:val="009179A3"/>
    <w:rsid w:val="00917B33"/>
    <w:rsid w:val="00917D09"/>
    <w:rsid w:val="009205E1"/>
    <w:rsid w:val="00920D77"/>
    <w:rsid w:val="00921782"/>
    <w:rsid w:val="00921D5F"/>
    <w:rsid w:val="00921D72"/>
    <w:rsid w:val="009227E0"/>
    <w:rsid w:val="009229BF"/>
    <w:rsid w:val="00922DB9"/>
    <w:rsid w:val="0092315C"/>
    <w:rsid w:val="009242C1"/>
    <w:rsid w:val="00924404"/>
    <w:rsid w:val="00924563"/>
    <w:rsid w:val="00924A3D"/>
    <w:rsid w:val="00924A52"/>
    <w:rsid w:val="00924BEE"/>
    <w:rsid w:val="00924FBA"/>
    <w:rsid w:val="009251D7"/>
    <w:rsid w:val="00925391"/>
    <w:rsid w:val="009254F0"/>
    <w:rsid w:val="00925B00"/>
    <w:rsid w:val="00925B05"/>
    <w:rsid w:val="009260F2"/>
    <w:rsid w:val="00926488"/>
    <w:rsid w:val="0092655C"/>
    <w:rsid w:val="00926851"/>
    <w:rsid w:val="009269DE"/>
    <w:rsid w:val="00926AA0"/>
    <w:rsid w:val="009270F9"/>
    <w:rsid w:val="00927294"/>
    <w:rsid w:val="009273F7"/>
    <w:rsid w:val="00927553"/>
    <w:rsid w:val="0092789F"/>
    <w:rsid w:val="00927EDD"/>
    <w:rsid w:val="0093024B"/>
    <w:rsid w:val="0093091B"/>
    <w:rsid w:val="00930977"/>
    <w:rsid w:val="00930C28"/>
    <w:rsid w:val="00930D02"/>
    <w:rsid w:val="0093152B"/>
    <w:rsid w:val="00931F47"/>
    <w:rsid w:val="00932550"/>
    <w:rsid w:val="009325B3"/>
    <w:rsid w:val="00932B31"/>
    <w:rsid w:val="00932D3B"/>
    <w:rsid w:val="009331A7"/>
    <w:rsid w:val="009338E3"/>
    <w:rsid w:val="009339D5"/>
    <w:rsid w:val="009341E2"/>
    <w:rsid w:val="009342C7"/>
    <w:rsid w:val="0093441B"/>
    <w:rsid w:val="00934D50"/>
    <w:rsid w:val="009352F8"/>
    <w:rsid w:val="009358A8"/>
    <w:rsid w:val="00935B92"/>
    <w:rsid w:val="00936631"/>
    <w:rsid w:val="00936761"/>
    <w:rsid w:val="0093683E"/>
    <w:rsid w:val="00936A34"/>
    <w:rsid w:val="00936BD8"/>
    <w:rsid w:val="00936E1B"/>
    <w:rsid w:val="00936E45"/>
    <w:rsid w:val="009376D6"/>
    <w:rsid w:val="00937875"/>
    <w:rsid w:val="0093799C"/>
    <w:rsid w:val="00937B88"/>
    <w:rsid w:val="00940A35"/>
    <w:rsid w:val="00940C18"/>
    <w:rsid w:val="00940F8E"/>
    <w:rsid w:val="00941F7F"/>
    <w:rsid w:val="00942532"/>
    <w:rsid w:val="00944BE1"/>
    <w:rsid w:val="00944F54"/>
    <w:rsid w:val="009456CC"/>
    <w:rsid w:val="00945C5B"/>
    <w:rsid w:val="00945DFA"/>
    <w:rsid w:val="00945FB7"/>
    <w:rsid w:val="00945FC6"/>
    <w:rsid w:val="0094675F"/>
    <w:rsid w:val="00946868"/>
    <w:rsid w:val="009473D5"/>
    <w:rsid w:val="00947754"/>
    <w:rsid w:val="00950240"/>
    <w:rsid w:val="00950769"/>
    <w:rsid w:val="009507B3"/>
    <w:rsid w:val="0095082A"/>
    <w:rsid w:val="00950CB0"/>
    <w:rsid w:val="00950DAC"/>
    <w:rsid w:val="00951191"/>
    <w:rsid w:val="0095127C"/>
    <w:rsid w:val="00951579"/>
    <w:rsid w:val="009516CE"/>
    <w:rsid w:val="009516D4"/>
    <w:rsid w:val="00951B90"/>
    <w:rsid w:val="00951D11"/>
    <w:rsid w:val="00952625"/>
    <w:rsid w:val="0095282F"/>
    <w:rsid w:val="00952886"/>
    <w:rsid w:val="00952CAD"/>
    <w:rsid w:val="0095360F"/>
    <w:rsid w:val="009539CF"/>
    <w:rsid w:val="00953A22"/>
    <w:rsid w:val="00953C40"/>
    <w:rsid w:val="0095406C"/>
    <w:rsid w:val="00954348"/>
    <w:rsid w:val="0095449C"/>
    <w:rsid w:val="00954F84"/>
    <w:rsid w:val="009552E0"/>
    <w:rsid w:val="00955D5F"/>
    <w:rsid w:val="0095600F"/>
    <w:rsid w:val="009568F8"/>
    <w:rsid w:val="00956E0C"/>
    <w:rsid w:val="00957382"/>
    <w:rsid w:val="00957960"/>
    <w:rsid w:val="00957B7E"/>
    <w:rsid w:val="009605EE"/>
    <w:rsid w:val="00960716"/>
    <w:rsid w:val="009607EF"/>
    <w:rsid w:val="00960F74"/>
    <w:rsid w:val="009617C2"/>
    <w:rsid w:val="00961F26"/>
    <w:rsid w:val="009623AC"/>
    <w:rsid w:val="00962504"/>
    <w:rsid w:val="009625E6"/>
    <w:rsid w:val="00963455"/>
    <w:rsid w:val="0096353F"/>
    <w:rsid w:val="009636EE"/>
    <w:rsid w:val="009645A2"/>
    <w:rsid w:val="00964634"/>
    <w:rsid w:val="00964DBE"/>
    <w:rsid w:val="009651B4"/>
    <w:rsid w:val="009653B3"/>
    <w:rsid w:val="009653E0"/>
    <w:rsid w:val="00965AAD"/>
    <w:rsid w:val="00965CD4"/>
    <w:rsid w:val="00965F3A"/>
    <w:rsid w:val="00965FCD"/>
    <w:rsid w:val="009660C8"/>
    <w:rsid w:val="00966606"/>
    <w:rsid w:val="009666BE"/>
    <w:rsid w:val="00966734"/>
    <w:rsid w:val="00966A46"/>
    <w:rsid w:val="00966BF2"/>
    <w:rsid w:val="0096712B"/>
    <w:rsid w:val="00967202"/>
    <w:rsid w:val="009674B5"/>
    <w:rsid w:val="00967702"/>
    <w:rsid w:val="00967872"/>
    <w:rsid w:val="00967955"/>
    <w:rsid w:val="00967DE8"/>
    <w:rsid w:val="00967F6B"/>
    <w:rsid w:val="00967F84"/>
    <w:rsid w:val="00970C85"/>
    <w:rsid w:val="00970DEC"/>
    <w:rsid w:val="00970E28"/>
    <w:rsid w:val="00970FAE"/>
    <w:rsid w:val="0097106E"/>
    <w:rsid w:val="009718EF"/>
    <w:rsid w:val="00971A04"/>
    <w:rsid w:val="00971B0B"/>
    <w:rsid w:val="00971F9C"/>
    <w:rsid w:val="009728E3"/>
    <w:rsid w:val="00972A99"/>
    <w:rsid w:val="00972CB2"/>
    <w:rsid w:val="00972E74"/>
    <w:rsid w:val="00973406"/>
    <w:rsid w:val="00973445"/>
    <w:rsid w:val="009736CE"/>
    <w:rsid w:val="00973E44"/>
    <w:rsid w:val="00973FE9"/>
    <w:rsid w:val="009745ED"/>
    <w:rsid w:val="00974D09"/>
    <w:rsid w:val="0097544D"/>
    <w:rsid w:val="009758CB"/>
    <w:rsid w:val="00975963"/>
    <w:rsid w:val="00975A2A"/>
    <w:rsid w:val="00975F0F"/>
    <w:rsid w:val="00976694"/>
    <w:rsid w:val="0097678F"/>
    <w:rsid w:val="00976D65"/>
    <w:rsid w:val="00976DF1"/>
    <w:rsid w:val="0097700E"/>
    <w:rsid w:val="009777D7"/>
    <w:rsid w:val="009779A9"/>
    <w:rsid w:val="00977A07"/>
    <w:rsid w:val="00977AC3"/>
    <w:rsid w:val="00980355"/>
    <w:rsid w:val="00980BE2"/>
    <w:rsid w:val="00981001"/>
    <w:rsid w:val="0098189C"/>
    <w:rsid w:val="00981C63"/>
    <w:rsid w:val="009828E8"/>
    <w:rsid w:val="00982BF2"/>
    <w:rsid w:val="009830BB"/>
    <w:rsid w:val="0098338A"/>
    <w:rsid w:val="00983468"/>
    <w:rsid w:val="0098399D"/>
    <w:rsid w:val="00983A64"/>
    <w:rsid w:val="00983D8F"/>
    <w:rsid w:val="009843C9"/>
    <w:rsid w:val="00984640"/>
    <w:rsid w:val="00984907"/>
    <w:rsid w:val="00984A43"/>
    <w:rsid w:val="00984D7C"/>
    <w:rsid w:val="00984DAB"/>
    <w:rsid w:val="00985425"/>
    <w:rsid w:val="00985669"/>
    <w:rsid w:val="00985BB8"/>
    <w:rsid w:val="009866D0"/>
    <w:rsid w:val="0098691F"/>
    <w:rsid w:val="0098775F"/>
    <w:rsid w:val="00987C02"/>
    <w:rsid w:val="00987D17"/>
    <w:rsid w:val="0099125F"/>
    <w:rsid w:val="00992150"/>
    <w:rsid w:val="0099259B"/>
    <w:rsid w:val="00992CB6"/>
    <w:rsid w:val="00992F07"/>
    <w:rsid w:val="009932AD"/>
    <w:rsid w:val="009935BA"/>
    <w:rsid w:val="00993687"/>
    <w:rsid w:val="00993C60"/>
    <w:rsid w:val="00993DB1"/>
    <w:rsid w:val="0099411D"/>
    <w:rsid w:val="00994981"/>
    <w:rsid w:val="00994C4A"/>
    <w:rsid w:val="00994D1D"/>
    <w:rsid w:val="00995323"/>
    <w:rsid w:val="00995649"/>
    <w:rsid w:val="009956D0"/>
    <w:rsid w:val="009967C1"/>
    <w:rsid w:val="009969A6"/>
    <w:rsid w:val="00996B7A"/>
    <w:rsid w:val="00996F31"/>
    <w:rsid w:val="00997126"/>
    <w:rsid w:val="0099727C"/>
    <w:rsid w:val="009975AA"/>
    <w:rsid w:val="00997B94"/>
    <w:rsid w:val="00997CF1"/>
    <w:rsid w:val="00997CFF"/>
    <w:rsid w:val="009A0237"/>
    <w:rsid w:val="009A07B8"/>
    <w:rsid w:val="009A0EE4"/>
    <w:rsid w:val="009A1461"/>
    <w:rsid w:val="009A151D"/>
    <w:rsid w:val="009A1732"/>
    <w:rsid w:val="009A1804"/>
    <w:rsid w:val="009A1A6F"/>
    <w:rsid w:val="009A1F7C"/>
    <w:rsid w:val="009A29E8"/>
    <w:rsid w:val="009A2CC7"/>
    <w:rsid w:val="009A2F30"/>
    <w:rsid w:val="009A308E"/>
    <w:rsid w:val="009A33A6"/>
    <w:rsid w:val="009A437F"/>
    <w:rsid w:val="009A45ED"/>
    <w:rsid w:val="009A490B"/>
    <w:rsid w:val="009A4AD2"/>
    <w:rsid w:val="009A4E36"/>
    <w:rsid w:val="009A550A"/>
    <w:rsid w:val="009A5604"/>
    <w:rsid w:val="009A5931"/>
    <w:rsid w:val="009A5A8D"/>
    <w:rsid w:val="009A61D5"/>
    <w:rsid w:val="009A69D8"/>
    <w:rsid w:val="009A6C55"/>
    <w:rsid w:val="009A7282"/>
    <w:rsid w:val="009A7653"/>
    <w:rsid w:val="009A7901"/>
    <w:rsid w:val="009B016B"/>
    <w:rsid w:val="009B086B"/>
    <w:rsid w:val="009B0E7D"/>
    <w:rsid w:val="009B0FAA"/>
    <w:rsid w:val="009B127C"/>
    <w:rsid w:val="009B12CE"/>
    <w:rsid w:val="009B15B2"/>
    <w:rsid w:val="009B187E"/>
    <w:rsid w:val="009B2124"/>
    <w:rsid w:val="009B224E"/>
    <w:rsid w:val="009B2753"/>
    <w:rsid w:val="009B29EA"/>
    <w:rsid w:val="009B30EB"/>
    <w:rsid w:val="009B4A27"/>
    <w:rsid w:val="009B53A6"/>
    <w:rsid w:val="009B53C2"/>
    <w:rsid w:val="009B53FE"/>
    <w:rsid w:val="009B545E"/>
    <w:rsid w:val="009B56E7"/>
    <w:rsid w:val="009B5916"/>
    <w:rsid w:val="009B5E83"/>
    <w:rsid w:val="009B62BB"/>
    <w:rsid w:val="009B63F7"/>
    <w:rsid w:val="009B6ACA"/>
    <w:rsid w:val="009B6B3A"/>
    <w:rsid w:val="009B6D29"/>
    <w:rsid w:val="009B73E1"/>
    <w:rsid w:val="009B76F7"/>
    <w:rsid w:val="009B77D7"/>
    <w:rsid w:val="009B78E9"/>
    <w:rsid w:val="009B7A20"/>
    <w:rsid w:val="009B7BCC"/>
    <w:rsid w:val="009B7D63"/>
    <w:rsid w:val="009B7F35"/>
    <w:rsid w:val="009C0163"/>
    <w:rsid w:val="009C03A4"/>
    <w:rsid w:val="009C0BC6"/>
    <w:rsid w:val="009C0E96"/>
    <w:rsid w:val="009C17B3"/>
    <w:rsid w:val="009C1AA7"/>
    <w:rsid w:val="009C1DC8"/>
    <w:rsid w:val="009C236F"/>
    <w:rsid w:val="009C283D"/>
    <w:rsid w:val="009C2846"/>
    <w:rsid w:val="009C3416"/>
    <w:rsid w:val="009C3449"/>
    <w:rsid w:val="009C34C5"/>
    <w:rsid w:val="009C4494"/>
    <w:rsid w:val="009C4B07"/>
    <w:rsid w:val="009C4F1C"/>
    <w:rsid w:val="009C5117"/>
    <w:rsid w:val="009C52B0"/>
    <w:rsid w:val="009C54F9"/>
    <w:rsid w:val="009C58A1"/>
    <w:rsid w:val="009C5D16"/>
    <w:rsid w:val="009C656B"/>
    <w:rsid w:val="009C6853"/>
    <w:rsid w:val="009C6E46"/>
    <w:rsid w:val="009C7427"/>
    <w:rsid w:val="009C7502"/>
    <w:rsid w:val="009C76BB"/>
    <w:rsid w:val="009C77DD"/>
    <w:rsid w:val="009C7957"/>
    <w:rsid w:val="009C7B67"/>
    <w:rsid w:val="009C7F7F"/>
    <w:rsid w:val="009D000B"/>
    <w:rsid w:val="009D0959"/>
    <w:rsid w:val="009D0F3C"/>
    <w:rsid w:val="009D0FA8"/>
    <w:rsid w:val="009D1889"/>
    <w:rsid w:val="009D1A5F"/>
    <w:rsid w:val="009D202D"/>
    <w:rsid w:val="009D225B"/>
    <w:rsid w:val="009D252F"/>
    <w:rsid w:val="009D2598"/>
    <w:rsid w:val="009D27BC"/>
    <w:rsid w:val="009D2FCF"/>
    <w:rsid w:val="009D362A"/>
    <w:rsid w:val="009D365B"/>
    <w:rsid w:val="009D418E"/>
    <w:rsid w:val="009D468E"/>
    <w:rsid w:val="009D48AE"/>
    <w:rsid w:val="009D4937"/>
    <w:rsid w:val="009D53DB"/>
    <w:rsid w:val="009D5B6F"/>
    <w:rsid w:val="009D5DE7"/>
    <w:rsid w:val="009D6C85"/>
    <w:rsid w:val="009D6E02"/>
    <w:rsid w:val="009D6F3E"/>
    <w:rsid w:val="009D7037"/>
    <w:rsid w:val="009D7321"/>
    <w:rsid w:val="009D75E9"/>
    <w:rsid w:val="009E00E5"/>
    <w:rsid w:val="009E0C25"/>
    <w:rsid w:val="009E0C99"/>
    <w:rsid w:val="009E1802"/>
    <w:rsid w:val="009E1B13"/>
    <w:rsid w:val="009E21A2"/>
    <w:rsid w:val="009E2489"/>
    <w:rsid w:val="009E26F1"/>
    <w:rsid w:val="009E2A2A"/>
    <w:rsid w:val="009E3164"/>
    <w:rsid w:val="009E35D8"/>
    <w:rsid w:val="009E3901"/>
    <w:rsid w:val="009E3A75"/>
    <w:rsid w:val="009E3A7B"/>
    <w:rsid w:val="009E4768"/>
    <w:rsid w:val="009E4B1F"/>
    <w:rsid w:val="009E5315"/>
    <w:rsid w:val="009E5965"/>
    <w:rsid w:val="009E5983"/>
    <w:rsid w:val="009E5A5B"/>
    <w:rsid w:val="009E5CF9"/>
    <w:rsid w:val="009E6306"/>
    <w:rsid w:val="009E65EF"/>
    <w:rsid w:val="009E7C02"/>
    <w:rsid w:val="009E7EBF"/>
    <w:rsid w:val="009F056F"/>
    <w:rsid w:val="009F0D29"/>
    <w:rsid w:val="009F12AF"/>
    <w:rsid w:val="009F13B2"/>
    <w:rsid w:val="009F1A56"/>
    <w:rsid w:val="009F1E3D"/>
    <w:rsid w:val="009F1E56"/>
    <w:rsid w:val="009F2158"/>
    <w:rsid w:val="009F2352"/>
    <w:rsid w:val="009F2B85"/>
    <w:rsid w:val="009F2BDC"/>
    <w:rsid w:val="009F3A1B"/>
    <w:rsid w:val="009F3F24"/>
    <w:rsid w:val="009F49D0"/>
    <w:rsid w:val="009F49FD"/>
    <w:rsid w:val="009F4EE8"/>
    <w:rsid w:val="009F50D3"/>
    <w:rsid w:val="009F53A6"/>
    <w:rsid w:val="009F5404"/>
    <w:rsid w:val="009F5992"/>
    <w:rsid w:val="009F5C7A"/>
    <w:rsid w:val="009F632A"/>
    <w:rsid w:val="009F670F"/>
    <w:rsid w:val="009F6E16"/>
    <w:rsid w:val="009F6F64"/>
    <w:rsid w:val="009F7E0D"/>
    <w:rsid w:val="009F7EA6"/>
    <w:rsid w:val="009F7FEE"/>
    <w:rsid w:val="00A0008B"/>
    <w:rsid w:val="00A0016F"/>
    <w:rsid w:val="00A00902"/>
    <w:rsid w:val="00A0107B"/>
    <w:rsid w:val="00A013CB"/>
    <w:rsid w:val="00A016A3"/>
    <w:rsid w:val="00A01CA2"/>
    <w:rsid w:val="00A01E7A"/>
    <w:rsid w:val="00A01ED6"/>
    <w:rsid w:val="00A022D7"/>
    <w:rsid w:val="00A0241C"/>
    <w:rsid w:val="00A02A7F"/>
    <w:rsid w:val="00A02AA2"/>
    <w:rsid w:val="00A039C2"/>
    <w:rsid w:val="00A039DD"/>
    <w:rsid w:val="00A03B3E"/>
    <w:rsid w:val="00A03BA7"/>
    <w:rsid w:val="00A03BDC"/>
    <w:rsid w:val="00A04311"/>
    <w:rsid w:val="00A04360"/>
    <w:rsid w:val="00A045A4"/>
    <w:rsid w:val="00A04BAF"/>
    <w:rsid w:val="00A04EB9"/>
    <w:rsid w:val="00A051E6"/>
    <w:rsid w:val="00A05227"/>
    <w:rsid w:val="00A052DF"/>
    <w:rsid w:val="00A056C6"/>
    <w:rsid w:val="00A05773"/>
    <w:rsid w:val="00A05956"/>
    <w:rsid w:val="00A05B42"/>
    <w:rsid w:val="00A05B8C"/>
    <w:rsid w:val="00A05FA0"/>
    <w:rsid w:val="00A06061"/>
    <w:rsid w:val="00A065BA"/>
    <w:rsid w:val="00A06D18"/>
    <w:rsid w:val="00A06E5B"/>
    <w:rsid w:val="00A0786D"/>
    <w:rsid w:val="00A07DCA"/>
    <w:rsid w:val="00A10E55"/>
    <w:rsid w:val="00A115B5"/>
    <w:rsid w:val="00A115ED"/>
    <w:rsid w:val="00A12109"/>
    <w:rsid w:val="00A121C7"/>
    <w:rsid w:val="00A1265F"/>
    <w:rsid w:val="00A12C96"/>
    <w:rsid w:val="00A12D0B"/>
    <w:rsid w:val="00A1339D"/>
    <w:rsid w:val="00A1367C"/>
    <w:rsid w:val="00A13928"/>
    <w:rsid w:val="00A14245"/>
    <w:rsid w:val="00A14563"/>
    <w:rsid w:val="00A145D0"/>
    <w:rsid w:val="00A1481B"/>
    <w:rsid w:val="00A14DED"/>
    <w:rsid w:val="00A15884"/>
    <w:rsid w:val="00A15907"/>
    <w:rsid w:val="00A15FEA"/>
    <w:rsid w:val="00A1610B"/>
    <w:rsid w:val="00A161CB"/>
    <w:rsid w:val="00A1625B"/>
    <w:rsid w:val="00A171B6"/>
    <w:rsid w:val="00A172BB"/>
    <w:rsid w:val="00A17613"/>
    <w:rsid w:val="00A1775D"/>
    <w:rsid w:val="00A2007B"/>
    <w:rsid w:val="00A20448"/>
    <w:rsid w:val="00A20F66"/>
    <w:rsid w:val="00A210F8"/>
    <w:rsid w:val="00A21697"/>
    <w:rsid w:val="00A217EA"/>
    <w:rsid w:val="00A219D7"/>
    <w:rsid w:val="00A227FA"/>
    <w:rsid w:val="00A2309F"/>
    <w:rsid w:val="00A23362"/>
    <w:rsid w:val="00A2435B"/>
    <w:rsid w:val="00A24578"/>
    <w:rsid w:val="00A248EC"/>
    <w:rsid w:val="00A24946"/>
    <w:rsid w:val="00A24FE4"/>
    <w:rsid w:val="00A25097"/>
    <w:rsid w:val="00A2561A"/>
    <w:rsid w:val="00A25785"/>
    <w:rsid w:val="00A26394"/>
    <w:rsid w:val="00A26571"/>
    <w:rsid w:val="00A26824"/>
    <w:rsid w:val="00A26CA4"/>
    <w:rsid w:val="00A26FFF"/>
    <w:rsid w:val="00A27253"/>
    <w:rsid w:val="00A27404"/>
    <w:rsid w:val="00A302C4"/>
    <w:rsid w:val="00A30434"/>
    <w:rsid w:val="00A307F9"/>
    <w:rsid w:val="00A30ECE"/>
    <w:rsid w:val="00A312BA"/>
    <w:rsid w:val="00A31340"/>
    <w:rsid w:val="00A321FE"/>
    <w:rsid w:val="00A3288C"/>
    <w:rsid w:val="00A329EA"/>
    <w:rsid w:val="00A32CCB"/>
    <w:rsid w:val="00A32D5C"/>
    <w:rsid w:val="00A331BA"/>
    <w:rsid w:val="00A3372F"/>
    <w:rsid w:val="00A33863"/>
    <w:rsid w:val="00A344A5"/>
    <w:rsid w:val="00A3456B"/>
    <w:rsid w:val="00A347D8"/>
    <w:rsid w:val="00A349BD"/>
    <w:rsid w:val="00A34E65"/>
    <w:rsid w:val="00A34EF8"/>
    <w:rsid w:val="00A362E0"/>
    <w:rsid w:val="00A36588"/>
    <w:rsid w:val="00A3677C"/>
    <w:rsid w:val="00A36EAE"/>
    <w:rsid w:val="00A376BF"/>
    <w:rsid w:val="00A37A0A"/>
    <w:rsid w:val="00A37A7A"/>
    <w:rsid w:val="00A37E2E"/>
    <w:rsid w:val="00A37E9C"/>
    <w:rsid w:val="00A40F9F"/>
    <w:rsid w:val="00A420BC"/>
    <w:rsid w:val="00A4218A"/>
    <w:rsid w:val="00A42CDF"/>
    <w:rsid w:val="00A430C0"/>
    <w:rsid w:val="00A431BC"/>
    <w:rsid w:val="00A43661"/>
    <w:rsid w:val="00A436F8"/>
    <w:rsid w:val="00A438CC"/>
    <w:rsid w:val="00A43A44"/>
    <w:rsid w:val="00A4433E"/>
    <w:rsid w:val="00A44869"/>
    <w:rsid w:val="00A45E90"/>
    <w:rsid w:val="00A45FE7"/>
    <w:rsid w:val="00A465AB"/>
    <w:rsid w:val="00A465EE"/>
    <w:rsid w:val="00A46671"/>
    <w:rsid w:val="00A46889"/>
    <w:rsid w:val="00A46FDC"/>
    <w:rsid w:val="00A475A4"/>
    <w:rsid w:val="00A476AB"/>
    <w:rsid w:val="00A476AD"/>
    <w:rsid w:val="00A500DF"/>
    <w:rsid w:val="00A50325"/>
    <w:rsid w:val="00A50374"/>
    <w:rsid w:val="00A5048E"/>
    <w:rsid w:val="00A5159D"/>
    <w:rsid w:val="00A5170B"/>
    <w:rsid w:val="00A51D4F"/>
    <w:rsid w:val="00A51E6A"/>
    <w:rsid w:val="00A51F02"/>
    <w:rsid w:val="00A52542"/>
    <w:rsid w:val="00A52CDA"/>
    <w:rsid w:val="00A52E68"/>
    <w:rsid w:val="00A52EE5"/>
    <w:rsid w:val="00A530DB"/>
    <w:rsid w:val="00A531B9"/>
    <w:rsid w:val="00A5344F"/>
    <w:rsid w:val="00A534B3"/>
    <w:rsid w:val="00A53A79"/>
    <w:rsid w:val="00A53BC3"/>
    <w:rsid w:val="00A53EEA"/>
    <w:rsid w:val="00A53F0A"/>
    <w:rsid w:val="00A53FCA"/>
    <w:rsid w:val="00A54170"/>
    <w:rsid w:val="00A5454D"/>
    <w:rsid w:val="00A5549F"/>
    <w:rsid w:val="00A555EF"/>
    <w:rsid w:val="00A5576E"/>
    <w:rsid w:val="00A55BF4"/>
    <w:rsid w:val="00A55EC6"/>
    <w:rsid w:val="00A5625B"/>
    <w:rsid w:val="00A56940"/>
    <w:rsid w:val="00A56E1E"/>
    <w:rsid w:val="00A5711D"/>
    <w:rsid w:val="00A573A9"/>
    <w:rsid w:val="00A57570"/>
    <w:rsid w:val="00A57962"/>
    <w:rsid w:val="00A57B5C"/>
    <w:rsid w:val="00A60050"/>
    <w:rsid w:val="00A60198"/>
    <w:rsid w:val="00A605D5"/>
    <w:rsid w:val="00A61BEA"/>
    <w:rsid w:val="00A61CFE"/>
    <w:rsid w:val="00A6201E"/>
    <w:rsid w:val="00A62A16"/>
    <w:rsid w:val="00A62AC9"/>
    <w:rsid w:val="00A62AD3"/>
    <w:rsid w:val="00A62B2F"/>
    <w:rsid w:val="00A62E52"/>
    <w:rsid w:val="00A62F24"/>
    <w:rsid w:val="00A6307A"/>
    <w:rsid w:val="00A63800"/>
    <w:rsid w:val="00A63AC0"/>
    <w:rsid w:val="00A640F7"/>
    <w:rsid w:val="00A644F2"/>
    <w:rsid w:val="00A647B3"/>
    <w:rsid w:val="00A649B9"/>
    <w:rsid w:val="00A64BA0"/>
    <w:rsid w:val="00A64CC0"/>
    <w:rsid w:val="00A65FDA"/>
    <w:rsid w:val="00A66117"/>
    <w:rsid w:val="00A663FD"/>
    <w:rsid w:val="00A66A6A"/>
    <w:rsid w:val="00A6704C"/>
    <w:rsid w:val="00A67685"/>
    <w:rsid w:val="00A6786B"/>
    <w:rsid w:val="00A67C52"/>
    <w:rsid w:val="00A67D63"/>
    <w:rsid w:val="00A70A68"/>
    <w:rsid w:val="00A70C2F"/>
    <w:rsid w:val="00A71935"/>
    <w:rsid w:val="00A7221B"/>
    <w:rsid w:val="00A724C9"/>
    <w:rsid w:val="00A7273C"/>
    <w:rsid w:val="00A72868"/>
    <w:rsid w:val="00A72872"/>
    <w:rsid w:val="00A72AF4"/>
    <w:rsid w:val="00A72CA6"/>
    <w:rsid w:val="00A72F47"/>
    <w:rsid w:val="00A73016"/>
    <w:rsid w:val="00A7325B"/>
    <w:rsid w:val="00A73B5C"/>
    <w:rsid w:val="00A741DC"/>
    <w:rsid w:val="00A74564"/>
    <w:rsid w:val="00A748B8"/>
    <w:rsid w:val="00A7508C"/>
    <w:rsid w:val="00A751AD"/>
    <w:rsid w:val="00A759BE"/>
    <w:rsid w:val="00A75BC6"/>
    <w:rsid w:val="00A76051"/>
    <w:rsid w:val="00A76DDC"/>
    <w:rsid w:val="00A776A3"/>
    <w:rsid w:val="00A77C74"/>
    <w:rsid w:val="00A77F3D"/>
    <w:rsid w:val="00A77FA3"/>
    <w:rsid w:val="00A80369"/>
    <w:rsid w:val="00A803F7"/>
    <w:rsid w:val="00A80FCB"/>
    <w:rsid w:val="00A81254"/>
    <w:rsid w:val="00A812E3"/>
    <w:rsid w:val="00A8176D"/>
    <w:rsid w:val="00A81C8C"/>
    <w:rsid w:val="00A81E30"/>
    <w:rsid w:val="00A82B42"/>
    <w:rsid w:val="00A82F9A"/>
    <w:rsid w:val="00A832A7"/>
    <w:rsid w:val="00A8346B"/>
    <w:rsid w:val="00A8421F"/>
    <w:rsid w:val="00A846D8"/>
    <w:rsid w:val="00A84A9E"/>
    <w:rsid w:val="00A8538B"/>
    <w:rsid w:val="00A85537"/>
    <w:rsid w:val="00A859AE"/>
    <w:rsid w:val="00A85A05"/>
    <w:rsid w:val="00A86162"/>
    <w:rsid w:val="00A8621F"/>
    <w:rsid w:val="00A86C38"/>
    <w:rsid w:val="00A86D3D"/>
    <w:rsid w:val="00A87448"/>
    <w:rsid w:val="00A87493"/>
    <w:rsid w:val="00A87A98"/>
    <w:rsid w:val="00A87AB5"/>
    <w:rsid w:val="00A87C56"/>
    <w:rsid w:val="00A87E92"/>
    <w:rsid w:val="00A87FA3"/>
    <w:rsid w:val="00A907E6"/>
    <w:rsid w:val="00A90B1F"/>
    <w:rsid w:val="00A90B3F"/>
    <w:rsid w:val="00A90B78"/>
    <w:rsid w:val="00A9109C"/>
    <w:rsid w:val="00A9118E"/>
    <w:rsid w:val="00A9165E"/>
    <w:rsid w:val="00A91871"/>
    <w:rsid w:val="00A918E5"/>
    <w:rsid w:val="00A918F8"/>
    <w:rsid w:val="00A91C5C"/>
    <w:rsid w:val="00A91E59"/>
    <w:rsid w:val="00A91EEB"/>
    <w:rsid w:val="00A92372"/>
    <w:rsid w:val="00A92E17"/>
    <w:rsid w:val="00A935A5"/>
    <w:rsid w:val="00A93F50"/>
    <w:rsid w:val="00A947BE"/>
    <w:rsid w:val="00A94B6C"/>
    <w:rsid w:val="00A94C72"/>
    <w:rsid w:val="00A9585F"/>
    <w:rsid w:val="00A9586E"/>
    <w:rsid w:val="00A95B84"/>
    <w:rsid w:val="00A95C50"/>
    <w:rsid w:val="00A95C7D"/>
    <w:rsid w:val="00A95D9F"/>
    <w:rsid w:val="00A961BE"/>
    <w:rsid w:val="00A962FF"/>
    <w:rsid w:val="00A96425"/>
    <w:rsid w:val="00A9648D"/>
    <w:rsid w:val="00A965C4"/>
    <w:rsid w:val="00A967C5"/>
    <w:rsid w:val="00A96997"/>
    <w:rsid w:val="00A96C8C"/>
    <w:rsid w:val="00A96CD7"/>
    <w:rsid w:val="00A96DEE"/>
    <w:rsid w:val="00A9724B"/>
    <w:rsid w:val="00A97577"/>
    <w:rsid w:val="00A976E6"/>
    <w:rsid w:val="00AA01BB"/>
    <w:rsid w:val="00AA0F1C"/>
    <w:rsid w:val="00AA20C8"/>
    <w:rsid w:val="00AA2484"/>
    <w:rsid w:val="00AA2591"/>
    <w:rsid w:val="00AA28DC"/>
    <w:rsid w:val="00AA2A51"/>
    <w:rsid w:val="00AA3241"/>
    <w:rsid w:val="00AA3FFC"/>
    <w:rsid w:val="00AA4267"/>
    <w:rsid w:val="00AA44A5"/>
    <w:rsid w:val="00AA477A"/>
    <w:rsid w:val="00AA486E"/>
    <w:rsid w:val="00AA4975"/>
    <w:rsid w:val="00AA49E5"/>
    <w:rsid w:val="00AA4F98"/>
    <w:rsid w:val="00AA5103"/>
    <w:rsid w:val="00AA5D7F"/>
    <w:rsid w:val="00AA657C"/>
    <w:rsid w:val="00AA69FA"/>
    <w:rsid w:val="00AA6E4D"/>
    <w:rsid w:val="00AA6FCE"/>
    <w:rsid w:val="00AA720A"/>
    <w:rsid w:val="00AA72C9"/>
    <w:rsid w:val="00AA789D"/>
    <w:rsid w:val="00AA7D59"/>
    <w:rsid w:val="00AB0865"/>
    <w:rsid w:val="00AB097F"/>
    <w:rsid w:val="00AB1182"/>
    <w:rsid w:val="00AB1BD8"/>
    <w:rsid w:val="00AB2161"/>
    <w:rsid w:val="00AB21FD"/>
    <w:rsid w:val="00AB22B8"/>
    <w:rsid w:val="00AB2419"/>
    <w:rsid w:val="00AB2600"/>
    <w:rsid w:val="00AB2702"/>
    <w:rsid w:val="00AB2A31"/>
    <w:rsid w:val="00AB2BDE"/>
    <w:rsid w:val="00AB2D0A"/>
    <w:rsid w:val="00AB323B"/>
    <w:rsid w:val="00AB372A"/>
    <w:rsid w:val="00AB3755"/>
    <w:rsid w:val="00AB4243"/>
    <w:rsid w:val="00AB4325"/>
    <w:rsid w:val="00AB49D1"/>
    <w:rsid w:val="00AB4C80"/>
    <w:rsid w:val="00AB4CF5"/>
    <w:rsid w:val="00AB4FE6"/>
    <w:rsid w:val="00AB5171"/>
    <w:rsid w:val="00AB5DDC"/>
    <w:rsid w:val="00AB5E09"/>
    <w:rsid w:val="00AB633C"/>
    <w:rsid w:val="00AB64C1"/>
    <w:rsid w:val="00AB64D0"/>
    <w:rsid w:val="00AB662C"/>
    <w:rsid w:val="00AB6EF5"/>
    <w:rsid w:val="00AB6F66"/>
    <w:rsid w:val="00AB72C2"/>
    <w:rsid w:val="00AB7966"/>
    <w:rsid w:val="00AB7A9A"/>
    <w:rsid w:val="00AB7AD5"/>
    <w:rsid w:val="00AB7D27"/>
    <w:rsid w:val="00AB7E0C"/>
    <w:rsid w:val="00AC0183"/>
    <w:rsid w:val="00AC01AE"/>
    <w:rsid w:val="00AC02A5"/>
    <w:rsid w:val="00AC0FD2"/>
    <w:rsid w:val="00AC138C"/>
    <w:rsid w:val="00AC151A"/>
    <w:rsid w:val="00AC16E2"/>
    <w:rsid w:val="00AC1D63"/>
    <w:rsid w:val="00AC2017"/>
    <w:rsid w:val="00AC2174"/>
    <w:rsid w:val="00AC21A8"/>
    <w:rsid w:val="00AC2518"/>
    <w:rsid w:val="00AC267D"/>
    <w:rsid w:val="00AC33D1"/>
    <w:rsid w:val="00AC38FD"/>
    <w:rsid w:val="00AC3D8E"/>
    <w:rsid w:val="00AC414B"/>
    <w:rsid w:val="00AC4395"/>
    <w:rsid w:val="00AC4402"/>
    <w:rsid w:val="00AC456A"/>
    <w:rsid w:val="00AC4C98"/>
    <w:rsid w:val="00AC597D"/>
    <w:rsid w:val="00AC5ACD"/>
    <w:rsid w:val="00AC5E96"/>
    <w:rsid w:val="00AC697B"/>
    <w:rsid w:val="00AC6EC6"/>
    <w:rsid w:val="00AC70F8"/>
    <w:rsid w:val="00AC7112"/>
    <w:rsid w:val="00AC7166"/>
    <w:rsid w:val="00AC7ED0"/>
    <w:rsid w:val="00AD090D"/>
    <w:rsid w:val="00AD0C4F"/>
    <w:rsid w:val="00AD115E"/>
    <w:rsid w:val="00AD1299"/>
    <w:rsid w:val="00AD1B0D"/>
    <w:rsid w:val="00AD2379"/>
    <w:rsid w:val="00AD2395"/>
    <w:rsid w:val="00AD283D"/>
    <w:rsid w:val="00AD2A50"/>
    <w:rsid w:val="00AD3121"/>
    <w:rsid w:val="00AD363E"/>
    <w:rsid w:val="00AD3A3A"/>
    <w:rsid w:val="00AD3DBF"/>
    <w:rsid w:val="00AD4189"/>
    <w:rsid w:val="00AD44AF"/>
    <w:rsid w:val="00AD45BA"/>
    <w:rsid w:val="00AD4704"/>
    <w:rsid w:val="00AD483E"/>
    <w:rsid w:val="00AD5038"/>
    <w:rsid w:val="00AD5B4A"/>
    <w:rsid w:val="00AD5B6F"/>
    <w:rsid w:val="00AD5EBE"/>
    <w:rsid w:val="00AD6076"/>
    <w:rsid w:val="00AD6B7E"/>
    <w:rsid w:val="00AD6F90"/>
    <w:rsid w:val="00AD703F"/>
    <w:rsid w:val="00AD7338"/>
    <w:rsid w:val="00AD7391"/>
    <w:rsid w:val="00AD73DF"/>
    <w:rsid w:val="00AD74C4"/>
    <w:rsid w:val="00AD7D0E"/>
    <w:rsid w:val="00AE04C7"/>
    <w:rsid w:val="00AE0D18"/>
    <w:rsid w:val="00AE10F9"/>
    <w:rsid w:val="00AE1209"/>
    <w:rsid w:val="00AE14D4"/>
    <w:rsid w:val="00AE26EB"/>
    <w:rsid w:val="00AE2994"/>
    <w:rsid w:val="00AE2F86"/>
    <w:rsid w:val="00AE312D"/>
    <w:rsid w:val="00AE33BE"/>
    <w:rsid w:val="00AE3470"/>
    <w:rsid w:val="00AE35D0"/>
    <w:rsid w:val="00AE36DF"/>
    <w:rsid w:val="00AE43F0"/>
    <w:rsid w:val="00AE4DE6"/>
    <w:rsid w:val="00AE4ECA"/>
    <w:rsid w:val="00AE4ECC"/>
    <w:rsid w:val="00AE56B9"/>
    <w:rsid w:val="00AE5D0D"/>
    <w:rsid w:val="00AE673D"/>
    <w:rsid w:val="00AE68C7"/>
    <w:rsid w:val="00AE6940"/>
    <w:rsid w:val="00AE7171"/>
    <w:rsid w:val="00AE7478"/>
    <w:rsid w:val="00AE76F2"/>
    <w:rsid w:val="00AF046F"/>
    <w:rsid w:val="00AF1055"/>
    <w:rsid w:val="00AF1A2F"/>
    <w:rsid w:val="00AF1B82"/>
    <w:rsid w:val="00AF2276"/>
    <w:rsid w:val="00AF2979"/>
    <w:rsid w:val="00AF2D0C"/>
    <w:rsid w:val="00AF3103"/>
    <w:rsid w:val="00AF3EE3"/>
    <w:rsid w:val="00AF3FE3"/>
    <w:rsid w:val="00AF41EC"/>
    <w:rsid w:val="00AF4217"/>
    <w:rsid w:val="00AF43E8"/>
    <w:rsid w:val="00AF4581"/>
    <w:rsid w:val="00AF4792"/>
    <w:rsid w:val="00AF490A"/>
    <w:rsid w:val="00AF4A0A"/>
    <w:rsid w:val="00AF6411"/>
    <w:rsid w:val="00AF6862"/>
    <w:rsid w:val="00AF6DC4"/>
    <w:rsid w:val="00AF72F3"/>
    <w:rsid w:val="00AF759D"/>
    <w:rsid w:val="00AF79EF"/>
    <w:rsid w:val="00AF7E44"/>
    <w:rsid w:val="00AF7F1D"/>
    <w:rsid w:val="00B00070"/>
    <w:rsid w:val="00B00E76"/>
    <w:rsid w:val="00B010AE"/>
    <w:rsid w:val="00B01362"/>
    <w:rsid w:val="00B01430"/>
    <w:rsid w:val="00B01896"/>
    <w:rsid w:val="00B01945"/>
    <w:rsid w:val="00B01A79"/>
    <w:rsid w:val="00B01BB3"/>
    <w:rsid w:val="00B0265F"/>
    <w:rsid w:val="00B029D7"/>
    <w:rsid w:val="00B030B2"/>
    <w:rsid w:val="00B03A9F"/>
    <w:rsid w:val="00B043C6"/>
    <w:rsid w:val="00B04876"/>
    <w:rsid w:val="00B04B03"/>
    <w:rsid w:val="00B05711"/>
    <w:rsid w:val="00B058D2"/>
    <w:rsid w:val="00B06A09"/>
    <w:rsid w:val="00B06D6F"/>
    <w:rsid w:val="00B06E28"/>
    <w:rsid w:val="00B07462"/>
    <w:rsid w:val="00B074A9"/>
    <w:rsid w:val="00B077FF"/>
    <w:rsid w:val="00B108DF"/>
    <w:rsid w:val="00B11096"/>
    <w:rsid w:val="00B11548"/>
    <w:rsid w:val="00B11A38"/>
    <w:rsid w:val="00B1202A"/>
    <w:rsid w:val="00B12639"/>
    <w:rsid w:val="00B137F7"/>
    <w:rsid w:val="00B1427C"/>
    <w:rsid w:val="00B144DE"/>
    <w:rsid w:val="00B14928"/>
    <w:rsid w:val="00B150F1"/>
    <w:rsid w:val="00B1583B"/>
    <w:rsid w:val="00B1598C"/>
    <w:rsid w:val="00B15D36"/>
    <w:rsid w:val="00B15F29"/>
    <w:rsid w:val="00B15F6A"/>
    <w:rsid w:val="00B16550"/>
    <w:rsid w:val="00B16A37"/>
    <w:rsid w:val="00B16DF9"/>
    <w:rsid w:val="00B16F5C"/>
    <w:rsid w:val="00B174A6"/>
    <w:rsid w:val="00B175B5"/>
    <w:rsid w:val="00B1762B"/>
    <w:rsid w:val="00B17C23"/>
    <w:rsid w:val="00B20175"/>
    <w:rsid w:val="00B20A41"/>
    <w:rsid w:val="00B20C8A"/>
    <w:rsid w:val="00B21436"/>
    <w:rsid w:val="00B2153E"/>
    <w:rsid w:val="00B219A3"/>
    <w:rsid w:val="00B22282"/>
    <w:rsid w:val="00B2269C"/>
    <w:rsid w:val="00B229FB"/>
    <w:rsid w:val="00B22D1C"/>
    <w:rsid w:val="00B232FE"/>
    <w:rsid w:val="00B2398E"/>
    <w:rsid w:val="00B23EFA"/>
    <w:rsid w:val="00B244E9"/>
    <w:rsid w:val="00B248BB"/>
    <w:rsid w:val="00B24B86"/>
    <w:rsid w:val="00B24C2E"/>
    <w:rsid w:val="00B25038"/>
    <w:rsid w:val="00B25AB5"/>
    <w:rsid w:val="00B26474"/>
    <w:rsid w:val="00B26A2E"/>
    <w:rsid w:val="00B27537"/>
    <w:rsid w:val="00B27BA1"/>
    <w:rsid w:val="00B27F2B"/>
    <w:rsid w:val="00B3012A"/>
    <w:rsid w:val="00B30419"/>
    <w:rsid w:val="00B30531"/>
    <w:rsid w:val="00B30A0C"/>
    <w:rsid w:val="00B30CD8"/>
    <w:rsid w:val="00B30ECA"/>
    <w:rsid w:val="00B31047"/>
    <w:rsid w:val="00B31917"/>
    <w:rsid w:val="00B31B43"/>
    <w:rsid w:val="00B32FCD"/>
    <w:rsid w:val="00B33D27"/>
    <w:rsid w:val="00B34D2E"/>
    <w:rsid w:val="00B34D87"/>
    <w:rsid w:val="00B35E87"/>
    <w:rsid w:val="00B36B44"/>
    <w:rsid w:val="00B36BE2"/>
    <w:rsid w:val="00B373ED"/>
    <w:rsid w:val="00B37461"/>
    <w:rsid w:val="00B37F6B"/>
    <w:rsid w:val="00B40989"/>
    <w:rsid w:val="00B40A39"/>
    <w:rsid w:val="00B40EED"/>
    <w:rsid w:val="00B41BD8"/>
    <w:rsid w:val="00B41C5F"/>
    <w:rsid w:val="00B4253C"/>
    <w:rsid w:val="00B42A90"/>
    <w:rsid w:val="00B43195"/>
    <w:rsid w:val="00B434FF"/>
    <w:rsid w:val="00B43637"/>
    <w:rsid w:val="00B43D8A"/>
    <w:rsid w:val="00B445A6"/>
    <w:rsid w:val="00B44AF0"/>
    <w:rsid w:val="00B457F0"/>
    <w:rsid w:val="00B4589D"/>
    <w:rsid w:val="00B45DF7"/>
    <w:rsid w:val="00B463C2"/>
    <w:rsid w:val="00B46475"/>
    <w:rsid w:val="00B4658C"/>
    <w:rsid w:val="00B46B27"/>
    <w:rsid w:val="00B46D22"/>
    <w:rsid w:val="00B46EBC"/>
    <w:rsid w:val="00B4747D"/>
    <w:rsid w:val="00B474F3"/>
    <w:rsid w:val="00B47DF1"/>
    <w:rsid w:val="00B50632"/>
    <w:rsid w:val="00B5183D"/>
    <w:rsid w:val="00B518B0"/>
    <w:rsid w:val="00B51CC6"/>
    <w:rsid w:val="00B51D5E"/>
    <w:rsid w:val="00B52BAE"/>
    <w:rsid w:val="00B52C20"/>
    <w:rsid w:val="00B52D27"/>
    <w:rsid w:val="00B53671"/>
    <w:rsid w:val="00B537BE"/>
    <w:rsid w:val="00B53AEF"/>
    <w:rsid w:val="00B53E78"/>
    <w:rsid w:val="00B54E14"/>
    <w:rsid w:val="00B54E3A"/>
    <w:rsid w:val="00B54E90"/>
    <w:rsid w:val="00B554DD"/>
    <w:rsid w:val="00B5587B"/>
    <w:rsid w:val="00B55F40"/>
    <w:rsid w:val="00B569CB"/>
    <w:rsid w:val="00B56E47"/>
    <w:rsid w:val="00B56E56"/>
    <w:rsid w:val="00B57278"/>
    <w:rsid w:val="00B576F3"/>
    <w:rsid w:val="00B57921"/>
    <w:rsid w:val="00B57926"/>
    <w:rsid w:val="00B60431"/>
    <w:rsid w:val="00B609B6"/>
    <w:rsid w:val="00B609C2"/>
    <w:rsid w:val="00B609CF"/>
    <w:rsid w:val="00B60CF3"/>
    <w:rsid w:val="00B60D46"/>
    <w:rsid w:val="00B60E7D"/>
    <w:rsid w:val="00B615C0"/>
    <w:rsid w:val="00B61B05"/>
    <w:rsid w:val="00B61DE8"/>
    <w:rsid w:val="00B6227D"/>
    <w:rsid w:val="00B623AE"/>
    <w:rsid w:val="00B62AC3"/>
    <w:rsid w:val="00B62BCC"/>
    <w:rsid w:val="00B6342A"/>
    <w:rsid w:val="00B63AA9"/>
    <w:rsid w:val="00B63D05"/>
    <w:rsid w:val="00B64027"/>
    <w:rsid w:val="00B64533"/>
    <w:rsid w:val="00B646A2"/>
    <w:rsid w:val="00B64AD3"/>
    <w:rsid w:val="00B64BCB"/>
    <w:rsid w:val="00B64D55"/>
    <w:rsid w:val="00B64EF3"/>
    <w:rsid w:val="00B65039"/>
    <w:rsid w:val="00B66171"/>
    <w:rsid w:val="00B66181"/>
    <w:rsid w:val="00B66360"/>
    <w:rsid w:val="00B665BA"/>
    <w:rsid w:val="00B66FDD"/>
    <w:rsid w:val="00B66FEA"/>
    <w:rsid w:val="00B670EA"/>
    <w:rsid w:val="00B67165"/>
    <w:rsid w:val="00B677EA"/>
    <w:rsid w:val="00B70D24"/>
    <w:rsid w:val="00B70FAD"/>
    <w:rsid w:val="00B710DA"/>
    <w:rsid w:val="00B711A3"/>
    <w:rsid w:val="00B711CF"/>
    <w:rsid w:val="00B715DD"/>
    <w:rsid w:val="00B71770"/>
    <w:rsid w:val="00B71BA5"/>
    <w:rsid w:val="00B71E05"/>
    <w:rsid w:val="00B71F29"/>
    <w:rsid w:val="00B71F48"/>
    <w:rsid w:val="00B7213A"/>
    <w:rsid w:val="00B7282C"/>
    <w:rsid w:val="00B72AA3"/>
    <w:rsid w:val="00B72C9B"/>
    <w:rsid w:val="00B735F7"/>
    <w:rsid w:val="00B737AA"/>
    <w:rsid w:val="00B73856"/>
    <w:rsid w:val="00B73A70"/>
    <w:rsid w:val="00B73D4A"/>
    <w:rsid w:val="00B74398"/>
    <w:rsid w:val="00B744D2"/>
    <w:rsid w:val="00B744D8"/>
    <w:rsid w:val="00B749C4"/>
    <w:rsid w:val="00B74AB5"/>
    <w:rsid w:val="00B74F85"/>
    <w:rsid w:val="00B7544C"/>
    <w:rsid w:val="00B75ADA"/>
    <w:rsid w:val="00B76065"/>
    <w:rsid w:val="00B7690E"/>
    <w:rsid w:val="00B76AA2"/>
    <w:rsid w:val="00B76F40"/>
    <w:rsid w:val="00B77766"/>
    <w:rsid w:val="00B778E1"/>
    <w:rsid w:val="00B77B5F"/>
    <w:rsid w:val="00B77BD5"/>
    <w:rsid w:val="00B800C7"/>
    <w:rsid w:val="00B8127E"/>
    <w:rsid w:val="00B818C9"/>
    <w:rsid w:val="00B81A69"/>
    <w:rsid w:val="00B82509"/>
    <w:rsid w:val="00B8260B"/>
    <w:rsid w:val="00B828BD"/>
    <w:rsid w:val="00B828FE"/>
    <w:rsid w:val="00B82BA8"/>
    <w:rsid w:val="00B8338A"/>
    <w:rsid w:val="00B8351C"/>
    <w:rsid w:val="00B83A22"/>
    <w:rsid w:val="00B8415F"/>
    <w:rsid w:val="00B8486A"/>
    <w:rsid w:val="00B8487A"/>
    <w:rsid w:val="00B84ABB"/>
    <w:rsid w:val="00B85074"/>
    <w:rsid w:val="00B857A1"/>
    <w:rsid w:val="00B859F8"/>
    <w:rsid w:val="00B859FE"/>
    <w:rsid w:val="00B862FA"/>
    <w:rsid w:val="00B86366"/>
    <w:rsid w:val="00B864A9"/>
    <w:rsid w:val="00B8666C"/>
    <w:rsid w:val="00B86D42"/>
    <w:rsid w:val="00B86F2D"/>
    <w:rsid w:val="00B87779"/>
    <w:rsid w:val="00B87825"/>
    <w:rsid w:val="00B87A6F"/>
    <w:rsid w:val="00B87A96"/>
    <w:rsid w:val="00B87ACF"/>
    <w:rsid w:val="00B87C29"/>
    <w:rsid w:val="00B87FBA"/>
    <w:rsid w:val="00B904BA"/>
    <w:rsid w:val="00B907AF"/>
    <w:rsid w:val="00B90B26"/>
    <w:rsid w:val="00B91122"/>
    <w:rsid w:val="00B913B0"/>
    <w:rsid w:val="00B91499"/>
    <w:rsid w:val="00B91712"/>
    <w:rsid w:val="00B91A18"/>
    <w:rsid w:val="00B91AFE"/>
    <w:rsid w:val="00B92AB7"/>
    <w:rsid w:val="00B92E60"/>
    <w:rsid w:val="00B92F98"/>
    <w:rsid w:val="00B93959"/>
    <w:rsid w:val="00B93C52"/>
    <w:rsid w:val="00B94214"/>
    <w:rsid w:val="00B9508F"/>
    <w:rsid w:val="00B95993"/>
    <w:rsid w:val="00B95E62"/>
    <w:rsid w:val="00B967D4"/>
    <w:rsid w:val="00B969B9"/>
    <w:rsid w:val="00B970B2"/>
    <w:rsid w:val="00B972B9"/>
    <w:rsid w:val="00BA0653"/>
    <w:rsid w:val="00BA0DBA"/>
    <w:rsid w:val="00BA0FBD"/>
    <w:rsid w:val="00BA1169"/>
    <w:rsid w:val="00BA12AF"/>
    <w:rsid w:val="00BA1821"/>
    <w:rsid w:val="00BA22F6"/>
    <w:rsid w:val="00BA2600"/>
    <w:rsid w:val="00BA2B04"/>
    <w:rsid w:val="00BA2F41"/>
    <w:rsid w:val="00BA2F7F"/>
    <w:rsid w:val="00BA305C"/>
    <w:rsid w:val="00BA33D6"/>
    <w:rsid w:val="00BA352A"/>
    <w:rsid w:val="00BA3929"/>
    <w:rsid w:val="00BA3A6E"/>
    <w:rsid w:val="00BA41E6"/>
    <w:rsid w:val="00BA436B"/>
    <w:rsid w:val="00BA4392"/>
    <w:rsid w:val="00BA46E6"/>
    <w:rsid w:val="00BA47D8"/>
    <w:rsid w:val="00BA4A7F"/>
    <w:rsid w:val="00BA4B40"/>
    <w:rsid w:val="00BA4E9C"/>
    <w:rsid w:val="00BA50D7"/>
    <w:rsid w:val="00BA56D3"/>
    <w:rsid w:val="00BA5C90"/>
    <w:rsid w:val="00BA5D26"/>
    <w:rsid w:val="00BA5E9F"/>
    <w:rsid w:val="00BA61F8"/>
    <w:rsid w:val="00BA6363"/>
    <w:rsid w:val="00BA64C8"/>
    <w:rsid w:val="00BA6C78"/>
    <w:rsid w:val="00BA6F6F"/>
    <w:rsid w:val="00BA7064"/>
    <w:rsid w:val="00BA7371"/>
    <w:rsid w:val="00BB076A"/>
    <w:rsid w:val="00BB1440"/>
    <w:rsid w:val="00BB16A8"/>
    <w:rsid w:val="00BB1BA4"/>
    <w:rsid w:val="00BB1E81"/>
    <w:rsid w:val="00BB216C"/>
    <w:rsid w:val="00BB236D"/>
    <w:rsid w:val="00BB3076"/>
    <w:rsid w:val="00BB34C4"/>
    <w:rsid w:val="00BB3755"/>
    <w:rsid w:val="00BB434E"/>
    <w:rsid w:val="00BB44B8"/>
    <w:rsid w:val="00BB4E69"/>
    <w:rsid w:val="00BB5164"/>
    <w:rsid w:val="00BB5191"/>
    <w:rsid w:val="00BB52CE"/>
    <w:rsid w:val="00BB5384"/>
    <w:rsid w:val="00BB5F1A"/>
    <w:rsid w:val="00BB6526"/>
    <w:rsid w:val="00BB69F3"/>
    <w:rsid w:val="00BB6F20"/>
    <w:rsid w:val="00BB7467"/>
    <w:rsid w:val="00BB7D13"/>
    <w:rsid w:val="00BB7D2C"/>
    <w:rsid w:val="00BC1700"/>
    <w:rsid w:val="00BC1BE9"/>
    <w:rsid w:val="00BC1D31"/>
    <w:rsid w:val="00BC255A"/>
    <w:rsid w:val="00BC25BB"/>
    <w:rsid w:val="00BC2766"/>
    <w:rsid w:val="00BC2B5B"/>
    <w:rsid w:val="00BC328B"/>
    <w:rsid w:val="00BC3409"/>
    <w:rsid w:val="00BC3410"/>
    <w:rsid w:val="00BC3638"/>
    <w:rsid w:val="00BC3FD1"/>
    <w:rsid w:val="00BC40E2"/>
    <w:rsid w:val="00BC4AA2"/>
    <w:rsid w:val="00BC5107"/>
    <w:rsid w:val="00BC5738"/>
    <w:rsid w:val="00BC574A"/>
    <w:rsid w:val="00BC5A98"/>
    <w:rsid w:val="00BC5B32"/>
    <w:rsid w:val="00BC67B4"/>
    <w:rsid w:val="00BC687D"/>
    <w:rsid w:val="00BC6A00"/>
    <w:rsid w:val="00BC70C5"/>
    <w:rsid w:val="00BC7449"/>
    <w:rsid w:val="00BD0176"/>
    <w:rsid w:val="00BD0543"/>
    <w:rsid w:val="00BD06DF"/>
    <w:rsid w:val="00BD09E8"/>
    <w:rsid w:val="00BD0CFB"/>
    <w:rsid w:val="00BD1325"/>
    <w:rsid w:val="00BD13DA"/>
    <w:rsid w:val="00BD1C05"/>
    <w:rsid w:val="00BD1C3D"/>
    <w:rsid w:val="00BD2127"/>
    <w:rsid w:val="00BD212F"/>
    <w:rsid w:val="00BD23D6"/>
    <w:rsid w:val="00BD2595"/>
    <w:rsid w:val="00BD2B10"/>
    <w:rsid w:val="00BD359D"/>
    <w:rsid w:val="00BD38EF"/>
    <w:rsid w:val="00BD3A81"/>
    <w:rsid w:val="00BD421F"/>
    <w:rsid w:val="00BD43FB"/>
    <w:rsid w:val="00BD4448"/>
    <w:rsid w:val="00BD4926"/>
    <w:rsid w:val="00BD4EC5"/>
    <w:rsid w:val="00BD4FD9"/>
    <w:rsid w:val="00BD5252"/>
    <w:rsid w:val="00BD5E12"/>
    <w:rsid w:val="00BD6129"/>
    <w:rsid w:val="00BD6297"/>
    <w:rsid w:val="00BD65A3"/>
    <w:rsid w:val="00BD691E"/>
    <w:rsid w:val="00BD7059"/>
    <w:rsid w:val="00BD7659"/>
    <w:rsid w:val="00BD7A3E"/>
    <w:rsid w:val="00BD7C9E"/>
    <w:rsid w:val="00BE03E6"/>
    <w:rsid w:val="00BE05D4"/>
    <w:rsid w:val="00BE144E"/>
    <w:rsid w:val="00BE216E"/>
    <w:rsid w:val="00BE23E2"/>
    <w:rsid w:val="00BE24EA"/>
    <w:rsid w:val="00BE2657"/>
    <w:rsid w:val="00BE2746"/>
    <w:rsid w:val="00BE2A51"/>
    <w:rsid w:val="00BE2B22"/>
    <w:rsid w:val="00BE2F8A"/>
    <w:rsid w:val="00BE303F"/>
    <w:rsid w:val="00BE36D3"/>
    <w:rsid w:val="00BE3AF4"/>
    <w:rsid w:val="00BE3B7B"/>
    <w:rsid w:val="00BE3E20"/>
    <w:rsid w:val="00BE42B9"/>
    <w:rsid w:val="00BE4619"/>
    <w:rsid w:val="00BE4D49"/>
    <w:rsid w:val="00BE5905"/>
    <w:rsid w:val="00BE5ABD"/>
    <w:rsid w:val="00BE5C28"/>
    <w:rsid w:val="00BE5FFB"/>
    <w:rsid w:val="00BE617E"/>
    <w:rsid w:val="00BE61FF"/>
    <w:rsid w:val="00BE6330"/>
    <w:rsid w:val="00BE6549"/>
    <w:rsid w:val="00BE65AE"/>
    <w:rsid w:val="00BE6902"/>
    <w:rsid w:val="00BE6E7E"/>
    <w:rsid w:val="00BE6EA7"/>
    <w:rsid w:val="00BE73C4"/>
    <w:rsid w:val="00BE7C64"/>
    <w:rsid w:val="00BF0155"/>
    <w:rsid w:val="00BF03EF"/>
    <w:rsid w:val="00BF0B4E"/>
    <w:rsid w:val="00BF1AB7"/>
    <w:rsid w:val="00BF2899"/>
    <w:rsid w:val="00BF28D8"/>
    <w:rsid w:val="00BF3286"/>
    <w:rsid w:val="00BF3852"/>
    <w:rsid w:val="00BF3960"/>
    <w:rsid w:val="00BF39B7"/>
    <w:rsid w:val="00BF3D12"/>
    <w:rsid w:val="00BF427C"/>
    <w:rsid w:val="00BF42B3"/>
    <w:rsid w:val="00BF48E8"/>
    <w:rsid w:val="00BF59FF"/>
    <w:rsid w:val="00BF5D91"/>
    <w:rsid w:val="00BF633C"/>
    <w:rsid w:val="00BF6754"/>
    <w:rsid w:val="00BF6A67"/>
    <w:rsid w:val="00BF6BC7"/>
    <w:rsid w:val="00BF74DA"/>
    <w:rsid w:val="00BF7FB3"/>
    <w:rsid w:val="00C00759"/>
    <w:rsid w:val="00C00825"/>
    <w:rsid w:val="00C00B11"/>
    <w:rsid w:val="00C00B4A"/>
    <w:rsid w:val="00C013EE"/>
    <w:rsid w:val="00C017FB"/>
    <w:rsid w:val="00C019DB"/>
    <w:rsid w:val="00C02215"/>
    <w:rsid w:val="00C02283"/>
    <w:rsid w:val="00C02896"/>
    <w:rsid w:val="00C02C66"/>
    <w:rsid w:val="00C02DB0"/>
    <w:rsid w:val="00C03161"/>
    <w:rsid w:val="00C031EA"/>
    <w:rsid w:val="00C0371C"/>
    <w:rsid w:val="00C0388E"/>
    <w:rsid w:val="00C03DB5"/>
    <w:rsid w:val="00C04129"/>
    <w:rsid w:val="00C04191"/>
    <w:rsid w:val="00C04AAC"/>
    <w:rsid w:val="00C055ED"/>
    <w:rsid w:val="00C05830"/>
    <w:rsid w:val="00C0598B"/>
    <w:rsid w:val="00C05D59"/>
    <w:rsid w:val="00C05EFC"/>
    <w:rsid w:val="00C0702D"/>
    <w:rsid w:val="00C0706E"/>
    <w:rsid w:val="00C101D4"/>
    <w:rsid w:val="00C101D9"/>
    <w:rsid w:val="00C10A1C"/>
    <w:rsid w:val="00C10B5F"/>
    <w:rsid w:val="00C1179F"/>
    <w:rsid w:val="00C11F05"/>
    <w:rsid w:val="00C12600"/>
    <w:rsid w:val="00C12B9B"/>
    <w:rsid w:val="00C12C6A"/>
    <w:rsid w:val="00C12FD7"/>
    <w:rsid w:val="00C130C0"/>
    <w:rsid w:val="00C13455"/>
    <w:rsid w:val="00C143DF"/>
    <w:rsid w:val="00C14404"/>
    <w:rsid w:val="00C144A5"/>
    <w:rsid w:val="00C14C29"/>
    <w:rsid w:val="00C152DF"/>
    <w:rsid w:val="00C15912"/>
    <w:rsid w:val="00C15995"/>
    <w:rsid w:val="00C160C5"/>
    <w:rsid w:val="00C16571"/>
    <w:rsid w:val="00C16EDC"/>
    <w:rsid w:val="00C16FDA"/>
    <w:rsid w:val="00C174C8"/>
    <w:rsid w:val="00C17826"/>
    <w:rsid w:val="00C1792C"/>
    <w:rsid w:val="00C17B01"/>
    <w:rsid w:val="00C205EA"/>
    <w:rsid w:val="00C207CB"/>
    <w:rsid w:val="00C210EB"/>
    <w:rsid w:val="00C21BF0"/>
    <w:rsid w:val="00C21C4F"/>
    <w:rsid w:val="00C22036"/>
    <w:rsid w:val="00C221EB"/>
    <w:rsid w:val="00C226CA"/>
    <w:rsid w:val="00C22ECA"/>
    <w:rsid w:val="00C234AC"/>
    <w:rsid w:val="00C23AFD"/>
    <w:rsid w:val="00C23BB6"/>
    <w:rsid w:val="00C23BF9"/>
    <w:rsid w:val="00C24A52"/>
    <w:rsid w:val="00C25973"/>
    <w:rsid w:val="00C25CC1"/>
    <w:rsid w:val="00C26020"/>
    <w:rsid w:val="00C2609F"/>
    <w:rsid w:val="00C26990"/>
    <w:rsid w:val="00C26A0E"/>
    <w:rsid w:val="00C26BB3"/>
    <w:rsid w:val="00C26C56"/>
    <w:rsid w:val="00C270C2"/>
    <w:rsid w:val="00C2736D"/>
    <w:rsid w:val="00C30730"/>
    <w:rsid w:val="00C30E56"/>
    <w:rsid w:val="00C310AD"/>
    <w:rsid w:val="00C312F7"/>
    <w:rsid w:val="00C31CBE"/>
    <w:rsid w:val="00C321A5"/>
    <w:rsid w:val="00C327DD"/>
    <w:rsid w:val="00C32953"/>
    <w:rsid w:val="00C3296F"/>
    <w:rsid w:val="00C33039"/>
    <w:rsid w:val="00C33105"/>
    <w:rsid w:val="00C33119"/>
    <w:rsid w:val="00C333CD"/>
    <w:rsid w:val="00C336D7"/>
    <w:rsid w:val="00C33A3F"/>
    <w:rsid w:val="00C33DC0"/>
    <w:rsid w:val="00C33F2A"/>
    <w:rsid w:val="00C344B2"/>
    <w:rsid w:val="00C350DF"/>
    <w:rsid w:val="00C364A0"/>
    <w:rsid w:val="00C364E6"/>
    <w:rsid w:val="00C36CB3"/>
    <w:rsid w:val="00C36FE6"/>
    <w:rsid w:val="00C371CB"/>
    <w:rsid w:val="00C37433"/>
    <w:rsid w:val="00C3791F"/>
    <w:rsid w:val="00C37EB0"/>
    <w:rsid w:val="00C37EF0"/>
    <w:rsid w:val="00C403FC"/>
    <w:rsid w:val="00C405FD"/>
    <w:rsid w:val="00C408EF"/>
    <w:rsid w:val="00C41185"/>
    <w:rsid w:val="00C41BAA"/>
    <w:rsid w:val="00C41C38"/>
    <w:rsid w:val="00C42102"/>
    <w:rsid w:val="00C422D0"/>
    <w:rsid w:val="00C42A07"/>
    <w:rsid w:val="00C42D45"/>
    <w:rsid w:val="00C4328E"/>
    <w:rsid w:val="00C43491"/>
    <w:rsid w:val="00C43986"/>
    <w:rsid w:val="00C43C7F"/>
    <w:rsid w:val="00C4415B"/>
    <w:rsid w:val="00C4445C"/>
    <w:rsid w:val="00C44A36"/>
    <w:rsid w:val="00C45313"/>
    <w:rsid w:val="00C45578"/>
    <w:rsid w:val="00C456A8"/>
    <w:rsid w:val="00C457D7"/>
    <w:rsid w:val="00C45A3D"/>
    <w:rsid w:val="00C45BDD"/>
    <w:rsid w:val="00C45D15"/>
    <w:rsid w:val="00C474DC"/>
    <w:rsid w:val="00C474F9"/>
    <w:rsid w:val="00C47A53"/>
    <w:rsid w:val="00C502B6"/>
    <w:rsid w:val="00C5059F"/>
    <w:rsid w:val="00C509C7"/>
    <w:rsid w:val="00C50E74"/>
    <w:rsid w:val="00C50F99"/>
    <w:rsid w:val="00C50FA8"/>
    <w:rsid w:val="00C5101D"/>
    <w:rsid w:val="00C5174B"/>
    <w:rsid w:val="00C51830"/>
    <w:rsid w:val="00C519A4"/>
    <w:rsid w:val="00C51DAB"/>
    <w:rsid w:val="00C52581"/>
    <w:rsid w:val="00C528BA"/>
    <w:rsid w:val="00C52D89"/>
    <w:rsid w:val="00C53B63"/>
    <w:rsid w:val="00C5487B"/>
    <w:rsid w:val="00C54B2A"/>
    <w:rsid w:val="00C54D0E"/>
    <w:rsid w:val="00C54E64"/>
    <w:rsid w:val="00C55310"/>
    <w:rsid w:val="00C553E6"/>
    <w:rsid w:val="00C555A7"/>
    <w:rsid w:val="00C55989"/>
    <w:rsid w:val="00C56945"/>
    <w:rsid w:val="00C56FEE"/>
    <w:rsid w:val="00C57877"/>
    <w:rsid w:val="00C57D82"/>
    <w:rsid w:val="00C600DD"/>
    <w:rsid w:val="00C60291"/>
    <w:rsid w:val="00C60337"/>
    <w:rsid w:val="00C60368"/>
    <w:rsid w:val="00C6038D"/>
    <w:rsid w:val="00C60597"/>
    <w:rsid w:val="00C60A36"/>
    <w:rsid w:val="00C60BA1"/>
    <w:rsid w:val="00C60E18"/>
    <w:rsid w:val="00C6118A"/>
    <w:rsid w:val="00C61606"/>
    <w:rsid w:val="00C618A1"/>
    <w:rsid w:val="00C61B76"/>
    <w:rsid w:val="00C62CA9"/>
    <w:rsid w:val="00C63521"/>
    <w:rsid w:val="00C64068"/>
    <w:rsid w:val="00C64232"/>
    <w:rsid w:val="00C6471E"/>
    <w:rsid w:val="00C651E2"/>
    <w:rsid w:val="00C65CFC"/>
    <w:rsid w:val="00C6622E"/>
    <w:rsid w:val="00C664D4"/>
    <w:rsid w:val="00C66704"/>
    <w:rsid w:val="00C66E41"/>
    <w:rsid w:val="00C66F11"/>
    <w:rsid w:val="00C67E4A"/>
    <w:rsid w:val="00C705D5"/>
    <w:rsid w:val="00C7062C"/>
    <w:rsid w:val="00C70B0A"/>
    <w:rsid w:val="00C70B6E"/>
    <w:rsid w:val="00C70D30"/>
    <w:rsid w:val="00C70D6C"/>
    <w:rsid w:val="00C71A26"/>
    <w:rsid w:val="00C71A2B"/>
    <w:rsid w:val="00C71D6E"/>
    <w:rsid w:val="00C72B94"/>
    <w:rsid w:val="00C72E56"/>
    <w:rsid w:val="00C7356A"/>
    <w:rsid w:val="00C737A1"/>
    <w:rsid w:val="00C7380A"/>
    <w:rsid w:val="00C738A9"/>
    <w:rsid w:val="00C73AED"/>
    <w:rsid w:val="00C741C7"/>
    <w:rsid w:val="00C744B4"/>
    <w:rsid w:val="00C74AA3"/>
    <w:rsid w:val="00C74DF6"/>
    <w:rsid w:val="00C7513B"/>
    <w:rsid w:val="00C75286"/>
    <w:rsid w:val="00C7551E"/>
    <w:rsid w:val="00C7613D"/>
    <w:rsid w:val="00C763FA"/>
    <w:rsid w:val="00C76B9B"/>
    <w:rsid w:val="00C76C9D"/>
    <w:rsid w:val="00C77731"/>
    <w:rsid w:val="00C804C0"/>
    <w:rsid w:val="00C80C14"/>
    <w:rsid w:val="00C80CCC"/>
    <w:rsid w:val="00C80D6F"/>
    <w:rsid w:val="00C81376"/>
    <w:rsid w:val="00C81389"/>
    <w:rsid w:val="00C818BD"/>
    <w:rsid w:val="00C81B19"/>
    <w:rsid w:val="00C81C38"/>
    <w:rsid w:val="00C82B6D"/>
    <w:rsid w:val="00C82BC7"/>
    <w:rsid w:val="00C82F46"/>
    <w:rsid w:val="00C83704"/>
    <w:rsid w:val="00C83B9E"/>
    <w:rsid w:val="00C83C7C"/>
    <w:rsid w:val="00C83E6D"/>
    <w:rsid w:val="00C84099"/>
    <w:rsid w:val="00C84165"/>
    <w:rsid w:val="00C845D4"/>
    <w:rsid w:val="00C8461C"/>
    <w:rsid w:val="00C84AFE"/>
    <w:rsid w:val="00C855DB"/>
    <w:rsid w:val="00C85608"/>
    <w:rsid w:val="00C856CF"/>
    <w:rsid w:val="00C85C35"/>
    <w:rsid w:val="00C8679E"/>
    <w:rsid w:val="00C8696B"/>
    <w:rsid w:val="00C8698C"/>
    <w:rsid w:val="00C86BE1"/>
    <w:rsid w:val="00C86E8F"/>
    <w:rsid w:val="00C87036"/>
    <w:rsid w:val="00C8788D"/>
    <w:rsid w:val="00C87CFB"/>
    <w:rsid w:val="00C87E3E"/>
    <w:rsid w:val="00C87ED8"/>
    <w:rsid w:val="00C87EFD"/>
    <w:rsid w:val="00C87F30"/>
    <w:rsid w:val="00C9098E"/>
    <w:rsid w:val="00C90E06"/>
    <w:rsid w:val="00C90F0A"/>
    <w:rsid w:val="00C91201"/>
    <w:rsid w:val="00C913E4"/>
    <w:rsid w:val="00C91D1D"/>
    <w:rsid w:val="00C91ED9"/>
    <w:rsid w:val="00C9216D"/>
    <w:rsid w:val="00C92466"/>
    <w:rsid w:val="00C92BA7"/>
    <w:rsid w:val="00C92EC9"/>
    <w:rsid w:val="00C93562"/>
    <w:rsid w:val="00C93B8A"/>
    <w:rsid w:val="00C9425A"/>
    <w:rsid w:val="00C94465"/>
    <w:rsid w:val="00C94F86"/>
    <w:rsid w:val="00C95124"/>
    <w:rsid w:val="00C95439"/>
    <w:rsid w:val="00C954F8"/>
    <w:rsid w:val="00C956A0"/>
    <w:rsid w:val="00C96359"/>
    <w:rsid w:val="00C96510"/>
    <w:rsid w:val="00C966DB"/>
    <w:rsid w:val="00C96A5E"/>
    <w:rsid w:val="00C96BDD"/>
    <w:rsid w:val="00C970C5"/>
    <w:rsid w:val="00C97420"/>
    <w:rsid w:val="00C97AEB"/>
    <w:rsid w:val="00CA01A7"/>
    <w:rsid w:val="00CA0459"/>
    <w:rsid w:val="00CA0542"/>
    <w:rsid w:val="00CA0589"/>
    <w:rsid w:val="00CA1777"/>
    <w:rsid w:val="00CA1A28"/>
    <w:rsid w:val="00CA1C5B"/>
    <w:rsid w:val="00CA24EC"/>
    <w:rsid w:val="00CA25F6"/>
    <w:rsid w:val="00CA2B76"/>
    <w:rsid w:val="00CA2D98"/>
    <w:rsid w:val="00CA2DEC"/>
    <w:rsid w:val="00CA3BD0"/>
    <w:rsid w:val="00CA3E98"/>
    <w:rsid w:val="00CA3EE9"/>
    <w:rsid w:val="00CA469B"/>
    <w:rsid w:val="00CA49CC"/>
    <w:rsid w:val="00CA49EE"/>
    <w:rsid w:val="00CA519A"/>
    <w:rsid w:val="00CA524C"/>
    <w:rsid w:val="00CA527B"/>
    <w:rsid w:val="00CA5713"/>
    <w:rsid w:val="00CA5899"/>
    <w:rsid w:val="00CA5B3E"/>
    <w:rsid w:val="00CA5C0A"/>
    <w:rsid w:val="00CA5D68"/>
    <w:rsid w:val="00CA6A96"/>
    <w:rsid w:val="00CA6D57"/>
    <w:rsid w:val="00CA6E2D"/>
    <w:rsid w:val="00CA7083"/>
    <w:rsid w:val="00CA7585"/>
    <w:rsid w:val="00CA7924"/>
    <w:rsid w:val="00CA7997"/>
    <w:rsid w:val="00CA79FB"/>
    <w:rsid w:val="00CA7C69"/>
    <w:rsid w:val="00CA7D07"/>
    <w:rsid w:val="00CB044F"/>
    <w:rsid w:val="00CB0882"/>
    <w:rsid w:val="00CB14EF"/>
    <w:rsid w:val="00CB1861"/>
    <w:rsid w:val="00CB1A97"/>
    <w:rsid w:val="00CB23D8"/>
    <w:rsid w:val="00CB250A"/>
    <w:rsid w:val="00CB25B8"/>
    <w:rsid w:val="00CB261C"/>
    <w:rsid w:val="00CB2E9B"/>
    <w:rsid w:val="00CB309F"/>
    <w:rsid w:val="00CB348A"/>
    <w:rsid w:val="00CB3901"/>
    <w:rsid w:val="00CB39F0"/>
    <w:rsid w:val="00CB3AAB"/>
    <w:rsid w:val="00CB3D14"/>
    <w:rsid w:val="00CB3D33"/>
    <w:rsid w:val="00CB3DD1"/>
    <w:rsid w:val="00CB418D"/>
    <w:rsid w:val="00CB5118"/>
    <w:rsid w:val="00CB5143"/>
    <w:rsid w:val="00CB576B"/>
    <w:rsid w:val="00CB5801"/>
    <w:rsid w:val="00CB5815"/>
    <w:rsid w:val="00CB5E1B"/>
    <w:rsid w:val="00CB5E80"/>
    <w:rsid w:val="00CB63C0"/>
    <w:rsid w:val="00CB6A1D"/>
    <w:rsid w:val="00CB7ADF"/>
    <w:rsid w:val="00CC0278"/>
    <w:rsid w:val="00CC03A3"/>
    <w:rsid w:val="00CC0419"/>
    <w:rsid w:val="00CC0D33"/>
    <w:rsid w:val="00CC10F2"/>
    <w:rsid w:val="00CC19BC"/>
    <w:rsid w:val="00CC2316"/>
    <w:rsid w:val="00CC2462"/>
    <w:rsid w:val="00CC26B1"/>
    <w:rsid w:val="00CC2A4F"/>
    <w:rsid w:val="00CC2D89"/>
    <w:rsid w:val="00CC2E64"/>
    <w:rsid w:val="00CC2FB1"/>
    <w:rsid w:val="00CC330E"/>
    <w:rsid w:val="00CC37E4"/>
    <w:rsid w:val="00CC4080"/>
    <w:rsid w:val="00CC41A0"/>
    <w:rsid w:val="00CC43B0"/>
    <w:rsid w:val="00CC55E2"/>
    <w:rsid w:val="00CC5816"/>
    <w:rsid w:val="00CC5B01"/>
    <w:rsid w:val="00CC5B4F"/>
    <w:rsid w:val="00CC60E8"/>
    <w:rsid w:val="00CC611A"/>
    <w:rsid w:val="00CC633B"/>
    <w:rsid w:val="00CC720B"/>
    <w:rsid w:val="00CC7A6C"/>
    <w:rsid w:val="00CC7A8E"/>
    <w:rsid w:val="00CC7BD0"/>
    <w:rsid w:val="00CC7BF2"/>
    <w:rsid w:val="00CC7C7A"/>
    <w:rsid w:val="00CD0491"/>
    <w:rsid w:val="00CD1AAB"/>
    <w:rsid w:val="00CD1DAA"/>
    <w:rsid w:val="00CD1E2B"/>
    <w:rsid w:val="00CD220F"/>
    <w:rsid w:val="00CD25BE"/>
    <w:rsid w:val="00CD268A"/>
    <w:rsid w:val="00CD2798"/>
    <w:rsid w:val="00CD2A10"/>
    <w:rsid w:val="00CD2DC5"/>
    <w:rsid w:val="00CD31DB"/>
    <w:rsid w:val="00CD3ED3"/>
    <w:rsid w:val="00CD4C62"/>
    <w:rsid w:val="00CD4E5E"/>
    <w:rsid w:val="00CD55B4"/>
    <w:rsid w:val="00CD5C5D"/>
    <w:rsid w:val="00CD6091"/>
    <w:rsid w:val="00CD6106"/>
    <w:rsid w:val="00CD662F"/>
    <w:rsid w:val="00CD68E1"/>
    <w:rsid w:val="00CD762B"/>
    <w:rsid w:val="00CD79F2"/>
    <w:rsid w:val="00CD7BBA"/>
    <w:rsid w:val="00CD7DF6"/>
    <w:rsid w:val="00CE0012"/>
    <w:rsid w:val="00CE00F7"/>
    <w:rsid w:val="00CE1242"/>
    <w:rsid w:val="00CE1457"/>
    <w:rsid w:val="00CE1695"/>
    <w:rsid w:val="00CE1B57"/>
    <w:rsid w:val="00CE1DA6"/>
    <w:rsid w:val="00CE2089"/>
    <w:rsid w:val="00CE2234"/>
    <w:rsid w:val="00CE223F"/>
    <w:rsid w:val="00CE267F"/>
    <w:rsid w:val="00CE3452"/>
    <w:rsid w:val="00CE4204"/>
    <w:rsid w:val="00CE458F"/>
    <w:rsid w:val="00CE4609"/>
    <w:rsid w:val="00CE48F3"/>
    <w:rsid w:val="00CE550A"/>
    <w:rsid w:val="00CE56D8"/>
    <w:rsid w:val="00CE5BEE"/>
    <w:rsid w:val="00CE5C74"/>
    <w:rsid w:val="00CE6039"/>
    <w:rsid w:val="00CE6459"/>
    <w:rsid w:val="00CE681E"/>
    <w:rsid w:val="00CE722E"/>
    <w:rsid w:val="00CE796A"/>
    <w:rsid w:val="00CE7F87"/>
    <w:rsid w:val="00CF0235"/>
    <w:rsid w:val="00CF0494"/>
    <w:rsid w:val="00CF052F"/>
    <w:rsid w:val="00CF09C4"/>
    <w:rsid w:val="00CF0A15"/>
    <w:rsid w:val="00CF14F1"/>
    <w:rsid w:val="00CF1554"/>
    <w:rsid w:val="00CF1AEC"/>
    <w:rsid w:val="00CF20AA"/>
    <w:rsid w:val="00CF24BF"/>
    <w:rsid w:val="00CF2759"/>
    <w:rsid w:val="00CF27D2"/>
    <w:rsid w:val="00CF2A7F"/>
    <w:rsid w:val="00CF3512"/>
    <w:rsid w:val="00CF3622"/>
    <w:rsid w:val="00CF3682"/>
    <w:rsid w:val="00CF370F"/>
    <w:rsid w:val="00CF4366"/>
    <w:rsid w:val="00CF4390"/>
    <w:rsid w:val="00CF43E2"/>
    <w:rsid w:val="00CF4A0B"/>
    <w:rsid w:val="00CF4DB7"/>
    <w:rsid w:val="00CF52EE"/>
    <w:rsid w:val="00CF547B"/>
    <w:rsid w:val="00CF5A21"/>
    <w:rsid w:val="00CF6441"/>
    <w:rsid w:val="00CF691D"/>
    <w:rsid w:val="00CF7550"/>
    <w:rsid w:val="00CF78EF"/>
    <w:rsid w:val="00CF79A6"/>
    <w:rsid w:val="00D0006F"/>
    <w:rsid w:val="00D0030C"/>
    <w:rsid w:val="00D00518"/>
    <w:rsid w:val="00D009E8"/>
    <w:rsid w:val="00D011DA"/>
    <w:rsid w:val="00D0121F"/>
    <w:rsid w:val="00D01263"/>
    <w:rsid w:val="00D0164D"/>
    <w:rsid w:val="00D01D4C"/>
    <w:rsid w:val="00D0210F"/>
    <w:rsid w:val="00D021C3"/>
    <w:rsid w:val="00D02BA2"/>
    <w:rsid w:val="00D02CB3"/>
    <w:rsid w:val="00D02E95"/>
    <w:rsid w:val="00D03BDB"/>
    <w:rsid w:val="00D045F2"/>
    <w:rsid w:val="00D048AB"/>
    <w:rsid w:val="00D04B16"/>
    <w:rsid w:val="00D04D1E"/>
    <w:rsid w:val="00D04D99"/>
    <w:rsid w:val="00D054DB"/>
    <w:rsid w:val="00D05555"/>
    <w:rsid w:val="00D055CD"/>
    <w:rsid w:val="00D0581B"/>
    <w:rsid w:val="00D059E2"/>
    <w:rsid w:val="00D05A19"/>
    <w:rsid w:val="00D05CB9"/>
    <w:rsid w:val="00D05CBE"/>
    <w:rsid w:val="00D06817"/>
    <w:rsid w:val="00D0720E"/>
    <w:rsid w:val="00D104C5"/>
    <w:rsid w:val="00D10F07"/>
    <w:rsid w:val="00D113C7"/>
    <w:rsid w:val="00D113E7"/>
    <w:rsid w:val="00D1151B"/>
    <w:rsid w:val="00D1182B"/>
    <w:rsid w:val="00D11F74"/>
    <w:rsid w:val="00D12028"/>
    <w:rsid w:val="00D12D38"/>
    <w:rsid w:val="00D13258"/>
    <w:rsid w:val="00D136FB"/>
    <w:rsid w:val="00D1446E"/>
    <w:rsid w:val="00D146E2"/>
    <w:rsid w:val="00D14C55"/>
    <w:rsid w:val="00D15436"/>
    <w:rsid w:val="00D15A3A"/>
    <w:rsid w:val="00D15A9D"/>
    <w:rsid w:val="00D15F46"/>
    <w:rsid w:val="00D15F75"/>
    <w:rsid w:val="00D162D6"/>
    <w:rsid w:val="00D16961"/>
    <w:rsid w:val="00D16A3D"/>
    <w:rsid w:val="00D16BC4"/>
    <w:rsid w:val="00D16FEA"/>
    <w:rsid w:val="00D1710A"/>
    <w:rsid w:val="00D1771F"/>
    <w:rsid w:val="00D17842"/>
    <w:rsid w:val="00D1785D"/>
    <w:rsid w:val="00D179CE"/>
    <w:rsid w:val="00D17D8F"/>
    <w:rsid w:val="00D17EF4"/>
    <w:rsid w:val="00D17F9B"/>
    <w:rsid w:val="00D2043F"/>
    <w:rsid w:val="00D20443"/>
    <w:rsid w:val="00D20B19"/>
    <w:rsid w:val="00D2144E"/>
    <w:rsid w:val="00D217D7"/>
    <w:rsid w:val="00D22042"/>
    <w:rsid w:val="00D225F3"/>
    <w:rsid w:val="00D22A02"/>
    <w:rsid w:val="00D23720"/>
    <w:rsid w:val="00D23996"/>
    <w:rsid w:val="00D23FFB"/>
    <w:rsid w:val="00D2402C"/>
    <w:rsid w:val="00D2491A"/>
    <w:rsid w:val="00D2503A"/>
    <w:rsid w:val="00D251BE"/>
    <w:rsid w:val="00D2543F"/>
    <w:rsid w:val="00D25848"/>
    <w:rsid w:val="00D25DD9"/>
    <w:rsid w:val="00D264AB"/>
    <w:rsid w:val="00D26F22"/>
    <w:rsid w:val="00D274C2"/>
    <w:rsid w:val="00D27526"/>
    <w:rsid w:val="00D277A6"/>
    <w:rsid w:val="00D30507"/>
    <w:rsid w:val="00D31371"/>
    <w:rsid w:val="00D3178A"/>
    <w:rsid w:val="00D31D4C"/>
    <w:rsid w:val="00D320A3"/>
    <w:rsid w:val="00D3242D"/>
    <w:rsid w:val="00D3262D"/>
    <w:rsid w:val="00D32AD8"/>
    <w:rsid w:val="00D32DE2"/>
    <w:rsid w:val="00D32EA9"/>
    <w:rsid w:val="00D3348C"/>
    <w:rsid w:val="00D33568"/>
    <w:rsid w:val="00D338C2"/>
    <w:rsid w:val="00D339F1"/>
    <w:rsid w:val="00D33E5E"/>
    <w:rsid w:val="00D343EE"/>
    <w:rsid w:val="00D34583"/>
    <w:rsid w:val="00D347D7"/>
    <w:rsid w:val="00D34A09"/>
    <w:rsid w:val="00D34D00"/>
    <w:rsid w:val="00D34F7F"/>
    <w:rsid w:val="00D350A9"/>
    <w:rsid w:val="00D356AD"/>
    <w:rsid w:val="00D35C59"/>
    <w:rsid w:val="00D36095"/>
    <w:rsid w:val="00D3631C"/>
    <w:rsid w:val="00D36596"/>
    <w:rsid w:val="00D36916"/>
    <w:rsid w:val="00D3708C"/>
    <w:rsid w:val="00D3708E"/>
    <w:rsid w:val="00D37158"/>
    <w:rsid w:val="00D37512"/>
    <w:rsid w:val="00D37876"/>
    <w:rsid w:val="00D40185"/>
    <w:rsid w:val="00D406DC"/>
    <w:rsid w:val="00D40E66"/>
    <w:rsid w:val="00D411EA"/>
    <w:rsid w:val="00D41423"/>
    <w:rsid w:val="00D41C8E"/>
    <w:rsid w:val="00D41DB6"/>
    <w:rsid w:val="00D424F4"/>
    <w:rsid w:val="00D42A62"/>
    <w:rsid w:val="00D42AFB"/>
    <w:rsid w:val="00D4317C"/>
    <w:rsid w:val="00D434F6"/>
    <w:rsid w:val="00D4377C"/>
    <w:rsid w:val="00D43C3F"/>
    <w:rsid w:val="00D44276"/>
    <w:rsid w:val="00D44587"/>
    <w:rsid w:val="00D44F8A"/>
    <w:rsid w:val="00D452A2"/>
    <w:rsid w:val="00D45417"/>
    <w:rsid w:val="00D4580A"/>
    <w:rsid w:val="00D45AB6"/>
    <w:rsid w:val="00D45BC1"/>
    <w:rsid w:val="00D45E73"/>
    <w:rsid w:val="00D461C2"/>
    <w:rsid w:val="00D46ABD"/>
    <w:rsid w:val="00D4746B"/>
    <w:rsid w:val="00D47550"/>
    <w:rsid w:val="00D478ED"/>
    <w:rsid w:val="00D47BCF"/>
    <w:rsid w:val="00D504F4"/>
    <w:rsid w:val="00D50A8C"/>
    <w:rsid w:val="00D50E5B"/>
    <w:rsid w:val="00D50FF0"/>
    <w:rsid w:val="00D5107F"/>
    <w:rsid w:val="00D51927"/>
    <w:rsid w:val="00D51A34"/>
    <w:rsid w:val="00D51AD2"/>
    <w:rsid w:val="00D52113"/>
    <w:rsid w:val="00D53019"/>
    <w:rsid w:val="00D5438C"/>
    <w:rsid w:val="00D545E0"/>
    <w:rsid w:val="00D547CC"/>
    <w:rsid w:val="00D55187"/>
    <w:rsid w:val="00D55225"/>
    <w:rsid w:val="00D55347"/>
    <w:rsid w:val="00D553B8"/>
    <w:rsid w:val="00D553EE"/>
    <w:rsid w:val="00D558EC"/>
    <w:rsid w:val="00D55BA0"/>
    <w:rsid w:val="00D560F6"/>
    <w:rsid w:val="00D56283"/>
    <w:rsid w:val="00D56428"/>
    <w:rsid w:val="00D56A51"/>
    <w:rsid w:val="00D56E54"/>
    <w:rsid w:val="00D571AE"/>
    <w:rsid w:val="00D57EFC"/>
    <w:rsid w:val="00D6009A"/>
    <w:rsid w:val="00D60DEA"/>
    <w:rsid w:val="00D61221"/>
    <w:rsid w:val="00D61E1C"/>
    <w:rsid w:val="00D6270B"/>
    <w:rsid w:val="00D628BD"/>
    <w:rsid w:val="00D62B0D"/>
    <w:rsid w:val="00D62DA5"/>
    <w:rsid w:val="00D6324B"/>
    <w:rsid w:val="00D632C9"/>
    <w:rsid w:val="00D63952"/>
    <w:rsid w:val="00D63B5C"/>
    <w:rsid w:val="00D64549"/>
    <w:rsid w:val="00D65899"/>
    <w:rsid w:val="00D65B43"/>
    <w:rsid w:val="00D65E90"/>
    <w:rsid w:val="00D65EC0"/>
    <w:rsid w:val="00D66AC7"/>
    <w:rsid w:val="00D672CF"/>
    <w:rsid w:val="00D701F1"/>
    <w:rsid w:val="00D7028F"/>
    <w:rsid w:val="00D702FA"/>
    <w:rsid w:val="00D706F9"/>
    <w:rsid w:val="00D70BE9"/>
    <w:rsid w:val="00D71005"/>
    <w:rsid w:val="00D7174C"/>
    <w:rsid w:val="00D71CF4"/>
    <w:rsid w:val="00D71E06"/>
    <w:rsid w:val="00D72265"/>
    <w:rsid w:val="00D7242A"/>
    <w:rsid w:val="00D72627"/>
    <w:rsid w:val="00D72BC0"/>
    <w:rsid w:val="00D72C72"/>
    <w:rsid w:val="00D72E56"/>
    <w:rsid w:val="00D72FD2"/>
    <w:rsid w:val="00D73343"/>
    <w:rsid w:val="00D736DE"/>
    <w:rsid w:val="00D7439C"/>
    <w:rsid w:val="00D74598"/>
    <w:rsid w:val="00D74FB6"/>
    <w:rsid w:val="00D7542E"/>
    <w:rsid w:val="00D7555F"/>
    <w:rsid w:val="00D757B4"/>
    <w:rsid w:val="00D757E3"/>
    <w:rsid w:val="00D7598F"/>
    <w:rsid w:val="00D75CB1"/>
    <w:rsid w:val="00D764F5"/>
    <w:rsid w:val="00D76CEB"/>
    <w:rsid w:val="00D76F22"/>
    <w:rsid w:val="00D77148"/>
    <w:rsid w:val="00D7717F"/>
    <w:rsid w:val="00D772BF"/>
    <w:rsid w:val="00D779BA"/>
    <w:rsid w:val="00D779BE"/>
    <w:rsid w:val="00D77CF2"/>
    <w:rsid w:val="00D77F94"/>
    <w:rsid w:val="00D80A4C"/>
    <w:rsid w:val="00D80ABB"/>
    <w:rsid w:val="00D80BB0"/>
    <w:rsid w:val="00D80CED"/>
    <w:rsid w:val="00D80EE1"/>
    <w:rsid w:val="00D816E1"/>
    <w:rsid w:val="00D81B2C"/>
    <w:rsid w:val="00D8224A"/>
    <w:rsid w:val="00D82433"/>
    <w:rsid w:val="00D82BEC"/>
    <w:rsid w:val="00D82E05"/>
    <w:rsid w:val="00D82E5F"/>
    <w:rsid w:val="00D82EB7"/>
    <w:rsid w:val="00D82F4C"/>
    <w:rsid w:val="00D830E9"/>
    <w:rsid w:val="00D83541"/>
    <w:rsid w:val="00D838C1"/>
    <w:rsid w:val="00D83D89"/>
    <w:rsid w:val="00D841D5"/>
    <w:rsid w:val="00D842EF"/>
    <w:rsid w:val="00D847BD"/>
    <w:rsid w:val="00D85936"/>
    <w:rsid w:val="00D860C6"/>
    <w:rsid w:val="00D8674B"/>
    <w:rsid w:val="00D87458"/>
    <w:rsid w:val="00D8756A"/>
    <w:rsid w:val="00D877C6"/>
    <w:rsid w:val="00D87B59"/>
    <w:rsid w:val="00D90155"/>
    <w:rsid w:val="00D90259"/>
    <w:rsid w:val="00D9063C"/>
    <w:rsid w:val="00D90790"/>
    <w:rsid w:val="00D90FFF"/>
    <w:rsid w:val="00D9126E"/>
    <w:rsid w:val="00D9131C"/>
    <w:rsid w:val="00D91484"/>
    <w:rsid w:val="00D91D58"/>
    <w:rsid w:val="00D91E1F"/>
    <w:rsid w:val="00D92453"/>
    <w:rsid w:val="00D92F75"/>
    <w:rsid w:val="00D930A9"/>
    <w:rsid w:val="00D9357D"/>
    <w:rsid w:val="00D93DD3"/>
    <w:rsid w:val="00D94362"/>
    <w:rsid w:val="00D944D5"/>
    <w:rsid w:val="00D94848"/>
    <w:rsid w:val="00D94947"/>
    <w:rsid w:val="00D949E4"/>
    <w:rsid w:val="00D94A66"/>
    <w:rsid w:val="00D95217"/>
    <w:rsid w:val="00D95703"/>
    <w:rsid w:val="00D9575F"/>
    <w:rsid w:val="00D95B02"/>
    <w:rsid w:val="00D95CE8"/>
    <w:rsid w:val="00D96014"/>
    <w:rsid w:val="00D96A8B"/>
    <w:rsid w:val="00D9761E"/>
    <w:rsid w:val="00D97691"/>
    <w:rsid w:val="00D97981"/>
    <w:rsid w:val="00DA004D"/>
    <w:rsid w:val="00DA0093"/>
    <w:rsid w:val="00DA0158"/>
    <w:rsid w:val="00DA0D64"/>
    <w:rsid w:val="00DA134C"/>
    <w:rsid w:val="00DA1430"/>
    <w:rsid w:val="00DA15EB"/>
    <w:rsid w:val="00DA16A1"/>
    <w:rsid w:val="00DA1A9D"/>
    <w:rsid w:val="00DA1F4A"/>
    <w:rsid w:val="00DA2195"/>
    <w:rsid w:val="00DA2CDF"/>
    <w:rsid w:val="00DA2F78"/>
    <w:rsid w:val="00DA31FB"/>
    <w:rsid w:val="00DA33E4"/>
    <w:rsid w:val="00DA3FAE"/>
    <w:rsid w:val="00DA4B38"/>
    <w:rsid w:val="00DA4D41"/>
    <w:rsid w:val="00DA4EB3"/>
    <w:rsid w:val="00DA4EBD"/>
    <w:rsid w:val="00DA4FEE"/>
    <w:rsid w:val="00DA5217"/>
    <w:rsid w:val="00DA558B"/>
    <w:rsid w:val="00DA5C53"/>
    <w:rsid w:val="00DA6298"/>
    <w:rsid w:val="00DA63EC"/>
    <w:rsid w:val="00DA6A74"/>
    <w:rsid w:val="00DA6B9F"/>
    <w:rsid w:val="00DA6DBB"/>
    <w:rsid w:val="00DA723A"/>
    <w:rsid w:val="00DA7D6B"/>
    <w:rsid w:val="00DA7FE3"/>
    <w:rsid w:val="00DB1191"/>
    <w:rsid w:val="00DB12E1"/>
    <w:rsid w:val="00DB1DB9"/>
    <w:rsid w:val="00DB201C"/>
    <w:rsid w:val="00DB216E"/>
    <w:rsid w:val="00DB28D7"/>
    <w:rsid w:val="00DB3098"/>
    <w:rsid w:val="00DB3D1A"/>
    <w:rsid w:val="00DB4597"/>
    <w:rsid w:val="00DB468B"/>
    <w:rsid w:val="00DB4C73"/>
    <w:rsid w:val="00DB4C76"/>
    <w:rsid w:val="00DB54A0"/>
    <w:rsid w:val="00DB5E3A"/>
    <w:rsid w:val="00DB5E71"/>
    <w:rsid w:val="00DB5FDC"/>
    <w:rsid w:val="00DB64E6"/>
    <w:rsid w:val="00DB660D"/>
    <w:rsid w:val="00DB67C5"/>
    <w:rsid w:val="00DB6CD4"/>
    <w:rsid w:val="00DB7026"/>
    <w:rsid w:val="00DB7472"/>
    <w:rsid w:val="00DB764D"/>
    <w:rsid w:val="00DB77FA"/>
    <w:rsid w:val="00DB7933"/>
    <w:rsid w:val="00DB7E2B"/>
    <w:rsid w:val="00DC081D"/>
    <w:rsid w:val="00DC0DD3"/>
    <w:rsid w:val="00DC132C"/>
    <w:rsid w:val="00DC1AF6"/>
    <w:rsid w:val="00DC1B85"/>
    <w:rsid w:val="00DC1F9A"/>
    <w:rsid w:val="00DC2CC4"/>
    <w:rsid w:val="00DC2F19"/>
    <w:rsid w:val="00DC2FDE"/>
    <w:rsid w:val="00DC32E5"/>
    <w:rsid w:val="00DC3B14"/>
    <w:rsid w:val="00DC3D35"/>
    <w:rsid w:val="00DC4697"/>
    <w:rsid w:val="00DC4BEB"/>
    <w:rsid w:val="00DC4CCC"/>
    <w:rsid w:val="00DC4E95"/>
    <w:rsid w:val="00DC54FD"/>
    <w:rsid w:val="00DC670D"/>
    <w:rsid w:val="00DC6B6D"/>
    <w:rsid w:val="00DD06E0"/>
    <w:rsid w:val="00DD0C88"/>
    <w:rsid w:val="00DD0F0A"/>
    <w:rsid w:val="00DD31D0"/>
    <w:rsid w:val="00DD322C"/>
    <w:rsid w:val="00DD3448"/>
    <w:rsid w:val="00DD38DB"/>
    <w:rsid w:val="00DD4358"/>
    <w:rsid w:val="00DD475A"/>
    <w:rsid w:val="00DD478D"/>
    <w:rsid w:val="00DD48A8"/>
    <w:rsid w:val="00DD49F8"/>
    <w:rsid w:val="00DD4DAD"/>
    <w:rsid w:val="00DD4F5E"/>
    <w:rsid w:val="00DD518B"/>
    <w:rsid w:val="00DD56D1"/>
    <w:rsid w:val="00DD574D"/>
    <w:rsid w:val="00DD576E"/>
    <w:rsid w:val="00DD576F"/>
    <w:rsid w:val="00DD5779"/>
    <w:rsid w:val="00DD654F"/>
    <w:rsid w:val="00DD68D2"/>
    <w:rsid w:val="00DE029F"/>
    <w:rsid w:val="00DE04CE"/>
    <w:rsid w:val="00DE0883"/>
    <w:rsid w:val="00DE0A04"/>
    <w:rsid w:val="00DE1457"/>
    <w:rsid w:val="00DE158C"/>
    <w:rsid w:val="00DE1F4B"/>
    <w:rsid w:val="00DE2073"/>
    <w:rsid w:val="00DE229C"/>
    <w:rsid w:val="00DE272D"/>
    <w:rsid w:val="00DE305E"/>
    <w:rsid w:val="00DE30AD"/>
    <w:rsid w:val="00DE30B3"/>
    <w:rsid w:val="00DE3195"/>
    <w:rsid w:val="00DE4326"/>
    <w:rsid w:val="00DE4418"/>
    <w:rsid w:val="00DE45BC"/>
    <w:rsid w:val="00DE46A9"/>
    <w:rsid w:val="00DE4702"/>
    <w:rsid w:val="00DE492A"/>
    <w:rsid w:val="00DE4FB2"/>
    <w:rsid w:val="00DE5342"/>
    <w:rsid w:val="00DE5547"/>
    <w:rsid w:val="00DE5743"/>
    <w:rsid w:val="00DE5A03"/>
    <w:rsid w:val="00DE5C8E"/>
    <w:rsid w:val="00DE5F38"/>
    <w:rsid w:val="00DE608E"/>
    <w:rsid w:val="00DE6111"/>
    <w:rsid w:val="00DE62EC"/>
    <w:rsid w:val="00DE66A9"/>
    <w:rsid w:val="00DE69B7"/>
    <w:rsid w:val="00DE6CEC"/>
    <w:rsid w:val="00DE7035"/>
    <w:rsid w:val="00DE74AC"/>
    <w:rsid w:val="00DE760E"/>
    <w:rsid w:val="00DE7701"/>
    <w:rsid w:val="00DE7A52"/>
    <w:rsid w:val="00DE7FBA"/>
    <w:rsid w:val="00DF01B9"/>
    <w:rsid w:val="00DF035D"/>
    <w:rsid w:val="00DF039D"/>
    <w:rsid w:val="00DF0738"/>
    <w:rsid w:val="00DF0A96"/>
    <w:rsid w:val="00DF12C9"/>
    <w:rsid w:val="00DF147B"/>
    <w:rsid w:val="00DF1E70"/>
    <w:rsid w:val="00DF3368"/>
    <w:rsid w:val="00DF3401"/>
    <w:rsid w:val="00DF37A9"/>
    <w:rsid w:val="00DF3D2F"/>
    <w:rsid w:val="00DF3D8D"/>
    <w:rsid w:val="00DF3E0B"/>
    <w:rsid w:val="00DF3F96"/>
    <w:rsid w:val="00DF497E"/>
    <w:rsid w:val="00DF4BA9"/>
    <w:rsid w:val="00DF4D01"/>
    <w:rsid w:val="00DF4D5E"/>
    <w:rsid w:val="00DF4E96"/>
    <w:rsid w:val="00DF5056"/>
    <w:rsid w:val="00DF5265"/>
    <w:rsid w:val="00DF53C6"/>
    <w:rsid w:val="00DF59ED"/>
    <w:rsid w:val="00DF5A24"/>
    <w:rsid w:val="00DF6159"/>
    <w:rsid w:val="00DF6AC0"/>
    <w:rsid w:val="00DF6FA0"/>
    <w:rsid w:val="00DF70D1"/>
    <w:rsid w:val="00DF7451"/>
    <w:rsid w:val="00DF76AD"/>
    <w:rsid w:val="00DF778D"/>
    <w:rsid w:val="00DF7A6E"/>
    <w:rsid w:val="00E00029"/>
    <w:rsid w:val="00E0008D"/>
    <w:rsid w:val="00E006CA"/>
    <w:rsid w:val="00E00B01"/>
    <w:rsid w:val="00E00FE7"/>
    <w:rsid w:val="00E01103"/>
    <w:rsid w:val="00E012BD"/>
    <w:rsid w:val="00E01638"/>
    <w:rsid w:val="00E02187"/>
    <w:rsid w:val="00E022D7"/>
    <w:rsid w:val="00E02A81"/>
    <w:rsid w:val="00E02EC9"/>
    <w:rsid w:val="00E03128"/>
    <w:rsid w:val="00E03C2D"/>
    <w:rsid w:val="00E03EC4"/>
    <w:rsid w:val="00E043EF"/>
    <w:rsid w:val="00E04C45"/>
    <w:rsid w:val="00E04F8D"/>
    <w:rsid w:val="00E0529B"/>
    <w:rsid w:val="00E05973"/>
    <w:rsid w:val="00E05DCC"/>
    <w:rsid w:val="00E06C25"/>
    <w:rsid w:val="00E06C31"/>
    <w:rsid w:val="00E06D5F"/>
    <w:rsid w:val="00E06F22"/>
    <w:rsid w:val="00E074C0"/>
    <w:rsid w:val="00E07EA8"/>
    <w:rsid w:val="00E1011A"/>
    <w:rsid w:val="00E107B5"/>
    <w:rsid w:val="00E10A7C"/>
    <w:rsid w:val="00E10BBE"/>
    <w:rsid w:val="00E11142"/>
    <w:rsid w:val="00E115B6"/>
    <w:rsid w:val="00E12129"/>
    <w:rsid w:val="00E1284B"/>
    <w:rsid w:val="00E12937"/>
    <w:rsid w:val="00E13288"/>
    <w:rsid w:val="00E132D7"/>
    <w:rsid w:val="00E13546"/>
    <w:rsid w:val="00E13B15"/>
    <w:rsid w:val="00E13B96"/>
    <w:rsid w:val="00E145B3"/>
    <w:rsid w:val="00E14E66"/>
    <w:rsid w:val="00E14F66"/>
    <w:rsid w:val="00E15160"/>
    <w:rsid w:val="00E15FE0"/>
    <w:rsid w:val="00E1631A"/>
    <w:rsid w:val="00E16B9F"/>
    <w:rsid w:val="00E171A8"/>
    <w:rsid w:val="00E17A06"/>
    <w:rsid w:val="00E17AAD"/>
    <w:rsid w:val="00E17D2D"/>
    <w:rsid w:val="00E206F9"/>
    <w:rsid w:val="00E208B2"/>
    <w:rsid w:val="00E20A0B"/>
    <w:rsid w:val="00E20E31"/>
    <w:rsid w:val="00E21E10"/>
    <w:rsid w:val="00E226F5"/>
    <w:rsid w:val="00E228FB"/>
    <w:rsid w:val="00E22981"/>
    <w:rsid w:val="00E22AD3"/>
    <w:rsid w:val="00E22F33"/>
    <w:rsid w:val="00E23144"/>
    <w:rsid w:val="00E232BC"/>
    <w:rsid w:val="00E23572"/>
    <w:rsid w:val="00E2367A"/>
    <w:rsid w:val="00E23762"/>
    <w:rsid w:val="00E23CF0"/>
    <w:rsid w:val="00E23EE9"/>
    <w:rsid w:val="00E24000"/>
    <w:rsid w:val="00E240A1"/>
    <w:rsid w:val="00E2426A"/>
    <w:rsid w:val="00E243BB"/>
    <w:rsid w:val="00E244B4"/>
    <w:rsid w:val="00E247F3"/>
    <w:rsid w:val="00E24D63"/>
    <w:rsid w:val="00E24E98"/>
    <w:rsid w:val="00E2544E"/>
    <w:rsid w:val="00E26608"/>
    <w:rsid w:val="00E269BE"/>
    <w:rsid w:val="00E272E6"/>
    <w:rsid w:val="00E27F94"/>
    <w:rsid w:val="00E3001F"/>
    <w:rsid w:val="00E303CE"/>
    <w:rsid w:val="00E303F4"/>
    <w:rsid w:val="00E30BB4"/>
    <w:rsid w:val="00E31070"/>
    <w:rsid w:val="00E31359"/>
    <w:rsid w:val="00E31744"/>
    <w:rsid w:val="00E318D8"/>
    <w:rsid w:val="00E31D57"/>
    <w:rsid w:val="00E31D72"/>
    <w:rsid w:val="00E31E53"/>
    <w:rsid w:val="00E31E7E"/>
    <w:rsid w:val="00E320B4"/>
    <w:rsid w:val="00E32121"/>
    <w:rsid w:val="00E32D5A"/>
    <w:rsid w:val="00E32E0D"/>
    <w:rsid w:val="00E334BC"/>
    <w:rsid w:val="00E338F6"/>
    <w:rsid w:val="00E33A42"/>
    <w:rsid w:val="00E34343"/>
    <w:rsid w:val="00E34727"/>
    <w:rsid w:val="00E34F73"/>
    <w:rsid w:val="00E3541E"/>
    <w:rsid w:val="00E35591"/>
    <w:rsid w:val="00E35ABF"/>
    <w:rsid w:val="00E35B6B"/>
    <w:rsid w:val="00E363F4"/>
    <w:rsid w:val="00E365D0"/>
    <w:rsid w:val="00E36851"/>
    <w:rsid w:val="00E36A99"/>
    <w:rsid w:val="00E37079"/>
    <w:rsid w:val="00E3783D"/>
    <w:rsid w:val="00E37C32"/>
    <w:rsid w:val="00E400E7"/>
    <w:rsid w:val="00E400F3"/>
    <w:rsid w:val="00E403B9"/>
    <w:rsid w:val="00E41131"/>
    <w:rsid w:val="00E41330"/>
    <w:rsid w:val="00E418B3"/>
    <w:rsid w:val="00E41B56"/>
    <w:rsid w:val="00E41B79"/>
    <w:rsid w:val="00E423FA"/>
    <w:rsid w:val="00E42422"/>
    <w:rsid w:val="00E42557"/>
    <w:rsid w:val="00E42795"/>
    <w:rsid w:val="00E428E6"/>
    <w:rsid w:val="00E42CF0"/>
    <w:rsid w:val="00E42F15"/>
    <w:rsid w:val="00E43BC0"/>
    <w:rsid w:val="00E43D61"/>
    <w:rsid w:val="00E43EF7"/>
    <w:rsid w:val="00E440BF"/>
    <w:rsid w:val="00E44831"/>
    <w:rsid w:val="00E449A2"/>
    <w:rsid w:val="00E44D45"/>
    <w:rsid w:val="00E453B8"/>
    <w:rsid w:val="00E461C9"/>
    <w:rsid w:val="00E4644A"/>
    <w:rsid w:val="00E46C1C"/>
    <w:rsid w:val="00E46C31"/>
    <w:rsid w:val="00E47548"/>
    <w:rsid w:val="00E5004F"/>
    <w:rsid w:val="00E5025A"/>
    <w:rsid w:val="00E50843"/>
    <w:rsid w:val="00E508BA"/>
    <w:rsid w:val="00E50CBD"/>
    <w:rsid w:val="00E50F2D"/>
    <w:rsid w:val="00E516E7"/>
    <w:rsid w:val="00E51A6B"/>
    <w:rsid w:val="00E521F6"/>
    <w:rsid w:val="00E52F55"/>
    <w:rsid w:val="00E533E3"/>
    <w:rsid w:val="00E534E5"/>
    <w:rsid w:val="00E53C88"/>
    <w:rsid w:val="00E54637"/>
    <w:rsid w:val="00E54680"/>
    <w:rsid w:val="00E54EFF"/>
    <w:rsid w:val="00E5513A"/>
    <w:rsid w:val="00E55307"/>
    <w:rsid w:val="00E55542"/>
    <w:rsid w:val="00E55C27"/>
    <w:rsid w:val="00E55EC3"/>
    <w:rsid w:val="00E56732"/>
    <w:rsid w:val="00E56C42"/>
    <w:rsid w:val="00E573C7"/>
    <w:rsid w:val="00E57DA0"/>
    <w:rsid w:val="00E57E20"/>
    <w:rsid w:val="00E57FF1"/>
    <w:rsid w:val="00E602A6"/>
    <w:rsid w:val="00E60528"/>
    <w:rsid w:val="00E60853"/>
    <w:rsid w:val="00E60FD9"/>
    <w:rsid w:val="00E61A06"/>
    <w:rsid w:val="00E61ABA"/>
    <w:rsid w:val="00E61ACB"/>
    <w:rsid w:val="00E61C42"/>
    <w:rsid w:val="00E62C94"/>
    <w:rsid w:val="00E638FF"/>
    <w:rsid w:val="00E63BF1"/>
    <w:rsid w:val="00E63F88"/>
    <w:rsid w:val="00E64783"/>
    <w:rsid w:val="00E6504F"/>
    <w:rsid w:val="00E651AB"/>
    <w:rsid w:val="00E654AE"/>
    <w:rsid w:val="00E6555C"/>
    <w:rsid w:val="00E65930"/>
    <w:rsid w:val="00E65938"/>
    <w:rsid w:val="00E65D34"/>
    <w:rsid w:val="00E65F09"/>
    <w:rsid w:val="00E65FF1"/>
    <w:rsid w:val="00E67085"/>
    <w:rsid w:val="00E67125"/>
    <w:rsid w:val="00E67D5C"/>
    <w:rsid w:val="00E706D5"/>
    <w:rsid w:val="00E70D6E"/>
    <w:rsid w:val="00E70E98"/>
    <w:rsid w:val="00E71285"/>
    <w:rsid w:val="00E714E0"/>
    <w:rsid w:val="00E71763"/>
    <w:rsid w:val="00E71F58"/>
    <w:rsid w:val="00E724BD"/>
    <w:rsid w:val="00E728C4"/>
    <w:rsid w:val="00E72A0B"/>
    <w:rsid w:val="00E72E24"/>
    <w:rsid w:val="00E73EFF"/>
    <w:rsid w:val="00E7450A"/>
    <w:rsid w:val="00E74D41"/>
    <w:rsid w:val="00E756AF"/>
    <w:rsid w:val="00E75F6B"/>
    <w:rsid w:val="00E763E1"/>
    <w:rsid w:val="00E763F2"/>
    <w:rsid w:val="00E76563"/>
    <w:rsid w:val="00E7661F"/>
    <w:rsid w:val="00E76B63"/>
    <w:rsid w:val="00E76B98"/>
    <w:rsid w:val="00E76C63"/>
    <w:rsid w:val="00E7711B"/>
    <w:rsid w:val="00E775FA"/>
    <w:rsid w:val="00E8013F"/>
    <w:rsid w:val="00E80CE0"/>
    <w:rsid w:val="00E80ECF"/>
    <w:rsid w:val="00E8100C"/>
    <w:rsid w:val="00E8124B"/>
    <w:rsid w:val="00E8144C"/>
    <w:rsid w:val="00E814C6"/>
    <w:rsid w:val="00E81CC5"/>
    <w:rsid w:val="00E81D0D"/>
    <w:rsid w:val="00E81EC8"/>
    <w:rsid w:val="00E81F59"/>
    <w:rsid w:val="00E82CDB"/>
    <w:rsid w:val="00E835E0"/>
    <w:rsid w:val="00E83647"/>
    <w:rsid w:val="00E83A16"/>
    <w:rsid w:val="00E83B0F"/>
    <w:rsid w:val="00E83FBC"/>
    <w:rsid w:val="00E84079"/>
    <w:rsid w:val="00E84199"/>
    <w:rsid w:val="00E8435B"/>
    <w:rsid w:val="00E84368"/>
    <w:rsid w:val="00E847FA"/>
    <w:rsid w:val="00E851FF"/>
    <w:rsid w:val="00E85298"/>
    <w:rsid w:val="00E8593F"/>
    <w:rsid w:val="00E85CD6"/>
    <w:rsid w:val="00E860D1"/>
    <w:rsid w:val="00E86576"/>
    <w:rsid w:val="00E8674B"/>
    <w:rsid w:val="00E86FE0"/>
    <w:rsid w:val="00E87343"/>
    <w:rsid w:val="00E874B9"/>
    <w:rsid w:val="00E87A84"/>
    <w:rsid w:val="00E90321"/>
    <w:rsid w:val="00E903B3"/>
    <w:rsid w:val="00E90B1D"/>
    <w:rsid w:val="00E90C4B"/>
    <w:rsid w:val="00E90E29"/>
    <w:rsid w:val="00E91413"/>
    <w:rsid w:val="00E9162C"/>
    <w:rsid w:val="00E91793"/>
    <w:rsid w:val="00E91BDF"/>
    <w:rsid w:val="00E92062"/>
    <w:rsid w:val="00E92414"/>
    <w:rsid w:val="00E92999"/>
    <w:rsid w:val="00E929C3"/>
    <w:rsid w:val="00E92A25"/>
    <w:rsid w:val="00E92BAE"/>
    <w:rsid w:val="00E92E3D"/>
    <w:rsid w:val="00E92F7A"/>
    <w:rsid w:val="00E934EF"/>
    <w:rsid w:val="00E937FE"/>
    <w:rsid w:val="00E939A5"/>
    <w:rsid w:val="00E93CC1"/>
    <w:rsid w:val="00E94066"/>
    <w:rsid w:val="00E94142"/>
    <w:rsid w:val="00E9486E"/>
    <w:rsid w:val="00E94884"/>
    <w:rsid w:val="00E94A45"/>
    <w:rsid w:val="00E94AEF"/>
    <w:rsid w:val="00E94B44"/>
    <w:rsid w:val="00E95816"/>
    <w:rsid w:val="00E958A6"/>
    <w:rsid w:val="00E95A2F"/>
    <w:rsid w:val="00E95A3D"/>
    <w:rsid w:val="00E95B87"/>
    <w:rsid w:val="00E960F8"/>
    <w:rsid w:val="00E96574"/>
    <w:rsid w:val="00E96777"/>
    <w:rsid w:val="00E97288"/>
    <w:rsid w:val="00E97373"/>
    <w:rsid w:val="00E9764B"/>
    <w:rsid w:val="00E9771E"/>
    <w:rsid w:val="00E9772C"/>
    <w:rsid w:val="00E9775B"/>
    <w:rsid w:val="00EA0D7E"/>
    <w:rsid w:val="00EA1186"/>
    <w:rsid w:val="00EA142E"/>
    <w:rsid w:val="00EA1904"/>
    <w:rsid w:val="00EA1DF0"/>
    <w:rsid w:val="00EA22A7"/>
    <w:rsid w:val="00EA22B7"/>
    <w:rsid w:val="00EA233A"/>
    <w:rsid w:val="00EA24C6"/>
    <w:rsid w:val="00EA312E"/>
    <w:rsid w:val="00EA317A"/>
    <w:rsid w:val="00EA3301"/>
    <w:rsid w:val="00EA3ACA"/>
    <w:rsid w:val="00EA3C8C"/>
    <w:rsid w:val="00EA4103"/>
    <w:rsid w:val="00EA437B"/>
    <w:rsid w:val="00EA47C3"/>
    <w:rsid w:val="00EA47EA"/>
    <w:rsid w:val="00EA48F9"/>
    <w:rsid w:val="00EA4CDA"/>
    <w:rsid w:val="00EA5055"/>
    <w:rsid w:val="00EA51AE"/>
    <w:rsid w:val="00EA57F9"/>
    <w:rsid w:val="00EA59EA"/>
    <w:rsid w:val="00EA61E6"/>
    <w:rsid w:val="00EA663B"/>
    <w:rsid w:val="00EA6A48"/>
    <w:rsid w:val="00EA6FD6"/>
    <w:rsid w:val="00EA6FDA"/>
    <w:rsid w:val="00EA7612"/>
    <w:rsid w:val="00EA7B5F"/>
    <w:rsid w:val="00EA7C90"/>
    <w:rsid w:val="00EA7CE5"/>
    <w:rsid w:val="00EB043E"/>
    <w:rsid w:val="00EB0BB7"/>
    <w:rsid w:val="00EB1413"/>
    <w:rsid w:val="00EB190A"/>
    <w:rsid w:val="00EB1B92"/>
    <w:rsid w:val="00EB1E62"/>
    <w:rsid w:val="00EB27DB"/>
    <w:rsid w:val="00EB28A3"/>
    <w:rsid w:val="00EB2D53"/>
    <w:rsid w:val="00EB2DFC"/>
    <w:rsid w:val="00EB2E09"/>
    <w:rsid w:val="00EB31F7"/>
    <w:rsid w:val="00EB3780"/>
    <w:rsid w:val="00EB3F3E"/>
    <w:rsid w:val="00EB44CB"/>
    <w:rsid w:val="00EB476B"/>
    <w:rsid w:val="00EB4B43"/>
    <w:rsid w:val="00EB4F2D"/>
    <w:rsid w:val="00EB5126"/>
    <w:rsid w:val="00EB5267"/>
    <w:rsid w:val="00EB60B2"/>
    <w:rsid w:val="00EB6105"/>
    <w:rsid w:val="00EB623A"/>
    <w:rsid w:val="00EB6FDB"/>
    <w:rsid w:val="00EB7611"/>
    <w:rsid w:val="00EB76E2"/>
    <w:rsid w:val="00EB771B"/>
    <w:rsid w:val="00EB790C"/>
    <w:rsid w:val="00EB7A8D"/>
    <w:rsid w:val="00EB7DCD"/>
    <w:rsid w:val="00EC00AA"/>
    <w:rsid w:val="00EC0828"/>
    <w:rsid w:val="00EC0A4F"/>
    <w:rsid w:val="00EC0C24"/>
    <w:rsid w:val="00EC0FB2"/>
    <w:rsid w:val="00EC1458"/>
    <w:rsid w:val="00EC1794"/>
    <w:rsid w:val="00EC1CE1"/>
    <w:rsid w:val="00EC1DEC"/>
    <w:rsid w:val="00EC1E47"/>
    <w:rsid w:val="00EC2485"/>
    <w:rsid w:val="00EC25B5"/>
    <w:rsid w:val="00EC2686"/>
    <w:rsid w:val="00EC2868"/>
    <w:rsid w:val="00EC2D25"/>
    <w:rsid w:val="00EC2E78"/>
    <w:rsid w:val="00EC41E6"/>
    <w:rsid w:val="00EC442B"/>
    <w:rsid w:val="00EC4D6C"/>
    <w:rsid w:val="00EC525B"/>
    <w:rsid w:val="00EC562D"/>
    <w:rsid w:val="00EC5691"/>
    <w:rsid w:val="00EC5CD3"/>
    <w:rsid w:val="00EC5DD0"/>
    <w:rsid w:val="00EC634F"/>
    <w:rsid w:val="00EC639A"/>
    <w:rsid w:val="00EC68A5"/>
    <w:rsid w:val="00EC78C9"/>
    <w:rsid w:val="00EC7C9F"/>
    <w:rsid w:val="00EC7DD6"/>
    <w:rsid w:val="00ED07AA"/>
    <w:rsid w:val="00ED0800"/>
    <w:rsid w:val="00ED0EE1"/>
    <w:rsid w:val="00ED113B"/>
    <w:rsid w:val="00ED1158"/>
    <w:rsid w:val="00ED1223"/>
    <w:rsid w:val="00ED19B5"/>
    <w:rsid w:val="00ED208E"/>
    <w:rsid w:val="00ED2874"/>
    <w:rsid w:val="00ED2AB6"/>
    <w:rsid w:val="00ED328B"/>
    <w:rsid w:val="00ED34C3"/>
    <w:rsid w:val="00ED36BA"/>
    <w:rsid w:val="00ED387E"/>
    <w:rsid w:val="00ED39CC"/>
    <w:rsid w:val="00ED3E79"/>
    <w:rsid w:val="00ED3FDC"/>
    <w:rsid w:val="00ED4321"/>
    <w:rsid w:val="00ED4413"/>
    <w:rsid w:val="00ED46FE"/>
    <w:rsid w:val="00ED59F5"/>
    <w:rsid w:val="00ED5A7B"/>
    <w:rsid w:val="00ED5CCB"/>
    <w:rsid w:val="00ED5EC1"/>
    <w:rsid w:val="00ED611C"/>
    <w:rsid w:val="00ED66D5"/>
    <w:rsid w:val="00ED6815"/>
    <w:rsid w:val="00ED74DA"/>
    <w:rsid w:val="00EE0327"/>
    <w:rsid w:val="00EE04A8"/>
    <w:rsid w:val="00EE0BD4"/>
    <w:rsid w:val="00EE0BE5"/>
    <w:rsid w:val="00EE0D9B"/>
    <w:rsid w:val="00EE10E3"/>
    <w:rsid w:val="00EE111D"/>
    <w:rsid w:val="00EE1A6D"/>
    <w:rsid w:val="00EE1E6C"/>
    <w:rsid w:val="00EE2260"/>
    <w:rsid w:val="00EE2DCC"/>
    <w:rsid w:val="00EE2FB4"/>
    <w:rsid w:val="00EE34C7"/>
    <w:rsid w:val="00EE39A5"/>
    <w:rsid w:val="00EE39BF"/>
    <w:rsid w:val="00EE446D"/>
    <w:rsid w:val="00EE45EC"/>
    <w:rsid w:val="00EE45F9"/>
    <w:rsid w:val="00EE479B"/>
    <w:rsid w:val="00EE4895"/>
    <w:rsid w:val="00EE4CDC"/>
    <w:rsid w:val="00EE555E"/>
    <w:rsid w:val="00EE573A"/>
    <w:rsid w:val="00EE5D70"/>
    <w:rsid w:val="00EE5FD9"/>
    <w:rsid w:val="00EE6DC9"/>
    <w:rsid w:val="00EE7362"/>
    <w:rsid w:val="00EE75C6"/>
    <w:rsid w:val="00EE78DA"/>
    <w:rsid w:val="00EE7C2D"/>
    <w:rsid w:val="00EE7CBB"/>
    <w:rsid w:val="00EF0227"/>
    <w:rsid w:val="00EF0776"/>
    <w:rsid w:val="00EF0814"/>
    <w:rsid w:val="00EF1558"/>
    <w:rsid w:val="00EF1578"/>
    <w:rsid w:val="00EF1D9C"/>
    <w:rsid w:val="00EF1E59"/>
    <w:rsid w:val="00EF2951"/>
    <w:rsid w:val="00EF2E24"/>
    <w:rsid w:val="00EF357A"/>
    <w:rsid w:val="00EF39E3"/>
    <w:rsid w:val="00EF5132"/>
    <w:rsid w:val="00EF5462"/>
    <w:rsid w:val="00EF5C79"/>
    <w:rsid w:val="00EF5F4A"/>
    <w:rsid w:val="00EF6244"/>
    <w:rsid w:val="00EF6831"/>
    <w:rsid w:val="00EF71DA"/>
    <w:rsid w:val="00EF73C1"/>
    <w:rsid w:val="00EF75D0"/>
    <w:rsid w:val="00EF7E0D"/>
    <w:rsid w:val="00F00401"/>
    <w:rsid w:val="00F004CB"/>
    <w:rsid w:val="00F00729"/>
    <w:rsid w:val="00F00E24"/>
    <w:rsid w:val="00F00E98"/>
    <w:rsid w:val="00F00FC2"/>
    <w:rsid w:val="00F00FD5"/>
    <w:rsid w:val="00F010BA"/>
    <w:rsid w:val="00F01139"/>
    <w:rsid w:val="00F01167"/>
    <w:rsid w:val="00F01458"/>
    <w:rsid w:val="00F01523"/>
    <w:rsid w:val="00F0202B"/>
    <w:rsid w:val="00F02133"/>
    <w:rsid w:val="00F02311"/>
    <w:rsid w:val="00F03379"/>
    <w:rsid w:val="00F03415"/>
    <w:rsid w:val="00F03676"/>
    <w:rsid w:val="00F039A2"/>
    <w:rsid w:val="00F03C75"/>
    <w:rsid w:val="00F04095"/>
    <w:rsid w:val="00F0414F"/>
    <w:rsid w:val="00F04193"/>
    <w:rsid w:val="00F053AF"/>
    <w:rsid w:val="00F05A1A"/>
    <w:rsid w:val="00F05F68"/>
    <w:rsid w:val="00F06B0A"/>
    <w:rsid w:val="00F06B95"/>
    <w:rsid w:val="00F06E88"/>
    <w:rsid w:val="00F071B1"/>
    <w:rsid w:val="00F0744C"/>
    <w:rsid w:val="00F07ACF"/>
    <w:rsid w:val="00F07B27"/>
    <w:rsid w:val="00F07F62"/>
    <w:rsid w:val="00F07FCA"/>
    <w:rsid w:val="00F1023F"/>
    <w:rsid w:val="00F1040B"/>
    <w:rsid w:val="00F10534"/>
    <w:rsid w:val="00F10740"/>
    <w:rsid w:val="00F10884"/>
    <w:rsid w:val="00F10B70"/>
    <w:rsid w:val="00F10D44"/>
    <w:rsid w:val="00F110C1"/>
    <w:rsid w:val="00F115F9"/>
    <w:rsid w:val="00F11818"/>
    <w:rsid w:val="00F11890"/>
    <w:rsid w:val="00F1194F"/>
    <w:rsid w:val="00F11B8A"/>
    <w:rsid w:val="00F11E04"/>
    <w:rsid w:val="00F12AF7"/>
    <w:rsid w:val="00F12F9F"/>
    <w:rsid w:val="00F1336B"/>
    <w:rsid w:val="00F1370F"/>
    <w:rsid w:val="00F137AF"/>
    <w:rsid w:val="00F14388"/>
    <w:rsid w:val="00F146C5"/>
    <w:rsid w:val="00F15147"/>
    <w:rsid w:val="00F15D0B"/>
    <w:rsid w:val="00F15D0C"/>
    <w:rsid w:val="00F15D24"/>
    <w:rsid w:val="00F1600C"/>
    <w:rsid w:val="00F16462"/>
    <w:rsid w:val="00F16A43"/>
    <w:rsid w:val="00F172AC"/>
    <w:rsid w:val="00F17525"/>
    <w:rsid w:val="00F176EE"/>
    <w:rsid w:val="00F17AAF"/>
    <w:rsid w:val="00F17E86"/>
    <w:rsid w:val="00F2042E"/>
    <w:rsid w:val="00F20770"/>
    <w:rsid w:val="00F20B78"/>
    <w:rsid w:val="00F20BF0"/>
    <w:rsid w:val="00F20E10"/>
    <w:rsid w:val="00F21024"/>
    <w:rsid w:val="00F2144C"/>
    <w:rsid w:val="00F214ED"/>
    <w:rsid w:val="00F21811"/>
    <w:rsid w:val="00F218F3"/>
    <w:rsid w:val="00F21CFE"/>
    <w:rsid w:val="00F21D9D"/>
    <w:rsid w:val="00F21E6F"/>
    <w:rsid w:val="00F22603"/>
    <w:rsid w:val="00F2286F"/>
    <w:rsid w:val="00F234CB"/>
    <w:rsid w:val="00F236AB"/>
    <w:rsid w:val="00F23B33"/>
    <w:rsid w:val="00F23F2A"/>
    <w:rsid w:val="00F24468"/>
    <w:rsid w:val="00F249A4"/>
    <w:rsid w:val="00F25766"/>
    <w:rsid w:val="00F2581F"/>
    <w:rsid w:val="00F25955"/>
    <w:rsid w:val="00F25ABF"/>
    <w:rsid w:val="00F25BB2"/>
    <w:rsid w:val="00F25E40"/>
    <w:rsid w:val="00F26236"/>
    <w:rsid w:val="00F2663B"/>
    <w:rsid w:val="00F26DC7"/>
    <w:rsid w:val="00F26F43"/>
    <w:rsid w:val="00F271C1"/>
    <w:rsid w:val="00F279DA"/>
    <w:rsid w:val="00F30094"/>
    <w:rsid w:val="00F30440"/>
    <w:rsid w:val="00F3051C"/>
    <w:rsid w:val="00F305F0"/>
    <w:rsid w:val="00F30F1F"/>
    <w:rsid w:val="00F31585"/>
    <w:rsid w:val="00F32915"/>
    <w:rsid w:val="00F32A7C"/>
    <w:rsid w:val="00F33080"/>
    <w:rsid w:val="00F334D2"/>
    <w:rsid w:val="00F33BDB"/>
    <w:rsid w:val="00F33FD9"/>
    <w:rsid w:val="00F34DBF"/>
    <w:rsid w:val="00F352CA"/>
    <w:rsid w:val="00F36321"/>
    <w:rsid w:val="00F364A5"/>
    <w:rsid w:val="00F36956"/>
    <w:rsid w:val="00F36BE5"/>
    <w:rsid w:val="00F36FC9"/>
    <w:rsid w:val="00F37A5C"/>
    <w:rsid w:val="00F37DB0"/>
    <w:rsid w:val="00F37DF2"/>
    <w:rsid w:val="00F40520"/>
    <w:rsid w:val="00F410E1"/>
    <w:rsid w:val="00F414E2"/>
    <w:rsid w:val="00F41A42"/>
    <w:rsid w:val="00F41BB2"/>
    <w:rsid w:val="00F41BCA"/>
    <w:rsid w:val="00F42B97"/>
    <w:rsid w:val="00F42FF1"/>
    <w:rsid w:val="00F4317D"/>
    <w:rsid w:val="00F432D8"/>
    <w:rsid w:val="00F43B75"/>
    <w:rsid w:val="00F43EC8"/>
    <w:rsid w:val="00F440E5"/>
    <w:rsid w:val="00F44122"/>
    <w:rsid w:val="00F44A37"/>
    <w:rsid w:val="00F44A46"/>
    <w:rsid w:val="00F44C48"/>
    <w:rsid w:val="00F44C5F"/>
    <w:rsid w:val="00F45A91"/>
    <w:rsid w:val="00F4676D"/>
    <w:rsid w:val="00F46CCB"/>
    <w:rsid w:val="00F46CD2"/>
    <w:rsid w:val="00F46EF0"/>
    <w:rsid w:val="00F47309"/>
    <w:rsid w:val="00F47796"/>
    <w:rsid w:val="00F5018E"/>
    <w:rsid w:val="00F50432"/>
    <w:rsid w:val="00F50582"/>
    <w:rsid w:val="00F50C05"/>
    <w:rsid w:val="00F50F48"/>
    <w:rsid w:val="00F51707"/>
    <w:rsid w:val="00F51750"/>
    <w:rsid w:val="00F51E7A"/>
    <w:rsid w:val="00F51EA5"/>
    <w:rsid w:val="00F52339"/>
    <w:rsid w:val="00F529DF"/>
    <w:rsid w:val="00F52B2F"/>
    <w:rsid w:val="00F52C5B"/>
    <w:rsid w:val="00F52DA5"/>
    <w:rsid w:val="00F53626"/>
    <w:rsid w:val="00F536B9"/>
    <w:rsid w:val="00F536C2"/>
    <w:rsid w:val="00F536D8"/>
    <w:rsid w:val="00F53C71"/>
    <w:rsid w:val="00F53D7D"/>
    <w:rsid w:val="00F5447D"/>
    <w:rsid w:val="00F549E8"/>
    <w:rsid w:val="00F54C74"/>
    <w:rsid w:val="00F54F1B"/>
    <w:rsid w:val="00F551DA"/>
    <w:rsid w:val="00F555E2"/>
    <w:rsid w:val="00F55BDB"/>
    <w:rsid w:val="00F55CF2"/>
    <w:rsid w:val="00F56025"/>
    <w:rsid w:val="00F561E9"/>
    <w:rsid w:val="00F565F1"/>
    <w:rsid w:val="00F56B18"/>
    <w:rsid w:val="00F571ED"/>
    <w:rsid w:val="00F5745C"/>
    <w:rsid w:val="00F576D0"/>
    <w:rsid w:val="00F57740"/>
    <w:rsid w:val="00F57B73"/>
    <w:rsid w:val="00F57B89"/>
    <w:rsid w:val="00F57ED0"/>
    <w:rsid w:val="00F6045A"/>
    <w:rsid w:val="00F60E31"/>
    <w:rsid w:val="00F613D1"/>
    <w:rsid w:val="00F619F0"/>
    <w:rsid w:val="00F621D1"/>
    <w:rsid w:val="00F6252A"/>
    <w:rsid w:val="00F629DF"/>
    <w:rsid w:val="00F62A23"/>
    <w:rsid w:val="00F62C15"/>
    <w:rsid w:val="00F62FDE"/>
    <w:rsid w:val="00F630A5"/>
    <w:rsid w:val="00F6456A"/>
    <w:rsid w:val="00F6518A"/>
    <w:rsid w:val="00F65403"/>
    <w:rsid w:val="00F654DA"/>
    <w:rsid w:val="00F65959"/>
    <w:rsid w:val="00F65F57"/>
    <w:rsid w:val="00F66159"/>
    <w:rsid w:val="00F66EEC"/>
    <w:rsid w:val="00F671C8"/>
    <w:rsid w:val="00F67439"/>
    <w:rsid w:val="00F67756"/>
    <w:rsid w:val="00F70928"/>
    <w:rsid w:val="00F71037"/>
    <w:rsid w:val="00F71096"/>
    <w:rsid w:val="00F71CE4"/>
    <w:rsid w:val="00F720BF"/>
    <w:rsid w:val="00F726D9"/>
    <w:rsid w:val="00F72B57"/>
    <w:rsid w:val="00F73B85"/>
    <w:rsid w:val="00F73FBB"/>
    <w:rsid w:val="00F7403E"/>
    <w:rsid w:val="00F74562"/>
    <w:rsid w:val="00F749D2"/>
    <w:rsid w:val="00F75DDD"/>
    <w:rsid w:val="00F75EFF"/>
    <w:rsid w:val="00F75F8F"/>
    <w:rsid w:val="00F761F6"/>
    <w:rsid w:val="00F76412"/>
    <w:rsid w:val="00F76BBA"/>
    <w:rsid w:val="00F776E4"/>
    <w:rsid w:val="00F77780"/>
    <w:rsid w:val="00F807C0"/>
    <w:rsid w:val="00F807E8"/>
    <w:rsid w:val="00F8083C"/>
    <w:rsid w:val="00F81234"/>
    <w:rsid w:val="00F814B0"/>
    <w:rsid w:val="00F82107"/>
    <w:rsid w:val="00F82341"/>
    <w:rsid w:val="00F824EC"/>
    <w:rsid w:val="00F8265E"/>
    <w:rsid w:val="00F829D9"/>
    <w:rsid w:val="00F82C53"/>
    <w:rsid w:val="00F82D73"/>
    <w:rsid w:val="00F8362F"/>
    <w:rsid w:val="00F83B67"/>
    <w:rsid w:val="00F83D9E"/>
    <w:rsid w:val="00F8414B"/>
    <w:rsid w:val="00F84173"/>
    <w:rsid w:val="00F846A8"/>
    <w:rsid w:val="00F856D7"/>
    <w:rsid w:val="00F85D57"/>
    <w:rsid w:val="00F85DE5"/>
    <w:rsid w:val="00F866A8"/>
    <w:rsid w:val="00F86EC5"/>
    <w:rsid w:val="00F87632"/>
    <w:rsid w:val="00F87DC6"/>
    <w:rsid w:val="00F87FE4"/>
    <w:rsid w:val="00F90074"/>
    <w:rsid w:val="00F903F0"/>
    <w:rsid w:val="00F90B57"/>
    <w:rsid w:val="00F9122B"/>
    <w:rsid w:val="00F9188F"/>
    <w:rsid w:val="00F91FCE"/>
    <w:rsid w:val="00F92467"/>
    <w:rsid w:val="00F925E3"/>
    <w:rsid w:val="00F931AD"/>
    <w:rsid w:val="00F9344A"/>
    <w:rsid w:val="00F93498"/>
    <w:rsid w:val="00F935B5"/>
    <w:rsid w:val="00F93CFD"/>
    <w:rsid w:val="00F93DC1"/>
    <w:rsid w:val="00F9409D"/>
    <w:rsid w:val="00F94989"/>
    <w:rsid w:val="00F94C66"/>
    <w:rsid w:val="00F95462"/>
    <w:rsid w:val="00F959E3"/>
    <w:rsid w:val="00F9634B"/>
    <w:rsid w:val="00F965C5"/>
    <w:rsid w:val="00F96BF0"/>
    <w:rsid w:val="00F972A2"/>
    <w:rsid w:val="00F975FB"/>
    <w:rsid w:val="00F9798E"/>
    <w:rsid w:val="00F97C80"/>
    <w:rsid w:val="00F97E13"/>
    <w:rsid w:val="00F97FD9"/>
    <w:rsid w:val="00FA01E7"/>
    <w:rsid w:val="00FA023F"/>
    <w:rsid w:val="00FA02D9"/>
    <w:rsid w:val="00FA03FF"/>
    <w:rsid w:val="00FA07BC"/>
    <w:rsid w:val="00FA0B5E"/>
    <w:rsid w:val="00FA146D"/>
    <w:rsid w:val="00FA162B"/>
    <w:rsid w:val="00FA1C04"/>
    <w:rsid w:val="00FA1D7F"/>
    <w:rsid w:val="00FA20A4"/>
    <w:rsid w:val="00FA2BE9"/>
    <w:rsid w:val="00FA2FAA"/>
    <w:rsid w:val="00FA36E6"/>
    <w:rsid w:val="00FA39DB"/>
    <w:rsid w:val="00FA3BCA"/>
    <w:rsid w:val="00FA4328"/>
    <w:rsid w:val="00FA45C0"/>
    <w:rsid w:val="00FA49AF"/>
    <w:rsid w:val="00FA54FF"/>
    <w:rsid w:val="00FA65FD"/>
    <w:rsid w:val="00FA6614"/>
    <w:rsid w:val="00FA73E5"/>
    <w:rsid w:val="00FA7C50"/>
    <w:rsid w:val="00FB0370"/>
    <w:rsid w:val="00FB079C"/>
    <w:rsid w:val="00FB094D"/>
    <w:rsid w:val="00FB1638"/>
    <w:rsid w:val="00FB1B8E"/>
    <w:rsid w:val="00FB1E06"/>
    <w:rsid w:val="00FB2064"/>
    <w:rsid w:val="00FB2196"/>
    <w:rsid w:val="00FB23E6"/>
    <w:rsid w:val="00FB2ADA"/>
    <w:rsid w:val="00FB2B74"/>
    <w:rsid w:val="00FB2E6C"/>
    <w:rsid w:val="00FB3371"/>
    <w:rsid w:val="00FB3BB6"/>
    <w:rsid w:val="00FB3C46"/>
    <w:rsid w:val="00FB44A1"/>
    <w:rsid w:val="00FB458D"/>
    <w:rsid w:val="00FB4762"/>
    <w:rsid w:val="00FB4944"/>
    <w:rsid w:val="00FB4A4B"/>
    <w:rsid w:val="00FB4CE0"/>
    <w:rsid w:val="00FB4EAF"/>
    <w:rsid w:val="00FB5A93"/>
    <w:rsid w:val="00FB5C5B"/>
    <w:rsid w:val="00FB5E88"/>
    <w:rsid w:val="00FB5FD8"/>
    <w:rsid w:val="00FB61AE"/>
    <w:rsid w:val="00FB62F5"/>
    <w:rsid w:val="00FB638B"/>
    <w:rsid w:val="00FB6E66"/>
    <w:rsid w:val="00FB6FB5"/>
    <w:rsid w:val="00FB787F"/>
    <w:rsid w:val="00FB796B"/>
    <w:rsid w:val="00FB7C0C"/>
    <w:rsid w:val="00FC095E"/>
    <w:rsid w:val="00FC1367"/>
    <w:rsid w:val="00FC13BE"/>
    <w:rsid w:val="00FC14C6"/>
    <w:rsid w:val="00FC19AE"/>
    <w:rsid w:val="00FC2EE9"/>
    <w:rsid w:val="00FC31B8"/>
    <w:rsid w:val="00FC3525"/>
    <w:rsid w:val="00FC36F0"/>
    <w:rsid w:val="00FC373E"/>
    <w:rsid w:val="00FC37F9"/>
    <w:rsid w:val="00FC3906"/>
    <w:rsid w:val="00FC48D5"/>
    <w:rsid w:val="00FC4EC9"/>
    <w:rsid w:val="00FC4F0F"/>
    <w:rsid w:val="00FC5046"/>
    <w:rsid w:val="00FC5496"/>
    <w:rsid w:val="00FC5CDC"/>
    <w:rsid w:val="00FC5E08"/>
    <w:rsid w:val="00FC60C3"/>
    <w:rsid w:val="00FC68E9"/>
    <w:rsid w:val="00FC692C"/>
    <w:rsid w:val="00FC6AC9"/>
    <w:rsid w:val="00FC6C1A"/>
    <w:rsid w:val="00FC7155"/>
    <w:rsid w:val="00FC71F3"/>
    <w:rsid w:val="00FC7213"/>
    <w:rsid w:val="00FC75E9"/>
    <w:rsid w:val="00FC7DA9"/>
    <w:rsid w:val="00FC7EFF"/>
    <w:rsid w:val="00FD06E9"/>
    <w:rsid w:val="00FD170A"/>
    <w:rsid w:val="00FD1CF9"/>
    <w:rsid w:val="00FD273C"/>
    <w:rsid w:val="00FD28A4"/>
    <w:rsid w:val="00FD2BBC"/>
    <w:rsid w:val="00FD2C4D"/>
    <w:rsid w:val="00FD3613"/>
    <w:rsid w:val="00FD3F61"/>
    <w:rsid w:val="00FD4098"/>
    <w:rsid w:val="00FD43B0"/>
    <w:rsid w:val="00FD4BEC"/>
    <w:rsid w:val="00FD4C06"/>
    <w:rsid w:val="00FD4DF1"/>
    <w:rsid w:val="00FD4E3C"/>
    <w:rsid w:val="00FD4E61"/>
    <w:rsid w:val="00FD5666"/>
    <w:rsid w:val="00FD621B"/>
    <w:rsid w:val="00FD66C9"/>
    <w:rsid w:val="00FD77F3"/>
    <w:rsid w:val="00FD7B51"/>
    <w:rsid w:val="00FD7E89"/>
    <w:rsid w:val="00FE0B0F"/>
    <w:rsid w:val="00FE0B16"/>
    <w:rsid w:val="00FE0D3F"/>
    <w:rsid w:val="00FE0E8C"/>
    <w:rsid w:val="00FE16DA"/>
    <w:rsid w:val="00FE1CEC"/>
    <w:rsid w:val="00FE1EF6"/>
    <w:rsid w:val="00FE2007"/>
    <w:rsid w:val="00FE22AA"/>
    <w:rsid w:val="00FE25E2"/>
    <w:rsid w:val="00FE2876"/>
    <w:rsid w:val="00FE358B"/>
    <w:rsid w:val="00FE3594"/>
    <w:rsid w:val="00FE39D9"/>
    <w:rsid w:val="00FE3D4A"/>
    <w:rsid w:val="00FE3F0D"/>
    <w:rsid w:val="00FE3F17"/>
    <w:rsid w:val="00FE41CA"/>
    <w:rsid w:val="00FE454C"/>
    <w:rsid w:val="00FE4B6D"/>
    <w:rsid w:val="00FE4EFE"/>
    <w:rsid w:val="00FE5ABA"/>
    <w:rsid w:val="00FE6183"/>
    <w:rsid w:val="00FE6778"/>
    <w:rsid w:val="00FE699E"/>
    <w:rsid w:val="00FE7049"/>
    <w:rsid w:val="00FE722B"/>
    <w:rsid w:val="00FE7578"/>
    <w:rsid w:val="00FE7B2F"/>
    <w:rsid w:val="00FE7D2D"/>
    <w:rsid w:val="00FF0185"/>
    <w:rsid w:val="00FF1460"/>
    <w:rsid w:val="00FF187F"/>
    <w:rsid w:val="00FF1E71"/>
    <w:rsid w:val="00FF20AD"/>
    <w:rsid w:val="00FF27F8"/>
    <w:rsid w:val="00FF29A4"/>
    <w:rsid w:val="00FF2A06"/>
    <w:rsid w:val="00FF3AFC"/>
    <w:rsid w:val="00FF3D8F"/>
    <w:rsid w:val="00FF4536"/>
    <w:rsid w:val="00FF4565"/>
    <w:rsid w:val="00FF4970"/>
    <w:rsid w:val="00FF4BE6"/>
    <w:rsid w:val="00FF4C32"/>
    <w:rsid w:val="00FF4F58"/>
    <w:rsid w:val="00FF57B2"/>
    <w:rsid w:val="00FF5CC5"/>
    <w:rsid w:val="00FF5D5C"/>
    <w:rsid w:val="00FF5DF9"/>
    <w:rsid w:val="00FF6A97"/>
    <w:rsid w:val="00FF6C4D"/>
    <w:rsid w:val="00FF6CE5"/>
    <w:rsid w:val="00FF786D"/>
    <w:rsid w:val="00FF7BCB"/>
    <w:rsid w:val="010E56B3"/>
    <w:rsid w:val="01101675"/>
    <w:rsid w:val="01152820"/>
    <w:rsid w:val="01205D5C"/>
    <w:rsid w:val="01295ABC"/>
    <w:rsid w:val="01341807"/>
    <w:rsid w:val="01365594"/>
    <w:rsid w:val="013C06BC"/>
    <w:rsid w:val="013F3C5D"/>
    <w:rsid w:val="014063FE"/>
    <w:rsid w:val="01415CD2"/>
    <w:rsid w:val="01450FBB"/>
    <w:rsid w:val="014D4677"/>
    <w:rsid w:val="014E45D9"/>
    <w:rsid w:val="01521C8D"/>
    <w:rsid w:val="015B624E"/>
    <w:rsid w:val="015D7DFD"/>
    <w:rsid w:val="016539DF"/>
    <w:rsid w:val="01677E80"/>
    <w:rsid w:val="016A7234"/>
    <w:rsid w:val="016C0263"/>
    <w:rsid w:val="01744734"/>
    <w:rsid w:val="01764D60"/>
    <w:rsid w:val="017C6D0A"/>
    <w:rsid w:val="017D31AE"/>
    <w:rsid w:val="017E0CD4"/>
    <w:rsid w:val="018D319B"/>
    <w:rsid w:val="018E7169"/>
    <w:rsid w:val="01907573"/>
    <w:rsid w:val="01944054"/>
    <w:rsid w:val="019978BC"/>
    <w:rsid w:val="019D2F90"/>
    <w:rsid w:val="01A15505"/>
    <w:rsid w:val="01A3659A"/>
    <w:rsid w:val="01B36BD0"/>
    <w:rsid w:val="01B84373"/>
    <w:rsid w:val="01BB1483"/>
    <w:rsid w:val="01CB1D56"/>
    <w:rsid w:val="01CE57B8"/>
    <w:rsid w:val="01D104AD"/>
    <w:rsid w:val="01D2372C"/>
    <w:rsid w:val="01D408F4"/>
    <w:rsid w:val="01DA508E"/>
    <w:rsid w:val="01E25A65"/>
    <w:rsid w:val="01E41B1F"/>
    <w:rsid w:val="01EA11DF"/>
    <w:rsid w:val="01EB5317"/>
    <w:rsid w:val="01EE5E5A"/>
    <w:rsid w:val="01EE7C08"/>
    <w:rsid w:val="01F33470"/>
    <w:rsid w:val="01F571E8"/>
    <w:rsid w:val="01F64D0F"/>
    <w:rsid w:val="01F9035B"/>
    <w:rsid w:val="01FB2325"/>
    <w:rsid w:val="01FF7FF5"/>
    <w:rsid w:val="02025461"/>
    <w:rsid w:val="02032456"/>
    <w:rsid w:val="02033711"/>
    <w:rsid w:val="02063210"/>
    <w:rsid w:val="020C13B1"/>
    <w:rsid w:val="02103E11"/>
    <w:rsid w:val="021320BD"/>
    <w:rsid w:val="021E1B74"/>
    <w:rsid w:val="02226777"/>
    <w:rsid w:val="02293D79"/>
    <w:rsid w:val="02306473"/>
    <w:rsid w:val="0235117B"/>
    <w:rsid w:val="023D0B8F"/>
    <w:rsid w:val="023D66C9"/>
    <w:rsid w:val="02477318"/>
    <w:rsid w:val="02494C6C"/>
    <w:rsid w:val="024E06A7"/>
    <w:rsid w:val="02520C69"/>
    <w:rsid w:val="02571C51"/>
    <w:rsid w:val="0262160F"/>
    <w:rsid w:val="026259A2"/>
    <w:rsid w:val="02661A12"/>
    <w:rsid w:val="02691984"/>
    <w:rsid w:val="026B3007"/>
    <w:rsid w:val="026D7B17"/>
    <w:rsid w:val="02704AC1"/>
    <w:rsid w:val="0273635F"/>
    <w:rsid w:val="02755C49"/>
    <w:rsid w:val="027A5751"/>
    <w:rsid w:val="027C5214"/>
    <w:rsid w:val="02836B0F"/>
    <w:rsid w:val="028A018C"/>
    <w:rsid w:val="028C3C65"/>
    <w:rsid w:val="028E13EB"/>
    <w:rsid w:val="028F6340"/>
    <w:rsid w:val="029B0DCF"/>
    <w:rsid w:val="029D33DC"/>
    <w:rsid w:val="029E7927"/>
    <w:rsid w:val="02A12ECC"/>
    <w:rsid w:val="02A14C7A"/>
    <w:rsid w:val="02AB78A7"/>
    <w:rsid w:val="02B11911"/>
    <w:rsid w:val="02B250DA"/>
    <w:rsid w:val="02B26E88"/>
    <w:rsid w:val="02B62DA2"/>
    <w:rsid w:val="02B7449E"/>
    <w:rsid w:val="02BE3A7E"/>
    <w:rsid w:val="02C10E79"/>
    <w:rsid w:val="02CE3596"/>
    <w:rsid w:val="02D52B00"/>
    <w:rsid w:val="02D768EE"/>
    <w:rsid w:val="02D8783E"/>
    <w:rsid w:val="02DD029C"/>
    <w:rsid w:val="02DD1A2B"/>
    <w:rsid w:val="02E01C88"/>
    <w:rsid w:val="02E3131A"/>
    <w:rsid w:val="02E4100B"/>
    <w:rsid w:val="02E66D4B"/>
    <w:rsid w:val="02F2197A"/>
    <w:rsid w:val="02F60FAD"/>
    <w:rsid w:val="02F81956"/>
    <w:rsid w:val="02FD2173"/>
    <w:rsid w:val="03004097"/>
    <w:rsid w:val="03031491"/>
    <w:rsid w:val="0304524E"/>
    <w:rsid w:val="03061EB2"/>
    <w:rsid w:val="03084CFA"/>
    <w:rsid w:val="030B6598"/>
    <w:rsid w:val="030C175D"/>
    <w:rsid w:val="030D3B7D"/>
    <w:rsid w:val="030E5CC5"/>
    <w:rsid w:val="030F0414"/>
    <w:rsid w:val="03101E00"/>
    <w:rsid w:val="03142F12"/>
    <w:rsid w:val="03166582"/>
    <w:rsid w:val="031C2553"/>
    <w:rsid w:val="03201783"/>
    <w:rsid w:val="03226F55"/>
    <w:rsid w:val="032402A4"/>
    <w:rsid w:val="032B09E8"/>
    <w:rsid w:val="032D29B2"/>
    <w:rsid w:val="033279FF"/>
    <w:rsid w:val="03337D64"/>
    <w:rsid w:val="033B6E7D"/>
    <w:rsid w:val="034026E5"/>
    <w:rsid w:val="03444BEC"/>
    <w:rsid w:val="034A40E0"/>
    <w:rsid w:val="034A5312"/>
    <w:rsid w:val="03595555"/>
    <w:rsid w:val="035B4F7E"/>
    <w:rsid w:val="035F6CAE"/>
    <w:rsid w:val="03620CDD"/>
    <w:rsid w:val="03634626"/>
    <w:rsid w:val="03635001"/>
    <w:rsid w:val="03655CA8"/>
    <w:rsid w:val="03675EC4"/>
    <w:rsid w:val="036902F4"/>
    <w:rsid w:val="036A795F"/>
    <w:rsid w:val="03711704"/>
    <w:rsid w:val="03720E25"/>
    <w:rsid w:val="037638EE"/>
    <w:rsid w:val="03766107"/>
    <w:rsid w:val="037B760F"/>
    <w:rsid w:val="037F2ECD"/>
    <w:rsid w:val="03800D34"/>
    <w:rsid w:val="038127E6"/>
    <w:rsid w:val="038129D8"/>
    <w:rsid w:val="03847C3F"/>
    <w:rsid w:val="038547FD"/>
    <w:rsid w:val="038720C2"/>
    <w:rsid w:val="038959A5"/>
    <w:rsid w:val="03960557"/>
    <w:rsid w:val="039667A9"/>
    <w:rsid w:val="03993BA4"/>
    <w:rsid w:val="039E565E"/>
    <w:rsid w:val="03A20BD9"/>
    <w:rsid w:val="03A219EA"/>
    <w:rsid w:val="03A35208"/>
    <w:rsid w:val="03A73143"/>
    <w:rsid w:val="03AA4003"/>
    <w:rsid w:val="03B22EB7"/>
    <w:rsid w:val="03B804CE"/>
    <w:rsid w:val="03C028C2"/>
    <w:rsid w:val="03C47FB5"/>
    <w:rsid w:val="03C52BEB"/>
    <w:rsid w:val="03C62463"/>
    <w:rsid w:val="03CC5D27"/>
    <w:rsid w:val="03CD2000"/>
    <w:rsid w:val="03D1158F"/>
    <w:rsid w:val="03D1333D"/>
    <w:rsid w:val="03D60BBC"/>
    <w:rsid w:val="03D80B70"/>
    <w:rsid w:val="03D87AEE"/>
    <w:rsid w:val="03E017D2"/>
    <w:rsid w:val="03E01D7D"/>
    <w:rsid w:val="03E3042A"/>
    <w:rsid w:val="03E925A0"/>
    <w:rsid w:val="03EC63C9"/>
    <w:rsid w:val="03F31506"/>
    <w:rsid w:val="03F51A05"/>
    <w:rsid w:val="03FD05D6"/>
    <w:rsid w:val="03FD42A4"/>
    <w:rsid w:val="0400397D"/>
    <w:rsid w:val="04022A03"/>
    <w:rsid w:val="040B4A35"/>
    <w:rsid w:val="04100401"/>
    <w:rsid w:val="04152757"/>
    <w:rsid w:val="04183B22"/>
    <w:rsid w:val="041B6CAE"/>
    <w:rsid w:val="041E1E80"/>
    <w:rsid w:val="04223B99"/>
    <w:rsid w:val="04231BA5"/>
    <w:rsid w:val="042376F1"/>
    <w:rsid w:val="042518DB"/>
    <w:rsid w:val="042F4508"/>
    <w:rsid w:val="04312700"/>
    <w:rsid w:val="043C0DBA"/>
    <w:rsid w:val="043F474B"/>
    <w:rsid w:val="04437524"/>
    <w:rsid w:val="04485ED3"/>
    <w:rsid w:val="044A4F10"/>
    <w:rsid w:val="044B1342"/>
    <w:rsid w:val="044C38EF"/>
    <w:rsid w:val="04506958"/>
    <w:rsid w:val="04531FA4"/>
    <w:rsid w:val="04545BA2"/>
    <w:rsid w:val="045D2E23"/>
    <w:rsid w:val="045D4B55"/>
    <w:rsid w:val="045D72C7"/>
    <w:rsid w:val="045F303F"/>
    <w:rsid w:val="045F4DED"/>
    <w:rsid w:val="046118B2"/>
    <w:rsid w:val="046425C9"/>
    <w:rsid w:val="046442CB"/>
    <w:rsid w:val="046B0554"/>
    <w:rsid w:val="046B7FE6"/>
    <w:rsid w:val="046E2C6F"/>
    <w:rsid w:val="046F76DC"/>
    <w:rsid w:val="04730C2E"/>
    <w:rsid w:val="047654C5"/>
    <w:rsid w:val="04770389"/>
    <w:rsid w:val="047D071B"/>
    <w:rsid w:val="04830338"/>
    <w:rsid w:val="04842AA6"/>
    <w:rsid w:val="04887F07"/>
    <w:rsid w:val="048B3E34"/>
    <w:rsid w:val="048C54B6"/>
    <w:rsid w:val="048D1DB8"/>
    <w:rsid w:val="048D4179"/>
    <w:rsid w:val="048E56D2"/>
    <w:rsid w:val="048F44A4"/>
    <w:rsid w:val="049031F8"/>
    <w:rsid w:val="049820AD"/>
    <w:rsid w:val="049C7DEF"/>
    <w:rsid w:val="04A171B4"/>
    <w:rsid w:val="04A87321"/>
    <w:rsid w:val="04AC7907"/>
    <w:rsid w:val="04AE18D1"/>
    <w:rsid w:val="04BE5FB8"/>
    <w:rsid w:val="04C42EA2"/>
    <w:rsid w:val="04C6380B"/>
    <w:rsid w:val="04CE13BF"/>
    <w:rsid w:val="04D330E5"/>
    <w:rsid w:val="04D4049D"/>
    <w:rsid w:val="04D4606A"/>
    <w:rsid w:val="04D53301"/>
    <w:rsid w:val="04D63E99"/>
    <w:rsid w:val="04D72BD5"/>
    <w:rsid w:val="04DA6B4D"/>
    <w:rsid w:val="04E76EEB"/>
    <w:rsid w:val="04E86B91"/>
    <w:rsid w:val="04E90364"/>
    <w:rsid w:val="04E92909"/>
    <w:rsid w:val="04EA4042"/>
    <w:rsid w:val="04EB4710"/>
    <w:rsid w:val="04EB6681"/>
    <w:rsid w:val="04EB7D01"/>
    <w:rsid w:val="04F35535"/>
    <w:rsid w:val="04FC5457"/>
    <w:rsid w:val="04FE63B4"/>
    <w:rsid w:val="04FF212C"/>
    <w:rsid w:val="05010DB9"/>
    <w:rsid w:val="05045994"/>
    <w:rsid w:val="05050856"/>
    <w:rsid w:val="05087233"/>
    <w:rsid w:val="051B12D0"/>
    <w:rsid w:val="051C3007"/>
    <w:rsid w:val="051C683A"/>
    <w:rsid w:val="05237BC9"/>
    <w:rsid w:val="05283431"/>
    <w:rsid w:val="05337473"/>
    <w:rsid w:val="05353DA0"/>
    <w:rsid w:val="05373674"/>
    <w:rsid w:val="053A13B6"/>
    <w:rsid w:val="053B5070"/>
    <w:rsid w:val="053C1881"/>
    <w:rsid w:val="054838F8"/>
    <w:rsid w:val="054B168A"/>
    <w:rsid w:val="05500BDA"/>
    <w:rsid w:val="05551447"/>
    <w:rsid w:val="055702D4"/>
    <w:rsid w:val="05575EE0"/>
    <w:rsid w:val="055B5A90"/>
    <w:rsid w:val="056120BB"/>
    <w:rsid w:val="05656433"/>
    <w:rsid w:val="056621AB"/>
    <w:rsid w:val="05673485"/>
    <w:rsid w:val="05676E89"/>
    <w:rsid w:val="05681A7F"/>
    <w:rsid w:val="056C5A14"/>
    <w:rsid w:val="05704DD8"/>
    <w:rsid w:val="057523EE"/>
    <w:rsid w:val="057540F8"/>
    <w:rsid w:val="057C377D"/>
    <w:rsid w:val="057E7581"/>
    <w:rsid w:val="057F32C4"/>
    <w:rsid w:val="05810CD6"/>
    <w:rsid w:val="05810D93"/>
    <w:rsid w:val="05887005"/>
    <w:rsid w:val="058D32AA"/>
    <w:rsid w:val="058E4A85"/>
    <w:rsid w:val="058F7FE6"/>
    <w:rsid w:val="059046BA"/>
    <w:rsid w:val="05915B61"/>
    <w:rsid w:val="05921B3D"/>
    <w:rsid w:val="05932C61"/>
    <w:rsid w:val="05961171"/>
    <w:rsid w:val="059B1E55"/>
    <w:rsid w:val="059C10C6"/>
    <w:rsid w:val="05A52CD4"/>
    <w:rsid w:val="05A607FA"/>
    <w:rsid w:val="05AB7BBE"/>
    <w:rsid w:val="05B04059"/>
    <w:rsid w:val="05C173E2"/>
    <w:rsid w:val="05C50C80"/>
    <w:rsid w:val="05C72725"/>
    <w:rsid w:val="05C80770"/>
    <w:rsid w:val="05C824B6"/>
    <w:rsid w:val="05C95532"/>
    <w:rsid w:val="05CD3FD8"/>
    <w:rsid w:val="05CF5FA2"/>
    <w:rsid w:val="05D06302"/>
    <w:rsid w:val="05D11D1B"/>
    <w:rsid w:val="05D13AC9"/>
    <w:rsid w:val="05D20A7A"/>
    <w:rsid w:val="05D22AF3"/>
    <w:rsid w:val="05D53AD5"/>
    <w:rsid w:val="05E35962"/>
    <w:rsid w:val="05E66088"/>
    <w:rsid w:val="05E97064"/>
    <w:rsid w:val="05F250AD"/>
    <w:rsid w:val="05FC4B31"/>
    <w:rsid w:val="05FC5579"/>
    <w:rsid w:val="06035C4C"/>
    <w:rsid w:val="06085010"/>
    <w:rsid w:val="060A6F52"/>
    <w:rsid w:val="060B52E5"/>
    <w:rsid w:val="060E2A38"/>
    <w:rsid w:val="060E6ACB"/>
    <w:rsid w:val="060F627C"/>
    <w:rsid w:val="0615527A"/>
    <w:rsid w:val="0616772D"/>
    <w:rsid w:val="06174FC9"/>
    <w:rsid w:val="06177D1B"/>
    <w:rsid w:val="061B4D44"/>
    <w:rsid w:val="061D4AE9"/>
    <w:rsid w:val="06213F95"/>
    <w:rsid w:val="06215189"/>
    <w:rsid w:val="06222CA8"/>
    <w:rsid w:val="06293905"/>
    <w:rsid w:val="062A142B"/>
    <w:rsid w:val="062F07EF"/>
    <w:rsid w:val="063276C3"/>
    <w:rsid w:val="06330B89"/>
    <w:rsid w:val="06334096"/>
    <w:rsid w:val="063400E4"/>
    <w:rsid w:val="06395792"/>
    <w:rsid w:val="063E0A32"/>
    <w:rsid w:val="06471FDD"/>
    <w:rsid w:val="06497B2A"/>
    <w:rsid w:val="064A5F93"/>
    <w:rsid w:val="06502C30"/>
    <w:rsid w:val="065564A8"/>
    <w:rsid w:val="0658777D"/>
    <w:rsid w:val="065B5827"/>
    <w:rsid w:val="065E2A0C"/>
    <w:rsid w:val="065F10D4"/>
    <w:rsid w:val="065F7326"/>
    <w:rsid w:val="06602A58"/>
    <w:rsid w:val="066606B5"/>
    <w:rsid w:val="067032E2"/>
    <w:rsid w:val="0677604B"/>
    <w:rsid w:val="067C2FE4"/>
    <w:rsid w:val="067C50E0"/>
    <w:rsid w:val="067F52D3"/>
    <w:rsid w:val="067F5B13"/>
    <w:rsid w:val="0684067E"/>
    <w:rsid w:val="06854250"/>
    <w:rsid w:val="068C1D2C"/>
    <w:rsid w:val="068C5353"/>
    <w:rsid w:val="069131EB"/>
    <w:rsid w:val="06952D48"/>
    <w:rsid w:val="0697190B"/>
    <w:rsid w:val="069D39AB"/>
    <w:rsid w:val="069D4828"/>
    <w:rsid w:val="06AC0092"/>
    <w:rsid w:val="06AF4460"/>
    <w:rsid w:val="06B01930"/>
    <w:rsid w:val="06B31420"/>
    <w:rsid w:val="06B539A9"/>
    <w:rsid w:val="06B9606E"/>
    <w:rsid w:val="06BA27AF"/>
    <w:rsid w:val="06BC55A9"/>
    <w:rsid w:val="06C54CB0"/>
    <w:rsid w:val="06CD24E2"/>
    <w:rsid w:val="06D068DA"/>
    <w:rsid w:val="06D271EA"/>
    <w:rsid w:val="06D56C36"/>
    <w:rsid w:val="06D849E3"/>
    <w:rsid w:val="06DC604B"/>
    <w:rsid w:val="06E00D4C"/>
    <w:rsid w:val="06EC5B17"/>
    <w:rsid w:val="06EE2458"/>
    <w:rsid w:val="06F03CE5"/>
    <w:rsid w:val="06F23CF7"/>
    <w:rsid w:val="06F54B94"/>
    <w:rsid w:val="06F91D55"/>
    <w:rsid w:val="06FC2DC7"/>
    <w:rsid w:val="06FD269B"/>
    <w:rsid w:val="07013F3A"/>
    <w:rsid w:val="07016A2E"/>
    <w:rsid w:val="07023F74"/>
    <w:rsid w:val="07043A2A"/>
    <w:rsid w:val="07047ECE"/>
    <w:rsid w:val="07061B14"/>
    <w:rsid w:val="070C4389"/>
    <w:rsid w:val="07131E95"/>
    <w:rsid w:val="07133C6D"/>
    <w:rsid w:val="071C5A8E"/>
    <w:rsid w:val="071D09FF"/>
    <w:rsid w:val="071D5765"/>
    <w:rsid w:val="07202092"/>
    <w:rsid w:val="072639A0"/>
    <w:rsid w:val="0728596A"/>
    <w:rsid w:val="072F035E"/>
    <w:rsid w:val="07320597"/>
    <w:rsid w:val="073D23CB"/>
    <w:rsid w:val="0741414F"/>
    <w:rsid w:val="07425B41"/>
    <w:rsid w:val="074F739B"/>
    <w:rsid w:val="07504EC1"/>
    <w:rsid w:val="075077D4"/>
    <w:rsid w:val="07520C39"/>
    <w:rsid w:val="075A74AF"/>
    <w:rsid w:val="075F5058"/>
    <w:rsid w:val="075F64B8"/>
    <w:rsid w:val="07641DB7"/>
    <w:rsid w:val="07660241"/>
    <w:rsid w:val="07677B15"/>
    <w:rsid w:val="07703098"/>
    <w:rsid w:val="077342E3"/>
    <w:rsid w:val="0774295E"/>
    <w:rsid w:val="07755594"/>
    <w:rsid w:val="07797F74"/>
    <w:rsid w:val="077A1F3E"/>
    <w:rsid w:val="077A4DF6"/>
    <w:rsid w:val="07825BA3"/>
    <w:rsid w:val="07853B29"/>
    <w:rsid w:val="078B24C0"/>
    <w:rsid w:val="078B5EF9"/>
    <w:rsid w:val="078D7EC3"/>
    <w:rsid w:val="07941252"/>
    <w:rsid w:val="079563CA"/>
    <w:rsid w:val="07990616"/>
    <w:rsid w:val="079A2C82"/>
    <w:rsid w:val="079A523F"/>
    <w:rsid w:val="07A07BF6"/>
    <w:rsid w:val="07A16546"/>
    <w:rsid w:val="07A16BE7"/>
    <w:rsid w:val="07AA0EFE"/>
    <w:rsid w:val="07AB7150"/>
    <w:rsid w:val="07AC659B"/>
    <w:rsid w:val="07B0770E"/>
    <w:rsid w:val="07B40FAC"/>
    <w:rsid w:val="07B9416A"/>
    <w:rsid w:val="07BF4A23"/>
    <w:rsid w:val="07C0610A"/>
    <w:rsid w:val="07C74031"/>
    <w:rsid w:val="07D71FE0"/>
    <w:rsid w:val="07D75CBB"/>
    <w:rsid w:val="07D9452C"/>
    <w:rsid w:val="07DB2AAF"/>
    <w:rsid w:val="07DB47E0"/>
    <w:rsid w:val="07DE0659"/>
    <w:rsid w:val="07DF7E70"/>
    <w:rsid w:val="07E01BEF"/>
    <w:rsid w:val="07E04497"/>
    <w:rsid w:val="07E07FF3"/>
    <w:rsid w:val="07E62177"/>
    <w:rsid w:val="07E8524C"/>
    <w:rsid w:val="07EF0236"/>
    <w:rsid w:val="07F721CB"/>
    <w:rsid w:val="07FC49BB"/>
    <w:rsid w:val="08017F69"/>
    <w:rsid w:val="08071A24"/>
    <w:rsid w:val="08090BA2"/>
    <w:rsid w:val="0809662B"/>
    <w:rsid w:val="08125054"/>
    <w:rsid w:val="08157B45"/>
    <w:rsid w:val="08161C67"/>
    <w:rsid w:val="081A3E22"/>
    <w:rsid w:val="081D2FF5"/>
    <w:rsid w:val="081F18E0"/>
    <w:rsid w:val="08230F87"/>
    <w:rsid w:val="08245805"/>
    <w:rsid w:val="082B2A54"/>
    <w:rsid w:val="082D1A17"/>
    <w:rsid w:val="0831161B"/>
    <w:rsid w:val="0837398B"/>
    <w:rsid w:val="08393BA7"/>
    <w:rsid w:val="083B6B0B"/>
    <w:rsid w:val="083B791F"/>
    <w:rsid w:val="083C4A8F"/>
    <w:rsid w:val="083E0902"/>
    <w:rsid w:val="083E11BD"/>
    <w:rsid w:val="08444A26"/>
    <w:rsid w:val="0845035A"/>
    <w:rsid w:val="084E1CE6"/>
    <w:rsid w:val="085530EF"/>
    <w:rsid w:val="085C3EA8"/>
    <w:rsid w:val="085D4604"/>
    <w:rsid w:val="086700A1"/>
    <w:rsid w:val="086724C2"/>
    <w:rsid w:val="086851C5"/>
    <w:rsid w:val="086C129F"/>
    <w:rsid w:val="086E55FF"/>
    <w:rsid w:val="08757642"/>
    <w:rsid w:val="08760957"/>
    <w:rsid w:val="08763A7E"/>
    <w:rsid w:val="087F559D"/>
    <w:rsid w:val="08844E22"/>
    <w:rsid w:val="088B6211"/>
    <w:rsid w:val="088C1F29"/>
    <w:rsid w:val="088E7A4F"/>
    <w:rsid w:val="08991AD4"/>
    <w:rsid w:val="089D158D"/>
    <w:rsid w:val="089E1380"/>
    <w:rsid w:val="08A323CB"/>
    <w:rsid w:val="08A52048"/>
    <w:rsid w:val="08AC25CB"/>
    <w:rsid w:val="08B91276"/>
    <w:rsid w:val="08C43471"/>
    <w:rsid w:val="08C60D64"/>
    <w:rsid w:val="08C6368D"/>
    <w:rsid w:val="08CA4DCB"/>
    <w:rsid w:val="08D42C9C"/>
    <w:rsid w:val="08D4742C"/>
    <w:rsid w:val="08D55229"/>
    <w:rsid w:val="08D5567E"/>
    <w:rsid w:val="08D8516E"/>
    <w:rsid w:val="08E91129"/>
    <w:rsid w:val="08EB4EA1"/>
    <w:rsid w:val="08EC540F"/>
    <w:rsid w:val="08F655F4"/>
    <w:rsid w:val="08FF094D"/>
    <w:rsid w:val="08FF26FB"/>
    <w:rsid w:val="09023F99"/>
    <w:rsid w:val="090B4EFE"/>
    <w:rsid w:val="09150170"/>
    <w:rsid w:val="09153CCC"/>
    <w:rsid w:val="091741BB"/>
    <w:rsid w:val="091B2D51"/>
    <w:rsid w:val="091E6F4E"/>
    <w:rsid w:val="091F3655"/>
    <w:rsid w:val="0923693C"/>
    <w:rsid w:val="0932487E"/>
    <w:rsid w:val="0933345C"/>
    <w:rsid w:val="0935611C"/>
    <w:rsid w:val="09384548"/>
    <w:rsid w:val="09385C0D"/>
    <w:rsid w:val="09391199"/>
    <w:rsid w:val="09391BDB"/>
    <w:rsid w:val="093D1475"/>
    <w:rsid w:val="093E76C7"/>
    <w:rsid w:val="09437B3A"/>
    <w:rsid w:val="09463FB2"/>
    <w:rsid w:val="094871EF"/>
    <w:rsid w:val="094D4E6D"/>
    <w:rsid w:val="09576113"/>
    <w:rsid w:val="095953E8"/>
    <w:rsid w:val="096D3B08"/>
    <w:rsid w:val="0970184A"/>
    <w:rsid w:val="09710090"/>
    <w:rsid w:val="09717ADB"/>
    <w:rsid w:val="09785729"/>
    <w:rsid w:val="097F1859"/>
    <w:rsid w:val="098837B8"/>
    <w:rsid w:val="098D5F59"/>
    <w:rsid w:val="0990783C"/>
    <w:rsid w:val="099136D3"/>
    <w:rsid w:val="0995039F"/>
    <w:rsid w:val="09972878"/>
    <w:rsid w:val="099A2423"/>
    <w:rsid w:val="09A031B5"/>
    <w:rsid w:val="09A3752A"/>
    <w:rsid w:val="09A514F4"/>
    <w:rsid w:val="09A87B9D"/>
    <w:rsid w:val="09AF2373"/>
    <w:rsid w:val="09B1625C"/>
    <w:rsid w:val="09B75781"/>
    <w:rsid w:val="09B92C33"/>
    <w:rsid w:val="09BA75E6"/>
    <w:rsid w:val="09C1666D"/>
    <w:rsid w:val="09C405C2"/>
    <w:rsid w:val="09C81511"/>
    <w:rsid w:val="09CB6A81"/>
    <w:rsid w:val="09D84349"/>
    <w:rsid w:val="09E143A1"/>
    <w:rsid w:val="09E27DEE"/>
    <w:rsid w:val="09E518F1"/>
    <w:rsid w:val="09E572C0"/>
    <w:rsid w:val="09EE3F05"/>
    <w:rsid w:val="09F41B3F"/>
    <w:rsid w:val="09F47D86"/>
    <w:rsid w:val="09F91840"/>
    <w:rsid w:val="09FB5C39"/>
    <w:rsid w:val="09FE0C04"/>
    <w:rsid w:val="0A0A5105"/>
    <w:rsid w:val="0A0B0840"/>
    <w:rsid w:val="0A0E6D8C"/>
    <w:rsid w:val="0A1160B7"/>
    <w:rsid w:val="0A116BA1"/>
    <w:rsid w:val="0A140428"/>
    <w:rsid w:val="0A146CF1"/>
    <w:rsid w:val="0A165461"/>
    <w:rsid w:val="0A200B7B"/>
    <w:rsid w:val="0A27015B"/>
    <w:rsid w:val="0A2732E6"/>
    <w:rsid w:val="0A285C81"/>
    <w:rsid w:val="0A2905F9"/>
    <w:rsid w:val="0A2B5735"/>
    <w:rsid w:val="0A300921"/>
    <w:rsid w:val="0A355F10"/>
    <w:rsid w:val="0A404AFB"/>
    <w:rsid w:val="0A422813"/>
    <w:rsid w:val="0A434D56"/>
    <w:rsid w:val="0A474B53"/>
    <w:rsid w:val="0A541B4B"/>
    <w:rsid w:val="0A5446D8"/>
    <w:rsid w:val="0A593013"/>
    <w:rsid w:val="0A5B6057"/>
    <w:rsid w:val="0A5F1974"/>
    <w:rsid w:val="0A5F4CC6"/>
    <w:rsid w:val="0A6854E5"/>
    <w:rsid w:val="0A763666"/>
    <w:rsid w:val="0A7D53C7"/>
    <w:rsid w:val="0A7D5BFE"/>
    <w:rsid w:val="0A7F5B6E"/>
    <w:rsid w:val="0A84735B"/>
    <w:rsid w:val="0A872FB0"/>
    <w:rsid w:val="0A884AC2"/>
    <w:rsid w:val="0A9133AF"/>
    <w:rsid w:val="0AA277E2"/>
    <w:rsid w:val="0AA27E70"/>
    <w:rsid w:val="0AA3501D"/>
    <w:rsid w:val="0AA77B5F"/>
    <w:rsid w:val="0AA9041C"/>
    <w:rsid w:val="0AB03BF9"/>
    <w:rsid w:val="0AB310E4"/>
    <w:rsid w:val="0AB734AE"/>
    <w:rsid w:val="0ABA1AE1"/>
    <w:rsid w:val="0ABF6422"/>
    <w:rsid w:val="0AC0235E"/>
    <w:rsid w:val="0AC05EBA"/>
    <w:rsid w:val="0AC41E4E"/>
    <w:rsid w:val="0AC51C88"/>
    <w:rsid w:val="0AC72CD7"/>
    <w:rsid w:val="0ACA0773"/>
    <w:rsid w:val="0ACA0AE6"/>
    <w:rsid w:val="0ACA6D38"/>
    <w:rsid w:val="0ACB616E"/>
    <w:rsid w:val="0ACC485F"/>
    <w:rsid w:val="0AD1245E"/>
    <w:rsid w:val="0ADA0A7B"/>
    <w:rsid w:val="0AE20526"/>
    <w:rsid w:val="0AE95411"/>
    <w:rsid w:val="0AF14803"/>
    <w:rsid w:val="0AF22EF3"/>
    <w:rsid w:val="0AFD0EBC"/>
    <w:rsid w:val="0B024724"/>
    <w:rsid w:val="0B177C5F"/>
    <w:rsid w:val="0B282BC9"/>
    <w:rsid w:val="0B2A712F"/>
    <w:rsid w:val="0B302A87"/>
    <w:rsid w:val="0B381131"/>
    <w:rsid w:val="0B3A146E"/>
    <w:rsid w:val="0B3F74E9"/>
    <w:rsid w:val="0B4474F0"/>
    <w:rsid w:val="0B480BA4"/>
    <w:rsid w:val="0B4C599F"/>
    <w:rsid w:val="0B53243F"/>
    <w:rsid w:val="0B586581"/>
    <w:rsid w:val="0B5F1461"/>
    <w:rsid w:val="0B666A61"/>
    <w:rsid w:val="0B687DEC"/>
    <w:rsid w:val="0B6B4077"/>
    <w:rsid w:val="0B6E3B33"/>
    <w:rsid w:val="0B7E1DF4"/>
    <w:rsid w:val="0B846A84"/>
    <w:rsid w:val="0B870B9C"/>
    <w:rsid w:val="0B8C0927"/>
    <w:rsid w:val="0B8C2821"/>
    <w:rsid w:val="0B9510F4"/>
    <w:rsid w:val="0BA002B2"/>
    <w:rsid w:val="0BA27697"/>
    <w:rsid w:val="0BA51291"/>
    <w:rsid w:val="0BA852CC"/>
    <w:rsid w:val="0BAB72B9"/>
    <w:rsid w:val="0BAB742C"/>
    <w:rsid w:val="0BB06E9A"/>
    <w:rsid w:val="0BB7550F"/>
    <w:rsid w:val="0BB84642"/>
    <w:rsid w:val="0BB9775D"/>
    <w:rsid w:val="0BBF7B5F"/>
    <w:rsid w:val="0BC076EB"/>
    <w:rsid w:val="0BC219D6"/>
    <w:rsid w:val="0BCA3494"/>
    <w:rsid w:val="0BCE4606"/>
    <w:rsid w:val="0BDF4884"/>
    <w:rsid w:val="0BE12940"/>
    <w:rsid w:val="0BE856C8"/>
    <w:rsid w:val="0BEA58E4"/>
    <w:rsid w:val="0BEC3D65"/>
    <w:rsid w:val="0BED35B4"/>
    <w:rsid w:val="0BF64289"/>
    <w:rsid w:val="0BF66911"/>
    <w:rsid w:val="0BF70001"/>
    <w:rsid w:val="0BF91AFE"/>
    <w:rsid w:val="0BFB0FAB"/>
    <w:rsid w:val="0C0149DC"/>
    <w:rsid w:val="0C060244"/>
    <w:rsid w:val="0C0A408A"/>
    <w:rsid w:val="0C126DC0"/>
    <w:rsid w:val="0C1D0C5F"/>
    <w:rsid w:val="0C267E57"/>
    <w:rsid w:val="0C286ADE"/>
    <w:rsid w:val="0C2A1D8E"/>
    <w:rsid w:val="0C2B3ED1"/>
    <w:rsid w:val="0C30294C"/>
    <w:rsid w:val="0C322347"/>
    <w:rsid w:val="0C32678B"/>
    <w:rsid w:val="0C332F42"/>
    <w:rsid w:val="0C4012BB"/>
    <w:rsid w:val="0C491976"/>
    <w:rsid w:val="0C4C174B"/>
    <w:rsid w:val="0C4C3AE9"/>
    <w:rsid w:val="0C4D7C21"/>
    <w:rsid w:val="0C4F3557"/>
    <w:rsid w:val="0C5114BF"/>
    <w:rsid w:val="0C542D5E"/>
    <w:rsid w:val="0C5965C6"/>
    <w:rsid w:val="0C647985"/>
    <w:rsid w:val="0C671A47"/>
    <w:rsid w:val="0C6853C5"/>
    <w:rsid w:val="0C6A7C86"/>
    <w:rsid w:val="0C6C184A"/>
    <w:rsid w:val="0C6C49EE"/>
    <w:rsid w:val="0C6F7B97"/>
    <w:rsid w:val="0C727688"/>
    <w:rsid w:val="0C730594"/>
    <w:rsid w:val="0C743400"/>
    <w:rsid w:val="0C772780"/>
    <w:rsid w:val="0C7777C5"/>
    <w:rsid w:val="0C784205"/>
    <w:rsid w:val="0C7B478E"/>
    <w:rsid w:val="0C81761F"/>
    <w:rsid w:val="0C8573BB"/>
    <w:rsid w:val="0C8E494C"/>
    <w:rsid w:val="0C8F0EF0"/>
    <w:rsid w:val="0C9366E6"/>
    <w:rsid w:val="0C945AC7"/>
    <w:rsid w:val="0C946351"/>
    <w:rsid w:val="0C961DA3"/>
    <w:rsid w:val="0C971A52"/>
    <w:rsid w:val="0C9B6C3C"/>
    <w:rsid w:val="0C9D3858"/>
    <w:rsid w:val="0C9F0263"/>
    <w:rsid w:val="0CA02447"/>
    <w:rsid w:val="0CA21D1B"/>
    <w:rsid w:val="0CA4345A"/>
    <w:rsid w:val="0CAD65BA"/>
    <w:rsid w:val="0CB3217A"/>
    <w:rsid w:val="0CB57830"/>
    <w:rsid w:val="0CB60892"/>
    <w:rsid w:val="0CB81F92"/>
    <w:rsid w:val="0CBF52DA"/>
    <w:rsid w:val="0CC2653F"/>
    <w:rsid w:val="0CC63D57"/>
    <w:rsid w:val="0CC71781"/>
    <w:rsid w:val="0CC8184F"/>
    <w:rsid w:val="0CCD48BE"/>
    <w:rsid w:val="0CD65E68"/>
    <w:rsid w:val="0CE139B6"/>
    <w:rsid w:val="0CE17FA4"/>
    <w:rsid w:val="0CE20369"/>
    <w:rsid w:val="0CE40D90"/>
    <w:rsid w:val="0CE844A6"/>
    <w:rsid w:val="0CE95B9C"/>
    <w:rsid w:val="0CEA36C2"/>
    <w:rsid w:val="0CEC743A"/>
    <w:rsid w:val="0CEF2A86"/>
    <w:rsid w:val="0CEF4F2D"/>
    <w:rsid w:val="0CF2312E"/>
    <w:rsid w:val="0CF837EB"/>
    <w:rsid w:val="0CF85DDF"/>
    <w:rsid w:val="0D004786"/>
    <w:rsid w:val="0D0261B4"/>
    <w:rsid w:val="0D026C5D"/>
    <w:rsid w:val="0D0512FE"/>
    <w:rsid w:val="0D076022"/>
    <w:rsid w:val="0D120418"/>
    <w:rsid w:val="0D137611"/>
    <w:rsid w:val="0D157F91"/>
    <w:rsid w:val="0D166265"/>
    <w:rsid w:val="0D1904D8"/>
    <w:rsid w:val="0D19235B"/>
    <w:rsid w:val="0D215336"/>
    <w:rsid w:val="0D224637"/>
    <w:rsid w:val="0D246BD4"/>
    <w:rsid w:val="0D2800CF"/>
    <w:rsid w:val="0D2A3ABE"/>
    <w:rsid w:val="0D377E0D"/>
    <w:rsid w:val="0D38267F"/>
    <w:rsid w:val="0D385CC9"/>
    <w:rsid w:val="0D3F3B1E"/>
    <w:rsid w:val="0D407BD1"/>
    <w:rsid w:val="0D411534"/>
    <w:rsid w:val="0D4B1547"/>
    <w:rsid w:val="0D4C7ED9"/>
    <w:rsid w:val="0D4E1EA3"/>
    <w:rsid w:val="0D503BE8"/>
    <w:rsid w:val="0D5079C9"/>
    <w:rsid w:val="0D561745"/>
    <w:rsid w:val="0D5F5E5E"/>
    <w:rsid w:val="0D6151BA"/>
    <w:rsid w:val="0D6613E9"/>
    <w:rsid w:val="0D690915"/>
    <w:rsid w:val="0D6A5E37"/>
    <w:rsid w:val="0D6C5EEC"/>
    <w:rsid w:val="0D703BC7"/>
    <w:rsid w:val="0D735465"/>
    <w:rsid w:val="0D800D49"/>
    <w:rsid w:val="0D8032E3"/>
    <w:rsid w:val="0D837D9E"/>
    <w:rsid w:val="0D841421"/>
    <w:rsid w:val="0D893576"/>
    <w:rsid w:val="0D894A4E"/>
    <w:rsid w:val="0D91446E"/>
    <w:rsid w:val="0D991370"/>
    <w:rsid w:val="0D9A50E8"/>
    <w:rsid w:val="0DA17267"/>
    <w:rsid w:val="0DA25D4B"/>
    <w:rsid w:val="0DA70FB5"/>
    <w:rsid w:val="0DAD0977"/>
    <w:rsid w:val="0DBB4A03"/>
    <w:rsid w:val="0DBC505E"/>
    <w:rsid w:val="0DBE7E14"/>
    <w:rsid w:val="0DBF4B4E"/>
    <w:rsid w:val="0DD71E98"/>
    <w:rsid w:val="0DD92CC7"/>
    <w:rsid w:val="0DDC3BD8"/>
    <w:rsid w:val="0DDC4759"/>
    <w:rsid w:val="0DE255F7"/>
    <w:rsid w:val="0DE60DCF"/>
    <w:rsid w:val="0DEB1BC5"/>
    <w:rsid w:val="0DEF68B1"/>
    <w:rsid w:val="0DF35375"/>
    <w:rsid w:val="0DF465A6"/>
    <w:rsid w:val="0DF978B0"/>
    <w:rsid w:val="0DFE5677"/>
    <w:rsid w:val="0DFF42CC"/>
    <w:rsid w:val="0E010CC3"/>
    <w:rsid w:val="0E013AA6"/>
    <w:rsid w:val="0E0849CA"/>
    <w:rsid w:val="0E100F06"/>
    <w:rsid w:val="0E107158"/>
    <w:rsid w:val="0E1409F6"/>
    <w:rsid w:val="0E14327B"/>
    <w:rsid w:val="0E15651D"/>
    <w:rsid w:val="0E19425F"/>
    <w:rsid w:val="0E221DF9"/>
    <w:rsid w:val="0E252C04"/>
    <w:rsid w:val="0E2624D8"/>
    <w:rsid w:val="0E280969"/>
    <w:rsid w:val="0E2D61F6"/>
    <w:rsid w:val="0E2F4C4F"/>
    <w:rsid w:val="0E31302D"/>
    <w:rsid w:val="0E325320"/>
    <w:rsid w:val="0E417FAD"/>
    <w:rsid w:val="0E42067D"/>
    <w:rsid w:val="0E4809A2"/>
    <w:rsid w:val="0E4C4A29"/>
    <w:rsid w:val="0E5232CD"/>
    <w:rsid w:val="0E57246B"/>
    <w:rsid w:val="0E5E1C72"/>
    <w:rsid w:val="0E5E4367"/>
    <w:rsid w:val="0E5F1AC3"/>
    <w:rsid w:val="0E61590B"/>
    <w:rsid w:val="0E6179B4"/>
    <w:rsid w:val="0E67321C"/>
    <w:rsid w:val="0E6A4470"/>
    <w:rsid w:val="0E6B152D"/>
    <w:rsid w:val="0E6B3B61"/>
    <w:rsid w:val="0E6F3E7F"/>
    <w:rsid w:val="0E72571D"/>
    <w:rsid w:val="0E727756"/>
    <w:rsid w:val="0E770F85"/>
    <w:rsid w:val="0E7E660C"/>
    <w:rsid w:val="0E804F97"/>
    <w:rsid w:val="0E813BB2"/>
    <w:rsid w:val="0E880A30"/>
    <w:rsid w:val="0E884F40"/>
    <w:rsid w:val="0E8A61B1"/>
    <w:rsid w:val="0E9130FB"/>
    <w:rsid w:val="0E922F72"/>
    <w:rsid w:val="0E9438E5"/>
    <w:rsid w:val="0E9C033A"/>
    <w:rsid w:val="0E9C09EC"/>
    <w:rsid w:val="0E9C279A"/>
    <w:rsid w:val="0E9D6C3E"/>
    <w:rsid w:val="0E9F2DA4"/>
    <w:rsid w:val="0EA60EEB"/>
    <w:rsid w:val="0EA83D08"/>
    <w:rsid w:val="0EAC0C2F"/>
    <w:rsid w:val="0EAD49A7"/>
    <w:rsid w:val="0EB14497"/>
    <w:rsid w:val="0EB2255C"/>
    <w:rsid w:val="0EB837FD"/>
    <w:rsid w:val="0EB9159E"/>
    <w:rsid w:val="0EC017CA"/>
    <w:rsid w:val="0EC95C85"/>
    <w:rsid w:val="0ECE1FF2"/>
    <w:rsid w:val="0ECE329B"/>
    <w:rsid w:val="0ED2440E"/>
    <w:rsid w:val="0ED505A8"/>
    <w:rsid w:val="0ED85EC8"/>
    <w:rsid w:val="0EDF694A"/>
    <w:rsid w:val="0EDF749E"/>
    <w:rsid w:val="0EE20797"/>
    <w:rsid w:val="0EE20AF5"/>
    <w:rsid w:val="0EEA5BFB"/>
    <w:rsid w:val="0EEE2F62"/>
    <w:rsid w:val="0EF424D9"/>
    <w:rsid w:val="0EF83E74"/>
    <w:rsid w:val="0EFE7BF5"/>
    <w:rsid w:val="0F024CF3"/>
    <w:rsid w:val="0F067F6D"/>
    <w:rsid w:val="0F0A3BA7"/>
    <w:rsid w:val="0F114F36"/>
    <w:rsid w:val="0F153448"/>
    <w:rsid w:val="0F19718C"/>
    <w:rsid w:val="0F1E0228"/>
    <w:rsid w:val="0F203DE2"/>
    <w:rsid w:val="0F237DDC"/>
    <w:rsid w:val="0F2A25A4"/>
    <w:rsid w:val="0F326941"/>
    <w:rsid w:val="0F352373"/>
    <w:rsid w:val="0F3E4514"/>
    <w:rsid w:val="0F4224B9"/>
    <w:rsid w:val="0F4B77E8"/>
    <w:rsid w:val="0F4C2412"/>
    <w:rsid w:val="0F4C2EA3"/>
    <w:rsid w:val="0F5117D6"/>
    <w:rsid w:val="0F525953"/>
    <w:rsid w:val="0F566347"/>
    <w:rsid w:val="0F580DB7"/>
    <w:rsid w:val="0F5D4958"/>
    <w:rsid w:val="0F6459AD"/>
    <w:rsid w:val="0F664811"/>
    <w:rsid w:val="0F6B5573"/>
    <w:rsid w:val="0F6D34C7"/>
    <w:rsid w:val="0F711E78"/>
    <w:rsid w:val="0F722BEA"/>
    <w:rsid w:val="0F780106"/>
    <w:rsid w:val="0F781923"/>
    <w:rsid w:val="0F783207"/>
    <w:rsid w:val="0F827BE2"/>
    <w:rsid w:val="0F8370B3"/>
    <w:rsid w:val="0F871430"/>
    <w:rsid w:val="0F8B2F3A"/>
    <w:rsid w:val="0F8B53FA"/>
    <w:rsid w:val="0F997115"/>
    <w:rsid w:val="0F9A0A63"/>
    <w:rsid w:val="0F9D1E15"/>
    <w:rsid w:val="0FA57C09"/>
    <w:rsid w:val="0FA67ED2"/>
    <w:rsid w:val="0FAC0D64"/>
    <w:rsid w:val="0FBD55BE"/>
    <w:rsid w:val="0FC3072C"/>
    <w:rsid w:val="0FC361E9"/>
    <w:rsid w:val="0FCB77DB"/>
    <w:rsid w:val="0FCE4ADB"/>
    <w:rsid w:val="0FCF4880"/>
    <w:rsid w:val="0FCF76A4"/>
    <w:rsid w:val="0FD12EE2"/>
    <w:rsid w:val="0FD15B7E"/>
    <w:rsid w:val="0FE4089C"/>
    <w:rsid w:val="0FEF6A5D"/>
    <w:rsid w:val="0FF20643"/>
    <w:rsid w:val="0FF7412C"/>
    <w:rsid w:val="0FF94348"/>
    <w:rsid w:val="0FFC3E38"/>
    <w:rsid w:val="0FFF7FBD"/>
    <w:rsid w:val="10046849"/>
    <w:rsid w:val="100859D0"/>
    <w:rsid w:val="100F4C68"/>
    <w:rsid w:val="10125409"/>
    <w:rsid w:val="10190546"/>
    <w:rsid w:val="10205D2E"/>
    <w:rsid w:val="102559E9"/>
    <w:rsid w:val="10340523"/>
    <w:rsid w:val="1038363A"/>
    <w:rsid w:val="10390BE8"/>
    <w:rsid w:val="10394744"/>
    <w:rsid w:val="103C519C"/>
    <w:rsid w:val="103F1AE1"/>
    <w:rsid w:val="10423BF8"/>
    <w:rsid w:val="104430E9"/>
    <w:rsid w:val="10452D92"/>
    <w:rsid w:val="104B4477"/>
    <w:rsid w:val="104C344F"/>
    <w:rsid w:val="10505F32"/>
    <w:rsid w:val="1053255D"/>
    <w:rsid w:val="1058082F"/>
    <w:rsid w:val="10594DE6"/>
    <w:rsid w:val="105C584D"/>
    <w:rsid w:val="105E41AB"/>
    <w:rsid w:val="106A101D"/>
    <w:rsid w:val="106D2640"/>
    <w:rsid w:val="10707088"/>
    <w:rsid w:val="107240FA"/>
    <w:rsid w:val="10762425"/>
    <w:rsid w:val="10795489"/>
    <w:rsid w:val="107C6D27"/>
    <w:rsid w:val="107E289C"/>
    <w:rsid w:val="10800EB1"/>
    <w:rsid w:val="10817E99"/>
    <w:rsid w:val="10833933"/>
    <w:rsid w:val="10854CBB"/>
    <w:rsid w:val="10897D96"/>
    <w:rsid w:val="10897F83"/>
    <w:rsid w:val="108B0D18"/>
    <w:rsid w:val="108B6F31"/>
    <w:rsid w:val="108C51BC"/>
    <w:rsid w:val="108D4A90"/>
    <w:rsid w:val="109127D2"/>
    <w:rsid w:val="109511BB"/>
    <w:rsid w:val="10967331"/>
    <w:rsid w:val="109727A2"/>
    <w:rsid w:val="109776BD"/>
    <w:rsid w:val="109850F7"/>
    <w:rsid w:val="10991687"/>
    <w:rsid w:val="109B53FF"/>
    <w:rsid w:val="109C2F25"/>
    <w:rsid w:val="10A62B93"/>
    <w:rsid w:val="10AD6EE0"/>
    <w:rsid w:val="10AE4FAE"/>
    <w:rsid w:val="10B04957"/>
    <w:rsid w:val="10BA1785"/>
    <w:rsid w:val="10BE4C49"/>
    <w:rsid w:val="10BF7DA9"/>
    <w:rsid w:val="10C04E65"/>
    <w:rsid w:val="10C32586"/>
    <w:rsid w:val="10C34747"/>
    <w:rsid w:val="10C71ED8"/>
    <w:rsid w:val="10D73F5D"/>
    <w:rsid w:val="10D83B3D"/>
    <w:rsid w:val="10D95F27"/>
    <w:rsid w:val="10DA3000"/>
    <w:rsid w:val="10DD651F"/>
    <w:rsid w:val="10ED3781"/>
    <w:rsid w:val="10EF12A7"/>
    <w:rsid w:val="10FA4933"/>
    <w:rsid w:val="110411F6"/>
    <w:rsid w:val="1106597F"/>
    <w:rsid w:val="110765F0"/>
    <w:rsid w:val="11103928"/>
    <w:rsid w:val="111331E7"/>
    <w:rsid w:val="111568C0"/>
    <w:rsid w:val="111B02EE"/>
    <w:rsid w:val="111B1349"/>
    <w:rsid w:val="111B1D8E"/>
    <w:rsid w:val="111E1B8C"/>
    <w:rsid w:val="111F7DDE"/>
    <w:rsid w:val="112024AC"/>
    <w:rsid w:val="11255AD0"/>
    <w:rsid w:val="11267AD6"/>
    <w:rsid w:val="112A2922"/>
    <w:rsid w:val="112C42A9"/>
    <w:rsid w:val="11324E47"/>
    <w:rsid w:val="11344B11"/>
    <w:rsid w:val="11357B78"/>
    <w:rsid w:val="11380EA0"/>
    <w:rsid w:val="11427629"/>
    <w:rsid w:val="114A0BD3"/>
    <w:rsid w:val="114A3997"/>
    <w:rsid w:val="114F61E9"/>
    <w:rsid w:val="11553800"/>
    <w:rsid w:val="115911F6"/>
    <w:rsid w:val="115A177E"/>
    <w:rsid w:val="115C4244"/>
    <w:rsid w:val="115D5B37"/>
    <w:rsid w:val="115E01DA"/>
    <w:rsid w:val="115F467E"/>
    <w:rsid w:val="11616084"/>
    <w:rsid w:val="11616A7F"/>
    <w:rsid w:val="116A0877"/>
    <w:rsid w:val="116F230D"/>
    <w:rsid w:val="11731A8D"/>
    <w:rsid w:val="11733F8E"/>
    <w:rsid w:val="11785740"/>
    <w:rsid w:val="117D2D56"/>
    <w:rsid w:val="117F6ACF"/>
    <w:rsid w:val="11817609"/>
    <w:rsid w:val="118771CC"/>
    <w:rsid w:val="11892C9B"/>
    <w:rsid w:val="118D3C11"/>
    <w:rsid w:val="118D4FA5"/>
    <w:rsid w:val="11904838"/>
    <w:rsid w:val="11927A83"/>
    <w:rsid w:val="119436ED"/>
    <w:rsid w:val="11963E18"/>
    <w:rsid w:val="119D6F55"/>
    <w:rsid w:val="11A025A1"/>
    <w:rsid w:val="11A227BD"/>
    <w:rsid w:val="11A80819"/>
    <w:rsid w:val="11A90CA2"/>
    <w:rsid w:val="11AC285B"/>
    <w:rsid w:val="11B4290F"/>
    <w:rsid w:val="11B50678"/>
    <w:rsid w:val="11BE6AD3"/>
    <w:rsid w:val="11C049F1"/>
    <w:rsid w:val="11C52605"/>
    <w:rsid w:val="11C57453"/>
    <w:rsid w:val="11C77E03"/>
    <w:rsid w:val="11CC10FB"/>
    <w:rsid w:val="11CE710E"/>
    <w:rsid w:val="11D32976"/>
    <w:rsid w:val="11D566EF"/>
    <w:rsid w:val="11D87F8D"/>
    <w:rsid w:val="11DF131B"/>
    <w:rsid w:val="11DF30C9"/>
    <w:rsid w:val="11E309FC"/>
    <w:rsid w:val="11E43A9B"/>
    <w:rsid w:val="11E52FBC"/>
    <w:rsid w:val="11E64458"/>
    <w:rsid w:val="11E66D6B"/>
    <w:rsid w:val="11E9219A"/>
    <w:rsid w:val="11EB0498"/>
    <w:rsid w:val="11ED1C8A"/>
    <w:rsid w:val="11EE6888"/>
    <w:rsid w:val="11EF2762"/>
    <w:rsid w:val="11F254F3"/>
    <w:rsid w:val="11F905A9"/>
    <w:rsid w:val="12072620"/>
    <w:rsid w:val="12086AC0"/>
    <w:rsid w:val="120B0365"/>
    <w:rsid w:val="120B617C"/>
    <w:rsid w:val="120D40DA"/>
    <w:rsid w:val="120E595B"/>
    <w:rsid w:val="120F735E"/>
    <w:rsid w:val="12107727"/>
    <w:rsid w:val="12135469"/>
    <w:rsid w:val="121429E2"/>
    <w:rsid w:val="12154D3D"/>
    <w:rsid w:val="12174F59"/>
    <w:rsid w:val="12176D07"/>
    <w:rsid w:val="121A05A5"/>
    <w:rsid w:val="121F3E0E"/>
    <w:rsid w:val="122146FC"/>
    <w:rsid w:val="12222684"/>
    <w:rsid w:val="122B332B"/>
    <w:rsid w:val="122F18D1"/>
    <w:rsid w:val="122F67F7"/>
    <w:rsid w:val="1232769D"/>
    <w:rsid w:val="1237792A"/>
    <w:rsid w:val="12427F1D"/>
    <w:rsid w:val="12454595"/>
    <w:rsid w:val="124A70DD"/>
    <w:rsid w:val="124D2289"/>
    <w:rsid w:val="124F5E1C"/>
    <w:rsid w:val="1256384E"/>
    <w:rsid w:val="125E3A70"/>
    <w:rsid w:val="126209FA"/>
    <w:rsid w:val="126307C1"/>
    <w:rsid w:val="12633CFA"/>
    <w:rsid w:val="12634C87"/>
    <w:rsid w:val="126801B8"/>
    <w:rsid w:val="12681311"/>
    <w:rsid w:val="126F6B01"/>
    <w:rsid w:val="12706417"/>
    <w:rsid w:val="12751BDA"/>
    <w:rsid w:val="1278488D"/>
    <w:rsid w:val="127C1AA9"/>
    <w:rsid w:val="127E28E2"/>
    <w:rsid w:val="127E2C02"/>
    <w:rsid w:val="12854213"/>
    <w:rsid w:val="12922832"/>
    <w:rsid w:val="12993BC0"/>
    <w:rsid w:val="129B7938"/>
    <w:rsid w:val="129F6386"/>
    <w:rsid w:val="12A22D09"/>
    <w:rsid w:val="12A54313"/>
    <w:rsid w:val="12A84E8F"/>
    <w:rsid w:val="12AF6F40"/>
    <w:rsid w:val="12B75DF4"/>
    <w:rsid w:val="12B91D4C"/>
    <w:rsid w:val="12BA6C22"/>
    <w:rsid w:val="12BF4B6F"/>
    <w:rsid w:val="12CE32F0"/>
    <w:rsid w:val="12CF62B2"/>
    <w:rsid w:val="12D335F1"/>
    <w:rsid w:val="12E0534B"/>
    <w:rsid w:val="12E070F9"/>
    <w:rsid w:val="12E15BF5"/>
    <w:rsid w:val="12E3669F"/>
    <w:rsid w:val="12EA61CA"/>
    <w:rsid w:val="12F13FA9"/>
    <w:rsid w:val="12F47048"/>
    <w:rsid w:val="12F62DC0"/>
    <w:rsid w:val="12F708E7"/>
    <w:rsid w:val="12F86B39"/>
    <w:rsid w:val="12FD1012"/>
    <w:rsid w:val="12FE572C"/>
    <w:rsid w:val="1302261D"/>
    <w:rsid w:val="13070B2A"/>
    <w:rsid w:val="130A686C"/>
    <w:rsid w:val="13117BFA"/>
    <w:rsid w:val="13172421"/>
    <w:rsid w:val="131A2F56"/>
    <w:rsid w:val="131B45D5"/>
    <w:rsid w:val="131E6243"/>
    <w:rsid w:val="131E7A49"/>
    <w:rsid w:val="13223BB5"/>
    <w:rsid w:val="1323348A"/>
    <w:rsid w:val="13272BE8"/>
    <w:rsid w:val="132D4308"/>
    <w:rsid w:val="1332191F"/>
    <w:rsid w:val="13347445"/>
    <w:rsid w:val="1337725E"/>
    <w:rsid w:val="133A4369"/>
    <w:rsid w:val="133E62E0"/>
    <w:rsid w:val="13421557"/>
    <w:rsid w:val="13451652"/>
    <w:rsid w:val="134578A4"/>
    <w:rsid w:val="13491142"/>
    <w:rsid w:val="134C478E"/>
    <w:rsid w:val="135D699C"/>
    <w:rsid w:val="136415FC"/>
    <w:rsid w:val="13651CF4"/>
    <w:rsid w:val="136702B4"/>
    <w:rsid w:val="137363F8"/>
    <w:rsid w:val="137912FC"/>
    <w:rsid w:val="138228A6"/>
    <w:rsid w:val="13851A6C"/>
    <w:rsid w:val="138C54D3"/>
    <w:rsid w:val="138D2966"/>
    <w:rsid w:val="139229D8"/>
    <w:rsid w:val="13961DA5"/>
    <w:rsid w:val="13977400"/>
    <w:rsid w:val="13991AB1"/>
    <w:rsid w:val="139B3968"/>
    <w:rsid w:val="13A1426D"/>
    <w:rsid w:val="13A419F6"/>
    <w:rsid w:val="13A4275D"/>
    <w:rsid w:val="13AC16D1"/>
    <w:rsid w:val="13AE085B"/>
    <w:rsid w:val="13AE5449"/>
    <w:rsid w:val="13B42264"/>
    <w:rsid w:val="13BA0DB6"/>
    <w:rsid w:val="13BF1C93"/>
    <w:rsid w:val="13BF36D6"/>
    <w:rsid w:val="13C50286"/>
    <w:rsid w:val="13C71106"/>
    <w:rsid w:val="13C7475D"/>
    <w:rsid w:val="13C82D75"/>
    <w:rsid w:val="13D10253"/>
    <w:rsid w:val="13DF08B6"/>
    <w:rsid w:val="13DF3855"/>
    <w:rsid w:val="13E76168"/>
    <w:rsid w:val="13EB57AE"/>
    <w:rsid w:val="13ED0B6F"/>
    <w:rsid w:val="13F82455"/>
    <w:rsid w:val="13FB22A7"/>
    <w:rsid w:val="140068A4"/>
    <w:rsid w:val="14013A66"/>
    <w:rsid w:val="14022538"/>
    <w:rsid w:val="14096B23"/>
    <w:rsid w:val="1411239E"/>
    <w:rsid w:val="141C0605"/>
    <w:rsid w:val="14213E6D"/>
    <w:rsid w:val="142E3D3C"/>
    <w:rsid w:val="14342A15"/>
    <w:rsid w:val="143C4803"/>
    <w:rsid w:val="143D524C"/>
    <w:rsid w:val="144E0BF3"/>
    <w:rsid w:val="144E2788"/>
    <w:rsid w:val="14531B4D"/>
    <w:rsid w:val="145923C5"/>
    <w:rsid w:val="145A197A"/>
    <w:rsid w:val="145F6743"/>
    <w:rsid w:val="14626D6D"/>
    <w:rsid w:val="14663E36"/>
    <w:rsid w:val="146835FB"/>
    <w:rsid w:val="146A5814"/>
    <w:rsid w:val="146B507F"/>
    <w:rsid w:val="146B50E8"/>
    <w:rsid w:val="146C2418"/>
    <w:rsid w:val="147148B8"/>
    <w:rsid w:val="147541B9"/>
    <w:rsid w:val="147954B1"/>
    <w:rsid w:val="147C5547"/>
    <w:rsid w:val="14863CD0"/>
    <w:rsid w:val="1488219B"/>
    <w:rsid w:val="148D32B1"/>
    <w:rsid w:val="14A5684C"/>
    <w:rsid w:val="14AB3737"/>
    <w:rsid w:val="14B26F05"/>
    <w:rsid w:val="14BC1DE8"/>
    <w:rsid w:val="14BC5944"/>
    <w:rsid w:val="14BC76AF"/>
    <w:rsid w:val="14BE16BC"/>
    <w:rsid w:val="14C15ED1"/>
    <w:rsid w:val="14C23E79"/>
    <w:rsid w:val="14C64A10"/>
    <w:rsid w:val="14C854CA"/>
    <w:rsid w:val="14D02F5C"/>
    <w:rsid w:val="14D25167"/>
    <w:rsid w:val="14D51756"/>
    <w:rsid w:val="14D61ED0"/>
    <w:rsid w:val="14DE573A"/>
    <w:rsid w:val="14E034EC"/>
    <w:rsid w:val="14E1184E"/>
    <w:rsid w:val="14E60C13"/>
    <w:rsid w:val="14E629C1"/>
    <w:rsid w:val="14EB2D42"/>
    <w:rsid w:val="14F3618F"/>
    <w:rsid w:val="14F670A8"/>
    <w:rsid w:val="14FA7677"/>
    <w:rsid w:val="14FB46BE"/>
    <w:rsid w:val="15007F26"/>
    <w:rsid w:val="15022041"/>
    <w:rsid w:val="150854D4"/>
    <w:rsid w:val="150C0679"/>
    <w:rsid w:val="1514752E"/>
    <w:rsid w:val="15262041"/>
    <w:rsid w:val="152A6D51"/>
    <w:rsid w:val="152D1D89"/>
    <w:rsid w:val="153171D2"/>
    <w:rsid w:val="15325C06"/>
    <w:rsid w:val="153879D6"/>
    <w:rsid w:val="15394114"/>
    <w:rsid w:val="153D5CAA"/>
    <w:rsid w:val="15421C87"/>
    <w:rsid w:val="15461A98"/>
    <w:rsid w:val="15477903"/>
    <w:rsid w:val="154A11A2"/>
    <w:rsid w:val="154C6CD2"/>
    <w:rsid w:val="154F4A0A"/>
    <w:rsid w:val="15511BEA"/>
    <w:rsid w:val="15516865"/>
    <w:rsid w:val="15563AF1"/>
    <w:rsid w:val="155A139E"/>
    <w:rsid w:val="155E4C4D"/>
    <w:rsid w:val="155F4AF1"/>
    <w:rsid w:val="15680536"/>
    <w:rsid w:val="156A53A0"/>
    <w:rsid w:val="156F50C5"/>
    <w:rsid w:val="156F71E9"/>
    <w:rsid w:val="1574024A"/>
    <w:rsid w:val="1574406E"/>
    <w:rsid w:val="15747D8A"/>
    <w:rsid w:val="157F7058"/>
    <w:rsid w:val="15804BC3"/>
    <w:rsid w:val="1585042C"/>
    <w:rsid w:val="15920E51"/>
    <w:rsid w:val="15943B9D"/>
    <w:rsid w:val="15962639"/>
    <w:rsid w:val="159863B1"/>
    <w:rsid w:val="159C5B4F"/>
    <w:rsid w:val="159E329B"/>
    <w:rsid w:val="15A063BE"/>
    <w:rsid w:val="15A54F00"/>
    <w:rsid w:val="15A56279"/>
    <w:rsid w:val="15A62CFE"/>
    <w:rsid w:val="15A64FDD"/>
    <w:rsid w:val="15A67EF2"/>
    <w:rsid w:val="15B8610B"/>
    <w:rsid w:val="15C72391"/>
    <w:rsid w:val="15CE3B81"/>
    <w:rsid w:val="15CF11DB"/>
    <w:rsid w:val="15D46CBD"/>
    <w:rsid w:val="15D60C87"/>
    <w:rsid w:val="15DD2016"/>
    <w:rsid w:val="15E275F7"/>
    <w:rsid w:val="15EC4007"/>
    <w:rsid w:val="15EF58A5"/>
    <w:rsid w:val="15EF766C"/>
    <w:rsid w:val="15F51A15"/>
    <w:rsid w:val="15F5735F"/>
    <w:rsid w:val="15FA42FE"/>
    <w:rsid w:val="15FC6940"/>
    <w:rsid w:val="15FD4466"/>
    <w:rsid w:val="15FF3D3A"/>
    <w:rsid w:val="16013F56"/>
    <w:rsid w:val="16022AE9"/>
    <w:rsid w:val="1606331B"/>
    <w:rsid w:val="161D68B6"/>
    <w:rsid w:val="161F1D5D"/>
    <w:rsid w:val="162163A6"/>
    <w:rsid w:val="1627475A"/>
    <w:rsid w:val="16290B59"/>
    <w:rsid w:val="162D4D4B"/>
    <w:rsid w:val="16315EBE"/>
    <w:rsid w:val="16331C36"/>
    <w:rsid w:val="16351E52"/>
    <w:rsid w:val="163C139B"/>
    <w:rsid w:val="164058EC"/>
    <w:rsid w:val="164125A5"/>
    <w:rsid w:val="16420577"/>
    <w:rsid w:val="16421E79"/>
    <w:rsid w:val="1642631D"/>
    <w:rsid w:val="16481B85"/>
    <w:rsid w:val="16491459"/>
    <w:rsid w:val="164A4A71"/>
    <w:rsid w:val="164B0FAC"/>
    <w:rsid w:val="16500773"/>
    <w:rsid w:val="1652128F"/>
    <w:rsid w:val="165878EE"/>
    <w:rsid w:val="166C5307"/>
    <w:rsid w:val="16736839"/>
    <w:rsid w:val="16751686"/>
    <w:rsid w:val="1677245A"/>
    <w:rsid w:val="167957B1"/>
    <w:rsid w:val="167D33AF"/>
    <w:rsid w:val="167D4ECC"/>
    <w:rsid w:val="167F4E7B"/>
    <w:rsid w:val="16831DBB"/>
    <w:rsid w:val="1683296D"/>
    <w:rsid w:val="16857E4E"/>
    <w:rsid w:val="16866209"/>
    <w:rsid w:val="168E2EC8"/>
    <w:rsid w:val="16900E36"/>
    <w:rsid w:val="16943974"/>
    <w:rsid w:val="16990306"/>
    <w:rsid w:val="169A7F07"/>
    <w:rsid w:val="169C3C7F"/>
    <w:rsid w:val="16A86180"/>
    <w:rsid w:val="16AA09A0"/>
    <w:rsid w:val="16AB2114"/>
    <w:rsid w:val="16BF34C9"/>
    <w:rsid w:val="16C32FBA"/>
    <w:rsid w:val="16C93526"/>
    <w:rsid w:val="16CC55AB"/>
    <w:rsid w:val="16CE195E"/>
    <w:rsid w:val="16CE51CA"/>
    <w:rsid w:val="16D01B7A"/>
    <w:rsid w:val="16D46FB9"/>
    <w:rsid w:val="16D87738"/>
    <w:rsid w:val="16DD70C0"/>
    <w:rsid w:val="16DF7696"/>
    <w:rsid w:val="16E228C0"/>
    <w:rsid w:val="16E573D4"/>
    <w:rsid w:val="16E875E1"/>
    <w:rsid w:val="16E96798"/>
    <w:rsid w:val="16EA2C3C"/>
    <w:rsid w:val="16F05A82"/>
    <w:rsid w:val="16FA2753"/>
    <w:rsid w:val="17081314"/>
    <w:rsid w:val="17084E70"/>
    <w:rsid w:val="170D692B"/>
    <w:rsid w:val="170F729D"/>
    <w:rsid w:val="171262EA"/>
    <w:rsid w:val="17127A9D"/>
    <w:rsid w:val="17141A67"/>
    <w:rsid w:val="17172D24"/>
    <w:rsid w:val="171B2DF6"/>
    <w:rsid w:val="171F098A"/>
    <w:rsid w:val="172D0D7B"/>
    <w:rsid w:val="17321EED"/>
    <w:rsid w:val="17327353"/>
    <w:rsid w:val="17332C3E"/>
    <w:rsid w:val="17345C65"/>
    <w:rsid w:val="17372DC2"/>
    <w:rsid w:val="1743234C"/>
    <w:rsid w:val="17465999"/>
    <w:rsid w:val="174D31CB"/>
    <w:rsid w:val="174F2A9F"/>
    <w:rsid w:val="174F6F43"/>
    <w:rsid w:val="17514FCE"/>
    <w:rsid w:val="175207E1"/>
    <w:rsid w:val="1759391E"/>
    <w:rsid w:val="17604D9F"/>
    <w:rsid w:val="176050EF"/>
    <w:rsid w:val="17644F19"/>
    <w:rsid w:val="1765414D"/>
    <w:rsid w:val="176656A9"/>
    <w:rsid w:val="17680005"/>
    <w:rsid w:val="176838A5"/>
    <w:rsid w:val="176D5C4E"/>
    <w:rsid w:val="176F6C9D"/>
    <w:rsid w:val="17797B1C"/>
    <w:rsid w:val="177C760C"/>
    <w:rsid w:val="17877C80"/>
    <w:rsid w:val="178905CA"/>
    <w:rsid w:val="178D7D75"/>
    <w:rsid w:val="17914E66"/>
    <w:rsid w:val="17935082"/>
    <w:rsid w:val="179755EA"/>
    <w:rsid w:val="17984446"/>
    <w:rsid w:val="1799277F"/>
    <w:rsid w:val="179B7586"/>
    <w:rsid w:val="179C32D3"/>
    <w:rsid w:val="179D1A36"/>
    <w:rsid w:val="179D6C26"/>
    <w:rsid w:val="179E3A27"/>
    <w:rsid w:val="179E535D"/>
    <w:rsid w:val="17A40EEE"/>
    <w:rsid w:val="17A4103D"/>
    <w:rsid w:val="17A728DB"/>
    <w:rsid w:val="17A83E93"/>
    <w:rsid w:val="17AC7EF2"/>
    <w:rsid w:val="17B03C95"/>
    <w:rsid w:val="17B332EA"/>
    <w:rsid w:val="17B35C58"/>
    <w:rsid w:val="17BA22F0"/>
    <w:rsid w:val="17BD3EAD"/>
    <w:rsid w:val="17C05709"/>
    <w:rsid w:val="17C23271"/>
    <w:rsid w:val="17C349C7"/>
    <w:rsid w:val="17C36FE9"/>
    <w:rsid w:val="17C66754"/>
    <w:rsid w:val="17CA65CA"/>
    <w:rsid w:val="17CC0594"/>
    <w:rsid w:val="17D26240"/>
    <w:rsid w:val="17D33A25"/>
    <w:rsid w:val="17D6023F"/>
    <w:rsid w:val="17D631C0"/>
    <w:rsid w:val="17D80CE7"/>
    <w:rsid w:val="17DD454F"/>
    <w:rsid w:val="17DD6566"/>
    <w:rsid w:val="17DD6BCE"/>
    <w:rsid w:val="17E458DD"/>
    <w:rsid w:val="17E86A50"/>
    <w:rsid w:val="17EE0EFA"/>
    <w:rsid w:val="17EF6030"/>
    <w:rsid w:val="17F3168A"/>
    <w:rsid w:val="17F453F5"/>
    <w:rsid w:val="17F46F53"/>
    <w:rsid w:val="17F555C0"/>
    <w:rsid w:val="17F673BF"/>
    <w:rsid w:val="17FF6273"/>
    <w:rsid w:val="18023FB5"/>
    <w:rsid w:val="18032795"/>
    <w:rsid w:val="18056BC5"/>
    <w:rsid w:val="180A4C18"/>
    <w:rsid w:val="180C01B6"/>
    <w:rsid w:val="18100480"/>
    <w:rsid w:val="18155A97"/>
    <w:rsid w:val="1816180F"/>
    <w:rsid w:val="181A4F1F"/>
    <w:rsid w:val="181B5077"/>
    <w:rsid w:val="18211F46"/>
    <w:rsid w:val="182201B4"/>
    <w:rsid w:val="18234262"/>
    <w:rsid w:val="1824217E"/>
    <w:rsid w:val="18251A3C"/>
    <w:rsid w:val="182B5C22"/>
    <w:rsid w:val="182D1A68"/>
    <w:rsid w:val="183121A5"/>
    <w:rsid w:val="18320EF5"/>
    <w:rsid w:val="18360A65"/>
    <w:rsid w:val="183D00E6"/>
    <w:rsid w:val="183E06CD"/>
    <w:rsid w:val="18423CDF"/>
    <w:rsid w:val="18491834"/>
    <w:rsid w:val="184928DF"/>
    <w:rsid w:val="185B5474"/>
    <w:rsid w:val="185F457F"/>
    <w:rsid w:val="18605BBA"/>
    <w:rsid w:val="18652CE4"/>
    <w:rsid w:val="18685D2A"/>
    <w:rsid w:val="186E06F3"/>
    <w:rsid w:val="186F0247"/>
    <w:rsid w:val="18716A45"/>
    <w:rsid w:val="187A4DE1"/>
    <w:rsid w:val="1881137E"/>
    <w:rsid w:val="18897EA7"/>
    <w:rsid w:val="188B5D59"/>
    <w:rsid w:val="188E4B1C"/>
    <w:rsid w:val="189219F1"/>
    <w:rsid w:val="18961DEF"/>
    <w:rsid w:val="189C1D14"/>
    <w:rsid w:val="18A10666"/>
    <w:rsid w:val="18A137CE"/>
    <w:rsid w:val="18A16A53"/>
    <w:rsid w:val="18A4506D"/>
    <w:rsid w:val="18A60E53"/>
    <w:rsid w:val="18B54B84"/>
    <w:rsid w:val="18B83C69"/>
    <w:rsid w:val="18BA03EC"/>
    <w:rsid w:val="18BB520D"/>
    <w:rsid w:val="18C63B73"/>
    <w:rsid w:val="18C64FE3"/>
    <w:rsid w:val="18C96881"/>
    <w:rsid w:val="18CA7B2D"/>
    <w:rsid w:val="18CB25F9"/>
    <w:rsid w:val="18CC56F0"/>
    <w:rsid w:val="18CE3F9E"/>
    <w:rsid w:val="18D06A7D"/>
    <w:rsid w:val="18D21240"/>
    <w:rsid w:val="18D35D30"/>
    <w:rsid w:val="18DA6CE0"/>
    <w:rsid w:val="18DE6E81"/>
    <w:rsid w:val="18E11E1D"/>
    <w:rsid w:val="18E16A7D"/>
    <w:rsid w:val="18E966A5"/>
    <w:rsid w:val="18EA221C"/>
    <w:rsid w:val="18EB6B88"/>
    <w:rsid w:val="18ED6A14"/>
    <w:rsid w:val="18F2402A"/>
    <w:rsid w:val="18F25DD8"/>
    <w:rsid w:val="18FA2EDF"/>
    <w:rsid w:val="18FC27B3"/>
    <w:rsid w:val="19006747"/>
    <w:rsid w:val="19017DC9"/>
    <w:rsid w:val="19024E0F"/>
    <w:rsid w:val="190873AA"/>
    <w:rsid w:val="191044B0"/>
    <w:rsid w:val="19153875"/>
    <w:rsid w:val="19157D18"/>
    <w:rsid w:val="191C2E55"/>
    <w:rsid w:val="191C4C03"/>
    <w:rsid w:val="191C723B"/>
    <w:rsid w:val="191E6BCD"/>
    <w:rsid w:val="1920293C"/>
    <w:rsid w:val="19202C15"/>
    <w:rsid w:val="19212219"/>
    <w:rsid w:val="192166BD"/>
    <w:rsid w:val="19232435"/>
    <w:rsid w:val="19265A82"/>
    <w:rsid w:val="19267830"/>
    <w:rsid w:val="192D6E10"/>
    <w:rsid w:val="19306900"/>
    <w:rsid w:val="1935521A"/>
    <w:rsid w:val="19355BD6"/>
    <w:rsid w:val="193A0F3F"/>
    <w:rsid w:val="193A152D"/>
    <w:rsid w:val="193A5D65"/>
    <w:rsid w:val="19404D95"/>
    <w:rsid w:val="19436634"/>
    <w:rsid w:val="194C67DE"/>
    <w:rsid w:val="19500268"/>
    <w:rsid w:val="19524583"/>
    <w:rsid w:val="19524AC9"/>
    <w:rsid w:val="195425EF"/>
    <w:rsid w:val="195D09F1"/>
    <w:rsid w:val="19602F90"/>
    <w:rsid w:val="196F12BF"/>
    <w:rsid w:val="197467ED"/>
    <w:rsid w:val="19805192"/>
    <w:rsid w:val="19866520"/>
    <w:rsid w:val="19872D91"/>
    <w:rsid w:val="198A298F"/>
    <w:rsid w:val="198F7215"/>
    <w:rsid w:val="19906060"/>
    <w:rsid w:val="19951659"/>
    <w:rsid w:val="19980027"/>
    <w:rsid w:val="199921DF"/>
    <w:rsid w:val="199926F8"/>
    <w:rsid w:val="199D4507"/>
    <w:rsid w:val="19A277FE"/>
    <w:rsid w:val="19A54BF8"/>
    <w:rsid w:val="19A60971"/>
    <w:rsid w:val="19A846E9"/>
    <w:rsid w:val="19AA220F"/>
    <w:rsid w:val="19AF7825"/>
    <w:rsid w:val="19B117EF"/>
    <w:rsid w:val="19B25567"/>
    <w:rsid w:val="19BB39D5"/>
    <w:rsid w:val="19BD63E6"/>
    <w:rsid w:val="19C77265"/>
    <w:rsid w:val="19C84D8B"/>
    <w:rsid w:val="19CA28B1"/>
    <w:rsid w:val="19CF6119"/>
    <w:rsid w:val="19DA170E"/>
    <w:rsid w:val="19DD17D0"/>
    <w:rsid w:val="19DE635C"/>
    <w:rsid w:val="19E054E5"/>
    <w:rsid w:val="19E31A84"/>
    <w:rsid w:val="19EB0C7A"/>
    <w:rsid w:val="19EB2AC6"/>
    <w:rsid w:val="19EC3234"/>
    <w:rsid w:val="19F53DD2"/>
    <w:rsid w:val="19F54388"/>
    <w:rsid w:val="19F61C8D"/>
    <w:rsid w:val="19F94F44"/>
    <w:rsid w:val="19FB59D1"/>
    <w:rsid w:val="19FB6F0E"/>
    <w:rsid w:val="1A01042B"/>
    <w:rsid w:val="1A050F99"/>
    <w:rsid w:val="1A0665F6"/>
    <w:rsid w:val="1A071E6B"/>
    <w:rsid w:val="1A0A0EFF"/>
    <w:rsid w:val="1A0B09C0"/>
    <w:rsid w:val="1A0F2D6F"/>
    <w:rsid w:val="1A16603F"/>
    <w:rsid w:val="1A176D0F"/>
    <w:rsid w:val="1A1B310D"/>
    <w:rsid w:val="1A1C5A67"/>
    <w:rsid w:val="1A1D50D7"/>
    <w:rsid w:val="1A1F0E4F"/>
    <w:rsid w:val="1A240213"/>
    <w:rsid w:val="1A251FB0"/>
    <w:rsid w:val="1A253F8B"/>
    <w:rsid w:val="1A273773"/>
    <w:rsid w:val="1A3327B7"/>
    <w:rsid w:val="1A355B24"/>
    <w:rsid w:val="1A364C9D"/>
    <w:rsid w:val="1A3961D5"/>
    <w:rsid w:val="1A3A7A37"/>
    <w:rsid w:val="1A431E60"/>
    <w:rsid w:val="1A447240"/>
    <w:rsid w:val="1A4F2DB6"/>
    <w:rsid w:val="1A5964E0"/>
    <w:rsid w:val="1A5E5585"/>
    <w:rsid w:val="1A5E6624"/>
    <w:rsid w:val="1A646862"/>
    <w:rsid w:val="1A6B5E42"/>
    <w:rsid w:val="1A703458"/>
    <w:rsid w:val="1A7271C0"/>
    <w:rsid w:val="1A744A91"/>
    <w:rsid w:val="1A7B3BAB"/>
    <w:rsid w:val="1A7C5269"/>
    <w:rsid w:val="1A7F369B"/>
    <w:rsid w:val="1A826A42"/>
    <w:rsid w:val="1A841733"/>
    <w:rsid w:val="1A863A57"/>
    <w:rsid w:val="1A86585B"/>
    <w:rsid w:val="1A8F6A90"/>
    <w:rsid w:val="1A930EF5"/>
    <w:rsid w:val="1A9D6217"/>
    <w:rsid w:val="1A9F1C68"/>
    <w:rsid w:val="1AA12D15"/>
    <w:rsid w:val="1AB130BF"/>
    <w:rsid w:val="1AB217D3"/>
    <w:rsid w:val="1AB570BD"/>
    <w:rsid w:val="1ABA2A2D"/>
    <w:rsid w:val="1AC03394"/>
    <w:rsid w:val="1AC44158"/>
    <w:rsid w:val="1AC63078"/>
    <w:rsid w:val="1AC9700C"/>
    <w:rsid w:val="1AD97719"/>
    <w:rsid w:val="1ADA6B24"/>
    <w:rsid w:val="1ADF5EC7"/>
    <w:rsid w:val="1AE6371B"/>
    <w:rsid w:val="1AEE0821"/>
    <w:rsid w:val="1AEE25CF"/>
    <w:rsid w:val="1AF520D1"/>
    <w:rsid w:val="1AF57E02"/>
    <w:rsid w:val="1AFA0F74"/>
    <w:rsid w:val="1AFC1190"/>
    <w:rsid w:val="1AFC4CEC"/>
    <w:rsid w:val="1AFF1F8B"/>
    <w:rsid w:val="1B001452"/>
    <w:rsid w:val="1B0512A5"/>
    <w:rsid w:val="1B0A7F80"/>
    <w:rsid w:val="1B0D3BAC"/>
    <w:rsid w:val="1B135BD9"/>
    <w:rsid w:val="1B170958"/>
    <w:rsid w:val="1B171B26"/>
    <w:rsid w:val="1B172250"/>
    <w:rsid w:val="1B210BF7"/>
    <w:rsid w:val="1B21661A"/>
    <w:rsid w:val="1B244243"/>
    <w:rsid w:val="1B245FF1"/>
    <w:rsid w:val="1B297880"/>
    <w:rsid w:val="1B2B396E"/>
    <w:rsid w:val="1B2F747F"/>
    <w:rsid w:val="1B3847A4"/>
    <w:rsid w:val="1B397E34"/>
    <w:rsid w:val="1B3A5814"/>
    <w:rsid w:val="1B41388C"/>
    <w:rsid w:val="1B431D5E"/>
    <w:rsid w:val="1B4437DD"/>
    <w:rsid w:val="1B486183"/>
    <w:rsid w:val="1B5239A9"/>
    <w:rsid w:val="1B540E52"/>
    <w:rsid w:val="1B544B28"/>
    <w:rsid w:val="1B55264E"/>
    <w:rsid w:val="1B5D038C"/>
    <w:rsid w:val="1B6D5BEA"/>
    <w:rsid w:val="1B6F54BE"/>
    <w:rsid w:val="1B724FAE"/>
    <w:rsid w:val="1B740D26"/>
    <w:rsid w:val="1B776A68"/>
    <w:rsid w:val="1B7F55B5"/>
    <w:rsid w:val="1B825704"/>
    <w:rsid w:val="1B860A5A"/>
    <w:rsid w:val="1B88172B"/>
    <w:rsid w:val="1B884DC4"/>
    <w:rsid w:val="1B8E0917"/>
    <w:rsid w:val="1B942560"/>
    <w:rsid w:val="1B944F25"/>
    <w:rsid w:val="1B9E7300"/>
    <w:rsid w:val="1B9F38C9"/>
    <w:rsid w:val="1BA079B2"/>
    <w:rsid w:val="1BA52F53"/>
    <w:rsid w:val="1BA548B0"/>
    <w:rsid w:val="1BA76708"/>
    <w:rsid w:val="1BA96413"/>
    <w:rsid w:val="1BAB226E"/>
    <w:rsid w:val="1BB34972"/>
    <w:rsid w:val="1BB455C7"/>
    <w:rsid w:val="1BB76E65"/>
    <w:rsid w:val="1BB90E2F"/>
    <w:rsid w:val="1BBC26CD"/>
    <w:rsid w:val="1BBD091F"/>
    <w:rsid w:val="1BBD1E72"/>
    <w:rsid w:val="1BC02031"/>
    <w:rsid w:val="1BC1042C"/>
    <w:rsid w:val="1BCB46BE"/>
    <w:rsid w:val="1BCF1309"/>
    <w:rsid w:val="1BD143CB"/>
    <w:rsid w:val="1BD765FC"/>
    <w:rsid w:val="1BDB6FF7"/>
    <w:rsid w:val="1BE10D98"/>
    <w:rsid w:val="1BE87456"/>
    <w:rsid w:val="1BF27683"/>
    <w:rsid w:val="1BF97E83"/>
    <w:rsid w:val="1C0025BA"/>
    <w:rsid w:val="1C0A3439"/>
    <w:rsid w:val="1C0C5403"/>
    <w:rsid w:val="1C1222ED"/>
    <w:rsid w:val="1C156F10"/>
    <w:rsid w:val="1C1A6E60"/>
    <w:rsid w:val="1C1C6D9C"/>
    <w:rsid w:val="1C1D5511"/>
    <w:rsid w:val="1C281B11"/>
    <w:rsid w:val="1C2A5889"/>
    <w:rsid w:val="1C2C1601"/>
    <w:rsid w:val="1C365FDC"/>
    <w:rsid w:val="1C3738A4"/>
    <w:rsid w:val="1C451422"/>
    <w:rsid w:val="1C4757B1"/>
    <w:rsid w:val="1C4B37D1"/>
    <w:rsid w:val="1C4C4C4D"/>
    <w:rsid w:val="1C4E1577"/>
    <w:rsid w:val="1C4E77C9"/>
    <w:rsid w:val="1C4F3C15"/>
    <w:rsid w:val="1C553689"/>
    <w:rsid w:val="1C5D6861"/>
    <w:rsid w:val="1C5E5533"/>
    <w:rsid w:val="1C60776B"/>
    <w:rsid w:val="1C612F05"/>
    <w:rsid w:val="1C627E7C"/>
    <w:rsid w:val="1C694327"/>
    <w:rsid w:val="1C6F6D69"/>
    <w:rsid w:val="1C734345"/>
    <w:rsid w:val="1C741674"/>
    <w:rsid w:val="1C7B3C92"/>
    <w:rsid w:val="1C7B4373"/>
    <w:rsid w:val="1C8067A9"/>
    <w:rsid w:val="1C821221"/>
    <w:rsid w:val="1C865ACB"/>
    <w:rsid w:val="1C871BA8"/>
    <w:rsid w:val="1C873A62"/>
    <w:rsid w:val="1C8E447C"/>
    <w:rsid w:val="1C901646"/>
    <w:rsid w:val="1C9020E0"/>
    <w:rsid w:val="1C906530"/>
    <w:rsid w:val="1C931680"/>
    <w:rsid w:val="1C93342E"/>
    <w:rsid w:val="1C9338F9"/>
    <w:rsid w:val="1C9378D2"/>
    <w:rsid w:val="1C9A10CA"/>
    <w:rsid w:val="1C9A2A0F"/>
    <w:rsid w:val="1C9D605B"/>
    <w:rsid w:val="1CAA039D"/>
    <w:rsid w:val="1CAB69CA"/>
    <w:rsid w:val="1CB5684F"/>
    <w:rsid w:val="1CC22BD9"/>
    <w:rsid w:val="1CC24AA5"/>
    <w:rsid w:val="1CC36857"/>
    <w:rsid w:val="1CCB627B"/>
    <w:rsid w:val="1CD00D9F"/>
    <w:rsid w:val="1CD0119E"/>
    <w:rsid w:val="1CD27317"/>
    <w:rsid w:val="1CD40F1D"/>
    <w:rsid w:val="1CDA2E0B"/>
    <w:rsid w:val="1CDD506F"/>
    <w:rsid w:val="1CE149AE"/>
    <w:rsid w:val="1CE41EDC"/>
    <w:rsid w:val="1CE50167"/>
    <w:rsid w:val="1CEB54F6"/>
    <w:rsid w:val="1CEE4B08"/>
    <w:rsid w:val="1CEF43E3"/>
    <w:rsid w:val="1CF3211F"/>
    <w:rsid w:val="1CF75960"/>
    <w:rsid w:val="1CFD2F9D"/>
    <w:rsid w:val="1D004BBE"/>
    <w:rsid w:val="1D012A8E"/>
    <w:rsid w:val="1D022859"/>
    <w:rsid w:val="1D094AC4"/>
    <w:rsid w:val="1D0C4F8F"/>
    <w:rsid w:val="1D0E738A"/>
    <w:rsid w:val="1D1B7A2F"/>
    <w:rsid w:val="1D1C37DF"/>
    <w:rsid w:val="1D1D04A8"/>
    <w:rsid w:val="1D1F4CC2"/>
    <w:rsid w:val="1D232A04"/>
    <w:rsid w:val="1D24052A"/>
    <w:rsid w:val="1D2547F1"/>
    <w:rsid w:val="1D2A0D94"/>
    <w:rsid w:val="1D2E0656"/>
    <w:rsid w:val="1D305121"/>
    <w:rsid w:val="1D367EDC"/>
    <w:rsid w:val="1D385D84"/>
    <w:rsid w:val="1D3A6632"/>
    <w:rsid w:val="1D3E2200"/>
    <w:rsid w:val="1D3E783E"/>
    <w:rsid w:val="1D480FB9"/>
    <w:rsid w:val="1D506B65"/>
    <w:rsid w:val="1D513780"/>
    <w:rsid w:val="1D570900"/>
    <w:rsid w:val="1D683071"/>
    <w:rsid w:val="1D6923E1"/>
    <w:rsid w:val="1D694FFC"/>
    <w:rsid w:val="1D6B574B"/>
    <w:rsid w:val="1D6C6D46"/>
    <w:rsid w:val="1D6D0123"/>
    <w:rsid w:val="1D6E3A3E"/>
    <w:rsid w:val="1D701900"/>
    <w:rsid w:val="1D747A57"/>
    <w:rsid w:val="1D761C93"/>
    <w:rsid w:val="1D7A555D"/>
    <w:rsid w:val="1D7F002D"/>
    <w:rsid w:val="1D8013C5"/>
    <w:rsid w:val="1D8061F7"/>
    <w:rsid w:val="1D842B1B"/>
    <w:rsid w:val="1D8661A8"/>
    <w:rsid w:val="1D877DCB"/>
    <w:rsid w:val="1D882867"/>
    <w:rsid w:val="1D891995"/>
    <w:rsid w:val="1D8D2B04"/>
    <w:rsid w:val="1D906CBB"/>
    <w:rsid w:val="1D943902"/>
    <w:rsid w:val="1D994A74"/>
    <w:rsid w:val="1D9F5E03"/>
    <w:rsid w:val="1DA0383E"/>
    <w:rsid w:val="1DA20C31"/>
    <w:rsid w:val="1DA26897"/>
    <w:rsid w:val="1DA925DA"/>
    <w:rsid w:val="1DAC4AD5"/>
    <w:rsid w:val="1DAD6B3A"/>
    <w:rsid w:val="1DAF24EA"/>
    <w:rsid w:val="1DAF6046"/>
    <w:rsid w:val="1DB04A2F"/>
    <w:rsid w:val="1DB347EA"/>
    <w:rsid w:val="1DB63878"/>
    <w:rsid w:val="1DB83A1E"/>
    <w:rsid w:val="1DBB576B"/>
    <w:rsid w:val="1DBF5FA0"/>
    <w:rsid w:val="1DC50CE6"/>
    <w:rsid w:val="1DC738B3"/>
    <w:rsid w:val="1DCC6C1C"/>
    <w:rsid w:val="1DCF4116"/>
    <w:rsid w:val="1DD2442A"/>
    <w:rsid w:val="1DD44A27"/>
    <w:rsid w:val="1DDD24B3"/>
    <w:rsid w:val="1DE32193"/>
    <w:rsid w:val="1DE52089"/>
    <w:rsid w:val="1DE55F0B"/>
    <w:rsid w:val="1DEF0B38"/>
    <w:rsid w:val="1DEF6D8A"/>
    <w:rsid w:val="1DF06353"/>
    <w:rsid w:val="1DF12B02"/>
    <w:rsid w:val="1DF47EFC"/>
    <w:rsid w:val="1DFC4622"/>
    <w:rsid w:val="1E0245F3"/>
    <w:rsid w:val="1E0F4D36"/>
    <w:rsid w:val="1E1209D5"/>
    <w:rsid w:val="1E1660C5"/>
    <w:rsid w:val="1E18008F"/>
    <w:rsid w:val="1E197963"/>
    <w:rsid w:val="1E1B36DB"/>
    <w:rsid w:val="1E1E141D"/>
    <w:rsid w:val="1E200CF1"/>
    <w:rsid w:val="1E29229C"/>
    <w:rsid w:val="1E2E2A61"/>
    <w:rsid w:val="1E3649B9"/>
    <w:rsid w:val="1E3819A8"/>
    <w:rsid w:val="1E3D18A3"/>
    <w:rsid w:val="1E4774BD"/>
    <w:rsid w:val="1E532818"/>
    <w:rsid w:val="1E561241"/>
    <w:rsid w:val="1E566E09"/>
    <w:rsid w:val="1E5A29B0"/>
    <w:rsid w:val="1E5F5CBE"/>
    <w:rsid w:val="1E605592"/>
    <w:rsid w:val="1E6F3A27"/>
    <w:rsid w:val="1E7B061E"/>
    <w:rsid w:val="1E7C0C7B"/>
    <w:rsid w:val="1E7E516C"/>
    <w:rsid w:val="1E826333"/>
    <w:rsid w:val="1E8631D2"/>
    <w:rsid w:val="1E8A260F"/>
    <w:rsid w:val="1E8F40C9"/>
    <w:rsid w:val="1E912ADB"/>
    <w:rsid w:val="1E9132A3"/>
    <w:rsid w:val="1E915355"/>
    <w:rsid w:val="1E94348E"/>
    <w:rsid w:val="1E965458"/>
    <w:rsid w:val="1E9719E5"/>
    <w:rsid w:val="1E9A4503"/>
    <w:rsid w:val="1E9D67E6"/>
    <w:rsid w:val="1E9F6E03"/>
    <w:rsid w:val="1EA00084"/>
    <w:rsid w:val="1EA017A5"/>
    <w:rsid w:val="1EA1159E"/>
    <w:rsid w:val="1EA336D1"/>
    <w:rsid w:val="1EA47B74"/>
    <w:rsid w:val="1EA8053D"/>
    <w:rsid w:val="1EAB4B94"/>
    <w:rsid w:val="1EBC7E7B"/>
    <w:rsid w:val="1EC45B21"/>
    <w:rsid w:val="1EC600C2"/>
    <w:rsid w:val="1ED33FB6"/>
    <w:rsid w:val="1EDA4F28"/>
    <w:rsid w:val="1EE26A1F"/>
    <w:rsid w:val="1EE61F3B"/>
    <w:rsid w:val="1EEB2585"/>
    <w:rsid w:val="1EF160C4"/>
    <w:rsid w:val="1EF35394"/>
    <w:rsid w:val="1EFD0BB1"/>
    <w:rsid w:val="1F05089E"/>
    <w:rsid w:val="1F051509"/>
    <w:rsid w:val="1F086119"/>
    <w:rsid w:val="1F093E7B"/>
    <w:rsid w:val="1F0C13AB"/>
    <w:rsid w:val="1F136AA8"/>
    <w:rsid w:val="1F170346"/>
    <w:rsid w:val="1F171126"/>
    <w:rsid w:val="1F1745B6"/>
    <w:rsid w:val="1F18000E"/>
    <w:rsid w:val="1F1C3BAF"/>
    <w:rsid w:val="1F1D7927"/>
    <w:rsid w:val="1F2667DB"/>
    <w:rsid w:val="1F294114"/>
    <w:rsid w:val="1F2B429B"/>
    <w:rsid w:val="1F2E287D"/>
    <w:rsid w:val="1F3233D2"/>
    <w:rsid w:val="1F390E63"/>
    <w:rsid w:val="1F446C62"/>
    <w:rsid w:val="1F4C66C1"/>
    <w:rsid w:val="1F52137F"/>
    <w:rsid w:val="1F532175"/>
    <w:rsid w:val="1F62545B"/>
    <w:rsid w:val="1F6410B2"/>
    <w:rsid w:val="1F642E60"/>
    <w:rsid w:val="1F6466AD"/>
    <w:rsid w:val="1F68119F"/>
    <w:rsid w:val="1F6A6EAE"/>
    <w:rsid w:val="1F6B19F2"/>
    <w:rsid w:val="1F7363E0"/>
    <w:rsid w:val="1F7532BF"/>
    <w:rsid w:val="1F7E03C6"/>
    <w:rsid w:val="1F7F2998"/>
    <w:rsid w:val="1F8359DC"/>
    <w:rsid w:val="1F8452B0"/>
    <w:rsid w:val="1F877601"/>
    <w:rsid w:val="1F881244"/>
    <w:rsid w:val="1F8D1CC6"/>
    <w:rsid w:val="1F9D3601"/>
    <w:rsid w:val="1FA119DF"/>
    <w:rsid w:val="1FAD0CAB"/>
    <w:rsid w:val="1FAF5501"/>
    <w:rsid w:val="1FB71EFF"/>
    <w:rsid w:val="1FB77434"/>
    <w:rsid w:val="1FBA6F24"/>
    <w:rsid w:val="1FCE481E"/>
    <w:rsid w:val="1FD2028B"/>
    <w:rsid w:val="1FDA75E3"/>
    <w:rsid w:val="1FEA4E1F"/>
    <w:rsid w:val="1FEB532F"/>
    <w:rsid w:val="1FED480E"/>
    <w:rsid w:val="1FEF1433"/>
    <w:rsid w:val="1FEF3886"/>
    <w:rsid w:val="1FEF5773"/>
    <w:rsid w:val="1FEF6331"/>
    <w:rsid w:val="1FFC12EA"/>
    <w:rsid w:val="1FFC578E"/>
    <w:rsid w:val="1FFD17C8"/>
    <w:rsid w:val="1FFE32B4"/>
    <w:rsid w:val="200D7EB9"/>
    <w:rsid w:val="2016733F"/>
    <w:rsid w:val="201A79C2"/>
    <w:rsid w:val="20216FA3"/>
    <w:rsid w:val="202820DF"/>
    <w:rsid w:val="203043DE"/>
    <w:rsid w:val="203647FC"/>
    <w:rsid w:val="20366AE2"/>
    <w:rsid w:val="203B62B7"/>
    <w:rsid w:val="203D6172"/>
    <w:rsid w:val="203E3276"/>
    <w:rsid w:val="203E5FCA"/>
    <w:rsid w:val="20452C91"/>
    <w:rsid w:val="204A3E24"/>
    <w:rsid w:val="204A474C"/>
    <w:rsid w:val="204A73D9"/>
    <w:rsid w:val="204B0601"/>
    <w:rsid w:val="204F58BE"/>
    <w:rsid w:val="205E3D53"/>
    <w:rsid w:val="206030D2"/>
    <w:rsid w:val="20605D1D"/>
    <w:rsid w:val="20616863"/>
    <w:rsid w:val="20670E5A"/>
    <w:rsid w:val="20685C53"/>
    <w:rsid w:val="207427CE"/>
    <w:rsid w:val="207500F4"/>
    <w:rsid w:val="20796DDF"/>
    <w:rsid w:val="207E43F5"/>
    <w:rsid w:val="2080016D"/>
    <w:rsid w:val="20844D23"/>
    <w:rsid w:val="20893E93"/>
    <w:rsid w:val="208D63E6"/>
    <w:rsid w:val="20914D43"/>
    <w:rsid w:val="20920419"/>
    <w:rsid w:val="209249D8"/>
    <w:rsid w:val="2099126A"/>
    <w:rsid w:val="20AE6A88"/>
    <w:rsid w:val="20B22B7A"/>
    <w:rsid w:val="20B4194E"/>
    <w:rsid w:val="20B63B8F"/>
    <w:rsid w:val="20B77599"/>
    <w:rsid w:val="20BB73F7"/>
    <w:rsid w:val="20BD1F44"/>
    <w:rsid w:val="20C60653"/>
    <w:rsid w:val="20C77B4A"/>
    <w:rsid w:val="20C938C2"/>
    <w:rsid w:val="20CC6F0F"/>
    <w:rsid w:val="20CE2C87"/>
    <w:rsid w:val="20CF13CE"/>
    <w:rsid w:val="20CF5423"/>
    <w:rsid w:val="20D14525"/>
    <w:rsid w:val="20DA69CB"/>
    <w:rsid w:val="20DD2ECA"/>
    <w:rsid w:val="20E25EBD"/>
    <w:rsid w:val="20E26732"/>
    <w:rsid w:val="20E30711"/>
    <w:rsid w:val="20E648F7"/>
    <w:rsid w:val="20E93740"/>
    <w:rsid w:val="20EA3839"/>
    <w:rsid w:val="20F077E9"/>
    <w:rsid w:val="20F5558E"/>
    <w:rsid w:val="20F76CF2"/>
    <w:rsid w:val="20F80305"/>
    <w:rsid w:val="20F85F56"/>
    <w:rsid w:val="20FD1BD4"/>
    <w:rsid w:val="210448FA"/>
    <w:rsid w:val="21050555"/>
    <w:rsid w:val="21050673"/>
    <w:rsid w:val="210E5779"/>
    <w:rsid w:val="21115269"/>
    <w:rsid w:val="211F34E2"/>
    <w:rsid w:val="21247878"/>
    <w:rsid w:val="212547C8"/>
    <w:rsid w:val="21264B26"/>
    <w:rsid w:val="2127683B"/>
    <w:rsid w:val="21297754"/>
    <w:rsid w:val="212B4477"/>
    <w:rsid w:val="212D1EE2"/>
    <w:rsid w:val="212E1977"/>
    <w:rsid w:val="213249D4"/>
    <w:rsid w:val="21333432"/>
    <w:rsid w:val="21352D06"/>
    <w:rsid w:val="21353FAA"/>
    <w:rsid w:val="21417477"/>
    <w:rsid w:val="214C004F"/>
    <w:rsid w:val="214C62A1"/>
    <w:rsid w:val="21516771"/>
    <w:rsid w:val="2159096D"/>
    <w:rsid w:val="215D102F"/>
    <w:rsid w:val="21692707"/>
    <w:rsid w:val="216C71A5"/>
    <w:rsid w:val="2172566B"/>
    <w:rsid w:val="21747CD2"/>
    <w:rsid w:val="21752B69"/>
    <w:rsid w:val="217557F8"/>
    <w:rsid w:val="21787096"/>
    <w:rsid w:val="217A4BBD"/>
    <w:rsid w:val="217E28FF"/>
    <w:rsid w:val="217F21D3"/>
    <w:rsid w:val="217F6F37"/>
    <w:rsid w:val="21811739"/>
    <w:rsid w:val="21893052"/>
    <w:rsid w:val="218C2E6F"/>
    <w:rsid w:val="218D48F0"/>
    <w:rsid w:val="219A0DBB"/>
    <w:rsid w:val="219C17AF"/>
    <w:rsid w:val="219D035C"/>
    <w:rsid w:val="219D0F12"/>
    <w:rsid w:val="21A57816"/>
    <w:rsid w:val="21A659B2"/>
    <w:rsid w:val="21AC71BF"/>
    <w:rsid w:val="21AE2AB8"/>
    <w:rsid w:val="21C17A68"/>
    <w:rsid w:val="21C32A8F"/>
    <w:rsid w:val="21C32C2D"/>
    <w:rsid w:val="21C5052E"/>
    <w:rsid w:val="21C64425"/>
    <w:rsid w:val="21C67E02"/>
    <w:rsid w:val="21CB262D"/>
    <w:rsid w:val="21CB5418"/>
    <w:rsid w:val="21CB71C6"/>
    <w:rsid w:val="21CE6CB6"/>
    <w:rsid w:val="21D00C81"/>
    <w:rsid w:val="21D24DC2"/>
    <w:rsid w:val="21D267A7"/>
    <w:rsid w:val="21DD6EFA"/>
    <w:rsid w:val="21E029B7"/>
    <w:rsid w:val="21E140DA"/>
    <w:rsid w:val="21EA1D42"/>
    <w:rsid w:val="21F26E49"/>
    <w:rsid w:val="21F3787F"/>
    <w:rsid w:val="21F730D7"/>
    <w:rsid w:val="21FB65EC"/>
    <w:rsid w:val="220666F6"/>
    <w:rsid w:val="221565FB"/>
    <w:rsid w:val="22216308"/>
    <w:rsid w:val="2228286B"/>
    <w:rsid w:val="22284C58"/>
    <w:rsid w:val="222C11FF"/>
    <w:rsid w:val="22364F87"/>
    <w:rsid w:val="22394A78"/>
    <w:rsid w:val="223A4DA5"/>
    <w:rsid w:val="223C319C"/>
    <w:rsid w:val="223E0251"/>
    <w:rsid w:val="223E64EF"/>
    <w:rsid w:val="22436011"/>
    <w:rsid w:val="22461303"/>
    <w:rsid w:val="224C01F8"/>
    <w:rsid w:val="224F0F15"/>
    <w:rsid w:val="2252022C"/>
    <w:rsid w:val="225263D4"/>
    <w:rsid w:val="22526E91"/>
    <w:rsid w:val="225613F7"/>
    <w:rsid w:val="225639C9"/>
    <w:rsid w:val="22617B2B"/>
    <w:rsid w:val="2264473C"/>
    <w:rsid w:val="226D7CB6"/>
    <w:rsid w:val="226E1518"/>
    <w:rsid w:val="22714212"/>
    <w:rsid w:val="227508E4"/>
    <w:rsid w:val="22796D63"/>
    <w:rsid w:val="227D2BB6"/>
    <w:rsid w:val="22824E3A"/>
    <w:rsid w:val="22877C26"/>
    <w:rsid w:val="2288435D"/>
    <w:rsid w:val="22892660"/>
    <w:rsid w:val="228A6141"/>
    <w:rsid w:val="228C128A"/>
    <w:rsid w:val="228D0BE8"/>
    <w:rsid w:val="22904DF6"/>
    <w:rsid w:val="229254B9"/>
    <w:rsid w:val="22946047"/>
    <w:rsid w:val="229603CF"/>
    <w:rsid w:val="22960D61"/>
    <w:rsid w:val="22A26052"/>
    <w:rsid w:val="22AA1044"/>
    <w:rsid w:val="22B941F6"/>
    <w:rsid w:val="22BA3A2B"/>
    <w:rsid w:val="22BD15D6"/>
    <w:rsid w:val="22C0182E"/>
    <w:rsid w:val="22C312F7"/>
    <w:rsid w:val="22C407E5"/>
    <w:rsid w:val="22D130B5"/>
    <w:rsid w:val="22D61C98"/>
    <w:rsid w:val="22DB2E38"/>
    <w:rsid w:val="22DB758F"/>
    <w:rsid w:val="22DE3CF2"/>
    <w:rsid w:val="22DF7267"/>
    <w:rsid w:val="22E04EF3"/>
    <w:rsid w:val="22E91FFA"/>
    <w:rsid w:val="22EC5646"/>
    <w:rsid w:val="22ED0A22"/>
    <w:rsid w:val="22FE5379"/>
    <w:rsid w:val="2302130E"/>
    <w:rsid w:val="23030608"/>
    <w:rsid w:val="230706D2"/>
    <w:rsid w:val="2309269C"/>
    <w:rsid w:val="230E7A80"/>
    <w:rsid w:val="23103A2A"/>
    <w:rsid w:val="23111E87"/>
    <w:rsid w:val="231669DE"/>
    <w:rsid w:val="231E3A16"/>
    <w:rsid w:val="23203D54"/>
    <w:rsid w:val="232C638A"/>
    <w:rsid w:val="233A2855"/>
    <w:rsid w:val="233B5326"/>
    <w:rsid w:val="23482F54"/>
    <w:rsid w:val="23496F3C"/>
    <w:rsid w:val="234A44CD"/>
    <w:rsid w:val="234B2054"/>
    <w:rsid w:val="23512A47"/>
    <w:rsid w:val="235B2B3F"/>
    <w:rsid w:val="23636EA1"/>
    <w:rsid w:val="237050E5"/>
    <w:rsid w:val="23711FEF"/>
    <w:rsid w:val="23713D9D"/>
    <w:rsid w:val="23775858"/>
    <w:rsid w:val="2378385F"/>
    <w:rsid w:val="237A0EA4"/>
    <w:rsid w:val="238426C8"/>
    <w:rsid w:val="23856963"/>
    <w:rsid w:val="238735C1"/>
    <w:rsid w:val="23911220"/>
    <w:rsid w:val="239751F2"/>
    <w:rsid w:val="2398160A"/>
    <w:rsid w:val="23983A20"/>
    <w:rsid w:val="2398757C"/>
    <w:rsid w:val="23995F64"/>
    <w:rsid w:val="239F0621"/>
    <w:rsid w:val="23AD5759"/>
    <w:rsid w:val="23AE19FF"/>
    <w:rsid w:val="23AE6B9B"/>
    <w:rsid w:val="23AF6E65"/>
    <w:rsid w:val="23B02B18"/>
    <w:rsid w:val="23B23D14"/>
    <w:rsid w:val="23BA1BE8"/>
    <w:rsid w:val="23BA5744"/>
    <w:rsid w:val="23BC326A"/>
    <w:rsid w:val="23BF71FF"/>
    <w:rsid w:val="23C12F77"/>
    <w:rsid w:val="23C245F9"/>
    <w:rsid w:val="23C71C0F"/>
    <w:rsid w:val="23CA2D11"/>
    <w:rsid w:val="23CC765B"/>
    <w:rsid w:val="23CD36CA"/>
    <w:rsid w:val="23CE2F9E"/>
    <w:rsid w:val="23D028AF"/>
    <w:rsid w:val="23D507D0"/>
    <w:rsid w:val="23DF477D"/>
    <w:rsid w:val="23E30259"/>
    <w:rsid w:val="23E36EF0"/>
    <w:rsid w:val="23E51A10"/>
    <w:rsid w:val="23ED1676"/>
    <w:rsid w:val="23F24EDE"/>
    <w:rsid w:val="23F40BB9"/>
    <w:rsid w:val="23F93B71"/>
    <w:rsid w:val="23FF64D9"/>
    <w:rsid w:val="24005AC5"/>
    <w:rsid w:val="24022C1F"/>
    <w:rsid w:val="24030E99"/>
    <w:rsid w:val="240457BD"/>
    <w:rsid w:val="2407213B"/>
    <w:rsid w:val="240923B7"/>
    <w:rsid w:val="240970D1"/>
    <w:rsid w:val="240B5FA0"/>
    <w:rsid w:val="240D3AC6"/>
    <w:rsid w:val="240F3CE2"/>
    <w:rsid w:val="241833C9"/>
    <w:rsid w:val="241906BD"/>
    <w:rsid w:val="2419303C"/>
    <w:rsid w:val="24212E47"/>
    <w:rsid w:val="24230D9C"/>
    <w:rsid w:val="242658E3"/>
    <w:rsid w:val="242B52A8"/>
    <w:rsid w:val="242F7EE0"/>
    <w:rsid w:val="243146FA"/>
    <w:rsid w:val="2432177F"/>
    <w:rsid w:val="24383F19"/>
    <w:rsid w:val="243A6885"/>
    <w:rsid w:val="243C706A"/>
    <w:rsid w:val="244362A8"/>
    <w:rsid w:val="2446522A"/>
    <w:rsid w:val="244C48DF"/>
    <w:rsid w:val="244D0366"/>
    <w:rsid w:val="244F3672"/>
    <w:rsid w:val="24513E22"/>
    <w:rsid w:val="24574E3E"/>
    <w:rsid w:val="245779D2"/>
    <w:rsid w:val="24596D0B"/>
    <w:rsid w:val="245A0C8C"/>
    <w:rsid w:val="245B0CD5"/>
    <w:rsid w:val="245F009A"/>
    <w:rsid w:val="24633955"/>
    <w:rsid w:val="24636CE7"/>
    <w:rsid w:val="24667E80"/>
    <w:rsid w:val="24713FEA"/>
    <w:rsid w:val="24727DCD"/>
    <w:rsid w:val="2473727F"/>
    <w:rsid w:val="24750ADE"/>
    <w:rsid w:val="24771887"/>
    <w:rsid w:val="247E5C56"/>
    <w:rsid w:val="247F00B7"/>
    <w:rsid w:val="24822706"/>
    <w:rsid w:val="2482363D"/>
    <w:rsid w:val="2483022C"/>
    <w:rsid w:val="248F0558"/>
    <w:rsid w:val="24960888"/>
    <w:rsid w:val="24961D0D"/>
    <w:rsid w:val="24970470"/>
    <w:rsid w:val="249A2960"/>
    <w:rsid w:val="249F6F2F"/>
    <w:rsid w:val="24A46A6E"/>
    <w:rsid w:val="24A501A2"/>
    <w:rsid w:val="24A85EE5"/>
    <w:rsid w:val="24B86128"/>
    <w:rsid w:val="24B915B1"/>
    <w:rsid w:val="24B91EA0"/>
    <w:rsid w:val="24BC5237"/>
    <w:rsid w:val="24BC5F1D"/>
    <w:rsid w:val="24BD218B"/>
    <w:rsid w:val="24C0224D"/>
    <w:rsid w:val="24C04FDC"/>
    <w:rsid w:val="24C525F3"/>
    <w:rsid w:val="24C832F7"/>
    <w:rsid w:val="24C85C3F"/>
    <w:rsid w:val="24C8741E"/>
    <w:rsid w:val="24CA7C09"/>
    <w:rsid w:val="24D337CB"/>
    <w:rsid w:val="24D64800"/>
    <w:rsid w:val="24D928CF"/>
    <w:rsid w:val="24D97E4C"/>
    <w:rsid w:val="24E2213D"/>
    <w:rsid w:val="24E5168B"/>
    <w:rsid w:val="24EA02AB"/>
    <w:rsid w:val="24EA24E0"/>
    <w:rsid w:val="24EA3BC4"/>
    <w:rsid w:val="24ED6CFA"/>
    <w:rsid w:val="24F032B6"/>
    <w:rsid w:val="24F574F6"/>
    <w:rsid w:val="24FB4266"/>
    <w:rsid w:val="24FC7E99"/>
    <w:rsid w:val="25061E11"/>
    <w:rsid w:val="25072C0B"/>
    <w:rsid w:val="25084D63"/>
    <w:rsid w:val="250C1FD0"/>
    <w:rsid w:val="250C393D"/>
    <w:rsid w:val="250E5D48"/>
    <w:rsid w:val="250F2223"/>
    <w:rsid w:val="251331E9"/>
    <w:rsid w:val="251D5B34"/>
    <w:rsid w:val="25253091"/>
    <w:rsid w:val="25277A25"/>
    <w:rsid w:val="253036CC"/>
    <w:rsid w:val="253054E2"/>
    <w:rsid w:val="253204EC"/>
    <w:rsid w:val="25320E4E"/>
    <w:rsid w:val="2543586C"/>
    <w:rsid w:val="25465CA2"/>
    <w:rsid w:val="2547125A"/>
    <w:rsid w:val="254774AC"/>
    <w:rsid w:val="2549619D"/>
    <w:rsid w:val="254C2D14"/>
    <w:rsid w:val="254D6DF3"/>
    <w:rsid w:val="254F4114"/>
    <w:rsid w:val="255173CF"/>
    <w:rsid w:val="25583467"/>
    <w:rsid w:val="255C14CA"/>
    <w:rsid w:val="25650DA8"/>
    <w:rsid w:val="256535B5"/>
    <w:rsid w:val="25695A7A"/>
    <w:rsid w:val="256A73F8"/>
    <w:rsid w:val="257D4385"/>
    <w:rsid w:val="257D6A22"/>
    <w:rsid w:val="257F6FD2"/>
    <w:rsid w:val="258033CD"/>
    <w:rsid w:val="25861D82"/>
    <w:rsid w:val="25870234"/>
    <w:rsid w:val="258A1146"/>
    <w:rsid w:val="258F2A1B"/>
    <w:rsid w:val="259124D5"/>
    <w:rsid w:val="25944CA2"/>
    <w:rsid w:val="259E3CCF"/>
    <w:rsid w:val="259F2E44"/>
    <w:rsid w:val="25A15C82"/>
    <w:rsid w:val="25A8619C"/>
    <w:rsid w:val="25A91F14"/>
    <w:rsid w:val="25AB3597"/>
    <w:rsid w:val="25B05051"/>
    <w:rsid w:val="25B61F3B"/>
    <w:rsid w:val="25BA1A2C"/>
    <w:rsid w:val="25C472EA"/>
    <w:rsid w:val="25C66622"/>
    <w:rsid w:val="25C70488"/>
    <w:rsid w:val="25C92E20"/>
    <w:rsid w:val="25C97EC1"/>
    <w:rsid w:val="25CB59E7"/>
    <w:rsid w:val="25D36F91"/>
    <w:rsid w:val="25DE5696"/>
    <w:rsid w:val="25E1345C"/>
    <w:rsid w:val="25E22D30"/>
    <w:rsid w:val="25E46AA9"/>
    <w:rsid w:val="25E87DDC"/>
    <w:rsid w:val="25F74A2E"/>
    <w:rsid w:val="25F80519"/>
    <w:rsid w:val="25F807A6"/>
    <w:rsid w:val="25FB7378"/>
    <w:rsid w:val="25FC0296"/>
    <w:rsid w:val="260129CC"/>
    <w:rsid w:val="26061115"/>
    <w:rsid w:val="26084E8D"/>
    <w:rsid w:val="26132E71"/>
    <w:rsid w:val="26170C2C"/>
    <w:rsid w:val="261849A4"/>
    <w:rsid w:val="26282E39"/>
    <w:rsid w:val="262E40D2"/>
    <w:rsid w:val="26301CEE"/>
    <w:rsid w:val="263317DE"/>
    <w:rsid w:val="26354807"/>
    <w:rsid w:val="26404627"/>
    <w:rsid w:val="264779F7"/>
    <w:rsid w:val="264834DB"/>
    <w:rsid w:val="26485289"/>
    <w:rsid w:val="264B2FCC"/>
    <w:rsid w:val="264D464E"/>
    <w:rsid w:val="26516A31"/>
    <w:rsid w:val="265359DC"/>
    <w:rsid w:val="265D225C"/>
    <w:rsid w:val="2665408D"/>
    <w:rsid w:val="26661BB3"/>
    <w:rsid w:val="266A51AE"/>
    <w:rsid w:val="26775B6F"/>
    <w:rsid w:val="26794851"/>
    <w:rsid w:val="2679798B"/>
    <w:rsid w:val="267B3E47"/>
    <w:rsid w:val="267B565F"/>
    <w:rsid w:val="267F418A"/>
    <w:rsid w:val="2681079B"/>
    <w:rsid w:val="26844B05"/>
    <w:rsid w:val="268A58A2"/>
    <w:rsid w:val="268D0EEE"/>
    <w:rsid w:val="268D7140"/>
    <w:rsid w:val="26917C80"/>
    <w:rsid w:val="26924756"/>
    <w:rsid w:val="26955FF5"/>
    <w:rsid w:val="269866EA"/>
    <w:rsid w:val="26995AE5"/>
    <w:rsid w:val="269A360B"/>
    <w:rsid w:val="26A36964"/>
    <w:rsid w:val="26A5448A"/>
    <w:rsid w:val="26A57985"/>
    <w:rsid w:val="26AD4FC5"/>
    <w:rsid w:val="26B079D8"/>
    <w:rsid w:val="26B12BD1"/>
    <w:rsid w:val="26B17556"/>
    <w:rsid w:val="26B40B71"/>
    <w:rsid w:val="26C231BB"/>
    <w:rsid w:val="26C8635B"/>
    <w:rsid w:val="26CF064B"/>
    <w:rsid w:val="26CF59AB"/>
    <w:rsid w:val="26D62895"/>
    <w:rsid w:val="26E31456"/>
    <w:rsid w:val="26E3752F"/>
    <w:rsid w:val="26EF3957"/>
    <w:rsid w:val="26F45411"/>
    <w:rsid w:val="26F70E3D"/>
    <w:rsid w:val="26FC03BD"/>
    <w:rsid w:val="26FE1F5C"/>
    <w:rsid w:val="27003DB6"/>
    <w:rsid w:val="2702519A"/>
    <w:rsid w:val="2707406D"/>
    <w:rsid w:val="27096064"/>
    <w:rsid w:val="27133AE9"/>
    <w:rsid w:val="2716125D"/>
    <w:rsid w:val="271A002E"/>
    <w:rsid w:val="27266335"/>
    <w:rsid w:val="272C0820"/>
    <w:rsid w:val="27313F6F"/>
    <w:rsid w:val="273175FD"/>
    <w:rsid w:val="27321A96"/>
    <w:rsid w:val="27384C99"/>
    <w:rsid w:val="27386BDB"/>
    <w:rsid w:val="273A72C8"/>
    <w:rsid w:val="27421CD9"/>
    <w:rsid w:val="2744346F"/>
    <w:rsid w:val="27462D81"/>
    <w:rsid w:val="27482F37"/>
    <w:rsid w:val="2752462D"/>
    <w:rsid w:val="27561C28"/>
    <w:rsid w:val="275F1ED8"/>
    <w:rsid w:val="2762237B"/>
    <w:rsid w:val="27662BFE"/>
    <w:rsid w:val="27693A21"/>
    <w:rsid w:val="27724228"/>
    <w:rsid w:val="277527D5"/>
    <w:rsid w:val="27765E26"/>
    <w:rsid w:val="277976C4"/>
    <w:rsid w:val="277B168E"/>
    <w:rsid w:val="2780248F"/>
    <w:rsid w:val="27846795"/>
    <w:rsid w:val="27871DE1"/>
    <w:rsid w:val="2788401F"/>
    <w:rsid w:val="27895B59"/>
    <w:rsid w:val="278C389C"/>
    <w:rsid w:val="27922821"/>
    <w:rsid w:val="279369D8"/>
    <w:rsid w:val="27960FAB"/>
    <w:rsid w:val="27A218BA"/>
    <w:rsid w:val="27AC7A9A"/>
    <w:rsid w:val="27B21058"/>
    <w:rsid w:val="27B3665E"/>
    <w:rsid w:val="27B64475"/>
    <w:rsid w:val="27BD5803"/>
    <w:rsid w:val="27C052F3"/>
    <w:rsid w:val="27C6290A"/>
    <w:rsid w:val="27C81BCF"/>
    <w:rsid w:val="27CE17BE"/>
    <w:rsid w:val="27D042B1"/>
    <w:rsid w:val="27D66B0F"/>
    <w:rsid w:val="27D942F3"/>
    <w:rsid w:val="27E054E2"/>
    <w:rsid w:val="27E15995"/>
    <w:rsid w:val="27E24956"/>
    <w:rsid w:val="27E25FF9"/>
    <w:rsid w:val="27E33BB6"/>
    <w:rsid w:val="27EB2370"/>
    <w:rsid w:val="27ED6816"/>
    <w:rsid w:val="27F41C9F"/>
    <w:rsid w:val="27FA25B3"/>
    <w:rsid w:val="28055617"/>
    <w:rsid w:val="28090A48"/>
    <w:rsid w:val="280A310B"/>
    <w:rsid w:val="280E2E6D"/>
    <w:rsid w:val="280E605F"/>
    <w:rsid w:val="280F6C8A"/>
    <w:rsid w:val="2818512F"/>
    <w:rsid w:val="281B7DCC"/>
    <w:rsid w:val="281D373D"/>
    <w:rsid w:val="28213FE4"/>
    <w:rsid w:val="282615FA"/>
    <w:rsid w:val="282669AC"/>
    <w:rsid w:val="2829733C"/>
    <w:rsid w:val="282F34A2"/>
    <w:rsid w:val="282F639C"/>
    <w:rsid w:val="28340E5E"/>
    <w:rsid w:val="28363B6E"/>
    <w:rsid w:val="28371CC3"/>
    <w:rsid w:val="28373807"/>
    <w:rsid w:val="283B4801"/>
    <w:rsid w:val="283B73C3"/>
    <w:rsid w:val="283D1755"/>
    <w:rsid w:val="283D6944"/>
    <w:rsid w:val="283E1AE1"/>
    <w:rsid w:val="283F26BC"/>
    <w:rsid w:val="2849353B"/>
    <w:rsid w:val="284F2EFD"/>
    <w:rsid w:val="285108C9"/>
    <w:rsid w:val="285C326E"/>
    <w:rsid w:val="285C7D55"/>
    <w:rsid w:val="28634B22"/>
    <w:rsid w:val="286A3F94"/>
    <w:rsid w:val="286C1AC0"/>
    <w:rsid w:val="286D547B"/>
    <w:rsid w:val="286F69EB"/>
    <w:rsid w:val="28777BF4"/>
    <w:rsid w:val="287A00D4"/>
    <w:rsid w:val="288173A0"/>
    <w:rsid w:val="28844573"/>
    <w:rsid w:val="288C5376"/>
    <w:rsid w:val="288D3427"/>
    <w:rsid w:val="28902F18"/>
    <w:rsid w:val="28A340B7"/>
    <w:rsid w:val="28A95D87"/>
    <w:rsid w:val="28AA222B"/>
    <w:rsid w:val="28AF333F"/>
    <w:rsid w:val="28B05368"/>
    <w:rsid w:val="28B47FB3"/>
    <w:rsid w:val="28B74AD6"/>
    <w:rsid w:val="28B80E6F"/>
    <w:rsid w:val="28B86934"/>
    <w:rsid w:val="28B9421C"/>
    <w:rsid w:val="28BE7A85"/>
    <w:rsid w:val="28C244DD"/>
    <w:rsid w:val="28C96617"/>
    <w:rsid w:val="28CF6EE7"/>
    <w:rsid w:val="28D0506B"/>
    <w:rsid w:val="28DB0637"/>
    <w:rsid w:val="28DB23E5"/>
    <w:rsid w:val="28E3364C"/>
    <w:rsid w:val="28E42DF4"/>
    <w:rsid w:val="28E53263"/>
    <w:rsid w:val="28E6796F"/>
    <w:rsid w:val="28EF78E9"/>
    <w:rsid w:val="28F17E5A"/>
    <w:rsid w:val="28F7093E"/>
    <w:rsid w:val="28F74D45"/>
    <w:rsid w:val="28FB3E89"/>
    <w:rsid w:val="29057B0C"/>
    <w:rsid w:val="29086F52"/>
    <w:rsid w:val="29095CAF"/>
    <w:rsid w:val="290A0F1C"/>
    <w:rsid w:val="290E5AE2"/>
    <w:rsid w:val="290F4E02"/>
    <w:rsid w:val="29114FDA"/>
    <w:rsid w:val="2916066A"/>
    <w:rsid w:val="29164C10"/>
    <w:rsid w:val="291735DA"/>
    <w:rsid w:val="29193321"/>
    <w:rsid w:val="29293E76"/>
    <w:rsid w:val="292A0241"/>
    <w:rsid w:val="29330BC2"/>
    <w:rsid w:val="2937299B"/>
    <w:rsid w:val="293837B0"/>
    <w:rsid w:val="293E50CC"/>
    <w:rsid w:val="29420B46"/>
    <w:rsid w:val="294C32E2"/>
    <w:rsid w:val="29512FB8"/>
    <w:rsid w:val="295C2DFA"/>
    <w:rsid w:val="295D54F0"/>
    <w:rsid w:val="29606D8E"/>
    <w:rsid w:val="2968166A"/>
    <w:rsid w:val="296D7C49"/>
    <w:rsid w:val="297840D8"/>
    <w:rsid w:val="297D349C"/>
    <w:rsid w:val="29841762"/>
    <w:rsid w:val="298A7967"/>
    <w:rsid w:val="29910CF5"/>
    <w:rsid w:val="29916F47"/>
    <w:rsid w:val="29977E9D"/>
    <w:rsid w:val="299C4D2B"/>
    <w:rsid w:val="299D58EC"/>
    <w:rsid w:val="299D6FD9"/>
    <w:rsid w:val="29A313AF"/>
    <w:rsid w:val="29A42BEB"/>
    <w:rsid w:val="29AE1C30"/>
    <w:rsid w:val="29B41849"/>
    <w:rsid w:val="29B55102"/>
    <w:rsid w:val="29B64203"/>
    <w:rsid w:val="29CC61D1"/>
    <w:rsid w:val="29CF181E"/>
    <w:rsid w:val="29CF57BE"/>
    <w:rsid w:val="29DD3F3B"/>
    <w:rsid w:val="29E11C7D"/>
    <w:rsid w:val="29E44D8B"/>
    <w:rsid w:val="29E928DF"/>
    <w:rsid w:val="29EB25A5"/>
    <w:rsid w:val="29EC29E9"/>
    <w:rsid w:val="29EC2A70"/>
    <w:rsid w:val="29F23811"/>
    <w:rsid w:val="29F251A1"/>
    <w:rsid w:val="29FC6AB7"/>
    <w:rsid w:val="29FD7B19"/>
    <w:rsid w:val="2A0061A4"/>
    <w:rsid w:val="2A047719"/>
    <w:rsid w:val="2A092F82"/>
    <w:rsid w:val="2A0966EE"/>
    <w:rsid w:val="2A0C4820"/>
    <w:rsid w:val="2A0D68E0"/>
    <w:rsid w:val="2A110088"/>
    <w:rsid w:val="2A133E00"/>
    <w:rsid w:val="2A13795C"/>
    <w:rsid w:val="2A1D503C"/>
    <w:rsid w:val="2A1F4553"/>
    <w:rsid w:val="2A24506B"/>
    <w:rsid w:val="2A291C28"/>
    <w:rsid w:val="2A2B114A"/>
    <w:rsid w:val="2A2B6011"/>
    <w:rsid w:val="2A2D21C8"/>
    <w:rsid w:val="2A2E0F80"/>
    <w:rsid w:val="2A300A37"/>
    <w:rsid w:val="2A36189D"/>
    <w:rsid w:val="2A383867"/>
    <w:rsid w:val="2A3D1A6D"/>
    <w:rsid w:val="2A4144C9"/>
    <w:rsid w:val="2A4335B8"/>
    <w:rsid w:val="2A481CFC"/>
    <w:rsid w:val="2A557DE3"/>
    <w:rsid w:val="2A557F75"/>
    <w:rsid w:val="2A56706B"/>
    <w:rsid w:val="2A573CED"/>
    <w:rsid w:val="2A5C6684"/>
    <w:rsid w:val="2A612DBE"/>
    <w:rsid w:val="2A636B36"/>
    <w:rsid w:val="2A694B4E"/>
    <w:rsid w:val="2A6D31B1"/>
    <w:rsid w:val="2A725A42"/>
    <w:rsid w:val="2A731E03"/>
    <w:rsid w:val="2A742AF1"/>
    <w:rsid w:val="2A7523C5"/>
    <w:rsid w:val="2A7C0ACF"/>
    <w:rsid w:val="2A7D4BD9"/>
    <w:rsid w:val="2A7E3970"/>
    <w:rsid w:val="2A7F1496"/>
    <w:rsid w:val="2A8304B8"/>
    <w:rsid w:val="2A8639D0"/>
    <w:rsid w:val="2A8810F4"/>
    <w:rsid w:val="2A9071FF"/>
    <w:rsid w:val="2A9860B3"/>
    <w:rsid w:val="2A9A4903"/>
    <w:rsid w:val="2A9B3CA4"/>
    <w:rsid w:val="2A9C2D5D"/>
    <w:rsid w:val="2A9C7924"/>
    <w:rsid w:val="2AA33855"/>
    <w:rsid w:val="2AAA5337"/>
    <w:rsid w:val="2AAD6007"/>
    <w:rsid w:val="2AAE2EE9"/>
    <w:rsid w:val="2AB27175"/>
    <w:rsid w:val="2AC670C5"/>
    <w:rsid w:val="2AC67AF8"/>
    <w:rsid w:val="2ACF7D27"/>
    <w:rsid w:val="2AD01CF1"/>
    <w:rsid w:val="2AD26378"/>
    <w:rsid w:val="2AD52E64"/>
    <w:rsid w:val="2AD96DF8"/>
    <w:rsid w:val="2ADB4D6C"/>
    <w:rsid w:val="2ADC2444"/>
    <w:rsid w:val="2AE17A5A"/>
    <w:rsid w:val="2AE337D3"/>
    <w:rsid w:val="2AE839DA"/>
    <w:rsid w:val="2AEB08D9"/>
    <w:rsid w:val="2AED63FF"/>
    <w:rsid w:val="2AF53506"/>
    <w:rsid w:val="2AF7727E"/>
    <w:rsid w:val="2AF90B43"/>
    <w:rsid w:val="2AFE5AF5"/>
    <w:rsid w:val="2B000027"/>
    <w:rsid w:val="2B02634F"/>
    <w:rsid w:val="2B08765C"/>
    <w:rsid w:val="2B0A6FB1"/>
    <w:rsid w:val="2B14398C"/>
    <w:rsid w:val="2B1C2247"/>
    <w:rsid w:val="2B1E04AC"/>
    <w:rsid w:val="2B1E5067"/>
    <w:rsid w:val="2B2739C6"/>
    <w:rsid w:val="2B2768EE"/>
    <w:rsid w:val="2B2B7849"/>
    <w:rsid w:val="2B334257"/>
    <w:rsid w:val="2B3603AA"/>
    <w:rsid w:val="2B382564"/>
    <w:rsid w:val="2B394B81"/>
    <w:rsid w:val="2B3B2563"/>
    <w:rsid w:val="2B4029D3"/>
    <w:rsid w:val="2B410F06"/>
    <w:rsid w:val="2B425A71"/>
    <w:rsid w:val="2B434271"/>
    <w:rsid w:val="2B464577"/>
    <w:rsid w:val="2B471FB3"/>
    <w:rsid w:val="2B4B06AB"/>
    <w:rsid w:val="2B4C3DEE"/>
    <w:rsid w:val="2B4D50F0"/>
    <w:rsid w:val="2B5116C7"/>
    <w:rsid w:val="2B525912"/>
    <w:rsid w:val="2B6568DD"/>
    <w:rsid w:val="2B6B12F3"/>
    <w:rsid w:val="2B6E37C0"/>
    <w:rsid w:val="2B730624"/>
    <w:rsid w:val="2B746B21"/>
    <w:rsid w:val="2B7906AC"/>
    <w:rsid w:val="2B794137"/>
    <w:rsid w:val="2B797102"/>
    <w:rsid w:val="2B82359A"/>
    <w:rsid w:val="2B8564FC"/>
    <w:rsid w:val="2B876854"/>
    <w:rsid w:val="2B8C00D9"/>
    <w:rsid w:val="2B8C3E6A"/>
    <w:rsid w:val="2B943E14"/>
    <w:rsid w:val="2B9B5E5B"/>
    <w:rsid w:val="2B9F4294"/>
    <w:rsid w:val="2BA411B4"/>
    <w:rsid w:val="2BA6614A"/>
    <w:rsid w:val="2BA70CA4"/>
    <w:rsid w:val="2BA85397"/>
    <w:rsid w:val="2BAA42F0"/>
    <w:rsid w:val="2BAF1907"/>
    <w:rsid w:val="2BB56E0D"/>
    <w:rsid w:val="2BBA09D7"/>
    <w:rsid w:val="2BBB474F"/>
    <w:rsid w:val="2BC2402E"/>
    <w:rsid w:val="2BCA6741"/>
    <w:rsid w:val="2BCE1150"/>
    <w:rsid w:val="2BD44FDA"/>
    <w:rsid w:val="2BD61589"/>
    <w:rsid w:val="2BDB26FC"/>
    <w:rsid w:val="2BE11B28"/>
    <w:rsid w:val="2BE6006A"/>
    <w:rsid w:val="2BE74F46"/>
    <w:rsid w:val="2BEF10D2"/>
    <w:rsid w:val="2BF33EE9"/>
    <w:rsid w:val="2BF46456"/>
    <w:rsid w:val="2BF808D8"/>
    <w:rsid w:val="2BFD274D"/>
    <w:rsid w:val="2C011FFC"/>
    <w:rsid w:val="2C0408BB"/>
    <w:rsid w:val="2C136B71"/>
    <w:rsid w:val="2C1520B2"/>
    <w:rsid w:val="2C1C5102"/>
    <w:rsid w:val="2C207F3B"/>
    <w:rsid w:val="2C212804"/>
    <w:rsid w:val="2C261ED0"/>
    <w:rsid w:val="2C286CBB"/>
    <w:rsid w:val="2C2A3C4B"/>
    <w:rsid w:val="2C2C73FB"/>
    <w:rsid w:val="2C2C7585"/>
    <w:rsid w:val="2C300C99"/>
    <w:rsid w:val="2C302A48"/>
    <w:rsid w:val="2C3075D9"/>
    <w:rsid w:val="2C3473EA"/>
    <w:rsid w:val="2C382513"/>
    <w:rsid w:val="2C394A36"/>
    <w:rsid w:val="2C3B1B1B"/>
    <w:rsid w:val="2C3B319A"/>
    <w:rsid w:val="2C3D03C9"/>
    <w:rsid w:val="2C3D2467"/>
    <w:rsid w:val="2C4613C9"/>
    <w:rsid w:val="2C477D91"/>
    <w:rsid w:val="2C4B7881"/>
    <w:rsid w:val="2C4C35F9"/>
    <w:rsid w:val="2C4E764A"/>
    <w:rsid w:val="2C516912"/>
    <w:rsid w:val="2C534988"/>
    <w:rsid w:val="2C55425C"/>
    <w:rsid w:val="2C57414A"/>
    <w:rsid w:val="2C580EE0"/>
    <w:rsid w:val="2C5A3D39"/>
    <w:rsid w:val="2C610E53"/>
    <w:rsid w:val="2C6426F1"/>
    <w:rsid w:val="2C6B7F24"/>
    <w:rsid w:val="2C721392"/>
    <w:rsid w:val="2C732934"/>
    <w:rsid w:val="2C73502A"/>
    <w:rsid w:val="2C7566AC"/>
    <w:rsid w:val="2C770676"/>
    <w:rsid w:val="2C792640"/>
    <w:rsid w:val="2C7F39CF"/>
    <w:rsid w:val="2C8148F3"/>
    <w:rsid w:val="2C8804D3"/>
    <w:rsid w:val="2C8F5FE1"/>
    <w:rsid w:val="2C9D27CC"/>
    <w:rsid w:val="2C9E029E"/>
    <w:rsid w:val="2C9F2038"/>
    <w:rsid w:val="2CA13945"/>
    <w:rsid w:val="2CA5541D"/>
    <w:rsid w:val="2CA84BE7"/>
    <w:rsid w:val="2CA85DE1"/>
    <w:rsid w:val="2CB2481F"/>
    <w:rsid w:val="2CB573F1"/>
    <w:rsid w:val="2CB9353A"/>
    <w:rsid w:val="2CB963AB"/>
    <w:rsid w:val="2CBB7AF3"/>
    <w:rsid w:val="2CBC252D"/>
    <w:rsid w:val="2CBE62A5"/>
    <w:rsid w:val="2CC358BB"/>
    <w:rsid w:val="2CC46F75"/>
    <w:rsid w:val="2CC55886"/>
    <w:rsid w:val="2CD21D51"/>
    <w:rsid w:val="2CD609DF"/>
    <w:rsid w:val="2CDC1A31"/>
    <w:rsid w:val="2CDF1770"/>
    <w:rsid w:val="2CE44ADD"/>
    <w:rsid w:val="2CE6483A"/>
    <w:rsid w:val="2CF25F4F"/>
    <w:rsid w:val="2CFB12A7"/>
    <w:rsid w:val="2CFF066C"/>
    <w:rsid w:val="2D01287E"/>
    <w:rsid w:val="2D031F0A"/>
    <w:rsid w:val="2D045C82"/>
    <w:rsid w:val="2D055F0E"/>
    <w:rsid w:val="2D0614D7"/>
    <w:rsid w:val="2D0D0DA5"/>
    <w:rsid w:val="2D1005BF"/>
    <w:rsid w:val="2D1063D5"/>
    <w:rsid w:val="2D1D310A"/>
    <w:rsid w:val="2D1E28E2"/>
    <w:rsid w:val="2D1E6D44"/>
    <w:rsid w:val="2D1E6E26"/>
    <w:rsid w:val="2D215714"/>
    <w:rsid w:val="2D265EC5"/>
    <w:rsid w:val="2D2D1661"/>
    <w:rsid w:val="2D316C87"/>
    <w:rsid w:val="2D3263FF"/>
    <w:rsid w:val="2D357A77"/>
    <w:rsid w:val="2D4D6452"/>
    <w:rsid w:val="2D4F7118"/>
    <w:rsid w:val="2D50139A"/>
    <w:rsid w:val="2D6036A2"/>
    <w:rsid w:val="2D64317E"/>
    <w:rsid w:val="2D657D99"/>
    <w:rsid w:val="2D6A6F5E"/>
    <w:rsid w:val="2D6B3C77"/>
    <w:rsid w:val="2D6B7AAF"/>
    <w:rsid w:val="2D6C3F53"/>
    <w:rsid w:val="2D6D3827"/>
    <w:rsid w:val="2D6E286D"/>
    <w:rsid w:val="2D7050C6"/>
    <w:rsid w:val="2D764C1D"/>
    <w:rsid w:val="2D78455F"/>
    <w:rsid w:val="2D7B609D"/>
    <w:rsid w:val="2D8748E9"/>
    <w:rsid w:val="2D8A00A3"/>
    <w:rsid w:val="2D8D1457"/>
    <w:rsid w:val="2D8D71A7"/>
    <w:rsid w:val="2D9127FC"/>
    <w:rsid w:val="2D9139BA"/>
    <w:rsid w:val="2D915768"/>
    <w:rsid w:val="2D940028"/>
    <w:rsid w:val="2D940DB4"/>
    <w:rsid w:val="2D961811"/>
    <w:rsid w:val="2D990AC0"/>
    <w:rsid w:val="2D99461C"/>
    <w:rsid w:val="2D9E0A23"/>
    <w:rsid w:val="2DA55226"/>
    <w:rsid w:val="2DAE017F"/>
    <w:rsid w:val="2DB47046"/>
    <w:rsid w:val="2DB85349"/>
    <w:rsid w:val="2DBC359F"/>
    <w:rsid w:val="2DC62C57"/>
    <w:rsid w:val="2DCE2518"/>
    <w:rsid w:val="2DCF110D"/>
    <w:rsid w:val="2DDF2977"/>
    <w:rsid w:val="2DE927D1"/>
    <w:rsid w:val="2DF52FFF"/>
    <w:rsid w:val="2E0226E0"/>
    <w:rsid w:val="2E0A6052"/>
    <w:rsid w:val="2E0B1CDE"/>
    <w:rsid w:val="2E0E7081"/>
    <w:rsid w:val="2E205BAC"/>
    <w:rsid w:val="2E2304CD"/>
    <w:rsid w:val="2E273D58"/>
    <w:rsid w:val="2E2C4C3B"/>
    <w:rsid w:val="2E2E2C12"/>
    <w:rsid w:val="2E2E420F"/>
    <w:rsid w:val="2E2F1FD3"/>
    <w:rsid w:val="2E33681F"/>
    <w:rsid w:val="2E3569FF"/>
    <w:rsid w:val="2E3672D1"/>
    <w:rsid w:val="2E440A1F"/>
    <w:rsid w:val="2E454F08"/>
    <w:rsid w:val="2E494294"/>
    <w:rsid w:val="2E496043"/>
    <w:rsid w:val="2E4A068F"/>
    <w:rsid w:val="2E50117F"/>
    <w:rsid w:val="2E503315"/>
    <w:rsid w:val="2E516BDC"/>
    <w:rsid w:val="2E5F484D"/>
    <w:rsid w:val="2E625356"/>
    <w:rsid w:val="2E6266B9"/>
    <w:rsid w:val="2E6C3ADF"/>
    <w:rsid w:val="2E6F6B90"/>
    <w:rsid w:val="2E734C10"/>
    <w:rsid w:val="2E772BB0"/>
    <w:rsid w:val="2E7A4053"/>
    <w:rsid w:val="2E7A69C3"/>
    <w:rsid w:val="2E7F1A64"/>
    <w:rsid w:val="2E7F7CB6"/>
    <w:rsid w:val="2E894691"/>
    <w:rsid w:val="2E8B21B7"/>
    <w:rsid w:val="2E8F4DDA"/>
    <w:rsid w:val="2E960B5C"/>
    <w:rsid w:val="2E995F26"/>
    <w:rsid w:val="2E9B12B3"/>
    <w:rsid w:val="2E9B6172"/>
    <w:rsid w:val="2E9C43C4"/>
    <w:rsid w:val="2EA15E7F"/>
    <w:rsid w:val="2EA21263"/>
    <w:rsid w:val="2EA27501"/>
    <w:rsid w:val="2EA74B17"/>
    <w:rsid w:val="2EA83C14"/>
    <w:rsid w:val="2EA8720D"/>
    <w:rsid w:val="2EB1632E"/>
    <w:rsid w:val="2EB96642"/>
    <w:rsid w:val="2EBF6DB8"/>
    <w:rsid w:val="2EC41B6D"/>
    <w:rsid w:val="2EC97183"/>
    <w:rsid w:val="2ED446AB"/>
    <w:rsid w:val="2ED53AB9"/>
    <w:rsid w:val="2EDD678B"/>
    <w:rsid w:val="2EEE624F"/>
    <w:rsid w:val="2EF01665"/>
    <w:rsid w:val="2EF17758"/>
    <w:rsid w:val="2F05640D"/>
    <w:rsid w:val="2F0F0396"/>
    <w:rsid w:val="2F0F103A"/>
    <w:rsid w:val="2F0F5E23"/>
    <w:rsid w:val="2F0F76ED"/>
    <w:rsid w:val="2F154177"/>
    <w:rsid w:val="2F176141"/>
    <w:rsid w:val="2F181F78"/>
    <w:rsid w:val="2F1F0B51"/>
    <w:rsid w:val="2F25260C"/>
    <w:rsid w:val="2F29642D"/>
    <w:rsid w:val="2F2B399A"/>
    <w:rsid w:val="2F2C5BB3"/>
    <w:rsid w:val="2F2F5D1B"/>
    <w:rsid w:val="2F300FB0"/>
    <w:rsid w:val="2F304B9F"/>
    <w:rsid w:val="2F324EC9"/>
    <w:rsid w:val="2F3364AE"/>
    <w:rsid w:val="2F39690C"/>
    <w:rsid w:val="2F3A2A14"/>
    <w:rsid w:val="2F3D5DEA"/>
    <w:rsid w:val="2F446BA9"/>
    <w:rsid w:val="2F4607D4"/>
    <w:rsid w:val="2F4B7B98"/>
    <w:rsid w:val="2F4D67C4"/>
    <w:rsid w:val="2F4E4724"/>
    <w:rsid w:val="2F5C2556"/>
    <w:rsid w:val="2F5E2E56"/>
    <w:rsid w:val="2F5E78CC"/>
    <w:rsid w:val="2F5E7ADC"/>
    <w:rsid w:val="2F603644"/>
    <w:rsid w:val="2F6B1FE9"/>
    <w:rsid w:val="2F6D5D61"/>
    <w:rsid w:val="2F6E3A3A"/>
    <w:rsid w:val="2F7865CE"/>
    <w:rsid w:val="2F7C297E"/>
    <w:rsid w:val="2F7F3F8F"/>
    <w:rsid w:val="2F880DEC"/>
    <w:rsid w:val="2F913490"/>
    <w:rsid w:val="2F9939E1"/>
    <w:rsid w:val="2F996B56"/>
    <w:rsid w:val="2FA64B93"/>
    <w:rsid w:val="2FAB4CAA"/>
    <w:rsid w:val="2FAD694E"/>
    <w:rsid w:val="2FAE2B60"/>
    <w:rsid w:val="2FAE60A2"/>
    <w:rsid w:val="2FAF0127"/>
    <w:rsid w:val="2FAF6379"/>
    <w:rsid w:val="2FB5399F"/>
    <w:rsid w:val="2FB676AB"/>
    <w:rsid w:val="2FBA37AA"/>
    <w:rsid w:val="2FBC1C6B"/>
    <w:rsid w:val="2FBC2844"/>
    <w:rsid w:val="2FBD0A96"/>
    <w:rsid w:val="2FC13AC7"/>
    <w:rsid w:val="2FC242FE"/>
    <w:rsid w:val="2FC24ADA"/>
    <w:rsid w:val="2FC3562B"/>
    <w:rsid w:val="2FC357E2"/>
    <w:rsid w:val="2FC57BD8"/>
    <w:rsid w:val="2FC949E6"/>
    <w:rsid w:val="2FCC04AE"/>
    <w:rsid w:val="2FCC6F2B"/>
    <w:rsid w:val="2FCD47F7"/>
    <w:rsid w:val="2FCE5484"/>
    <w:rsid w:val="2FD7047A"/>
    <w:rsid w:val="2FD858D0"/>
    <w:rsid w:val="2FD95574"/>
    <w:rsid w:val="2FE14059"/>
    <w:rsid w:val="2FE372DE"/>
    <w:rsid w:val="2FE53B49"/>
    <w:rsid w:val="2FE84E86"/>
    <w:rsid w:val="2FEA5603"/>
    <w:rsid w:val="2FEB2596"/>
    <w:rsid w:val="2FEB7ADA"/>
    <w:rsid w:val="2FED0C50"/>
    <w:rsid w:val="2FEF6D70"/>
    <w:rsid w:val="2FF43D8C"/>
    <w:rsid w:val="2FF4615F"/>
    <w:rsid w:val="2FF51B3F"/>
    <w:rsid w:val="2FF80C51"/>
    <w:rsid w:val="2FF8145E"/>
    <w:rsid w:val="2FFB4CA4"/>
    <w:rsid w:val="2FFF10AF"/>
    <w:rsid w:val="300441D0"/>
    <w:rsid w:val="30045885"/>
    <w:rsid w:val="300A1812"/>
    <w:rsid w:val="300D4E4E"/>
    <w:rsid w:val="301126C2"/>
    <w:rsid w:val="301312D5"/>
    <w:rsid w:val="301461DC"/>
    <w:rsid w:val="3017022E"/>
    <w:rsid w:val="30182F48"/>
    <w:rsid w:val="3025488D"/>
    <w:rsid w:val="30254DD1"/>
    <w:rsid w:val="30275401"/>
    <w:rsid w:val="302B69D3"/>
    <w:rsid w:val="302C5C1C"/>
    <w:rsid w:val="30300205"/>
    <w:rsid w:val="30304CAA"/>
    <w:rsid w:val="30332B06"/>
    <w:rsid w:val="30335A4A"/>
    <w:rsid w:val="303643A5"/>
    <w:rsid w:val="30367754"/>
    <w:rsid w:val="303D3985"/>
    <w:rsid w:val="303F6EFB"/>
    <w:rsid w:val="303F76FD"/>
    <w:rsid w:val="30413313"/>
    <w:rsid w:val="304163BB"/>
    <w:rsid w:val="3044215D"/>
    <w:rsid w:val="3045283A"/>
    <w:rsid w:val="30492A19"/>
    <w:rsid w:val="304B5DCC"/>
    <w:rsid w:val="30500115"/>
    <w:rsid w:val="30576DE8"/>
    <w:rsid w:val="30593D11"/>
    <w:rsid w:val="305A62E5"/>
    <w:rsid w:val="305D6754"/>
    <w:rsid w:val="305E0995"/>
    <w:rsid w:val="30630244"/>
    <w:rsid w:val="30637C21"/>
    <w:rsid w:val="3064723D"/>
    <w:rsid w:val="3069477A"/>
    <w:rsid w:val="306D38DE"/>
    <w:rsid w:val="3071362F"/>
    <w:rsid w:val="307355F9"/>
    <w:rsid w:val="307A0C4D"/>
    <w:rsid w:val="307A71D3"/>
    <w:rsid w:val="307E3B84"/>
    <w:rsid w:val="307F3E00"/>
    <w:rsid w:val="3082583C"/>
    <w:rsid w:val="3083029F"/>
    <w:rsid w:val="3083092C"/>
    <w:rsid w:val="3093559A"/>
    <w:rsid w:val="30952D41"/>
    <w:rsid w:val="30963095"/>
    <w:rsid w:val="309F1F4A"/>
    <w:rsid w:val="30A204B2"/>
    <w:rsid w:val="30A43A04"/>
    <w:rsid w:val="30A5690E"/>
    <w:rsid w:val="30AB6A6A"/>
    <w:rsid w:val="30B07BB9"/>
    <w:rsid w:val="30B26121"/>
    <w:rsid w:val="30B40786"/>
    <w:rsid w:val="30B80C93"/>
    <w:rsid w:val="30BC0620"/>
    <w:rsid w:val="30BF25EC"/>
    <w:rsid w:val="30C4192E"/>
    <w:rsid w:val="30C45E54"/>
    <w:rsid w:val="30CA1334"/>
    <w:rsid w:val="30CB7A9A"/>
    <w:rsid w:val="30CF22EC"/>
    <w:rsid w:val="30D065A7"/>
    <w:rsid w:val="30E27C22"/>
    <w:rsid w:val="30EA3353"/>
    <w:rsid w:val="30EB1F31"/>
    <w:rsid w:val="30EB4AF5"/>
    <w:rsid w:val="30F009F7"/>
    <w:rsid w:val="30F027A5"/>
    <w:rsid w:val="30F1651D"/>
    <w:rsid w:val="30F32296"/>
    <w:rsid w:val="30F84BE1"/>
    <w:rsid w:val="30FC55EE"/>
    <w:rsid w:val="310224D9"/>
    <w:rsid w:val="31047842"/>
    <w:rsid w:val="3106564B"/>
    <w:rsid w:val="31067AB6"/>
    <w:rsid w:val="310F0040"/>
    <w:rsid w:val="31106BF4"/>
    <w:rsid w:val="3115045E"/>
    <w:rsid w:val="311A5A74"/>
    <w:rsid w:val="311B4768"/>
    <w:rsid w:val="31244B45"/>
    <w:rsid w:val="31256CB3"/>
    <w:rsid w:val="31264419"/>
    <w:rsid w:val="312A4AFF"/>
    <w:rsid w:val="312B1A2F"/>
    <w:rsid w:val="312C4761"/>
    <w:rsid w:val="312E43A9"/>
    <w:rsid w:val="312E4D7E"/>
    <w:rsid w:val="312F7772"/>
    <w:rsid w:val="313B7B9E"/>
    <w:rsid w:val="314568A3"/>
    <w:rsid w:val="31457070"/>
    <w:rsid w:val="314B65CD"/>
    <w:rsid w:val="314F3970"/>
    <w:rsid w:val="315216B2"/>
    <w:rsid w:val="31570A76"/>
    <w:rsid w:val="315C7E3B"/>
    <w:rsid w:val="316D33DC"/>
    <w:rsid w:val="31704B31"/>
    <w:rsid w:val="317165EF"/>
    <w:rsid w:val="317B15BF"/>
    <w:rsid w:val="317F786A"/>
    <w:rsid w:val="31914861"/>
    <w:rsid w:val="31927D00"/>
    <w:rsid w:val="3195334D"/>
    <w:rsid w:val="31993C82"/>
    <w:rsid w:val="31997BE1"/>
    <w:rsid w:val="319A0963"/>
    <w:rsid w:val="319D56B0"/>
    <w:rsid w:val="31A427C3"/>
    <w:rsid w:val="31AA504A"/>
    <w:rsid w:val="31AB3B50"/>
    <w:rsid w:val="31B00187"/>
    <w:rsid w:val="31B02CC1"/>
    <w:rsid w:val="31C0486E"/>
    <w:rsid w:val="31C11B09"/>
    <w:rsid w:val="31C35934"/>
    <w:rsid w:val="31CD0D39"/>
    <w:rsid w:val="31CD277D"/>
    <w:rsid w:val="31CF226E"/>
    <w:rsid w:val="31CF4C32"/>
    <w:rsid w:val="31D11CC9"/>
    <w:rsid w:val="31DD71CE"/>
    <w:rsid w:val="31DE3F9A"/>
    <w:rsid w:val="31E21AC1"/>
    <w:rsid w:val="31EC7411"/>
    <w:rsid w:val="31F47D20"/>
    <w:rsid w:val="31F91332"/>
    <w:rsid w:val="31FC33CC"/>
    <w:rsid w:val="31FE04D7"/>
    <w:rsid w:val="32025BAC"/>
    <w:rsid w:val="3203443D"/>
    <w:rsid w:val="320474B4"/>
    <w:rsid w:val="3207424B"/>
    <w:rsid w:val="320B4B19"/>
    <w:rsid w:val="320E50AB"/>
    <w:rsid w:val="3212072F"/>
    <w:rsid w:val="32127006"/>
    <w:rsid w:val="32175E0B"/>
    <w:rsid w:val="321833B3"/>
    <w:rsid w:val="321A3F80"/>
    <w:rsid w:val="32210EA9"/>
    <w:rsid w:val="32233775"/>
    <w:rsid w:val="322748ED"/>
    <w:rsid w:val="322A44DE"/>
    <w:rsid w:val="322F3FB8"/>
    <w:rsid w:val="323B3EF4"/>
    <w:rsid w:val="32403C19"/>
    <w:rsid w:val="32427031"/>
    <w:rsid w:val="324616E0"/>
    <w:rsid w:val="324A311C"/>
    <w:rsid w:val="324D656D"/>
    <w:rsid w:val="324F01D5"/>
    <w:rsid w:val="325250B2"/>
    <w:rsid w:val="32562ADC"/>
    <w:rsid w:val="325A081E"/>
    <w:rsid w:val="325E6561"/>
    <w:rsid w:val="325F5E35"/>
    <w:rsid w:val="32655415"/>
    <w:rsid w:val="32672F3B"/>
    <w:rsid w:val="32701DFC"/>
    <w:rsid w:val="32713375"/>
    <w:rsid w:val="327B5E28"/>
    <w:rsid w:val="327E3EF6"/>
    <w:rsid w:val="3280648A"/>
    <w:rsid w:val="32830A6C"/>
    <w:rsid w:val="32841682"/>
    <w:rsid w:val="32870B0A"/>
    <w:rsid w:val="32892EB1"/>
    <w:rsid w:val="328A6C2A"/>
    <w:rsid w:val="328B5D49"/>
    <w:rsid w:val="32904611"/>
    <w:rsid w:val="3291620A"/>
    <w:rsid w:val="3296737C"/>
    <w:rsid w:val="329C2289"/>
    <w:rsid w:val="32AC4AD7"/>
    <w:rsid w:val="32AC523D"/>
    <w:rsid w:val="32B11C92"/>
    <w:rsid w:val="32B51EF8"/>
    <w:rsid w:val="32B87513"/>
    <w:rsid w:val="32BB0FC7"/>
    <w:rsid w:val="32BD3BC6"/>
    <w:rsid w:val="32BE7A47"/>
    <w:rsid w:val="32C32B0C"/>
    <w:rsid w:val="32C43EEA"/>
    <w:rsid w:val="32C50EEA"/>
    <w:rsid w:val="32D07EF0"/>
    <w:rsid w:val="32D3237F"/>
    <w:rsid w:val="32D33460"/>
    <w:rsid w:val="32D700C1"/>
    <w:rsid w:val="32D82802"/>
    <w:rsid w:val="32D83E39"/>
    <w:rsid w:val="32DC1068"/>
    <w:rsid w:val="32E26A66"/>
    <w:rsid w:val="32E60304"/>
    <w:rsid w:val="32EB3261"/>
    <w:rsid w:val="32F12805"/>
    <w:rsid w:val="32F26CA9"/>
    <w:rsid w:val="32F757FF"/>
    <w:rsid w:val="32FA50C0"/>
    <w:rsid w:val="33013EE5"/>
    <w:rsid w:val="330433DB"/>
    <w:rsid w:val="33056A68"/>
    <w:rsid w:val="33093FF2"/>
    <w:rsid w:val="33154745"/>
    <w:rsid w:val="331C6A1E"/>
    <w:rsid w:val="3321133C"/>
    <w:rsid w:val="3321758E"/>
    <w:rsid w:val="332350B4"/>
    <w:rsid w:val="3327321E"/>
    <w:rsid w:val="33291F9F"/>
    <w:rsid w:val="33297AE9"/>
    <w:rsid w:val="3330157F"/>
    <w:rsid w:val="333142BE"/>
    <w:rsid w:val="33326DB8"/>
    <w:rsid w:val="33356225"/>
    <w:rsid w:val="33521DBE"/>
    <w:rsid w:val="33525999"/>
    <w:rsid w:val="33541FD5"/>
    <w:rsid w:val="33582884"/>
    <w:rsid w:val="33583DA8"/>
    <w:rsid w:val="335E433E"/>
    <w:rsid w:val="33642FDD"/>
    <w:rsid w:val="33673AD1"/>
    <w:rsid w:val="33680EB6"/>
    <w:rsid w:val="336D6863"/>
    <w:rsid w:val="33714BA4"/>
    <w:rsid w:val="33727634"/>
    <w:rsid w:val="337B4EF0"/>
    <w:rsid w:val="337E31DC"/>
    <w:rsid w:val="3381002D"/>
    <w:rsid w:val="33810294"/>
    <w:rsid w:val="338B2C59"/>
    <w:rsid w:val="338C1033"/>
    <w:rsid w:val="338D077F"/>
    <w:rsid w:val="339064C2"/>
    <w:rsid w:val="33945FB2"/>
    <w:rsid w:val="33954192"/>
    <w:rsid w:val="339A2E9C"/>
    <w:rsid w:val="339C2472"/>
    <w:rsid w:val="33A31D51"/>
    <w:rsid w:val="33A45AC9"/>
    <w:rsid w:val="33A67096"/>
    <w:rsid w:val="33AA1331"/>
    <w:rsid w:val="33AB6E58"/>
    <w:rsid w:val="33AF21F6"/>
    <w:rsid w:val="33B10912"/>
    <w:rsid w:val="33BE302F"/>
    <w:rsid w:val="33C25642"/>
    <w:rsid w:val="33C323F3"/>
    <w:rsid w:val="33C65A3F"/>
    <w:rsid w:val="33C73BC9"/>
    <w:rsid w:val="33C7653D"/>
    <w:rsid w:val="33CA11F3"/>
    <w:rsid w:val="33CB74FA"/>
    <w:rsid w:val="33CC1370"/>
    <w:rsid w:val="33CF6FEA"/>
    <w:rsid w:val="33D77C4D"/>
    <w:rsid w:val="33D93073"/>
    <w:rsid w:val="33DB6FAA"/>
    <w:rsid w:val="33ED2D76"/>
    <w:rsid w:val="33F20F2A"/>
    <w:rsid w:val="33F26834"/>
    <w:rsid w:val="33F94067"/>
    <w:rsid w:val="33FC3079"/>
    <w:rsid w:val="33FD05D7"/>
    <w:rsid w:val="33FD3B57"/>
    <w:rsid w:val="33FF738F"/>
    <w:rsid w:val="34006B03"/>
    <w:rsid w:val="34034EE6"/>
    <w:rsid w:val="34074498"/>
    <w:rsid w:val="34086670"/>
    <w:rsid w:val="340C01B9"/>
    <w:rsid w:val="341151CD"/>
    <w:rsid w:val="341449FD"/>
    <w:rsid w:val="341B3FDD"/>
    <w:rsid w:val="341E2E66"/>
    <w:rsid w:val="341F22F3"/>
    <w:rsid w:val="34207846"/>
    <w:rsid w:val="342174AA"/>
    <w:rsid w:val="34254F61"/>
    <w:rsid w:val="34264730"/>
    <w:rsid w:val="34311A53"/>
    <w:rsid w:val="34362AC7"/>
    <w:rsid w:val="343D6F56"/>
    <w:rsid w:val="343F0906"/>
    <w:rsid w:val="344056FF"/>
    <w:rsid w:val="34407FCB"/>
    <w:rsid w:val="34411018"/>
    <w:rsid w:val="34425A0E"/>
    <w:rsid w:val="34434C07"/>
    <w:rsid w:val="34441786"/>
    <w:rsid w:val="34473024"/>
    <w:rsid w:val="345056E6"/>
    <w:rsid w:val="345B087E"/>
    <w:rsid w:val="345D203F"/>
    <w:rsid w:val="34603FFA"/>
    <w:rsid w:val="34612A9B"/>
    <w:rsid w:val="34615BAE"/>
    <w:rsid w:val="34666A21"/>
    <w:rsid w:val="346D1E94"/>
    <w:rsid w:val="34775202"/>
    <w:rsid w:val="34784696"/>
    <w:rsid w:val="347D07F4"/>
    <w:rsid w:val="347F4588"/>
    <w:rsid w:val="34897199"/>
    <w:rsid w:val="348A5C3D"/>
    <w:rsid w:val="348F6779"/>
    <w:rsid w:val="34993356"/>
    <w:rsid w:val="34AA710F"/>
    <w:rsid w:val="34AC3B1F"/>
    <w:rsid w:val="34B00BC9"/>
    <w:rsid w:val="34BA1A48"/>
    <w:rsid w:val="34C957E7"/>
    <w:rsid w:val="34CA0ED9"/>
    <w:rsid w:val="34CB2E92"/>
    <w:rsid w:val="34CF1C04"/>
    <w:rsid w:val="34D643A8"/>
    <w:rsid w:val="34D90479"/>
    <w:rsid w:val="34D9540A"/>
    <w:rsid w:val="34DA1486"/>
    <w:rsid w:val="34DD55EC"/>
    <w:rsid w:val="34DD7824"/>
    <w:rsid w:val="34E16FD5"/>
    <w:rsid w:val="34EA39B0"/>
    <w:rsid w:val="34F671ED"/>
    <w:rsid w:val="34F8431E"/>
    <w:rsid w:val="34F860CC"/>
    <w:rsid w:val="34F97E4B"/>
    <w:rsid w:val="34FF56AD"/>
    <w:rsid w:val="35085F28"/>
    <w:rsid w:val="35092088"/>
    <w:rsid w:val="35123632"/>
    <w:rsid w:val="35131158"/>
    <w:rsid w:val="35132F06"/>
    <w:rsid w:val="35151384"/>
    <w:rsid w:val="351B09A1"/>
    <w:rsid w:val="35241716"/>
    <w:rsid w:val="352549E8"/>
    <w:rsid w:val="352B641F"/>
    <w:rsid w:val="352E1AEE"/>
    <w:rsid w:val="35306430"/>
    <w:rsid w:val="35311135"/>
    <w:rsid w:val="3538101C"/>
    <w:rsid w:val="353B4F00"/>
    <w:rsid w:val="353B650D"/>
    <w:rsid w:val="353F2498"/>
    <w:rsid w:val="354B444E"/>
    <w:rsid w:val="354C6465"/>
    <w:rsid w:val="35507CB7"/>
    <w:rsid w:val="3552500E"/>
    <w:rsid w:val="355D5FF2"/>
    <w:rsid w:val="35645510"/>
    <w:rsid w:val="35665250"/>
    <w:rsid w:val="3566572C"/>
    <w:rsid w:val="356A1545"/>
    <w:rsid w:val="356E7C5B"/>
    <w:rsid w:val="357116BA"/>
    <w:rsid w:val="357716E7"/>
    <w:rsid w:val="3578720D"/>
    <w:rsid w:val="3579658A"/>
    <w:rsid w:val="357B2D2C"/>
    <w:rsid w:val="358065DC"/>
    <w:rsid w:val="358142E1"/>
    <w:rsid w:val="35887450"/>
    <w:rsid w:val="358931C8"/>
    <w:rsid w:val="358B0CEF"/>
    <w:rsid w:val="3594409E"/>
    <w:rsid w:val="359A7184"/>
    <w:rsid w:val="359C73A0"/>
    <w:rsid w:val="359F419F"/>
    <w:rsid w:val="35A41DB0"/>
    <w:rsid w:val="35A46254"/>
    <w:rsid w:val="35A818A1"/>
    <w:rsid w:val="35AB55E5"/>
    <w:rsid w:val="35AD335B"/>
    <w:rsid w:val="35B45F68"/>
    <w:rsid w:val="35B473C6"/>
    <w:rsid w:val="35B71AE4"/>
    <w:rsid w:val="35BD363D"/>
    <w:rsid w:val="35CB37E1"/>
    <w:rsid w:val="35CC1533"/>
    <w:rsid w:val="35D6139A"/>
    <w:rsid w:val="35D72186"/>
    <w:rsid w:val="35E12488"/>
    <w:rsid w:val="35E87614"/>
    <w:rsid w:val="35EB79DF"/>
    <w:rsid w:val="35F1149A"/>
    <w:rsid w:val="35F745D6"/>
    <w:rsid w:val="35FA7C22"/>
    <w:rsid w:val="35FE6F21"/>
    <w:rsid w:val="36045A08"/>
    <w:rsid w:val="360766D3"/>
    <w:rsid w:val="360D3DFA"/>
    <w:rsid w:val="360D5BA8"/>
    <w:rsid w:val="361A3F9A"/>
    <w:rsid w:val="36227D2F"/>
    <w:rsid w:val="3627057D"/>
    <w:rsid w:val="362A0508"/>
    <w:rsid w:val="363049E9"/>
    <w:rsid w:val="36315D3A"/>
    <w:rsid w:val="36323860"/>
    <w:rsid w:val="36356EAC"/>
    <w:rsid w:val="3636121D"/>
    <w:rsid w:val="3638380C"/>
    <w:rsid w:val="363A3866"/>
    <w:rsid w:val="363D7B96"/>
    <w:rsid w:val="363E6456"/>
    <w:rsid w:val="364016E3"/>
    <w:rsid w:val="36443A06"/>
    <w:rsid w:val="3645159F"/>
    <w:rsid w:val="36451DC5"/>
    <w:rsid w:val="364E3F12"/>
    <w:rsid w:val="364F7F6E"/>
    <w:rsid w:val="3652180C"/>
    <w:rsid w:val="365B7FE9"/>
    <w:rsid w:val="365C48ED"/>
    <w:rsid w:val="36611AB0"/>
    <w:rsid w:val="36692789"/>
    <w:rsid w:val="366E24FE"/>
    <w:rsid w:val="36745C27"/>
    <w:rsid w:val="36785717"/>
    <w:rsid w:val="367E0853"/>
    <w:rsid w:val="36826B14"/>
    <w:rsid w:val="36835E6A"/>
    <w:rsid w:val="36867F07"/>
    <w:rsid w:val="3689029C"/>
    <w:rsid w:val="368D0A96"/>
    <w:rsid w:val="36914A2B"/>
    <w:rsid w:val="36960BD4"/>
    <w:rsid w:val="36962041"/>
    <w:rsid w:val="369B31B3"/>
    <w:rsid w:val="369B7657"/>
    <w:rsid w:val="36A101AE"/>
    <w:rsid w:val="36A5243D"/>
    <w:rsid w:val="36A63959"/>
    <w:rsid w:val="36A93B22"/>
    <w:rsid w:val="36A97AC3"/>
    <w:rsid w:val="36AD385B"/>
    <w:rsid w:val="36B204FD"/>
    <w:rsid w:val="36B2505E"/>
    <w:rsid w:val="36B33892"/>
    <w:rsid w:val="36BA5D2F"/>
    <w:rsid w:val="36BB1F79"/>
    <w:rsid w:val="36BF3346"/>
    <w:rsid w:val="36C22E36"/>
    <w:rsid w:val="36C84A0D"/>
    <w:rsid w:val="36CA1CEB"/>
    <w:rsid w:val="36CC7811"/>
    <w:rsid w:val="36CE17DB"/>
    <w:rsid w:val="36D16BD5"/>
    <w:rsid w:val="36D641EB"/>
    <w:rsid w:val="36DF6266"/>
    <w:rsid w:val="36E7289C"/>
    <w:rsid w:val="36EC3A0F"/>
    <w:rsid w:val="36EC7EB3"/>
    <w:rsid w:val="36ED0048"/>
    <w:rsid w:val="36EF1705"/>
    <w:rsid w:val="36F370CD"/>
    <w:rsid w:val="36F57FCA"/>
    <w:rsid w:val="36F80606"/>
    <w:rsid w:val="36FC0AD1"/>
    <w:rsid w:val="3700570C"/>
    <w:rsid w:val="37020FF1"/>
    <w:rsid w:val="37023232"/>
    <w:rsid w:val="370276FA"/>
    <w:rsid w:val="370326DB"/>
    <w:rsid w:val="370801F8"/>
    <w:rsid w:val="370C76C7"/>
    <w:rsid w:val="37130486"/>
    <w:rsid w:val="3716214B"/>
    <w:rsid w:val="37182A56"/>
    <w:rsid w:val="371A63C7"/>
    <w:rsid w:val="371E4BB3"/>
    <w:rsid w:val="37204D88"/>
    <w:rsid w:val="37205599"/>
    <w:rsid w:val="37225683"/>
    <w:rsid w:val="3724764D"/>
    <w:rsid w:val="372C7136"/>
    <w:rsid w:val="372E1214"/>
    <w:rsid w:val="372F1B4E"/>
    <w:rsid w:val="373158C6"/>
    <w:rsid w:val="373A5AF7"/>
    <w:rsid w:val="373B46C5"/>
    <w:rsid w:val="374101FF"/>
    <w:rsid w:val="374750E9"/>
    <w:rsid w:val="37495F09"/>
    <w:rsid w:val="374B5942"/>
    <w:rsid w:val="374D6BA3"/>
    <w:rsid w:val="37516768"/>
    <w:rsid w:val="37517D16"/>
    <w:rsid w:val="375409F6"/>
    <w:rsid w:val="37567EF9"/>
    <w:rsid w:val="375861A4"/>
    <w:rsid w:val="375F1314"/>
    <w:rsid w:val="375F4344"/>
    <w:rsid w:val="37606439"/>
    <w:rsid w:val="37661CDE"/>
    <w:rsid w:val="3768578B"/>
    <w:rsid w:val="376C3331"/>
    <w:rsid w:val="37715E95"/>
    <w:rsid w:val="3784633D"/>
    <w:rsid w:val="37936580"/>
    <w:rsid w:val="37957CBD"/>
    <w:rsid w:val="37A10C9D"/>
    <w:rsid w:val="37A84CB3"/>
    <w:rsid w:val="37AC3E5E"/>
    <w:rsid w:val="37B10DEE"/>
    <w:rsid w:val="37B7226F"/>
    <w:rsid w:val="37BD5C4C"/>
    <w:rsid w:val="37BE2421"/>
    <w:rsid w:val="37BE2D67"/>
    <w:rsid w:val="37C83FCD"/>
    <w:rsid w:val="37C8622A"/>
    <w:rsid w:val="37CE1367"/>
    <w:rsid w:val="37D033D0"/>
    <w:rsid w:val="37D11CDD"/>
    <w:rsid w:val="37D21890"/>
    <w:rsid w:val="37D5281F"/>
    <w:rsid w:val="37D90D2C"/>
    <w:rsid w:val="37DC0EC1"/>
    <w:rsid w:val="37DD2351"/>
    <w:rsid w:val="37E172EC"/>
    <w:rsid w:val="37E40B8A"/>
    <w:rsid w:val="37E85677"/>
    <w:rsid w:val="37F0752F"/>
    <w:rsid w:val="37F963E3"/>
    <w:rsid w:val="37FC4126"/>
    <w:rsid w:val="37FC4F31"/>
    <w:rsid w:val="37FC5ED4"/>
    <w:rsid w:val="38060B00"/>
    <w:rsid w:val="38077E93"/>
    <w:rsid w:val="38083E7D"/>
    <w:rsid w:val="38086E54"/>
    <w:rsid w:val="380B4369"/>
    <w:rsid w:val="380F20AB"/>
    <w:rsid w:val="38172D0E"/>
    <w:rsid w:val="381C20D2"/>
    <w:rsid w:val="381E5E4A"/>
    <w:rsid w:val="38262F51"/>
    <w:rsid w:val="382A2A41"/>
    <w:rsid w:val="382E3A24"/>
    <w:rsid w:val="38312021"/>
    <w:rsid w:val="38317F3A"/>
    <w:rsid w:val="3834566E"/>
    <w:rsid w:val="383E0D50"/>
    <w:rsid w:val="384004B6"/>
    <w:rsid w:val="38401D98"/>
    <w:rsid w:val="38481119"/>
    <w:rsid w:val="384A4E91"/>
    <w:rsid w:val="384B0C09"/>
    <w:rsid w:val="38514471"/>
    <w:rsid w:val="385478D4"/>
    <w:rsid w:val="385E26EA"/>
    <w:rsid w:val="38685317"/>
    <w:rsid w:val="386C2BEF"/>
    <w:rsid w:val="386D6DD1"/>
    <w:rsid w:val="38701D47"/>
    <w:rsid w:val="38710670"/>
    <w:rsid w:val="3872263A"/>
    <w:rsid w:val="3880534A"/>
    <w:rsid w:val="388B1F99"/>
    <w:rsid w:val="388D4D7E"/>
    <w:rsid w:val="38925B9B"/>
    <w:rsid w:val="389A2654"/>
    <w:rsid w:val="389B05DB"/>
    <w:rsid w:val="389E689B"/>
    <w:rsid w:val="38A10829"/>
    <w:rsid w:val="38B55CCE"/>
    <w:rsid w:val="38B56F92"/>
    <w:rsid w:val="38C27732"/>
    <w:rsid w:val="38C3469B"/>
    <w:rsid w:val="38C52A81"/>
    <w:rsid w:val="38C904AC"/>
    <w:rsid w:val="38CC3AF8"/>
    <w:rsid w:val="38CE04EE"/>
    <w:rsid w:val="38D64977"/>
    <w:rsid w:val="38E05C50"/>
    <w:rsid w:val="38E928FC"/>
    <w:rsid w:val="38EA21D0"/>
    <w:rsid w:val="38EC419A"/>
    <w:rsid w:val="38ED3D9A"/>
    <w:rsid w:val="38F01CB5"/>
    <w:rsid w:val="38F419B2"/>
    <w:rsid w:val="38F512A1"/>
    <w:rsid w:val="38F8429D"/>
    <w:rsid w:val="38FD3D35"/>
    <w:rsid w:val="38FE732B"/>
    <w:rsid w:val="390128F5"/>
    <w:rsid w:val="39077A51"/>
    <w:rsid w:val="39094D4C"/>
    <w:rsid w:val="390F2428"/>
    <w:rsid w:val="39134343"/>
    <w:rsid w:val="391644CF"/>
    <w:rsid w:val="392C04C3"/>
    <w:rsid w:val="392C4597"/>
    <w:rsid w:val="3932640E"/>
    <w:rsid w:val="39354B09"/>
    <w:rsid w:val="39365415"/>
    <w:rsid w:val="393D49F6"/>
    <w:rsid w:val="39424531"/>
    <w:rsid w:val="394413FB"/>
    <w:rsid w:val="3948702E"/>
    <w:rsid w:val="394A2C6F"/>
    <w:rsid w:val="394A4BFD"/>
    <w:rsid w:val="394D6D52"/>
    <w:rsid w:val="395435A5"/>
    <w:rsid w:val="3957578D"/>
    <w:rsid w:val="39597B8B"/>
    <w:rsid w:val="396226AE"/>
    <w:rsid w:val="3963760F"/>
    <w:rsid w:val="39642CA0"/>
    <w:rsid w:val="39690027"/>
    <w:rsid w:val="39691347"/>
    <w:rsid w:val="39693A3D"/>
    <w:rsid w:val="396A5A38"/>
    <w:rsid w:val="396D5783"/>
    <w:rsid w:val="396F42D7"/>
    <w:rsid w:val="39723A3C"/>
    <w:rsid w:val="39775BEF"/>
    <w:rsid w:val="397A4685"/>
    <w:rsid w:val="397C6E3F"/>
    <w:rsid w:val="397E3D4F"/>
    <w:rsid w:val="397F3EC5"/>
    <w:rsid w:val="397F6DBC"/>
    <w:rsid w:val="39874082"/>
    <w:rsid w:val="398C74D1"/>
    <w:rsid w:val="39914A9E"/>
    <w:rsid w:val="39924D42"/>
    <w:rsid w:val="3994077D"/>
    <w:rsid w:val="399436D2"/>
    <w:rsid w:val="39962ABD"/>
    <w:rsid w:val="399B417A"/>
    <w:rsid w:val="399F120C"/>
    <w:rsid w:val="39A46823"/>
    <w:rsid w:val="39AD1B7B"/>
    <w:rsid w:val="39AD67C4"/>
    <w:rsid w:val="39AF15D1"/>
    <w:rsid w:val="39B4306C"/>
    <w:rsid w:val="39B5458C"/>
    <w:rsid w:val="39B60304"/>
    <w:rsid w:val="39BA1BA2"/>
    <w:rsid w:val="39BC1DBE"/>
    <w:rsid w:val="39C8164D"/>
    <w:rsid w:val="39C83481"/>
    <w:rsid w:val="39D0733C"/>
    <w:rsid w:val="39D35FF6"/>
    <w:rsid w:val="39D669DA"/>
    <w:rsid w:val="39D95B15"/>
    <w:rsid w:val="39DA5519"/>
    <w:rsid w:val="39DD3A08"/>
    <w:rsid w:val="39DD3AE3"/>
    <w:rsid w:val="39DE7BF9"/>
    <w:rsid w:val="39E11825"/>
    <w:rsid w:val="39E430C3"/>
    <w:rsid w:val="39E6780E"/>
    <w:rsid w:val="39E9692C"/>
    <w:rsid w:val="39E976D1"/>
    <w:rsid w:val="39EC65B8"/>
    <w:rsid w:val="39ED486F"/>
    <w:rsid w:val="39EE5CF0"/>
    <w:rsid w:val="39F84DA5"/>
    <w:rsid w:val="39FC040D"/>
    <w:rsid w:val="3A04269C"/>
    <w:rsid w:val="3A0460EF"/>
    <w:rsid w:val="3A0901E4"/>
    <w:rsid w:val="3A0B6E32"/>
    <w:rsid w:val="3A0E4E10"/>
    <w:rsid w:val="3A110B07"/>
    <w:rsid w:val="3A14745A"/>
    <w:rsid w:val="3A160918"/>
    <w:rsid w:val="3A1A6AE5"/>
    <w:rsid w:val="3A1B12A9"/>
    <w:rsid w:val="3A1C0AAF"/>
    <w:rsid w:val="3A1C1BAF"/>
    <w:rsid w:val="3A204FC5"/>
    <w:rsid w:val="3A246BDD"/>
    <w:rsid w:val="3A2550DD"/>
    <w:rsid w:val="3A264D8B"/>
    <w:rsid w:val="3A282FB0"/>
    <w:rsid w:val="3A2B484E"/>
    <w:rsid w:val="3A2B6F44"/>
    <w:rsid w:val="3A353BF0"/>
    <w:rsid w:val="3A361B71"/>
    <w:rsid w:val="3A3758E9"/>
    <w:rsid w:val="3A377427"/>
    <w:rsid w:val="3A3B3349"/>
    <w:rsid w:val="3A3B7295"/>
    <w:rsid w:val="3A4678DA"/>
    <w:rsid w:val="3A4934F6"/>
    <w:rsid w:val="3A4B2127"/>
    <w:rsid w:val="3A573895"/>
    <w:rsid w:val="3A5E4C24"/>
    <w:rsid w:val="3A601780"/>
    <w:rsid w:val="3A606BEE"/>
    <w:rsid w:val="3A612966"/>
    <w:rsid w:val="3A6B0127"/>
    <w:rsid w:val="3A6C5593"/>
    <w:rsid w:val="3A712BA9"/>
    <w:rsid w:val="3A72724A"/>
    <w:rsid w:val="3A7750E3"/>
    <w:rsid w:val="3A7B1683"/>
    <w:rsid w:val="3A7D2A66"/>
    <w:rsid w:val="3A8042BE"/>
    <w:rsid w:val="3A830B2E"/>
    <w:rsid w:val="3A861ED8"/>
    <w:rsid w:val="3A8B1791"/>
    <w:rsid w:val="3A8F6758"/>
    <w:rsid w:val="3A93317B"/>
    <w:rsid w:val="3A954A92"/>
    <w:rsid w:val="3A95616C"/>
    <w:rsid w:val="3A9C0F07"/>
    <w:rsid w:val="3AAA1A3F"/>
    <w:rsid w:val="3AB504FA"/>
    <w:rsid w:val="3AB63DDC"/>
    <w:rsid w:val="3AB9560A"/>
    <w:rsid w:val="3ABD4CA7"/>
    <w:rsid w:val="3AC15746"/>
    <w:rsid w:val="3ACC5B45"/>
    <w:rsid w:val="3ACD7AE9"/>
    <w:rsid w:val="3AD23058"/>
    <w:rsid w:val="3AD273C0"/>
    <w:rsid w:val="3AD37719"/>
    <w:rsid w:val="3ADE3A4D"/>
    <w:rsid w:val="3ADE5D64"/>
    <w:rsid w:val="3ADF734B"/>
    <w:rsid w:val="3AE80991"/>
    <w:rsid w:val="3AEC66D3"/>
    <w:rsid w:val="3AED3D27"/>
    <w:rsid w:val="3AEE244B"/>
    <w:rsid w:val="3AF17846"/>
    <w:rsid w:val="3AFB06C4"/>
    <w:rsid w:val="3AFB415D"/>
    <w:rsid w:val="3B0276ED"/>
    <w:rsid w:val="3B0600FB"/>
    <w:rsid w:val="3B07350D"/>
    <w:rsid w:val="3B074653"/>
    <w:rsid w:val="3B0925C1"/>
    <w:rsid w:val="3B0A014A"/>
    <w:rsid w:val="3B0A4DAB"/>
    <w:rsid w:val="3B0B12EF"/>
    <w:rsid w:val="3B0C0B24"/>
    <w:rsid w:val="3B0C3F2F"/>
    <w:rsid w:val="3B0F7D65"/>
    <w:rsid w:val="3B11613A"/>
    <w:rsid w:val="3B1B48C3"/>
    <w:rsid w:val="3B1F0857"/>
    <w:rsid w:val="3B200963"/>
    <w:rsid w:val="3B2573E8"/>
    <w:rsid w:val="3B270B64"/>
    <w:rsid w:val="3B2B2018"/>
    <w:rsid w:val="3B2C087E"/>
    <w:rsid w:val="3B2D7841"/>
    <w:rsid w:val="3B2E2848"/>
    <w:rsid w:val="3B30241A"/>
    <w:rsid w:val="3B312DF4"/>
    <w:rsid w:val="3B3458E6"/>
    <w:rsid w:val="3B3565FC"/>
    <w:rsid w:val="3B3A5C49"/>
    <w:rsid w:val="3B3D0CDD"/>
    <w:rsid w:val="3B3D6F2F"/>
    <w:rsid w:val="3B3F2CA7"/>
    <w:rsid w:val="3B455DE4"/>
    <w:rsid w:val="3B457B92"/>
    <w:rsid w:val="3B467B23"/>
    <w:rsid w:val="3B4A33FA"/>
    <w:rsid w:val="3B5437ED"/>
    <w:rsid w:val="3B556027"/>
    <w:rsid w:val="3B5E746C"/>
    <w:rsid w:val="3B627E58"/>
    <w:rsid w:val="3B6541E8"/>
    <w:rsid w:val="3B6E533A"/>
    <w:rsid w:val="3B737E51"/>
    <w:rsid w:val="3B7641EF"/>
    <w:rsid w:val="3B776F92"/>
    <w:rsid w:val="3B7A5A8D"/>
    <w:rsid w:val="3B836571"/>
    <w:rsid w:val="3B881B73"/>
    <w:rsid w:val="3B8E11A9"/>
    <w:rsid w:val="3B8E778B"/>
    <w:rsid w:val="3B8F34C7"/>
    <w:rsid w:val="3B982BEF"/>
    <w:rsid w:val="3B9D5010"/>
    <w:rsid w:val="3BAC19BF"/>
    <w:rsid w:val="3BB16FD5"/>
    <w:rsid w:val="3BB45458"/>
    <w:rsid w:val="3BC1190E"/>
    <w:rsid w:val="3BC1546A"/>
    <w:rsid w:val="3BC27434"/>
    <w:rsid w:val="3BC30DA4"/>
    <w:rsid w:val="3BC7163B"/>
    <w:rsid w:val="3BC82C9D"/>
    <w:rsid w:val="3BC96A15"/>
    <w:rsid w:val="3BCB453B"/>
    <w:rsid w:val="3BDC6748"/>
    <w:rsid w:val="3BDC782D"/>
    <w:rsid w:val="3BE21884"/>
    <w:rsid w:val="3BEB4F70"/>
    <w:rsid w:val="3BEE0229"/>
    <w:rsid w:val="3BF1303B"/>
    <w:rsid w:val="3C09385D"/>
    <w:rsid w:val="3C094C15"/>
    <w:rsid w:val="3C0D6901"/>
    <w:rsid w:val="3C101F4E"/>
    <w:rsid w:val="3C12216A"/>
    <w:rsid w:val="3C180285"/>
    <w:rsid w:val="3C1F6635"/>
    <w:rsid w:val="3C217C94"/>
    <w:rsid w:val="3C232648"/>
    <w:rsid w:val="3C265C15"/>
    <w:rsid w:val="3C2B1255"/>
    <w:rsid w:val="3C2D0D52"/>
    <w:rsid w:val="3C300842"/>
    <w:rsid w:val="3C31196E"/>
    <w:rsid w:val="3C344F0C"/>
    <w:rsid w:val="3C3E4D0D"/>
    <w:rsid w:val="3C53008C"/>
    <w:rsid w:val="3C5827C6"/>
    <w:rsid w:val="3C597D99"/>
    <w:rsid w:val="3C5D4E55"/>
    <w:rsid w:val="3C6127A9"/>
    <w:rsid w:val="3C622C2F"/>
    <w:rsid w:val="3C634773"/>
    <w:rsid w:val="3C663A24"/>
    <w:rsid w:val="3C687FDC"/>
    <w:rsid w:val="3C700C3E"/>
    <w:rsid w:val="3C7050AE"/>
    <w:rsid w:val="3C771AB6"/>
    <w:rsid w:val="3C8414E4"/>
    <w:rsid w:val="3C8F0188"/>
    <w:rsid w:val="3C9031B9"/>
    <w:rsid w:val="3C990195"/>
    <w:rsid w:val="3C9D7B54"/>
    <w:rsid w:val="3C9E4F88"/>
    <w:rsid w:val="3CA37533"/>
    <w:rsid w:val="3CA408E8"/>
    <w:rsid w:val="3CA43E5C"/>
    <w:rsid w:val="3CA51EC7"/>
    <w:rsid w:val="3CA8541A"/>
    <w:rsid w:val="3CAF509D"/>
    <w:rsid w:val="3CB21257"/>
    <w:rsid w:val="3CB331FB"/>
    <w:rsid w:val="3CB842CE"/>
    <w:rsid w:val="3CC03B35"/>
    <w:rsid w:val="3CC15F51"/>
    <w:rsid w:val="3CCC056A"/>
    <w:rsid w:val="3CCF345F"/>
    <w:rsid w:val="3CD32609"/>
    <w:rsid w:val="3CD63197"/>
    <w:rsid w:val="3CD818F3"/>
    <w:rsid w:val="3CD94A35"/>
    <w:rsid w:val="3CDD6358"/>
    <w:rsid w:val="3CE07B72"/>
    <w:rsid w:val="3CE33B06"/>
    <w:rsid w:val="3CE60715"/>
    <w:rsid w:val="3CEB3763"/>
    <w:rsid w:val="3CF1652D"/>
    <w:rsid w:val="3CF278A5"/>
    <w:rsid w:val="3CF67395"/>
    <w:rsid w:val="3CFC0724"/>
    <w:rsid w:val="3D070254"/>
    <w:rsid w:val="3D071CC2"/>
    <w:rsid w:val="3D08605E"/>
    <w:rsid w:val="3D0B6BD5"/>
    <w:rsid w:val="3D0D7304"/>
    <w:rsid w:val="3D12155E"/>
    <w:rsid w:val="3D141F11"/>
    <w:rsid w:val="3D1D2CAC"/>
    <w:rsid w:val="3D2739F3"/>
    <w:rsid w:val="3D276405"/>
    <w:rsid w:val="3D2765AF"/>
    <w:rsid w:val="3D2B3FF2"/>
    <w:rsid w:val="3D377695"/>
    <w:rsid w:val="3D400FA1"/>
    <w:rsid w:val="3D472B15"/>
    <w:rsid w:val="3D484B01"/>
    <w:rsid w:val="3D4E7AA9"/>
    <w:rsid w:val="3D4F4CF8"/>
    <w:rsid w:val="3D504E6F"/>
    <w:rsid w:val="3D56117A"/>
    <w:rsid w:val="3D5B369C"/>
    <w:rsid w:val="3D640B76"/>
    <w:rsid w:val="3D6764E5"/>
    <w:rsid w:val="3D7D6EF6"/>
    <w:rsid w:val="3D873749"/>
    <w:rsid w:val="3D8A2373"/>
    <w:rsid w:val="3D8E3A72"/>
    <w:rsid w:val="3D91074E"/>
    <w:rsid w:val="3D934BE4"/>
    <w:rsid w:val="3D9372DA"/>
    <w:rsid w:val="3D94095C"/>
    <w:rsid w:val="3D950A68"/>
    <w:rsid w:val="3D954E00"/>
    <w:rsid w:val="3D9B1CEB"/>
    <w:rsid w:val="3D9D01D9"/>
    <w:rsid w:val="3D9E2F61"/>
    <w:rsid w:val="3DA10DDD"/>
    <w:rsid w:val="3DAB63D2"/>
    <w:rsid w:val="3DAD3B36"/>
    <w:rsid w:val="3DB01C3A"/>
    <w:rsid w:val="3DB72FC9"/>
    <w:rsid w:val="3DB86D41"/>
    <w:rsid w:val="3DC518BA"/>
    <w:rsid w:val="3DC54FBA"/>
    <w:rsid w:val="3DC6732B"/>
    <w:rsid w:val="3DC8357D"/>
    <w:rsid w:val="3DD27E02"/>
    <w:rsid w:val="3DD31485"/>
    <w:rsid w:val="3DD35929"/>
    <w:rsid w:val="3DD516A1"/>
    <w:rsid w:val="3DD756B9"/>
    <w:rsid w:val="3DDC070C"/>
    <w:rsid w:val="3DDD0555"/>
    <w:rsid w:val="3DE261C9"/>
    <w:rsid w:val="3DE327AE"/>
    <w:rsid w:val="3DE365C3"/>
    <w:rsid w:val="3DED1800"/>
    <w:rsid w:val="3DED7156"/>
    <w:rsid w:val="3DEF1BEC"/>
    <w:rsid w:val="3DF24007"/>
    <w:rsid w:val="3DF8484A"/>
    <w:rsid w:val="3E003377"/>
    <w:rsid w:val="3E012496"/>
    <w:rsid w:val="3E027FBC"/>
    <w:rsid w:val="3E03279C"/>
    <w:rsid w:val="3E071BD7"/>
    <w:rsid w:val="3E0C2BE9"/>
    <w:rsid w:val="3E0C3BB0"/>
    <w:rsid w:val="3E0E070F"/>
    <w:rsid w:val="3E0F3C31"/>
    <w:rsid w:val="3E111FAD"/>
    <w:rsid w:val="3E18158D"/>
    <w:rsid w:val="3E296979"/>
    <w:rsid w:val="3E35268D"/>
    <w:rsid w:val="3E377D4A"/>
    <w:rsid w:val="3E3839DE"/>
    <w:rsid w:val="3E3E6B45"/>
    <w:rsid w:val="3E410AE4"/>
    <w:rsid w:val="3E42660A"/>
    <w:rsid w:val="3E4405D4"/>
    <w:rsid w:val="3E4B0E1A"/>
    <w:rsid w:val="3E4E3201"/>
    <w:rsid w:val="3E590DA0"/>
    <w:rsid w:val="3E596F2B"/>
    <w:rsid w:val="3E6C6F43"/>
    <w:rsid w:val="3E6D08C9"/>
    <w:rsid w:val="3E6E11AD"/>
    <w:rsid w:val="3E8B7FB1"/>
    <w:rsid w:val="3E9828BB"/>
    <w:rsid w:val="3E990920"/>
    <w:rsid w:val="3EA029F9"/>
    <w:rsid w:val="3EA34660"/>
    <w:rsid w:val="3EAB7DC3"/>
    <w:rsid w:val="3EAE33FB"/>
    <w:rsid w:val="3EB50196"/>
    <w:rsid w:val="3EB91EC3"/>
    <w:rsid w:val="3EBA24FA"/>
    <w:rsid w:val="3EBB0897"/>
    <w:rsid w:val="3EC37B70"/>
    <w:rsid w:val="3EC47C62"/>
    <w:rsid w:val="3EC740F1"/>
    <w:rsid w:val="3ECB6600"/>
    <w:rsid w:val="3ED934D7"/>
    <w:rsid w:val="3EDF5A11"/>
    <w:rsid w:val="3EE53B65"/>
    <w:rsid w:val="3EEC6CA2"/>
    <w:rsid w:val="3EF543D4"/>
    <w:rsid w:val="3F0064E6"/>
    <w:rsid w:val="3F022634"/>
    <w:rsid w:val="3F047236"/>
    <w:rsid w:val="3F0B4C4E"/>
    <w:rsid w:val="3F0C080F"/>
    <w:rsid w:val="3F116709"/>
    <w:rsid w:val="3F19514F"/>
    <w:rsid w:val="3F2521B4"/>
    <w:rsid w:val="3F29681A"/>
    <w:rsid w:val="3F2C130C"/>
    <w:rsid w:val="3F32042D"/>
    <w:rsid w:val="3F3356A6"/>
    <w:rsid w:val="3F407128"/>
    <w:rsid w:val="3F473FC4"/>
    <w:rsid w:val="3F5C5D42"/>
    <w:rsid w:val="3F5D194E"/>
    <w:rsid w:val="3F653057"/>
    <w:rsid w:val="3F6B1077"/>
    <w:rsid w:val="3F6F25EF"/>
    <w:rsid w:val="3F6F78D3"/>
    <w:rsid w:val="3F710F55"/>
    <w:rsid w:val="3F7C26D1"/>
    <w:rsid w:val="3F7D0CD2"/>
    <w:rsid w:val="3F8633D5"/>
    <w:rsid w:val="3F8751A4"/>
    <w:rsid w:val="3F890995"/>
    <w:rsid w:val="3F9354F9"/>
    <w:rsid w:val="3F9707AB"/>
    <w:rsid w:val="3F974586"/>
    <w:rsid w:val="3F9862DB"/>
    <w:rsid w:val="3FAF4EE1"/>
    <w:rsid w:val="3FB61916"/>
    <w:rsid w:val="3FBD34CD"/>
    <w:rsid w:val="3FCA3682"/>
    <w:rsid w:val="3FCC6AD3"/>
    <w:rsid w:val="3FCD36F4"/>
    <w:rsid w:val="3FD70A36"/>
    <w:rsid w:val="3FD9040F"/>
    <w:rsid w:val="3FDC05C1"/>
    <w:rsid w:val="3FDE7D89"/>
    <w:rsid w:val="3FDF1AE9"/>
    <w:rsid w:val="3FF0539D"/>
    <w:rsid w:val="3FF102E8"/>
    <w:rsid w:val="3FF322B2"/>
    <w:rsid w:val="3FF34060"/>
    <w:rsid w:val="3FF57DD8"/>
    <w:rsid w:val="3FFA1BA1"/>
    <w:rsid w:val="3FFB13C9"/>
    <w:rsid w:val="3FFC1C67"/>
    <w:rsid w:val="3FFD290A"/>
    <w:rsid w:val="3FFD4EDF"/>
    <w:rsid w:val="3FFE6790"/>
    <w:rsid w:val="3FFF35E2"/>
    <w:rsid w:val="400224F5"/>
    <w:rsid w:val="40026051"/>
    <w:rsid w:val="4006103B"/>
    <w:rsid w:val="400878D8"/>
    <w:rsid w:val="400B13AA"/>
    <w:rsid w:val="400B75FC"/>
    <w:rsid w:val="400F00E4"/>
    <w:rsid w:val="40153057"/>
    <w:rsid w:val="40161AFD"/>
    <w:rsid w:val="40176267"/>
    <w:rsid w:val="40185875"/>
    <w:rsid w:val="401A15ED"/>
    <w:rsid w:val="401F4E55"/>
    <w:rsid w:val="40221014"/>
    <w:rsid w:val="4024421A"/>
    <w:rsid w:val="4025630F"/>
    <w:rsid w:val="40262795"/>
    <w:rsid w:val="402B55A8"/>
    <w:rsid w:val="402C50C6"/>
    <w:rsid w:val="402C6174"/>
    <w:rsid w:val="40325E2A"/>
    <w:rsid w:val="403A3A3D"/>
    <w:rsid w:val="40416B7A"/>
    <w:rsid w:val="4047222F"/>
    <w:rsid w:val="404843AC"/>
    <w:rsid w:val="4061546E"/>
    <w:rsid w:val="40620ECF"/>
    <w:rsid w:val="40632344"/>
    <w:rsid w:val="40663425"/>
    <w:rsid w:val="40701253"/>
    <w:rsid w:val="407927B7"/>
    <w:rsid w:val="40806076"/>
    <w:rsid w:val="40817AD7"/>
    <w:rsid w:val="408B48CA"/>
    <w:rsid w:val="409F1AF2"/>
    <w:rsid w:val="409F789D"/>
    <w:rsid w:val="40A215BE"/>
    <w:rsid w:val="40AA1DF7"/>
    <w:rsid w:val="40AF10F4"/>
    <w:rsid w:val="40B15A5E"/>
    <w:rsid w:val="40B66EBB"/>
    <w:rsid w:val="40BE466E"/>
    <w:rsid w:val="40C02079"/>
    <w:rsid w:val="40C15F0C"/>
    <w:rsid w:val="40C81049"/>
    <w:rsid w:val="40D43E92"/>
    <w:rsid w:val="40D45C40"/>
    <w:rsid w:val="40D741AF"/>
    <w:rsid w:val="40D84324"/>
    <w:rsid w:val="40D95004"/>
    <w:rsid w:val="40DB6CA7"/>
    <w:rsid w:val="40DC7B1B"/>
    <w:rsid w:val="40DE086C"/>
    <w:rsid w:val="40E35E83"/>
    <w:rsid w:val="40E515BF"/>
    <w:rsid w:val="40E55E64"/>
    <w:rsid w:val="40E5653B"/>
    <w:rsid w:val="40F15CFC"/>
    <w:rsid w:val="40F462E2"/>
    <w:rsid w:val="40F55BB6"/>
    <w:rsid w:val="40F8373D"/>
    <w:rsid w:val="40FC1F60"/>
    <w:rsid w:val="40FD7B5D"/>
    <w:rsid w:val="40FE2CBD"/>
    <w:rsid w:val="40FF3318"/>
    <w:rsid w:val="410018BF"/>
    <w:rsid w:val="41032748"/>
    <w:rsid w:val="410430C7"/>
    <w:rsid w:val="410C61D1"/>
    <w:rsid w:val="41172D7B"/>
    <w:rsid w:val="411918A4"/>
    <w:rsid w:val="41230975"/>
    <w:rsid w:val="41260D07"/>
    <w:rsid w:val="41273672"/>
    <w:rsid w:val="412C5A7C"/>
    <w:rsid w:val="412D2400"/>
    <w:rsid w:val="412D70FE"/>
    <w:rsid w:val="41344CBB"/>
    <w:rsid w:val="41412BA9"/>
    <w:rsid w:val="414242C9"/>
    <w:rsid w:val="41446D09"/>
    <w:rsid w:val="41452699"/>
    <w:rsid w:val="414C0A4B"/>
    <w:rsid w:val="41555735"/>
    <w:rsid w:val="41636E6B"/>
    <w:rsid w:val="416649DB"/>
    <w:rsid w:val="416A0352"/>
    <w:rsid w:val="41752621"/>
    <w:rsid w:val="4175445D"/>
    <w:rsid w:val="41792865"/>
    <w:rsid w:val="417C113B"/>
    <w:rsid w:val="417C22E7"/>
    <w:rsid w:val="417D3C9E"/>
    <w:rsid w:val="418B7125"/>
    <w:rsid w:val="418C02C8"/>
    <w:rsid w:val="41980896"/>
    <w:rsid w:val="419929E5"/>
    <w:rsid w:val="419E3610"/>
    <w:rsid w:val="41A01FC6"/>
    <w:rsid w:val="41A03BCF"/>
    <w:rsid w:val="41A6671D"/>
    <w:rsid w:val="41A75FA5"/>
    <w:rsid w:val="41A9660A"/>
    <w:rsid w:val="41AD3AE8"/>
    <w:rsid w:val="41B71038"/>
    <w:rsid w:val="41B8730F"/>
    <w:rsid w:val="41B94E35"/>
    <w:rsid w:val="41BE41FA"/>
    <w:rsid w:val="41C37A62"/>
    <w:rsid w:val="41CC6D26"/>
    <w:rsid w:val="41CD77F3"/>
    <w:rsid w:val="41CE08E1"/>
    <w:rsid w:val="41D17FB0"/>
    <w:rsid w:val="41D34149"/>
    <w:rsid w:val="41DB6467"/>
    <w:rsid w:val="41E16F5A"/>
    <w:rsid w:val="41E36906"/>
    <w:rsid w:val="41E41EB2"/>
    <w:rsid w:val="41E9571B"/>
    <w:rsid w:val="41EC14B2"/>
    <w:rsid w:val="42091919"/>
    <w:rsid w:val="420D7370"/>
    <w:rsid w:val="42116813"/>
    <w:rsid w:val="4214646D"/>
    <w:rsid w:val="421502BE"/>
    <w:rsid w:val="42154762"/>
    <w:rsid w:val="421A1D78"/>
    <w:rsid w:val="421A3B26"/>
    <w:rsid w:val="421C1CB8"/>
    <w:rsid w:val="422A58D3"/>
    <w:rsid w:val="42321D91"/>
    <w:rsid w:val="42383FAC"/>
    <w:rsid w:val="423948E8"/>
    <w:rsid w:val="424C7918"/>
    <w:rsid w:val="4252486B"/>
    <w:rsid w:val="4255773E"/>
    <w:rsid w:val="4258464E"/>
    <w:rsid w:val="425863FC"/>
    <w:rsid w:val="42596189"/>
    <w:rsid w:val="425C1D44"/>
    <w:rsid w:val="425F778B"/>
    <w:rsid w:val="42607A93"/>
    <w:rsid w:val="42660B19"/>
    <w:rsid w:val="4270675B"/>
    <w:rsid w:val="42786A9F"/>
    <w:rsid w:val="427E0AA8"/>
    <w:rsid w:val="428216CB"/>
    <w:rsid w:val="42845443"/>
    <w:rsid w:val="428611BC"/>
    <w:rsid w:val="42892A5A"/>
    <w:rsid w:val="428E4EAD"/>
    <w:rsid w:val="429733C9"/>
    <w:rsid w:val="42986794"/>
    <w:rsid w:val="429A3840"/>
    <w:rsid w:val="42A37862"/>
    <w:rsid w:val="42A927C0"/>
    <w:rsid w:val="42A972F5"/>
    <w:rsid w:val="42B4024C"/>
    <w:rsid w:val="42B85710"/>
    <w:rsid w:val="42BD0F96"/>
    <w:rsid w:val="42BE193F"/>
    <w:rsid w:val="42BE6BA7"/>
    <w:rsid w:val="42C43863"/>
    <w:rsid w:val="42C712E3"/>
    <w:rsid w:val="42C92E2D"/>
    <w:rsid w:val="42CB3072"/>
    <w:rsid w:val="42D113A5"/>
    <w:rsid w:val="42D27D5B"/>
    <w:rsid w:val="42D36674"/>
    <w:rsid w:val="42D53EF1"/>
    <w:rsid w:val="42D54104"/>
    <w:rsid w:val="42D55629"/>
    <w:rsid w:val="42DA1B61"/>
    <w:rsid w:val="42DA361B"/>
    <w:rsid w:val="42EA3629"/>
    <w:rsid w:val="42EC6BF2"/>
    <w:rsid w:val="42EE7F65"/>
    <w:rsid w:val="42EF3832"/>
    <w:rsid w:val="42EF4FB3"/>
    <w:rsid w:val="42F46DE2"/>
    <w:rsid w:val="42F500EF"/>
    <w:rsid w:val="42FB2DBE"/>
    <w:rsid w:val="43014CE6"/>
    <w:rsid w:val="4303280C"/>
    <w:rsid w:val="43086074"/>
    <w:rsid w:val="430F11B1"/>
    <w:rsid w:val="43100A85"/>
    <w:rsid w:val="431060B3"/>
    <w:rsid w:val="43140869"/>
    <w:rsid w:val="431D2EC2"/>
    <w:rsid w:val="432602A9"/>
    <w:rsid w:val="43282273"/>
    <w:rsid w:val="43305BFF"/>
    <w:rsid w:val="43321C60"/>
    <w:rsid w:val="433858B4"/>
    <w:rsid w:val="43411B5A"/>
    <w:rsid w:val="434418BD"/>
    <w:rsid w:val="4346094B"/>
    <w:rsid w:val="434D7F2B"/>
    <w:rsid w:val="434F5A51"/>
    <w:rsid w:val="435B22FC"/>
    <w:rsid w:val="435E0E0D"/>
    <w:rsid w:val="43615785"/>
    <w:rsid w:val="437D25BE"/>
    <w:rsid w:val="437E1E93"/>
    <w:rsid w:val="43853221"/>
    <w:rsid w:val="438D454D"/>
    <w:rsid w:val="43A46CFE"/>
    <w:rsid w:val="43A77D96"/>
    <w:rsid w:val="43A81CE3"/>
    <w:rsid w:val="43A90F53"/>
    <w:rsid w:val="43AA6F27"/>
    <w:rsid w:val="43AA7FBB"/>
    <w:rsid w:val="43AE3982"/>
    <w:rsid w:val="43B104BA"/>
    <w:rsid w:val="43B41D58"/>
    <w:rsid w:val="43B7118F"/>
    <w:rsid w:val="43B71CF4"/>
    <w:rsid w:val="43B9111D"/>
    <w:rsid w:val="43C077A8"/>
    <w:rsid w:val="43C0796C"/>
    <w:rsid w:val="43C15E11"/>
    <w:rsid w:val="43C20D21"/>
    <w:rsid w:val="43CC2868"/>
    <w:rsid w:val="43D146B8"/>
    <w:rsid w:val="43D92990"/>
    <w:rsid w:val="43DC23C7"/>
    <w:rsid w:val="43DC723C"/>
    <w:rsid w:val="43DE580C"/>
    <w:rsid w:val="43E066A9"/>
    <w:rsid w:val="43E730AE"/>
    <w:rsid w:val="43E77A38"/>
    <w:rsid w:val="43E837B0"/>
    <w:rsid w:val="43F14D5A"/>
    <w:rsid w:val="43FD36FF"/>
    <w:rsid w:val="43FD54AD"/>
    <w:rsid w:val="440028DC"/>
    <w:rsid w:val="440E12B2"/>
    <w:rsid w:val="44102EC5"/>
    <w:rsid w:val="44114AB5"/>
    <w:rsid w:val="44121843"/>
    <w:rsid w:val="44174EC2"/>
    <w:rsid w:val="44184593"/>
    <w:rsid w:val="441D5B50"/>
    <w:rsid w:val="442375D4"/>
    <w:rsid w:val="44284660"/>
    <w:rsid w:val="442F691C"/>
    <w:rsid w:val="4432320D"/>
    <w:rsid w:val="443578FD"/>
    <w:rsid w:val="443662EA"/>
    <w:rsid w:val="443D3AFC"/>
    <w:rsid w:val="44466E54"/>
    <w:rsid w:val="445205D0"/>
    <w:rsid w:val="445269C3"/>
    <w:rsid w:val="445A645C"/>
    <w:rsid w:val="445D76D7"/>
    <w:rsid w:val="445E13DF"/>
    <w:rsid w:val="445F1CC4"/>
    <w:rsid w:val="446631CB"/>
    <w:rsid w:val="446B0669"/>
    <w:rsid w:val="44735797"/>
    <w:rsid w:val="44786980"/>
    <w:rsid w:val="448923E4"/>
    <w:rsid w:val="448B3D49"/>
    <w:rsid w:val="448D0B87"/>
    <w:rsid w:val="448F2126"/>
    <w:rsid w:val="44916AFB"/>
    <w:rsid w:val="44944070"/>
    <w:rsid w:val="44951994"/>
    <w:rsid w:val="449B2B2D"/>
    <w:rsid w:val="449B36EB"/>
    <w:rsid w:val="449D459A"/>
    <w:rsid w:val="449F0313"/>
    <w:rsid w:val="44A20883"/>
    <w:rsid w:val="44A43B7B"/>
    <w:rsid w:val="44A8215F"/>
    <w:rsid w:val="44A973E3"/>
    <w:rsid w:val="44B55581"/>
    <w:rsid w:val="44B64A81"/>
    <w:rsid w:val="44C45FCB"/>
    <w:rsid w:val="44C935E1"/>
    <w:rsid w:val="44CA3141"/>
    <w:rsid w:val="44CD4E80"/>
    <w:rsid w:val="44CF09EB"/>
    <w:rsid w:val="44D22496"/>
    <w:rsid w:val="44D41F9A"/>
    <w:rsid w:val="44D47618"/>
    <w:rsid w:val="44D65FFB"/>
    <w:rsid w:val="44DA5B8C"/>
    <w:rsid w:val="44DF1312"/>
    <w:rsid w:val="44E16003"/>
    <w:rsid w:val="44EC1534"/>
    <w:rsid w:val="44EF1C2A"/>
    <w:rsid w:val="44F65F1F"/>
    <w:rsid w:val="44F92825"/>
    <w:rsid w:val="44F93EC7"/>
    <w:rsid w:val="44F97C54"/>
    <w:rsid w:val="44FC39B7"/>
    <w:rsid w:val="44FC45CE"/>
    <w:rsid w:val="44FC5BB9"/>
    <w:rsid w:val="45091C30"/>
    <w:rsid w:val="450A2511"/>
    <w:rsid w:val="45144989"/>
    <w:rsid w:val="45185D49"/>
    <w:rsid w:val="451A6000"/>
    <w:rsid w:val="451E392D"/>
    <w:rsid w:val="45240818"/>
    <w:rsid w:val="45277047"/>
    <w:rsid w:val="4529367E"/>
    <w:rsid w:val="452B7DF8"/>
    <w:rsid w:val="452D3A41"/>
    <w:rsid w:val="452D3C06"/>
    <w:rsid w:val="45321E09"/>
    <w:rsid w:val="45352A25"/>
    <w:rsid w:val="45391215"/>
    <w:rsid w:val="45393947"/>
    <w:rsid w:val="453B4431"/>
    <w:rsid w:val="453E5A56"/>
    <w:rsid w:val="453F5652"/>
    <w:rsid w:val="45417301"/>
    <w:rsid w:val="454215C9"/>
    <w:rsid w:val="4542527A"/>
    <w:rsid w:val="4545107A"/>
    <w:rsid w:val="4545710C"/>
    <w:rsid w:val="454669E0"/>
    <w:rsid w:val="45495699"/>
    <w:rsid w:val="45505AB1"/>
    <w:rsid w:val="455410FD"/>
    <w:rsid w:val="45542C73"/>
    <w:rsid w:val="4557299B"/>
    <w:rsid w:val="45594965"/>
    <w:rsid w:val="455A114F"/>
    <w:rsid w:val="456357E4"/>
    <w:rsid w:val="456D73CD"/>
    <w:rsid w:val="457479F1"/>
    <w:rsid w:val="45802584"/>
    <w:rsid w:val="458662BF"/>
    <w:rsid w:val="458A01AB"/>
    <w:rsid w:val="458C3329"/>
    <w:rsid w:val="458C4D3B"/>
    <w:rsid w:val="458F65D9"/>
    <w:rsid w:val="45965059"/>
    <w:rsid w:val="459C4852"/>
    <w:rsid w:val="45A656D1"/>
    <w:rsid w:val="45AC635D"/>
    <w:rsid w:val="45AE3639"/>
    <w:rsid w:val="45B80903"/>
    <w:rsid w:val="45BE0C6C"/>
    <w:rsid w:val="45C142B9"/>
    <w:rsid w:val="45C22C40"/>
    <w:rsid w:val="45C73FC5"/>
    <w:rsid w:val="45C762CF"/>
    <w:rsid w:val="45C83899"/>
    <w:rsid w:val="45CA567E"/>
    <w:rsid w:val="45CF605B"/>
    <w:rsid w:val="45CF69D6"/>
    <w:rsid w:val="45D64208"/>
    <w:rsid w:val="45D93CF8"/>
    <w:rsid w:val="45D97854"/>
    <w:rsid w:val="45DC10F2"/>
    <w:rsid w:val="45DE130F"/>
    <w:rsid w:val="45E5444B"/>
    <w:rsid w:val="45E67EBA"/>
    <w:rsid w:val="45E738B2"/>
    <w:rsid w:val="45EC7588"/>
    <w:rsid w:val="45ED50AE"/>
    <w:rsid w:val="45EF7CD5"/>
    <w:rsid w:val="46010907"/>
    <w:rsid w:val="46053E00"/>
    <w:rsid w:val="46071727"/>
    <w:rsid w:val="460C7C2A"/>
    <w:rsid w:val="460F14C8"/>
    <w:rsid w:val="461429EF"/>
    <w:rsid w:val="461475D5"/>
    <w:rsid w:val="4623010C"/>
    <w:rsid w:val="46236D21"/>
    <w:rsid w:val="462C207A"/>
    <w:rsid w:val="46340F2E"/>
    <w:rsid w:val="46362C36"/>
    <w:rsid w:val="463827CD"/>
    <w:rsid w:val="463A37C2"/>
    <w:rsid w:val="463B22BD"/>
    <w:rsid w:val="463E4B82"/>
    <w:rsid w:val="46406C9A"/>
    <w:rsid w:val="4643076C"/>
    <w:rsid w:val="46445615"/>
    <w:rsid w:val="4646138E"/>
    <w:rsid w:val="46475AB1"/>
    <w:rsid w:val="464A1051"/>
    <w:rsid w:val="464E3D9E"/>
    <w:rsid w:val="465515D1"/>
    <w:rsid w:val="46584316"/>
    <w:rsid w:val="465A0995"/>
    <w:rsid w:val="46623CEE"/>
    <w:rsid w:val="46641814"/>
    <w:rsid w:val="466730B2"/>
    <w:rsid w:val="466F2920"/>
    <w:rsid w:val="4670640B"/>
    <w:rsid w:val="46743561"/>
    <w:rsid w:val="46753A21"/>
    <w:rsid w:val="46761EE9"/>
    <w:rsid w:val="46795908"/>
    <w:rsid w:val="467C2DEF"/>
    <w:rsid w:val="467F21AA"/>
    <w:rsid w:val="467F7FB0"/>
    <w:rsid w:val="46853538"/>
    <w:rsid w:val="468943B1"/>
    <w:rsid w:val="468A3005"/>
    <w:rsid w:val="469760C0"/>
    <w:rsid w:val="469C62EF"/>
    <w:rsid w:val="469E2B23"/>
    <w:rsid w:val="46A2731E"/>
    <w:rsid w:val="46A61E2C"/>
    <w:rsid w:val="46A95479"/>
    <w:rsid w:val="46AB11F1"/>
    <w:rsid w:val="46AD0904"/>
    <w:rsid w:val="46B726C4"/>
    <w:rsid w:val="46BD7176"/>
    <w:rsid w:val="46C03EF1"/>
    <w:rsid w:val="46C2478C"/>
    <w:rsid w:val="46C71DA3"/>
    <w:rsid w:val="46CA4A71"/>
    <w:rsid w:val="46D00C57"/>
    <w:rsid w:val="46D75610"/>
    <w:rsid w:val="46DA5540"/>
    <w:rsid w:val="46DB13AA"/>
    <w:rsid w:val="46DC79FB"/>
    <w:rsid w:val="46DF0B9D"/>
    <w:rsid w:val="46DF0E9A"/>
    <w:rsid w:val="46E12E64"/>
    <w:rsid w:val="46E4062B"/>
    <w:rsid w:val="46E41565"/>
    <w:rsid w:val="46E464B1"/>
    <w:rsid w:val="46E858BC"/>
    <w:rsid w:val="47070DC3"/>
    <w:rsid w:val="470F5ACB"/>
    <w:rsid w:val="47122C92"/>
    <w:rsid w:val="47176886"/>
    <w:rsid w:val="47180336"/>
    <w:rsid w:val="47226FD9"/>
    <w:rsid w:val="472C1F03"/>
    <w:rsid w:val="472C2F16"/>
    <w:rsid w:val="472E4721"/>
    <w:rsid w:val="473276AB"/>
    <w:rsid w:val="473415AA"/>
    <w:rsid w:val="473B751F"/>
    <w:rsid w:val="473E02B7"/>
    <w:rsid w:val="47422F7B"/>
    <w:rsid w:val="4743071A"/>
    <w:rsid w:val="4743719D"/>
    <w:rsid w:val="47451645"/>
    <w:rsid w:val="47490A0A"/>
    <w:rsid w:val="474927B8"/>
    <w:rsid w:val="474D674C"/>
    <w:rsid w:val="47503B46"/>
    <w:rsid w:val="47527C4F"/>
    <w:rsid w:val="47555600"/>
    <w:rsid w:val="475E0544"/>
    <w:rsid w:val="47613FA5"/>
    <w:rsid w:val="476615BC"/>
    <w:rsid w:val="47694C08"/>
    <w:rsid w:val="476D2268"/>
    <w:rsid w:val="476F1EC9"/>
    <w:rsid w:val="47721D0E"/>
    <w:rsid w:val="477261B2"/>
    <w:rsid w:val="47767F64"/>
    <w:rsid w:val="477A4760"/>
    <w:rsid w:val="477D30A1"/>
    <w:rsid w:val="477E4B57"/>
    <w:rsid w:val="477F396E"/>
    <w:rsid w:val="478005D2"/>
    <w:rsid w:val="478650A9"/>
    <w:rsid w:val="47867568"/>
    <w:rsid w:val="478832E0"/>
    <w:rsid w:val="478D2925"/>
    <w:rsid w:val="478D5838"/>
    <w:rsid w:val="478F28C0"/>
    <w:rsid w:val="478F4662"/>
    <w:rsid w:val="4797339D"/>
    <w:rsid w:val="47982F29"/>
    <w:rsid w:val="479C322F"/>
    <w:rsid w:val="479E48B1"/>
    <w:rsid w:val="47A90094"/>
    <w:rsid w:val="47B82151"/>
    <w:rsid w:val="47B916EB"/>
    <w:rsid w:val="47C479A8"/>
    <w:rsid w:val="47CB4E40"/>
    <w:rsid w:val="47CD5197"/>
    <w:rsid w:val="47CE206A"/>
    <w:rsid w:val="47D22BC7"/>
    <w:rsid w:val="47D429C9"/>
    <w:rsid w:val="47D604EF"/>
    <w:rsid w:val="47D9113A"/>
    <w:rsid w:val="47DF5CE2"/>
    <w:rsid w:val="47E05139"/>
    <w:rsid w:val="47E726FC"/>
    <w:rsid w:val="47EA41AC"/>
    <w:rsid w:val="47F00E85"/>
    <w:rsid w:val="47FA2135"/>
    <w:rsid w:val="47FD23D8"/>
    <w:rsid w:val="48057437"/>
    <w:rsid w:val="4806617D"/>
    <w:rsid w:val="48096FCC"/>
    <w:rsid w:val="480C0259"/>
    <w:rsid w:val="480D386D"/>
    <w:rsid w:val="4811293A"/>
    <w:rsid w:val="48135F10"/>
    <w:rsid w:val="481711A1"/>
    <w:rsid w:val="481B792C"/>
    <w:rsid w:val="481E5F6E"/>
    <w:rsid w:val="4820176A"/>
    <w:rsid w:val="48206DA7"/>
    <w:rsid w:val="48233A4F"/>
    <w:rsid w:val="48250F30"/>
    <w:rsid w:val="482A1A6E"/>
    <w:rsid w:val="482A4397"/>
    <w:rsid w:val="482E20D9"/>
    <w:rsid w:val="48314E57"/>
    <w:rsid w:val="483376F0"/>
    <w:rsid w:val="483572AD"/>
    <w:rsid w:val="48376AB4"/>
    <w:rsid w:val="48391CF7"/>
    <w:rsid w:val="483A1140"/>
    <w:rsid w:val="484C22D9"/>
    <w:rsid w:val="484C6A03"/>
    <w:rsid w:val="48503CF4"/>
    <w:rsid w:val="4856518C"/>
    <w:rsid w:val="486406F5"/>
    <w:rsid w:val="48651873"/>
    <w:rsid w:val="48680A80"/>
    <w:rsid w:val="48755032"/>
    <w:rsid w:val="487E7C5C"/>
    <w:rsid w:val="488021D7"/>
    <w:rsid w:val="488B752C"/>
    <w:rsid w:val="488E2808"/>
    <w:rsid w:val="488E2B78"/>
    <w:rsid w:val="488E49F2"/>
    <w:rsid w:val="488E53CC"/>
    <w:rsid w:val="4892213B"/>
    <w:rsid w:val="48942E23"/>
    <w:rsid w:val="48945CB4"/>
    <w:rsid w:val="489D3BB8"/>
    <w:rsid w:val="48A61DB2"/>
    <w:rsid w:val="48A87697"/>
    <w:rsid w:val="48A979B2"/>
    <w:rsid w:val="48A97C75"/>
    <w:rsid w:val="48AC455C"/>
    <w:rsid w:val="48AD2A69"/>
    <w:rsid w:val="48AE6D76"/>
    <w:rsid w:val="48AF2AEE"/>
    <w:rsid w:val="48B23078"/>
    <w:rsid w:val="48B85E47"/>
    <w:rsid w:val="48BB3391"/>
    <w:rsid w:val="48C86F74"/>
    <w:rsid w:val="48C90054"/>
    <w:rsid w:val="48C90B57"/>
    <w:rsid w:val="48CA77A2"/>
    <w:rsid w:val="48CE3692"/>
    <w:rsid w:val="48D04F3E"/>
    <w:rsid w:val="48D767BD"/>
    <w:rsid w:val="48D83DF3"/>
    <w:rsid w:val="48D857B2"/>
    <w:rsid w:val="48DF1625"/>
    <w:rsid w:val="48E00960"/>
    <w:rsid w:val="48E128AF"/>
    <w:rsid w:val="48E376BD"/>
    <w:rsid w:val="48E5096A"/>
    <w:rsid w:val="48E542F9"/>
    <w:rsid w:val="48E72288"/>
    <w:rsid w:val="48E7773E"/>
    <w:rsid w:val="48EA4523"/>
    <w:rsid w:val="48EC4973"/>
    <w:rsid w:val="48EF5776"/>
    <w:rsid w:val="48F0738F"/>
    <w:rsid w:val="48F3714C"/>
    <w:rsid w:val="48F53030"/>
    <w:rsid w:val="48F85692"/>
    <w:rsid w:val="48FD5F50"/>
    <w:rsid w:val="48FF3281"/>
    <w:rsid w:val="4900334A"/>
    <w:rsid w:val="4904108C"/>
    <w:rsid w:val="4905308C"/>
    <w:rsid w:val="49082D51"/>
    <w:rsid w:val="49085FD6"/>
    <w:rsid w:val="490E1F0B"/>
    <w:rsid w:val="490E2A48"/>
    <w:rsid w:val="49141979"/>
    <w:rsid w:val="49166C04"/>
    <w:rsid w:val="49180694"/>
    <w:rsid w:val="491C2F38"/>
    <w:rsid w:val="49204815"/>
    <w:rsid w:val="49267254"/>
    <w:rsid w:val="49270614"/>
    <w:rsid w:val="49303C2F"/>
    <w:rsid w:val="493208FC"/>
    <w:rsid w:val="493A2D00"/>
    <w:rsid w:val="493C71A0"/>
    <w:rsid w:val="493F1574"/>
    <w:rsid w:val="494B2817"/>
    <w:rsid w:val="494F67AB"/>
    <w:rsid w:val="495913D8"/>
    <w:rsid w:val="4963516D"/>
    <w:rsid w:val="496B7A53"/>
    <w:rsid w:val="496D4287"/>
    <w:rsid w:val="497154C4"/>
    <w:rsid w:val="49736190"/>
    <w:rsid w:val="497879AC"/>
    <w:rsid w:val="497A30FC"/>
    <w:rsid w:val="497D0A96"/>
    <w:rsid w:val="497D499A"/>
    <w:rsid w:val="497E0E3E"/>
    <w:rsid w:val="497E13D0"/>
    <w:rsid w:val="498D1081"/>
    <w:rsid w:val="499139ED"/>
    <w:rsid w:val="49916397"/>
    <w:rsid w:val="49940F29"/>
    <w:rsid w:val="499E1576"/>
    <w:rsid w:val="49A21DA1"/>
    <w:rsid w:val="49A5461D"/>
    <w:rsid w:val="49A63EF1"/>
    <w:rsid w:val="49A84DEA"/>
    <w:rsid w:val="49A91320"/>
    <w:rsid w:val="49AB59AC"/>
    <w:rsid w:val="49B17E7B"/>
    <w:rsid w:val="49B54134"/>
    <w:rsid w:val="49BF754D"/>
    <w:rsid w:val="49C10C63"/>
    <w:rsid w:val="49C10D2B"/>
    <w:rsid w:val="49C16F7D"/>
    <w:rsid w:val="49C34AA3"/>
    <w:rsid w:val="49C46503"/>
    <w:rsid w:val="49C97F94"/>
    <w:rsid w:val="49CC128A"/>
    <w:rsid w:val="49CD76D0"/>
    <w:rsid w:val="49D26951"/>
    <w:rsid w:val="49D4051B"/>
    <w:rsid w:val="49DE15B8"/>
    <w:rsid w:val="49EC224C"/>
    <w:rsid w:val="49EF3AEA"/>
    <w:rsid w:val="49F3771A"/>
    <w:rsid w:val="49F6261C"/>
    <w:rsid w:val="49F8145A"/>
    <w:rsid w:val="49FC29AC"/>
    <w:rsid w:val="49FF7D34"/>
    <w:rsid w:val="4A02381D"/>
    <w:rsid w:val="4A0D36B0"/>
    <w:rsid w:val="4A17366A"/>
    <w:rsid w:val="4A190B67"/>
    <w:rsid w:val="4A237641"/>
    <w:rsid w:val="4A280DAA"/>
    <w:rsid w:val="4A2A4B22"/>
    <w:rsid w:val="4A310FBC"/>
    <w:rsid w:val="4A3353BE"/>
    <w:rsid w:val="4A34774F"/>
    <w:rsid w:val="4A3C6604"/>
    <w:rsid w:val="4A3E275F"/>
    <w:rsid w:val="4A442B1E"/>
    <w:rsid w:val="4A4C4A99"/>
    <w:rsid w:val="4A4E1E67"/>
    <w:rsid w:val="4A525E27"/>
    <w:rsid w:val="4A554ED6"/>
    <w:rsid w:val="4A572861"/>
    <w:rsid w:val="4A5751EC"/>
    <w:rsid w:val="4A5D0A54"/>
    <w:rsid w:val="4A705397"/>
    <w:rsid w:val="4A731719"/>
    <w:rsid w:val="4A7666E6"/>
    <w:rsid w:val="4A7D10F6"/>
    <w:rsid w:val="4A8204BA"/>
    <w:rsid w:val="4A8714B3"/>
    <w:rsid w:val="4A8A09E0"/>
    <w:rsid w:val="4A8B6AF7"/>
    <w:rsid w:val="4A8C1339"/>
    <w:rsid w:val="4A8D6A60"/>
    <w:rsid w:val="4A8E5FA5"/>
    <w:rsid w:val="4A9106FD"/>
    <w:rsid w:val="4A91599C"/>
    <w:rsid w:val="4A934476"/>
    <w:rsid w:val="4A9918EC"/>
    <w:rsid w:val="4A993A56"/>
    <w:rsid w:val="4A9D52F4"/>
    <w:rsid w:val="4AA06BC5"/>
    <w:rsid w:val="4AA246B9"/>
    <w:rsid w:val="4AA27491"/>
    <w:rsid w:val="4AA30431"/>
    <w:rsid w:val="4AAF27E7"/>
    <w:rsid w:val="4AB27F24"/>
    <w:rsid w:val="4AB44C79"/>
    <w:rsid w:val="4AB5108D"/>
    <w:rsid w:val="4AB53D21"/>
    <w:rsid w:val="4ABB1C1E"/>
    <w:rsid w:val="4ABB659E"/>
    <w:rsid w:val="4ABF3DD1"/>
    <w:rsid w:val="4AC5484B"/>
    <w:rsid w:val="4AC76991"/>
    <w:rsid w:val="4AD42044"/>
    <w:rsid w:val="4AD93E52"/>
    <w:rsid w:val="4ADB5E1D"/>
    <w:rsid w:val="4AE05C09"/>
    <w:rsid w:val="4AE40A60"/>
    <w:rsid w:val="4AE922E8"/>
    <w:rsid w:val="4AEC045F"/>
    <w:rsid w:val="4AF33166"/>
    <w:rsid w:val="4AF623AB"/>
    <w:rsid w:val="4B0215FB"/>
    <w:rsid w:val="4B0251E4"/>
    <w:rsid w:val="4B0B04B0"/>
    <w:rsid w:val="4B0B6702"/>
    <w:rsid w:val="4B0D743B"/>
    <w:rsid w:val="4B13255D"/>
    <w:rsid w:val="4B1A0735"/>
    <w:rsid w:val="4B1B2ECF"/>
    <w:rsid w:val="4B1D3440"/>
    <w:rsid w:val="4B1D3871"/>
    <w:rsid w:val="4B1D6488"/>
    <w:rsid w:val="4B1E0C59"/>
    <w:rsid w:val="4B202C5A"/>
    <w:rsid w:val="4B212B51"/>
    <w:rsid w:val="4B2D0A6F"/>
    <w:rsid w:val="4B320132"/>
    <w:rsid w:val="4B383BB1"/>
    <w:rsid w:val="4B3D762D"/>
    <w:rsid w:val="4B422584"/>
    <w:rsid w:val="4B4332F2"/>
    <w:rsid w:val="4B43705E"/>
    <w:rsid w:val="4B4A363C"/>
    <w:rsid w:val="4B4B6AFE"/>
    <w:rsid w:val="4B5E1321"/>
    <w:rsid w:val="4B6776B0"/>
    <w:rsid w:val="4B6978CC"/>
    <w:rsid w:val="4B6B0F4E"/>
    <w:rsid w:val="4B6C20AD"/>
    <w:rsid w:val="4B73521F"/>
    <w:rsid w:val="4B7624B7"/>
    <w:rsid w:val="4B7778F3"/>
    <w:rsid w:val="4B7D6E26"/>
    <w:rsid w:val="4B7F2C4C"/>
    <w:rsid w:val="4B816B24"/>
    <w:rsid w:val="4B8244EA"/>
    <w:rsid w:val="4B842010"/>
    <w:rsid w:val="4B85531E"/>
    <w:rsid w:val="4B863FDA"/>
    <w:rsid w:val="4B940B14"/>
    <w:rsid w:val="4B9A6EA3"/>
    <w:rsid w:val="4B9D0613"/>
    <w:rsid w:val="4BA12BC2"/>
    <w:rsid w:val="4BA206E8"/>
    <w:rsid w:val="4BA44460"/>
    <w:rsid w:val="4BA916E0"/>
    <w:rsid w:val="4BAB1C93"/>
    <w:rsid w:val="4BAC3433"/>
    <w:rsid w:val="4BAC561A"/>
    <w:rsid w:val="4BB073DB"/>
    <w:rsid w:val="4BB723E6"/>
    <w:rsid w:val="4BBA0D7E"/>
    <w:rsid w:val="4BBC5C4E"/>
    <w:rsid w:val="4BC30D8B"/>
    <w:rsid w:val="4BCB3861"/>
    <w:rsid w:val="4BCB40E3"/>
    <w:rsid w:val="4BCE1CA6"/>
    <w:rsid w:val="4BCE772F"/>
    <w:rsid w:val="4BD33066"/>
    <w:rsid w:val="4BD5156A"/>
    <w:rsid w:val="4BDA60D4"/>
    <w:rsid w:val="4BDB40A6"/>
    <w:rsid w:val="4BDF193C"/>
    <w:rsid w:val="4BE35C06"/>
    <w:rsid w:val="4BE43BF5"/>
    <w:rsid w:val="4BE64A79"/>
    <w:rsid w:val="4BEC56EF"/>
    <w:rsid w:val="4BF0515F"/>
    <w:rsid w:val="4BF26BF6"/>
    <w:rsid w:val="4BF278C2"/>
    <w:rsid w:val="4BF33ED1"/>
    <w:rsid w:val="4BFB6776"/>
    <w:rsid w:val="4C012815"/>
    <w:rsid w:val="4C03387D"/>
    <w:rsid w:val="4C1175E4"/>
    <w:rsid w:val="4C1829C8"/>
    <w:rsid w:val="4C1E2465"/>
    <w:rsid w:val="4C1E4213"/>
    <w:rsid w:val="4C20046C"/>
    <w:rsid w:val="4C212CE3"/>
    <w:rsid w:val="4C231829"/>
    <w:rsid w:val="4C251FC6"/>
    <w:rsid w:val="4C2A3BAE"/>
    <w:rsid w:val="4C312198"/>
    <w:rsid w:val="4C3651D7"/>
    <w:rsid w:val="4C370EE5"/>
    <w:rsid w:val="4C373527"/>
    <w:rsid w:val="4C3925AE"/>
    <w:rsid w:val="4C3B6EA2"/>
    <w:rsid w:val="4C3E2B07"/>
    <w:rsid w:val="4C3E48B5"/>
    <w:rsid w:val="4C444DB2"/>
    <w:rsid w:val="4C453E95"/>
    <w:rsid w:val="4C473FE0"/>
    <w:rsid w:val="4C494EA6"/>
    <w:rsid w:val="4C4E03D8"/>
    <w:rsid w:val="4C583BC9"/>
    <w:rsid w:val="4C59573B"/>
    <w:rsid w:val="4C5B0FC3"/>
    <w:rsid w:val="4C6205A3"/>
    <w:rsid w:val="4C63431C"/>
    <w:rsid w:val="4C6A38FC"/>
    <w:rsid w:val="4C6D6F48"/>
    <w:rsid w:val="4C777114"/>
    <w:rsid w:val="4C7A0C12"/>
    <w:rsid w:val="4C7E0947"/>
    <w:rsid w:val="4C7E4CB1"/>
    <w:rsid w:val="4C7F3518"/>
    <w:rsid w:val="4C803F49"/>
    <w:rsid w:val="4C83051A"/>
    <w:rsid w:val="4C897680"/>
    <w:rsid w:val="4C8A1873"/>
    <w:rsid w:val="4C8B08B0"/>
    <w:rsid w:val="4C982217"/>
    <w:rsid w:val="4C9E092A"/>
    <w:rsid w:val="4CA0177C"/>
    <w:rsid w:val="4CAC7986"/>
    <w:rsid w:val="4CAE26C8"/>
    <w:rsid w:val="4CAF7561"/>
    <w:rsid w:val="4CB54389"/>
    <w:rsid w:val="4CC62B8A"/>
    <w:rsid w:val="4CC661C0"/>
    <w:rsid w:val="4CC84F01"/>
    <w:rsid w:val="4CC92EED"/>
    <w:rsid w:val="4CCC3C6F"/>
    <w:rsid w:val="4CD15729"/>
    <w:rsid w:val="4CD62D3F"/>
    <w:rsid w:val="4CDB65A8"/>
    <w:rsid w:val="4CDC1A89"/>
    <w:rsid w:val="4CDD40CE"/>
    <w:rsid w:val="4CE52F83"/>
    <w:rsid w:val="4CE92A73"/>
    <w:rsid w:val="4CEA2347"/>
    <w:rsid w:val="4CEF3B10"/>
    <w:rsid w:val="4CF66F3E"/>
    <w:rsid w:val="4CFB26C0"/>
    <w:rsid w:val="4CFB6302"/>
    <w:rsid w:val="4CFE4259"/>
    <w:rsid w:val="4D01600E"/>
    <w:rsid w:val="4D054951"/>
    <w:rsid w:val="4D090A1F"/>
    <w:rsid w:val="4D094EC3"/>
    <w:rsid w:val="4D0C075F"/>
    <w:rsid w:val="4D1473C4"/>
    <w:rsid w:val="4D196336"/>
    <w:rsid w:val="4D1B69A4"/>
    <w:rsid w:val="4D203FBB"/>
    <w:rsid w:val="4D2430A4"/>
    <w:rsid w:val="4D272911"/>
    <w:rsid w:val="4D295D62"/>
    <w:rsid w:val="4D2A03BA"/>
    <w:rsid w:val="4D3D322C"/>
    <w:rsid w:val="4D3F1467"/>
    <w:rsid w:val="4D414917"/>
    <w:rsid w:val="4D4660D3"/>
    <w:rsid w:val="4D476B8A"/>
    <w:rsid w:val="4D4C4DB0"/>
    <w:rsid w:val="4D4F3951"/>
    <w:rsid w:val="4D4F56D4"/>
    <w:rsid w:val="4D565C2E"/>
    <w:rsid w:val="4D5A74CD"/>
    <w:rsid w:val="4D5E1A57"/>
    <w:rsid w:val="4D612522"/>
    <w:rsid w:val="4D6B400B"/>
    <w:rsid w:val="4D6C0BAC"/>
    <w:rsid w:val="4D760405"/>
    <w:rsid w:val="4D7D0866"/>
    <w:rsid w:val="4D7D31BB"/>
    <w:rsid w:val="4D812783"/>
    <w:rsid w:val="4D82045C"/>
    <w:rsid w:val="4D83662D"/>
    <w:rsid w:val="4D8B1D7C"/>
    <w:rsid w:val="4D92310A"/>
    <w:rsid w:val="4D970627"/>
    <w:rsid w:val="4D9A4D2F"/>
    <w:rsid w:val="4D9F766D"/>
    <w:rsid w:val="4DA03423"/>
    <w:rsid w:val="4DA1334D"/>
    <w:rsid w:val="4DA644C0"/>
    <w:rsid w:val="4DAC20D0"/>
    <w:rsid w:val="4DAE6208"/>
    <w:rsid w:val="4DB12E65"/>
    <w:rsid w:val="4DB841F3"/>
    <w:rsid w:val="4DC82688"/>
    <w:rsid w:val="4DC95567"/>
    <w:rsid w:val="4DCA5DBC"/>
    <w:rsid w:val="4DCD7C9F"/>
    <w:rsid w:val="4DCE278A"/>
    <w:rsid w:val="4DD03C33"/>
    <w:rsid w:val="4DD27935"/>
    <w:rsid w:val="4DD70FFB"/>
    <w:rsid w:val="4DDA060D"/>
    <w:rsid w:val="4DE17BEE"/>
    <w:rsid w:val="4DE33966"/>
    <w:rsid w:val="4DEA5184"/>
    <w:rsid w:val="4DEB33C1"/>
    <w:rsid w:val="4DEE0073"/>
    <w:rsid w:val="4DF3347D"/>
    <w:rsid w:val="4DF55CC5"/>
    <w:rsid w:val="4DF74D1B"/>
    <w:rsid w:val="4DF844BD"/>
    <w:rsid w:val="4DFA7BDD"/>
    <w:rsid w:val="4DFC07CB"/>
    <w:rsid w:val="4E031912"/>
    <w:rsid w:val="4E092CA1"/>
    <w:rsid w:val="4E105DDD"/>
    <w:rsid w:val="4E117EDA"/>
    <w:rsid w:val="4E1B3100"/>
    <w:rsid w:val="4E200716"/>
    <w:rsid w:val="4E210CE8"/>
    <w:rsid w:val="4E21448E"/>
    <w:rsid w:val="4E216C2D"/>
    <w:rsid w:val="4E2252E8"/>
    <w:rsid w:val="4E226070"/>
    <w:rsid w:val="4E2365E7"/>
    <w:rsid w:val="4E2E48B5"/>
    <w:rsid w:val="4E361CE8"/>
    <w:rsid w:val="4E3B72FE"/>
    <w:rsid w:val="4E3C4E59"/>
    <w:rsid w:val="4E40026B"/>
    <w:rsid w:val="4E4D0DDF"/>
    <w:rsid w:val="4E553D42"/>
    <w:rsid w:val="4E5700C9"/>
    <w:rsid w:val="4E577EB0"/>
    <w:rsid w:val="4E597784"/>
    <w:rsid w:val="4E5C4BE5"/>
    <w:rsid w:val="4E6509DC"/>
    <w:rsid w:val="4E69354A"/>
    <w:rsid w:val="4E6B74B7"/>
    <w:rsid w:val="4E6C3227"/>
    <w:rsid w:val="4E6E0547"/>
    <w:rsid w:val="4E6E62E1"/>
    <w:rsid w:val="4E7A455F"/>
    <w:rsid w:val="4E7E543D"/>
    <w:rsid w:val="4E877A05"/>
    <w:rsid w:val="4E883691"/>
    <w:rsid w:val="4E8A2033"/>
    <w:rsid w:val="4E8C0438"/>
    <w:rsid w:val="4E8F764A"/>
    <w:rsid w:val="4E9E28F8"/>
    <w:rsid w:val="4E9F6898"/>
    <w:rsid w:val="4E9F70F5"/>
    <w:rsid w:val="4EA14DB5"/>
    <w:rsid w:val="4EA57992"/>
    <w:rsid w:val="4EA74993"/>
    <w:rsid w:val="4EAD7AD0"/>
    <w:rsid w:val="4EB70C79"/>
    <w:rsid w:val="4EBC409F"/>
    <w:rsid w:val="4EBD163F"/>
    <w:rsid w:val="4EC605CF"/>
    <w:rsid w:val="4ECA48A4"/>
    <w:rsid w:val="4ECE0172"/>
    <w:rsid w:val="4ECE657E"/>
    <w:rsid w:val="4ED212E5"/>
    <w:rsid w:val="4ED62CFF"/>
    <w:rsid w:val="4ED6738A"/>
    <w:rsid w:val="4EDB63EB"/>
    <w:rsid w:val="4EDD6607"/>
    <w:rsid w:val="4EE030D4"/>
    <w:rsid w:val="4EF1052E"/>
    <w:rsid w:val="4EF63225"/>
    <w:rsid w:val="4EFC389E"/>
    <w:rsid w:val="4EFE05CC"/>
    <w:rsid w:val="4F02070B"/>
    <w:rsid w:val="4F0911AA"/>
    <w:rsid w:val="4F0C6CC0"/>
    <w:rsid w:val="4F122438"/>
    <w:rsid w:val="4F134CF9"/>
    <w:rsid w:val="4F1418FD"/>
    <w:rsid w:val="4F2A31F1"/>
    <w:rsid w:val="4F344DD0"/>
    <w:rsid w:val="4F377047"/>
    <w:rsid w:val="4F3A75B6"/>
    <w:rsid w:val="4F440434"/>
    <w:rsid w:val="4F477F24"/>
    <w:rsid w:val="4F506F7E"/>
    <w:rsid w:val="4F544163"/>
    <w:rsid w:val="4F602D94"/>
    <w:rsid w:val="4F634C70"/>
    <w:rsid w:val="4F6F582C"/>
    <w:rsid w:val="4F7014DC"/>
    <w:rsid w:val="4F730D1A"/>
    <w:rsid w:val="4F732AC8"/>
    <w:rsid w:val="4F734876"/>
    <w:rsid w:val="4F7725B8"/>
    <w:rsid w:val="4F7A20A8"/>
    <w:rsid w:val="4F7C5EA2"/>
    <w:rsid w:val="4F822FDC"/>
    <w:rsid w:val="4F840831"/>
    <w:rsid w:val="4F840F36"/>
    <w:rsid w:val="4F8E5B53"/>
    <w:rsid w:val="4F920ED2"/>
    <w:rsid w:val="4F926793"/>
    <w:rsid w:val="4F9505CE"/>
    <w:rsid w:val="4F995545"/>
    <w:rsid w:val="4F995BC0"/>
    <w:rsid w:val="4F9F564C"/>
    <w:rsid w:val="4FA2515B"/>
    <w:rsid w:val="4FA827DD"/>
    <w:rsid w:val="4FA91872"/>
    <w:rsid w:val="4FB31116"/>
    <w:rsid w:val="4FBE01E7"/>
    <w:rsid w:val="4FC00E60"/>
    <w:rsid w:val="4FC11A85"/>
    <w:rsid w:val="4FC140F0"/>
    <w:rsid w:val="4FC50439"/>
    <w:rsid w:val="4FCD5398"/>
    <w:rsid w:val="4FD74E04"/>
    <w:rsid w:val="4FD962AE"/>
    <w:rsid w:val="4FE13ED5"/>
    <w:rsid w:val="4FE5544C"/>
    <w:rsid w:val="4FEC38FD"/>
    <w:rsid w:val="4FF45451"/>
    <w:rsid w:val="4FFF7839"/>
    <w:rsid w:val="50006D51"/>
    <w:rsid w:val="50083210"/>
    <w:rsid w:val="50102399"/>
    <w:rsid w:val="501428C6"/>
    <w:rsid w:val="50181289"/>
    <w:rsid w:val="501A15F1"/>
    <w:rsid w:val="501A5E16"/>
    <w:rsid w:val="501E02B3"/>
    <w:rsid w:val="501E6338"/>
    <w:rsid w:val="501E6ED7"/>
    <w:rsid w:val="501F49FD"/>
    <w:rsid w:val="50220737"/>
    <w:rsid w:val="502344EE"/>
    <w:rsid w:val="50256815"/>
    <w:rsid w:val="5028303A"/>
    <w:rsid w:val="502A76A0"/>
    <w:rsid w:val="502B02F9"/>
    <w:rsid w:val="502F39BB"/>
    <w:rsid w:val="503009B9"/>
    <w:rsid w:val="50357D7D"/>
    <w:rsid w:val="5037387C"/>
    <w:rsid w:val="503B636E"/>
    <w:rsid w:val="5040203C"/>
    <w:rsid w:val="50446212"/>
    <w:rsid w:val="504908E4"/>
    <w:rsid w:val="504B1C86"/>
    <w:rsid w:val="504F5C8E"/>
    <w:rsid w:val="50523ED3"/>
    <w:rsid w:val="50546455"/>
    <w:rsid w:val="50577CF3"/>
    <w:rsid w:val="50597F0F"/>
    <w:rsid w:val="505E7C6E"/>
    <w:rsid w:val="506168D0"/>
    <w:rsid w:val="50662CA9"/>
    <w:rsid w:val="506643DA"/>
    <w:rsid w:val="506F328F"/>
    <w:rsid w:val="50706CFA"/>
    <w:rsid w:val="50747F96"/>
    <w:rsid w:val="50792360"/>
    <w:rsid w:val="50812FC2"/>
    <w:rsid w:val="50823AA3"/>
    <w:rsid w:val="508D5E0B"/>
    <w:rsid w:val="509251CF"/>
    <w:rsid w:val="509357A6"/>
    <w:rsid w:val="50942CF5"/>
    <w:rsid w:val="509643EB"/>
    <w:rsid w:val="50970679"/>
    <w:rsid w:val="50991D00"/>
    <w:rsid w:val="509A4DD8"/>
    <w:rsid w:val="50A93D08"/>
    <w:rsid w:val="50AD025B"/>
    <w:rsid w:val="50B52C6C"/>
    <w:rsid w:val="50B60EBE"/>
    <w:rsid w:val="50B74C36"/>
    <w:rsid w:val="50BC224C"/>
    <w:rsid w:val="50C15018"/>
    <w:rsid w:val="50C855B9"/>
    <w:rsid w:val="50C86974"/>
    <w:rsid w:val="50D047FA"/>
    <w:rsid w:val="50D2381E"/>
    <w:rsid w:val="50D63DAD"/>
    <w:rsid w:val="50D80F38"/>
    <w:rsid w:val="50DB1026"/>
    <w:rsid w:val="50DC2C87"/>
    <w:rsid w:val="50E752AD"/>
    <w:rsid w:val="50EB3F82"/>
    <w:rsid w:val="50EE1CF2"/>
    <w:rsid w:val="50EE4AFC"/>
    <w:rsid w:val="50F11EF6"/>
    <w:rsid w:val="50F33EC0"/>
    <w:rsid w:val="510078F8"/>
    <w:rsid w:val="51051E45"/>
    <w:rsid w:val="510559A1"/>
    <w:rsid w:val="51062E60"/>
    <w:rsid w:val="51096B90"/>
    <w:rsid w:val="510B53A2"/>
    <w:rsid w:val="510D2AA8"/>
    <w:rsid w:val="510F6820"/>
    <w:rsid w:val="51112598"/>
    <w:rsid w:val="51121E6C"/>
    <w:rsid w:val="511701B4"/>
    <w:rsid w:val="511824B7"/>
    <w:rsid w:val="51254238"/>
    <w:rsid w:val="51275918"/>
    <w:rsid w:val="51281690"/>
    <w:rsid w:val="512D50BA"/>
    <w:rsid w:val="512F0C70"/>
    <w:rsid w:val="5133250E"/>
    <w:rsid w:val="51337C29"/>
    <w:rsid w:val="51361FFF"/>
    <w:rsid w:val="513B5867"/>
    <w:rsid w:val="513E5D87"/>
    <w:rsid w:val="51435F5B"/>
    <w:rsid w:val="51475FBA"/>
    <w:rsid w:val="514A5AAA"/>
    <w:rsid w:val="51501312"/>
    <w:rsid w:val="51542485"/>
    <w:rsid w:val="51574098"/>
    <w:rsid w:val="515B53DD"/>
    <w:rsid w:val="516312F0"/>
    <w:rsid w:val="51640F6B"/>
    <w:rsid w:val="516A3A56"/>
    <w:rsid w:val="516C77CE"/>
    <w:rsid w:val="51705511"/>
    <w:rsid w:val="5171410A"/>
    <w:rsid w:val="51764AF1"/>
    <w:rsid w:val="517D19DC"/>
    <w:rsid w:val="51947639"/>
    <w:rsid w:val="51965F7A"/>
    <w:rsid w:val="51982AEC"/>
    <w:rsid w:val="519A22EA"/>
    <w:rsid w:val="519A258E"/>
    <w:rsid w:val="519D4260"/>
    <w:rsid w:val="519E599C"/>
    <w:rsid w:val="51A753D3"/>
    <w:rsid w:val="51A76A58"/>
    <w:rsid w:val="51A90A23"/>
    <w:rsid w:val="51AC0513"/>
    <w:rsid w:val="51AD1546"/>
    <w:rsid w:val="51B1584C"/>
    <w:rsid w:val="51BD5911"/>
    <w:rsid w:val="51C401F4"/>
    <w:rsid w:val="51C40EFF"/>
    <w:rsid w:val="51CA0754"/>
    <w:rsid w:val="51CA1591"/>
    <w:rsid w:val="51D0127A"/>
    <w:rsid w:val="51D07D5D"/>
    <w:rsid w:val="51D114A4"/>
    <w:rsid w:val="51D52864"/>
    <w:rsid w:val="51E03207"/>
    <w:rsid w:val="51E046FC"/>
    <w:rsid w:val="51E2139E"/>
    <w:rsid w:val="51E73FE1"/>
    <w:rsid w:val="51E845A4"/>
    <w:rsid w:val="51EB0CB0"/>
    <w:rsid w:val="51EB2DE9"/>
    <w:rsid w:val="520A44A5"/>
    <w:rsid w:val="520F30DF"/>
    <w:rsid w:val="52156D49"/>
    <w:rsid w:val="521615C2"/>
    <w:rsid w:val="52161772"/>
    <w:rsid w:val="52163A59"/>
    <w:rsid w:val="521B1ACF"/>
    <w:rsid w:val="52224A3F"/>
    <w:rsid w:val="522B291D"/>
    <w:rsid w:val="52310016"/>
    <w:rsid w:val="52332E4B"/>
    <w:rsid w:val="52344B41"/>
    <w:rsid w:val="523A1E43"/>
    <w:rsid w:val="52561EC2"/>
    <w:rsid w:val="52592BA9"/>
    <w:rsid w:val="525941F7"/>
    <w:rsid w:val="5259699E"/>
    <w:rsid w:val="525C5A95"/>
    <w:rsid w:val="52642B9B"/>
    <w:rsid w:val="526606C2"/>
    <w:rsid w:val="52676152"/>
    <w:rsid w:val="5268443A"/>
    <w:rsid w:val="526E0A67"/>
    <w:rsid w:val="527032EE"/>
    <w:rsid w:val="5271169C"/>
    <w:rsid w:val="5272504D"/>
    <w:rsid w:val="527674C5"/>
    <w:rsid w:val="527D1E3F"/>
    <w:rsid w:val="527D78BF"/>
    <w:rsid w:val="527F7CA9"/>
    <w:rsid w:val="52807ECC"/>
    <w:rsid w:val="528D737C"/>
    <w:rsid w:val="529214B7"/>
    <w:rsid w:val="529A0F50"/>
    <w:rsid w:val="529A1868"/>
    <w:rsid w:val="529B2F67"/>
    <w:rsid w:val="529F5982"/>
    <w:rsid w:val="52A116FA"/>
    <w:rsid w:val="52A44405"/>
    <w:rsid w:val="52AF02BB"/>
    <w:rsid w:val="52B07B8F"/>
    <w:rsid w:val="52B4767F"/>
    <w:rsid w:val="52B53261"/>
    <w:rsid w:val="52BA27BB"/>
    <w:rsid w:val="52BE41AA"/>
    <w:rsid w:val="52C27FEE"/>
    <w:rsid w:val="52C354F0"/>
    <w:rsid w:val="52C462A2"/>
    <w:rsid w:val="52C82DE5"/>
    <w:rsid w:val="52C969DA"/>
    <w:rsid w:val="52CB7D38"/>
    <w:rsid w:val="52D159FD"/>
    <w:rsid w:val="52D46100"/>
    <w:rsid w:val="52D7336D"/>
    <w:rsid w:val="52D90E94"/>
    <w:rsid w:val="52DD6E2A"/>
    <w:rsid w:val="52E41FE4"/>
    <w:rsid w:val="52E57838"/>
    <w:rsid w:val="52FE0215"/>
    <w:rsid w:val="52FF1BCF"/>
    <w:rsid w:val="53000C81"/>
    <w:rsid w:val="5302183A"/>
    <w:rsid w:val="53057EDB"/>
    <w:rsid w:val="5307508F"/>
    <w:rsid w:val="5309148D"/>
    <w:rsid w:val="530C099D"/>
    <w:rsid w:val="530F48B5"/>
    <w:rsid w:val="530F54C3"/>
    <w:rsid w:val="53114AD1"/>
    <w:rsid w:val="5314011E"/>
    <w:rsid w:val="53201021"/>
    <w:rsid w:val="532050A1"/>
    <w:rsid w:val="53211452"/>
    <w:rsid w:val="533E1EAC"/>
    <w:rsid w:val="534169B3"/>
    <w:rsid w:val="534653EC"/>
    <w:rsid w:val="534722A1"/>
    <w:rsid w:val="53476745"/>
    <w:rsid w:val="534B1FF4"/>
    <w:rsid w:val="534F1156"/>
    <w:rsid w:val="535350EA"/>
    <w:rsid w:val="53536E98"/>
    <w:rsid w:val="535477A8"/>
    <w:rsid w:val="53590226"/>
    <w:rsid w:val="536024EA"/>
    <w:rsid w:val="53621D49"/>
    <w:rsid w:val="53641925"/>
    <w:rsid w:val="536A1D0D"/>
    <w:rsid w:val="536B260E"/>
    <w:rsid w:val="536F43D9"/>
    <w:rsid w:val="5373753A"/>
    <w:rsid w:val="53740BBC"/>
    <w:rsid w:val="537467B0"/>
    <w:rsid w:val="53760AFD"/>
    <w:rsid w:val="537B63EF"/>
    <w:rsid w:val="537D61EE"/>
    <w:rsid w:val="53915C12"/>
    <w:rsid w:val="53927BD7"/>
    <w:rsid w:val="53954C11"/>
    <w:rsid w:val="5399666D"/>
    <w:rsid w:val="539F31E0"/>
    <w:rsid w:val="53A85128"/>
    <w:rsid w:val="53A9454A"/>
    <w:rsid w:val="53AC65A8"/>
    <w:rsid w:val="53B2033E"/>
    <w:rsid w:val="53B519EA"/>
    <w:rsid w:val="53BA665E"/>
    <w:rsid w:val="53C2102F"/>
    <w:rsid w:val="53C47D96"/>
    <w:rsid w:val="53D20059"/>
    <w:rsid w:val="53D236FB"/>
    <w:rsid w:val="53D578AD"/>
    <w:rsid w:val="53D65F7F"/>
    <w:rsid w:val="53DE4DAA"/>
    <w:rsid w:val="53DE6B63"/>
    <w:rsid w:val="53E53868"/>
    <w:rsid w:val="53EC109A"/>
    <w:rsid w:val="53ED0C6A"/>
    <w:rsid w:val="53EE4E13"/>
    <w:rsid w:val="53F41C40"/>
    <w:rsid w:val="53FF2B7C"/>
    <w:rsid w:val="540168F4"/>
    <w:rsid w:val="54081D74"/>
    <w:rsid w:val="54086E52"/>
    <w:rsid w:val="540C5D72"/>
    <w:rsid w:val="54161A4B"/>
    <w:rsid w:val="541D2A6E"/>
    <w:rsid w:val="54222540"/>
    <w:rsid w:val="54233482"/>
    <w:rsid w:val="54273293"/>
    <w:rsid w:val="54297BF9"/>
    <w:rsid w:val="542D28C2"/>
    <w:rsid w:val="543728C2"/>
    <w:rsid w:val="543842E0"/>
    <w:rsid w:val="54385F47"/>
    <w:rsid w:val="54387E3C"/>
    <w:rsid w:val="54395062"/>
    <w:rsid w:val="543C0C79"/>
    <w:rsid w:val="543F11CA"/>
    <w:rsid w:val="54451EC0"/>
    <w:rsid w:val="54500399"/>
    <w:rsid w:val="54501629"/>
    <w:rsid w:val="54505185"/>
    <w:rsid w:val="545253A1"/>
    <w:rsid w:val="545270A8"/>
    <w:rsid w:val="54534C76"/>
    <w:rsid w:val="5458228C"/>
    <w:rsid w:val="545A4A3D"/>
    <w:rsid w:val="545E3D46"/>
    <w:rsid w:val="545F1F94"/>
    <w:rsid w:val="54656A60"/>
    <w:rsid w:val="54660E4D"/>
    <w:rsid w:val="54670726"/>
    <w:rsid w:val="54672468"/>
    <w:rsid w:val="546A2FC5"/>
    <w:rsid w:val="546C379C"/>
    <w:rsid w:val="546E722D"/>
    <w:rsid w:val="5472334E"/>
    <w:rsid w:val="5474356A"/>
    <w:rsid w:val="5476359A"/>
    <w:rsid w:val="54793CE8"/>
    <w:rsid w:val="547E7F44"/>
    <w:rsid w:val="548337AD"/>
    <w:rsid w:val="54880DC3"/>
    <w:rsid w:val="54882B71"/>
    <w:rsid w:val="548B08B3"/>
    <w:rsid w:val="548C3281"/>
    <w:rsid w:val="5496369B"/>
    <w:rsid w:val="54977C09"/>
    <w:rsid w:val="549E5015"/>
    <w:rsid w:val="54A948CB"/>
    <w:rsid w:val="54AE00FE"/>
    <w:rsid w:val="54AF09EB"/>
    <w:rsid w:val="54B27EE3"/>
    <w:rsid w:val="54B971CF"/>
    <w:rsid w:val="54BA4CF5"/>
    <w:rsid w:val="54BA6AA3"/>
    <w:rsid w:val="54BD1035"/>
    <w:rsid w:val="54C3004D"/>
    <w:rsid w:val="54C4504C"/>
    <w:rsid w:val="54C8567E"/>
    <w:rsid w:val="54CD2C7A"/>
    <w:rsid w:val="54CF0249"/>
    <w:rsid w:val="54D05CC9"/>
    <w:rsid w:val="54D45298"/>
    <w:rsid w:val="54D52F4D"/>
    <w:rsid w:val="54D9161F"/>
    <w:rsid w:val="54DB5397"/>
    <w:rsid w:val="54DF2782"/>
    <w:rsid w:val="54E234F0"/>
    <w:rsid w:val="54ED0C26"/>
    <w:rsid w:val="54ED511F"/>
    <w:rsid w:val="54F226E1"/>
    <w:rsid w:val="54F82818"/>
    <w:rsid w:val="54FB77E7"/>
    <w:rsid w:val="55024449"/>
    <w:rsid w:val="550862D7"/>
    <w:rsid w:val="550A7A2A"/>
    <w:rsid w:val="5514499C"/>
    <w:rsid w:val="55195EBF"/>
    <w:rsid w:val="551B1C37"/>
    <w:rsid w:val="55206435"/>
    <w:rsid w:val="55225AFC"/>
    <w:rsid w:val="5524554F"/>
    <w:rsid w:val="55267E0E"/>
    <w:rsid w:val="552F7491"/>
    <w:rsid w:val="55342710"/>
    <w:rsid w:val="55365444"/>
    <w:rsid w:val="553B7BE4"/>
    <w:rsid w:val="554B48AE"/>
    <w:rsid w:val="55547F33"/>
    <w:rsid w:val="555667CB"/>
    <w:rsid w:val="55572544"/>
    <w:rsid w:val="555E4B0A"/>
    <w:rsid w:val="556059EB"/>
    <w:rsid w:val="55651104"/>
    <w:rsid w:val="55682F2D"/>
    <w:rsid w:val="55704671"/>
    <w:rsid w:val="55717AA9"/>
    <w:rsid w:val="557241C5"/>
    <w:rsid w:val="5576009C"/>
    <w:rsid w:val="557B2451"/>
    <w:rsid w:val="5588094F"/>
    <w:rsid w:val="558A0B6B"/>
    <w:rsid w:val="558B3916"/>
    <w:rsid w:val="558C6691"/>
    <w:rsid w:val="558F79FF"/>
    <w:rsid w:val="559D264C"/>
    <w:rsid w:val="559E27FC"/>
    <w:rsid w:val="559E35D5"/>
    <w:rsid w:val="55A23EB5"/>
    <w:rsid w:val="55A25EB5"/>
    <w:rsid w:val="55A42848"/>
    <w:rsid w:val="55A93D8E"/>
    <w:rsid w:val="55B02072"/>
    <w:rsid w:val="55B27480"/>
    <w:rsid w:val="55B300C2"/>
    <w:rsid w:val="55B840AC"/>
    <w:rsid w:val="55C03EBD"/>
    <w:rsid w:val="55C0633B"/>
    <w:rsid w:val="55C82317"/>
    <w:rsid w:val="55CA0661"/>
    <w:rsid w:val="55CA71B9"/>
    <w:rsid w:val="55D6790C"/>
    <w:rsid w:val="55DD0C9B"/>
    <w:rsid w:val="55DD744A"/>
    <w:rsid w:val="55E22755"/>
    <w:rsid w:val="55E258B5"/>
    <w:rsid w:val="55E84502"/>
    <w:rsid w:val="55E93A0A"/>
    <w:rsid w:val="55E94C06"/>
    <w:rsid w:val="55EB160A"/>
    <w:rsid w:val="55EC5382"/>
    <w:rsid w:val="55ED6F99"/>
    <w:rsid w:val="55EE4C56"/>
    <w:rsid w:val="55FC2A88"/>
    <w:rsid w:val="55FC41C7"/>
    <w:rsid w:val="560426CB"/>
    <w:rsid w:val="56050819"/>
    <w:rsid w:val="560D2C43"/>
    <w:rsid w:val="560E354A"/>
    <w:rsid w:val="560F3FD4"/>
    <w:rsid w:val="56242D6E"/>
    <w:rsid w:val="563034C0"/>
    <w:rsid w:val="5630526E"/>
    <w:rsid w:val="563A557A"/>
    <w:rsid w:val="563A60ED"/>
    <w:rsid w:val="56452B6A"/>
    <w:rsid w:val="56473FAF"/>
    <w:rsid w:val="565B45CC"/>
    <w:rsid w:val="5664316A"/>
    <w:rsid w:val="5664621E"/>
    <w:rsid w:val="56653F50"/>
    <w:rsid w:val="56731C62"/>
    <w:rsid w:val="567A473C"/>
    <w:rsid w:val="567A72D5"/>
    <w:rsid w:val="5683734E"/>
    <w:rsid w:val="568738E6"/>
    <w:rsid w:val="56882230"/>
    <w:rsid w:val="568850AA"/>
    <w:rsid w:val="568B4B9B"/>
    <w:rsid w:val="568C1B55"/>
    <w:rsid w:val="569A3030"/>
    <w:rsid w:val="569A40BE"/>
    <w:rsid w:val="56AA3DFF"/>
    <w:rsid w:val="56AC0BC9"/>
    <w:rsid w:val="56B206E7"/>
    <w:rsid w:val="56B37C4E"/>
    <w:rsid w:val="56B45E9F"/>
    <w:rsid w:val="56B54AAB"/>
    <w:rsid w:val="56B631C7"/>
    <w:rsid w:val="56BB7BA7"/>
    <w:rsid w:val="56BF62D6"/>
    <w:rsid w:val="56C07888"/>
    <w:rsid w:val="56C2083D"/>
    <w:rsid w:val="56C46EE2"/>
    <w:rsid w:val="56C65683"/>
    <w:rsid w:val="56CA1443"/>
    <w:rsid w:val="56CB0CFF"/>
    <w:rsid w:val="56D70A8E"/>
    <w:rsid w:val="56D73355"/>
    <w:rsid w:val="56DA2211"/>
    <w:rsid w:val="56DC0F52"/>
    <w:rsid w:val="56DE2CEF"/>
    <w:rsid w:val="56E36785"/>
    <w:rsid w:val="56EA3FE2"/>
    <w:rsid w:val="56EC1231"/>
    <w:rsid w:val="56EF512A"/>
    <w:rsid w:val="56FC15F5"/>
    <w:rsid w:val="57081D47"/>
    <w:rsid w:val="570A5ABF"/>
    <w:rsid w:val="57157896"/>
    <w:rsid w:val="571636AE"/>
    <w:rsid w:val="572121A9"/>
    <w:rsid w:val="5723736E"/>
    <w:rsid w:val="57275CB0"/>
    <w:rsid w:val="57293033"/>
    <w:rsid w:val="572B1EDA"/>
    <w:rsid w:val="572C5D2A"/>
    <w:rsid w:val="572D5C52"/>
    <w:rsid w:val="572D5EB9"/>
    <w:rsid w:val="5732533D"/>
    <w:rsid w:val="57374E2F"/>
    <w:rsid w:val="573B036F"/>
    <w:rsid w:val="573C40E7"/>
    <w:rsid w:val="573C7C43"/>
    <w:rsid w:val="57437B4D"/>
    <w:rsid w:val="574C7CFD"/>
    <w:rsid w:val="574E1899"/>
    <w:rsid w:val="57560D05"/>
    <w:rsid w:val="57575490"/>
    <w:rsid w:val="575B5235"/>
    <w:rsid w:val="575D6537"/>
    <w:rsid w:val="5764632B"/>
    <w:rsid w:val="57664CA5"/>
    <w:rsid w:val="576A47B0"/>
    <w:rsid w:val="577B69BD"/>
    <w:rsid w:val="577E46FF"/>
    <w:rsid w:val="57825F9E"/>
    <w:rsid w:val="57832294"/>
    <w:rsid w:val="578F06BB"/>
    <w:rsid w:val="57923D07"/>
    <w:rsid w:val="579E3616"/>
    <w:rsid w:val="57A431FB"/>
    <w:rsid w:val="57A8352A"/>
    <w:rsid w:val="57AE0B41"/>
    <w:rsid w:val="57AF6667"/>
    <w:rsid w:val="57B669F1"/>
    <w:rsid w:val="57BB14B0"/>
    <w:rsid w:val="57BB325E"/>
    <w:rsid w:val="57BD6FD6"/>
    <w:rsid w:val="57C31658"/>
    <w:rsid w:val="57C540DC"/>
    <w:rsid w:val="57C7233A"/>
    <w:rsid w:val="57CC0FC7"/>
    <w:rsid w:val="57D1482F"/>
    <w:rsid w:val="57D245B4"/>
    <w:rsid w:val="57D32070"/>
    <w:rsid w:val="57D416AD"/>
    <w:rsid w:val="57DB4A0B"/>
    <w:rsid w:val="57DE35E8"/>
    <w:rsid w:val="57E02CC4"/>
    <w:rsid w:val="57E05304"/>
    <w:rsid w:val="57E722A5"/>
    <w:rsid w:val="57E90BB5"/>
    <w:rsid w:val="57EC1669"/>
    <w:rsid w:val="57EE718F"/>
    <w:rsid w:val="57F34EAD"/>
    <w:rsid w:val="57F624E8"/>
    <w:rsid w:val="58006EC2"/>
    <w:rsid w:val="58062066"/>
    <w:rsid w:val="5807105F"/>
    <w:rsid w:val="581035A9"/>
    <w:rsid w:val="58136E00"/>
    <w:rsid w:val="581D136C"/>
    <w:rsid w:val="581F6D2F"/>
    <w:rsid w:val="582D4EF8"/>
    <w:rsid w:val="58311772"/>
    <w:rsid w:val="5838665C"/>
    <w:rsid w:val="583B4943"/>
    <w:rsid w:val="583B7EFB"/>
    <w:rsid w:val="584119B5"/>
    <w:rsid w:val="58411BE0"/>
    <w:rsid w:val="58496ABB"/>
    <w:rsid w:val="584D3288"/>
    <w:rsid w:val="584E40D2"/>
    <w:rsid w:val="58513D10"/>
    <w:rsid w:val="585A2A77"/>
    <w:rsid w:val="585D60C3"/>
    <w:rsid w:val="58632671"/>
    <w:rsid w:val="58694EF3"/>
    <w:rsid w:val="586C4558"/>
    <w:rsid w:val="586D09FC"/>
    <w:rsid w:val="586D269F"/>
    <w:rsid w:val="58767185"/>
    <w:rsid w:val="587A0A23"/>
    <w:rsid w:val="58886ED6"/>
    <w:rsid w:val="589805BB"/>
    <w:rsid w:val="589F0489"/>
    <w:rsid w:val="58A75590"/>
    <w:rsid w:val="58AB32D2"/>
    <w:rsid w:val="58AB6793"/>
    <w:rsid w:val="58B96858"/>
    <w:rsid w:val="58BD34B0"/>
    <w:rsid w:val="58BD4DB3"/>
    <w:rsid w:val="58C45CCD"/>
    <w:rsid w:val="58D338A8"/>
    <w:rsid w:val="58D81BED"/>
    <w:rsid w:val="58D8399B"/>
    <w:rsid w:val="58D85CCC"/>
    <w:rsid w:val="58E124CB"/>
    <w:rsid w:val="58E16CF4"/>
    <w:rsid w:val="58F22A57"/>
    <w:rsid w:val="58FA5DED"/>
    <w:rsid w:val="58FE1654"/>
    <w:rsid w:val="58FF717A"/>
    <w:rsid w:val="590A0DFE"/>
    <w:rsid w:val="590C0054"/>
    <w:rsid w:val="590D47DB"/>
    <w:rsid w:val="59146E46"/>
    <w:rsid w:val="591610D8"/>
    <w:rsid w:val="591841DB"/>
    <w:rsid w:val="591F45F5"/>
    <w:rsid w:val="59213594"/>
    <w:rsid w:val="59215169"/>
    <w:rsid w:val="59225C41"/>
    <w:rsid w:val="5922657E"/>
    <w:rsid w:val="59262959"/>
    <w:rsid w:val="5927308C"/>
    <w:rsid w:val="592B4413"/>
    <w:rsid w:val="593212FE"/>
    <w:rsid w:val="59330CEC"/>
    <w:rsid w:val="5934151A"/>
    <w:rsid w:val="59371AB8"/>
    <w:rsid w:val="5938770C"/>
    <w:rsid w:val="593962A4"/>
    <w:rsid w:val="593D5FFA"/>
    <w:rsid w:val="593F5547"/>
    <w:rsid w:val="594466A7"/>
    <w:rsid w:val="59453DCA"/>
    <w:rsid w:val="59462FFB"/>
    <w:rsid w:val="594B23BF"/>
    <w:rsid w:val="5950506B"/>
    <w:rsid w:val="59593327"/>
    <w:rsid w:val="596671F9"/>
    <w:rsid w:val="59745DBA"/>
    <w:rsid w:val="597731B4"/>
    <w:rsid w:val="5979517E"/>
    <w:rsid w:val="597F1642"/>
    <w:rsid w:val="59800981"/>
    <w:rsid w:val="5980475F"/>
    <w:rsid w:val="598633F7"/>
    <w:rsid w:val="598853C1"/>
    <w:rsid w:val="598A2EE8"/>
    <w:rsid w:val="598B3EF7"/>
    <w:rsid w:val="5995016B"/>
    <w:rsid w:val="599E4BE5"/>
    <w:rsid w:val="599E5C7D"/>
    <w:rsid w:val="59A0270B"/>
    <w:rsid w:val="59A1524E"/>
    <w:rsid w:val="59B86222"/>
    <w:rsid w:val="59B86E0E"/>
    <w:rsid w:val="59BD764B"/>
    <w:rsid w:val="59BE2EFF"/>
    <w:rsid w:val="59C041A7"/>
    <w:rsid w:val="59C1603D"/>
    <w:rsid w:val="59CC1752"/>
    <w:rsid w:val="59CD1026"/>
    <w:rsid w:val="59CD7278"/>
    <w:rsid w:val="59CF2FF0"/>
    <w:rsid w:val="59D14FBA"/>
    <w:rsid w:val="59D57F22"/>
    <w:rsid w:val="59D93E6F"/>
    <w:rsid w:val="59D979CB"/>
    <w:rsid w:val="59E3448E"/>
    <w:rsid w:val="59E612F7"/>
    <w:rsid w:val="59E7033A"/>
    <w:rsid w:val="59E93F37"/>
    <w:rsid w:val="59EE791A"/>
    <w:rsid w:val="59F71524"/>
    <w:rsid w:val="59FB5B93"/>
    <w:rsid w:val="5A0024B5"/>
    <w:rsid w:val="5A013D74"/>
    <w:rsid w:val="5A0233C6"/>
    <w:rsid w:val="5A0313FD"/>
    <w:rsid w:val="5A0521DF"/>
    <w:rsid w:val="5A074538"/>
    <w:rsid w:val="5A121A9D"/>
    <w:rsid w:val="5A124AB8"/>
    <w:rsid w:val="5A132EDD"/>
    <w:rsid w:val="5A1B2000"/>
    <w:rsid w:val="5A1C32D4"/>
    <w:rsid w:val="5A261CE4"/>
    <w:rsid w:val="5A2A3236"/>
    <w:rsid w:val="5A2A3FB1"/>
    <w:rsid w:val="5A2C05B1"/>
    <w:rsid w:val="5A3119B3"/>
    <w:rsid w:val="5A317807"/>
    <w:rsid w:val="5A341524"/>
    <w:rsid w:val="5A382944"/>
    <w:rsid w:val="5A38436B"/>
    <w:rsid w:val="5A3A2B60"/>
    <w:rsid w:val="5A3B68D8"/>
    <w:rsid w:val="5A4070E5"/>
    <w:rsid w:val="5A437BB9"/>
    <w:rsid w:val="5A4410AE"/>
    <w:rsid w:val="5A4C4641"/>
    <w:rsid w:val="5A4F0DF0"/>
    <w:rsid w:val="5A511C57"/>
    <w:rsid w:val="5A513A05"/>
    <w:rsid w:val="5A5250E7"/>
    <w:rsid w:val="5A5A0B0C"/>
    <w:rsid w:val="5A5A57AD"/>
    <w:rsid w:val="5A6776CD"/>
    <w:rsid w:val="5A6802F5"/>
    <w:rsid w:val="5A6F4798"/>
    <w:rsid w:val="5A6F6610"/>
    <w:rsid w:val="5A710032"/>
    <w:rsid w:val="5A7140A7"/>
    <w:rsid w:val="5A76245F"/>
    <w:rsid w:val="5A855F2C"/>
    <w:rsid w:val="5A89377C"/>
    <w:rsid w:val="5A9023B0"/>
    <w:rsid w:val="5A963B0E"/>
    <w:rsid w:val="5A973919"/>
    <w:rsid w:val="5A9B7D6D"/>
    <w:rsid w:val="5A9C2C07"/>
    <w:rsid w:val="5AA21558"/>
    <w:rsid w:val="5AA460B8"/>
    <w:rsid w:val="5AA63D51"/>
    <w:rsid w:val="5AAE5FDB"/>
    <w:rsid w:val="5AB02E22"/>
    <w:rsid w:val="5AB126F6"/>
    <w:rsid w:val="5AB53D42"/>
    <w:rsid w:val="5AB94B49"/>
    <w:rsid w:val="5ABA5A4E"/>
    <w:rsid w:val="5ABD121A"/>
    <w:rsid w:val="5ABD553F"/>
    <w:rsid w:val="5AC226A1"/>
    <w:rsid w:val="5AD029E7"/>
    <w:rsid w:val="5AD325D0"/>
    <w:rsid w:val="5AD810AC"/>
    <w:rsid w:val="5AD8330E"/>
    <w:rsid w:val="5AE900E2"/>
    <w:rsid w:val="5AE91E90"/>
    <w:rsid w:val="5AF223CA"/>
    <w:rsid w:val="5AF80757"/>
    <w:rsid w:val="5B050373"/>
    <w:rsid w:val="5B090B8B"/>
    <w:rsid w:val="5B0D042D"/>
    <w:rsid w:val="5B10566E"/>
    <w:rsid w:val="5B146365"/>
    <w:rsid w:val="5B1A64ED"/>
    <w:rsid w:val="5B1B5813"/>
    <w:rsid w:val="5B2335F4"/>
    <w:rsid w:val="5B250363"/>
    <w:rsid w:val="5B2647E8"/>
    <w:rsid w:val="5B266F2F"/>
    <w:rsid w:val="5B2A75AF"/>
    <w:rsid w:val="5B33158A"/>
    <w:rsid w:val="5B375B07"/>
    <w:rsid w:val="5B3B77CD"/>
    <w:rsid w:val="5B3C60E9"/>
    <w:rsid w:val="5B3D0410"/>
    <w:rsid w:val="5B3D3983"/>
    <w:rsid w:val="5B3E21DC"/>
    <w:rsid w:val="5B3E6934"/>
    <w:rsid w:val="5B4041A6"/>
    <w:rsid w:val="5B436F3B"/>
    <w:rsid w:val="5B45712F"/>
    <w:rsid w:val="5B4835FF"/>
    <w:rsid w:val="5B5A2D8E"/>
    <w:rsid w:val="5B5A5164"/>
    <w:rsid w:val="5B6120A7"/>
    <w:rsid w:val="5B62120F"/>
    <w:rsid w:val="5B6E2CDB"/>
    <w:rsid w:val="5B7062B2"/>
    <w:rsid w:val="5B7756EE"/>
    <w:rsid w:val="5B791466"/>
    <w:rsid w:val="5B7B562E"/>
    <w:rsid w:val="5B7D3E40"/>
    <w:rsid w:val="5B7D77BD"/>
    <w:rsid w:val="5B81656C"/>
    <w:rsid w:val="5B8966CC"/>
    <w:rsid w:val="5B8B5820"/>
    <w:rsid w:val="5B8C62B2"/>
    <w:rsid w:val="5B8E36FB"/>
    <w:rsid w:val="5B925457"/>
    <w:rsid w:val="5B982195"/>
    <w:rsid w:val="5B994854"/>
    <w:rsid w:val="5BA109BC"/>
    <w:rsid w:val="5BA65FD3"/>
    <w:rsid w:val="5BA87F9D"/>
    <w:rsid w:val="5BA94670"/>
    <w:rsid w:val="5BAD00B5"/>
    <w:rsid w:val="5BAD0434"/>
    <w:rsid w:val="5BAE1FF5"/>
    <w:rsid w:val="5BAF30D9"/>
    <w:rsid w:val="5BB46942"/>
    <w:rsid w:val="5BB66216"/>
    <w:rsid w:val="5BC22E0D"/>
    <w:rsid w:val="5BC56CAB"/>
    <w:rsid w:val="5BC621D1"/>
    <w:rsid w:val="5BCC10DF"/>
    <w:rsid w:val="5BD6246E"/>
    <w:rsid w:val="5BD7618C"/>
    <w:rsid w:val="5BD963A8"/>
    <w:rsid w:val="5BDC37A3"/>
    <w:rsid w:val="5BDF1E68"/>
    <w:rsid w:val="5BE82D33"/>
    <w:rsid w:val="5BEA2363"/>
    <w:rsid w:val="5BEE349D"/>
    <w:rsid w:val="5BFB631F"/>
    <w:rsid w:val="5BFD3E45"/>
    <w:rsid w:val="5C0056E3"/>
    <w:rsid w:val="5C037DBB"/>
    <w:rsid w:val="5C063EDE"/>
    <w:rsid w:val="5C0C052C"/>
    <w:rsid w:val="5C0C22DA"/>
    <w:rsid w:val="5C0C6BB6"/>
    <w:rsid w:val="5C0C6BE4"/>
    <w:rsid w:val="5C1843D5"/>
    <w:rsid w:val="5C1B1AD2"/>
    <w:rsid w:val="5C1B251D"/>
    <w:rsid w:val="5C1D6295"/>
    <w:rsid w:val="5C217E2B"/>
    <w:rsid w:val="5C2632F7"/>
    <w:rsid w:val="5C270EC2"/>
    <w:rsid w:val="5C277114"/>
    <w:rsid w:val="5C293C82"/>
    <w:rsid w:val="5C2F5FC8"/>
    <w:rsid w:val="5C311BAD"/>
    <w:rsid w:val="5C335AB8"/>
    <w:rsid w:val="5C381321"/>
    <w:rsid w:val="5C3B31D9"/>
    <w:rsid w:val="5C3F26AF"/>
    <w:rsid w:val="5C422FA3"/>
    <w:rsid w:val="5C423F4D"/>
    <w:rsid w:val="5C50053D"/>
    <w:rsid w:val="5C516CB1"/>
    <w:rsid w:val="5C533A65"/>
    <w:rsid w:val="5C5477DD"/>
    <w:rsid w:val="5C557E28"/>
    <w:rsid w:val="5C5B0B6B"/>
    <w:rsid w:val="5C5D3D2F"/>
    <w:rsid w:val="5C642116"/>
    <w:rsid w:val="5C675762"/>
    <w:rsid w:val="5C68120B"/>
    <w:rsid w:val="5C6A7000"/>
    <w:rsid w:val="5C6D4C62"/>
    <w:rsid w:val="5C6F1E26"/>
    <w:rsid w:val="5C700BAA"/>
    <w:rsid w:val="5C70230F"/>
    <w:rsid w:val="5C761E49"/>
    <w:rsid w:val="5C877BB2"/>
    <w:rsid w:val="5C8A2E16"/>
    <w:rsid w:val="5C8E6FDB"/>
    <w:rsid w:val="5C9022D9"/>
    <w:rsid w:val="5C902F0B"/>
    <w:rsid w:val="5C913139"/>
    <w:rsid w:val="5C937A37"/>
    <w:rsid w:val="5C9443DE"/>
    <w:rsid w:val="5C9C18B0"/>
    <w:rsid w:val="5C9F2250"/>
    <w:rsid w:val="5CA11A05"/>
    <w:rsid w:val="5CA95D7B"/>
    <w:rsid w:val="5CAB5170"/>
    <w:rsid w:val="5CAE15E3"/>
    <w:rsid w:val="5CBC5AAE"/>
    <w:rsid w:val="5CBF53A6"/>
    <w:rsid w:val="5CC11316"/>
    <w:rsid w:val="5CC22998"/>
    <w:rsid w:val="5CC74453"/>
    <w:rsid w:val="5CC87EA7"/>
    <w:rsid w:val="5CD05098"/>
    <w:rsid w:val="5CD728E8"/>
    <w:rsid w:val="5CD86660"/>
    <w:rsid w:val="5CED3EB9"/>
    <w:rsid w:val="5CF54B1C"/>
    <w:rsid w:val="5CFC2C95"/>
    <w:rsid w:val="5CFF0F11"/>
    <w:rsid w:val="5D0179EE"/>
    <w:rsid w:val="5D044C0E"/>
    <w:rsid w:val="5D095CCB"/>
    <w:rsid w:val="5D0D653D"/>
    <w:rsid w:val="5D0E5BDE"/>
    <w:rsid w:val="5D107454"/>
    <w:rsid w:val="5D1266BF"/>
    <w:rsid w:val="5D134D91"/>
    <w:rsid w:val="5D137698"/>
    <w:rsid w:val="5D1458EA"/>
    <w:rsid w:val="5D192F00"/>
    <w:rsid w:val="5D1B7B11"/>
    <w:rsid w:val="5D1C654D"/>
    <w:rsid w:val="5D1D2180"/>
    <w:rsid w:val="5D1E7EEF"/>
    <w:rsid w:val="5D1F40B3"/>
    <w:rsid w:val="5D213B7C"/>
    <w:rsid w:val="5D226AF7"/>
    <w:rsid w:val="5D23146E"/>
    <w:rsid w:val="5D235B2D"/>
    <w:rsid w:val="5D240EF0"/>
    <w:rsid w:val="5D292A17"/>
    <w:rsid w:val="5D2A2868"/>
    <w:rsid w:val="5D2F352B"/>
    <w:rsid w:val="5D2F6C90"/>
    <w:rsid w:val="5D324480"/>
    <w:rsid w:val="5D353719"/>
    <w:rsid w:val="5D3715D8"/>
    <w:rsid w:val="5D376039"/>
    <w:rsid w:val="5D3F01A3"/>
    <w:rsid w:val="5D431D2B"/>
    <w:rsid w:val="5D465377"/>
    <w:rsid w:val="5D4810F0"/>
    <w:rsid w:val="5D4E247E"/>
    <w:rsid w:val="5D504448"/>
    <w:rsid w:val="5D5949A2"/>
    <w:rsid w:val="5D5E1A9C"/>
    <w:rsid w:val="5D607E16"/>
    <w:rsid w:val="5D633679"/>
    <w:rsid w:val="5D6952E9"/>
    <w:rsid w:val="5D6C64B2"/>
    <w:rsid w:val="5D700646"/>
    <w:rsid w:val="5D77168C"/>
    <w:rsid w:val="5D777A24"/>
    <w:rsid w:val="5D781393"/>
    <w:rsid w:val="5D7B626B"/>
    <w:rsid w:val="5D7D7E14"/>
    <w:rsid w:val="5D7E0FB5"/>
    <w:rsid w:val="5D7E47AF"/>
    <w:rsid w:val="5D845EA0"/>
    <w:rsid w:val="5D853F47"/>
    <w:rsid w:val="5D8D75FA"/>
    <w:rsid w:val="5D8F7AF3"/>
    <w:rsid w:val="5D9500AD"/>
    <w:rsid w:val="5D9E51B4"/>
    <w:rsid w:val="5DA402F0"/>
    <w:rsid w:val="5DA54B0D"/>
    <w:rsid w:val="5DA622BA"/>
    <w:rsid w:val="5DA64059"/>
    <w:rsid w:val="5DAF4A56"/>
    <w:rsid w:val="5DB1365C"/>
    <w:rsid w:val="5DB137E0"/>
    <w:rsid w:val="5DB21F90"/>
    <w:rsid w:val="5DB4349E"/>
    <w:rsid w:val="5DB6074F"/>
    <w:rsid w:val="5DC61674"/>
    <w:rsid w:val="5DCE768B"/>
    <w:rsid w:val="5DCF7A63"/>
    <w:rsid w:val="5DD76393"/>
    <w:rsid w:val="5DD80482"/>
    <w:rsid w:val="5DDE7158"/>
    <w:rsid w:val="5DE4303D"/>
    <w:rsid w:val="5DEB37B3"/>
    <w:rsid w:val="5DF03535"/>
    <w:rsid w:val="5DF37D5E"/>
    <w:rsid w:val="5DF634D1"/>
    <w:rsid w:val="5DFA3A6F"/>
    <w:rsid w:val="5DFB2606"/>
    <w:rsid w:val="5DFB43B4"/>
    <w:rsid w:val="5E01073C"/>
    <w:rsid w:val="5E015742"/>
    <w:rsid w:val="5E051C42"/>
    <w:rsid w:val="5E086AD1"/>
    <w:rsid w:val="5E0C65C1"/>
    <w:rsid w:val="5E0F7E5F"/>
    <w:rsid w:val="5E113BD7"/>
    <w:rsid w:val="5E127BF5"/>
    <w:rsid w:val="5E1D3E3B"/>
    <w:rsid w:val="5E282CCF"/>
    <w:rsid w:val="5E297BDA"/>
    <w:rsid w:val="5E2F0501"/>
    <w:rsid w:val="5E335697"/>
    <w:rsid w:val="5E36363E"/>
    <w:rsid w:val="5E383CEC"/>
    <w:rsid w:val="5E473A9D"/>
    <w:rsid w:val="5E4E007B"/>
    <w:rsid w:val="5E5267D5"/>
    <w:rsid w:val="5E574F7A"/>
    <w:rsid w:val="5E5C6533"/>
    <w:rsid w:val="5E6006BB"/>
    <w:rsid w:val="5E681851"/>
    <w:rsid w:val="5E6A32E8"/>
    <w:rsid w:val="5E6C52B2"/>
    <w:rsid w:val="5E784A35"/>
    <w:rsid w:val="5E79352B"/>
    <w:rsid w:val="5E8048B9"/>
    <w:rsid w:val="5E8C14B0"/>
    <w:rsid w:val="5E8D24F9"/>
    <w:rsid w:val="5E8E09B4"/>
    <w:rsid w:val="5E9840CC"/>
    <w:rsid w:val="5E9A67EE"/>
    <w:rsid w:val="5E9B5A83"/>
    <w:rsid w:val="5EA1712F"/>
    <w:rsid w:val="5EAC1B52"/>
    <w:rsid w:val="5EAD7356"/>
    <w:rsid w:val="5EB641E4"/>
    <w:rsid w:val="5EBA7A7D"/>
    <w:rsid w:val="5ECA1FD8"/>
    <w:rsid w:val="5ECE3876"/>
    <w:rsid w:val="5ED6097D"/>
    <w:rsid w:val="5EDA046D"/>
    <w:rsid w:val="5EDA221B"/>
    <w:rsid w:val="5EE50BC0"/>
    <w:rsid w:val="5EF01A3F"/>
    <w:rsid w:val="5EF66586"/>
    <w:rsid w:val="5EFD0600"/>
    <w:rsid w:val="5F045E54"/>
    <w:rsid w:val="5F053010"/>
    <w:rsid w:val="5F0D0843"/>
    <w:rsid w:val="5F13397F"/>
    <w:rsid w:val="5F145914"/>
    <w:rsid w:val="5F157971"/>
    <w:rsid w:val="5F1A68A4"/>
    <w:rsid w:val="5F261904"/>
    <w:rsid w:val="5F2B0CC9"/>
    <w:rsid w:val="5F322057"/>
    <w:rsid w:val="5F330789"/>
    <w:rsid w:val="5F37703F"/>
    <w:rsid w:val="5F3A715E"/>
    <w:rsid w:val="5F4207F4"/>
    <w:rsid w:val="5F481CA4"/>
    <w:rsid w:val="5F5170B2"/>
    <w:rsid w:val="5F54485B"/>
    <w:rsid w:val="5F5A6D0B"/>
    <w:rsid w:val="5F614678"/>
    <w:rsid w:val="5F63098D"/>
    <w:rsid w:val="5F644ACE"/>
    <w:rsid w:val="5F645F89"/>
    <w:rsid w:val="5F677827"/>
    <w:rsid w:val="5F76759B"/>
    <w:rsid w:val="5F76780E"/>
    <w:rsid w:val="5F904FD0"/>
    <w:rsid w:val="5F947AD8"/>
    <w:rsid w:val="5F96510A"/>
    <w:rsid w:val="5FA9719B"/>
    <w:rsid w:val="5FAB292D"/>
    <w:rsid w:val="5FAD16DE"/>
    <w:rsid w:val="5FBC3FDF"/>
    <w:rsid w:val="5FC52ECB"/>
    <w:rsid w:val="5FC829BC"/>
    <w:rsid w:val="5FC924B7"/>
    <w:rsid w:val="5FD01870"/>
    <w:rsid w:val="5FD15339"/>
    <w:rsid w:val="5FDA0E6E"/>
    <w:rsid w:val="5FE64BF0"/>
    <w:rsid w:val="5FE80968"/>
    <w:rsid w:val="5FE8367E"/>
    <w:rsid w:val="5FEA3E4B"/>
    <w:rsid w:val="5FF94923"/>
    <w:rsid w:val="600734E4"/>
    <w:rsid w:val="6014175D"/>
    <w:rsid w:val="60151F2C"/>
    <w:rsid w:val="601577B0"/>
    <w:rsid w:val="601856F1"/>
    <w:rsid w:val="601D5D26"/>
    <w:rsid w:val="602C3651"/>
    <w:rsid w:val="602E60BA"/>
    <w:rsid w:val="602F1E3E"/>
    <w:rsid w:val="6031230F"/>
    <w:rsid w:val="60314163"/>
    <w:rsid w:val="60316CD8"/>
    <w:rsid w:val="6039192A"/>
    <w:rsid w:val="603B61DC"/>
    <w:rsid w:val="6042451C"/>
    <w:rsid w:val="60453A0D"/>
    <w:rsid w:val="604A7D3E"/>
    <w:rsid w:val="604E7580"/>
    <w:rsid w:val="605229AF"/>
    <w:rsid w:val="6054424F"/>
    <w:rsid w:val="605E0C2A"/>
    <w:rsid w:val="605F7014"/>
    <w:rsid w:val="605F7E8E"/>
    <w:rsid w:val="606565DA"/>
    <w:rsid w:val="606A75CF"/>
    <w:rsid w:val="606C1599"/>
    <w:rsid w:val="606E656D"/>
    <w:rsid w:val="60732927"/>
    <w:rsid w:val="607355F5"/>
    <w:rsid w:val="60787F3E"/>
    <w:rsid w:val="607D013A"/>
    <w:rsid w:val="60803296"/>
    <w:rsid w:val="60853036"/>
    <w:rsid w:val="608E7761"/>
    <w:rsid w:val="60997EB4"/>
    <w:rsid w:val="609B3C2C"/>
    <w:rsid w:val="609B59DA"/>
    <w:rsid w:val="609D4E6C"/>
    <w:rsid w:val="60A316C6"/>
    <w:rsid w:val="60AC1EAB"/>
    <w:rsid w:val="60AF1486"/>
    <w:rsid w:val="60B5337C"/>
    <w:rsid w:val="60B71822"/>
    <w:rsid w:val="60BA574C"/>
    <w:rsid w:val="60BB607C"/>
    <w:rsid w:val="60BD6710"/>
    <w:rsid w:val="60BE685E"/>
    <w:rsid w:val="60BE78DB"/>
    <w:rsid w:val="60C73D08"/>
    <w:rsid w:val="60CB38E5"/>
    <w:rsid w:val="60CE5DB0"/>
    <w:rsid w:val="60CF38D6"/>
    <w:rsid w:val="60D31618"/>
    <w:rsid w:val="60D36BF4"/>
    <w:rsid w:val="60D3721E"/>
    <w:rsid w:val="60D71846"/>
    <w:rsid w:val="60E455D3"/>
    <w:rsid w:val="60F03F78"/>
    <w:rsid w:val="60F90B0F"/>
    <w:rsid w:val="60FF41BB"/>
    <w:rsid w:val="60FF5A53"/>
    <w:rsid w:val="61003BFE"/>
    <w:rsid w:val="610921D9"/>
    <w:rsid w:val="610D26F0"/>
    <w:rsid w:val="611F485D"/>
    <w:rsid w:val="612164E3"/>
    <w:rsid w:val="61245A89"/>
    <w:rsid w:val="61261CDB"/>
    <w:rsid w:val="61271964"/>
    <w:rsid w:val="61281ABA"/>
    <w:rsid w:val="6129748A"/>
    <w:rsid w:val="612E72BF"/>
    <w:rsid w:val="613042A1"/>
    <w:rsid w:val="6131633F"/>
    <w:rsid w:val="613340D5"/>
    <w:rsid w:val="61371E14"/>
    <w:rsid w:val="613A1697"/>
    <w:rsid w:val="613E7A87"/>
    <w:rsid w:val="61444E12"/>
    <w:rsid w:val="61454AC0"/>
    <w:rsid w:val="61471E39"/>
    <w:rsid w:val="6148332F"/>
    <w:rsid w:val="61493688"/>
    <w:rsid w:val="614B5652"/>
    <w:rsid w:val="614C6D88"/>
    <w:rsid w:val="614D50ED"/>
    <w:rsid w:val="615515D0"/>
    <w:rsid w:val="615564D1"/>
    <w:rsid w:val="61565011"/>
    <w:rsid w:val="61567E7B"/>
    <w:rsid w:val="615A3AE7"/>
    <w:rsid w:val="615C785F"/>
    <w:rsid w:val="61600F68"/>
    <w:rsid w:val="61670626"/>
    <w:rsid w:val="61671D60"/>
    <w:rsid w:val="61672B62"/>
    <w:rsid w:val="61673788"/>
    <w:rsid w:val="61686204"/>
    <w:rsid w:val="61696626"/>
    <w:rsid w:val="616B1851"/>
    <w:rsid w:val="617526CF"/>
    <w:rsid w:val="61761FA3"/>
    <w:rsid w:val="6179718E"/>
    <w:rsid w:val="617C580C"/>
    <w:rsid w:val="6181595E"/>
    <w:rsid w:val="618178A0"/>
    <w:rsid w:val="619012B7"/>
    <w:rsid w:val="619C7A61"/>
    <w:rsid w:val="619E0A91"/>
    <w:rsid w:val="619E26DC"/>
    <w:rsid w:val="61A94127"/>
    <w:rsid w:val="61AA08FD"/>
    <w:rsid w:val="61AD486F"/>
    <w:rsid w:val="61B01959"/>
    <w:rsid w:val="61B52ACC"/>
    <w:rsid w:val="61BE4DEC"/>
    <w:rsid w:val="61CD5A78"/>
    <w:rsid w:val="61D63CAD"/>
    <w:rsid w:val="61DA4E9E"/>
    <w:rsid w:val="61DB783C"/>
    <w:rsid w:val="61E138C1"/>
    <w:rsid w:val="61F25ACE"/>
    <w:rsid w:val="61F56B7E"/>
    <w:rsid w:val="62051CA5"/>
    <w:rsid w:val="62085F01"/>
    <w:rsid w:val="620B6B90"/>
    <w:rsid w:val="620E393B"/>
    <w:rsid w:val="6211271F"/>
    <w:rsid w:val="62162102"/>
    <w:rsid w:val="62165C60"/>
    <w:rsid w:val="621719D8"/>
    <w:rsid w:val="621842B5"/>
    <w:rsid w:val="62196ADD"/>
    <w:rsid w:val="621A6656"/>
    <w:rsid w:val="621E52BD"/>
    <w:rsid w:val="62246A3D"/>
    <w:rsid w:val="622639C9"/>
    <w:rsid w:val="622F287E"/>
    <w:rsid w:val="62340B58"/>
    <w:rsid w:val="623B4B2F"/>
    <w:rsid w:val="623B7475"/>
    <w:rsid w:val="623E1C97"/>
    <w:rsid w:val="62404A8B"/>
    <w:rsid w:val="62470D4F"/>
    <w:rsid w:val="6247406C"/>
    <w:rsid w:val="62476747"/>
    <w:rsid w:val="62481B92"/>
    <w:rsid w:val="624A085E"/>
    <w:rsid w:val="624A4CA7"/>
    <w:rsid w:val="625763D3"/>
    <w:rsid w:val="625A308E"/>
    <w:rsid w:val="62683FE2"/>
    <w:rsid w:val="626A38F8"/>
    <w:rsid w:val="626D3C1F"/>
    <w:rsid w:val="627357C6"/>
    <w:rsid w:val="627C760C"/>
    <w:rsid w:val="6281569B"/>
    <w:rsid w:val="628506F0"/>
    <w:rsid w:val="62853B0F"/>
    <w:rsid w:val="62865F31"/>
    <w:rsid w:val="62874F78"/>
    <w:rsid w:val="628801E0"/>
    <w:rsid w:val="628A7090"/>
    <w:rsid w:val="628B010C"/>
    <w:rsid w:val="62950184"/>
    <w:rsid w:val="62982639"/>
    <w:rsid w:val="62993E27"/>
    <w:rsid w:val="629B6165"/>
    <w:rsid w:val="62AA45FB"/>
    <w:rsid w:val="62AA63A9"/>
    <w:rsid w:val="62AF7E63"/>
    <w:rsid w:val="62B33B05"/>
    <w:rsid w:val="62B40FD5"/>
    <w:rsid w:val="62B963DF"/>
    <w:rsid w:val="62C944DC"/>
    <w:rsid w:val="62CC27C3"/>
    <w:rsid w:val="62CC4571"/>
    <w:rsid w:val="62D35CBD"/>
    <w:rsid w:val="62D376AD"/>
    <w:rsid w:val="62D4157E"/>
    <w:rsid w:val="62D926AC"/>
    <w:rsid w:val="62D96C3F"/>
    <w:rsid w:val="62DA31AC"/>
    <w:rsid w:val="62DB0EBB"/>
    <w:rsid w:val="62DC3E7F"/>
    <w:rsid w:val="62DE49A2"/>
    <w:rsid w:val="62E0207B"/>
    <w:rsid w:val="62E278F0"/>
    <w:rsid w:val="62E532B7"/>
    <w:rsid w:val="62EB4856"/>
    <w:rsid w:val="62F01445"/>
    <w:rsid w:val="62F133AA"/>
    <w:rsid w:val="62F176D3"/>
    <w:rsid w:val="62FB593B"/>
    <w:rsid w:val="62FD472A"/>
    <w:rsid w:val="62FE612C"/>
    <w:rsid w:val="62FF66F4"/>
    <w:rsid w:val="6305105C"/>
    <w:rsid w:val="630B3074"/>
    <w:rsid w:val="630B6AD1"/>
    <w:rsid w:val="631101D6"/>
    <w:rsid w:val="63115F02"/>
    <w:rsid w:val="631A52DC"/>
    <w:rsid w:val="63212B0F"/>
    <w:rsid w:val="63283A59"/>
    <w:rsid w:val="63285902"/>
    <w:rsid w:val="632E0D88"/>
    <w:rsid w:val="633914DA"/>
    <w:rsid w:val="633F46AC"/>
    <w:rsid w:val="63436839"/>
    <w:rsid w:val="634B7B8C"/>
    <w:rsid w:val="634C3904"/>
    <w:rsid w:val="634C7460"/>
    <w:rsid w:val="634F2528"/>
    <w:rsid w:val="63506F50"/>
    <w:rsid w:val="63521F35"/>
    <w:rsid w:val="635F7193"/>
    <w:rsid w:val="635F7E2E"/>
    <w:rsid w:val="63691DC0"/>
    <w:rsid w:val="636B7541"/>
    <w:rsid w:val="636C0C76"/>
    <w:rsid w:val="637000E8"/>
    <w:rsid w:val="63735A70"/>
    <w:rsid w:val="63742E9E"/>
    <w:rsid w:val="63770EE3"/>
    <w:rsid w:val="637B54AE"/>
    <w:rsid w:val="637C2335"/>
    <w:rsid w:val="637D1D0F"/>
    <w:rsid w:val="637F4A2A"/>
    <w:rsid w:val="638065ED"/>
    <w:rsid w:val="6384309D"/>
    <w:rsid w:val="638B1439"/>
    <w:rsid w:val="63911317"/>
    <w:rsid w:val="63964B41"/>
    <w:rsid w:val="6397692D"/>
    <w:rsid w:val="639C64B4"/>
    <w:rsid w:val="639E2124"/>
    <w:rsid w:val="63A63014"/>
    <w:rsid w:val="63A66B70"/>
    <w:rsid w:val="63A759EE"/>
    <w:rsid w:val="63A94441"/>
    <w:rsid w:val="63A96660"/>
    <w:rsid w:val="63AB284B"/>
    <w:rsid w:val="63B23767"/>
    <w:rsid w:val="63B81CCF"/>
    <w:rsid w:val="63BA086D"/>
    <w:rsid w:val="63BA261B"/>
    <w:rsid w:val="63C00461"/>
    <w:rsid w:val="63C27722"/>
    <w:rsid w:val="63C67212"/>
    <w:rsid w:val="63C81B5F"/>
    <w:rsid w:val="63CA4D92"/>
    <w:rsid w:val="63CC0090"/>
    <w:rsid w:val="63CE4281"/>
    <w:rsid w:val="63CE7B03"/>
    <w:rsid w:val="63D23E09"/>
    <w:rsid w:val="63D336DD"/>
    <w:rsid w:val="63D640D5"/>
    <w:rsid w:val="63D80CF3"/>
    <w:rsid w:val="63DF51BF"/>
    <w:rsid w:val="63DF6526"/>
    <w:rsid w:val="63DF6848"/>
    <w:rsid w:val="63E458EA"/>
    <w:rsid w:val="63EB6C79"/>
    <w:rsid w:val="63EF60B0"/>
    <w:rsid w:val="63F14296"/>
    <w:rsid w:val="63F42E75"/>
    <w:rsid w:val="63F74FD3"/>
    <w:rsid w:val="63FC0E86"/>
    <w:rsid w:val="63FE776F"/>
    <w:rsid w:val="64012DCD"/>
    <w:rsid w:val="64016D84"/>
    <w:rsid w:val="64032214"/>
    <w:rsid w:val="64087672"/>
    <w:rsid w:val="640D2277"/>
    <w:rsid w:val="641417A5"/>
    <w:rsid w:val="64142142"/>
    <w:rsid w:val="64155AA4"/>
    <w:rsid w:val="641E0DFC"/>
    <w:rsid w:val="641E704E"/>
    <w:rsid w:val="641F5CF2"/>
    <w:rsid w:val="64202DC6"/>
    <w:rsid w:val="64234664"/>
    <w:rsid w:val="64260D50"/>
    <w:rsid w:val="64276F94"/>
    <w:rsid w:val="642A280D"/>
    <w:rsid w:val="642F3009"/>
    <w:rsid w:val="643028DD"/>
    <w:rsid w:val="643060B3"/>
    <w:rsid w:val="64403ED8"/>
    <w:rsid w:val="64405216"/>
    <w:rsid w:val="644E29D3"/>
    <w:rsid w:val="644E2B7B"/>
    <w:rsid w:val="644F12EF"/>
    <w:rsid w:val="64511B39"/>
    <w:rsid w:val="645411FD"/>
    <w:rsid w:val="64584BAD"/>
    <w:rsid w:val="645B552C"/>
    <w:rsid w:val="64611270"/>
    <w:rsid w:val="64656A2B"/>
    <w:rsid w:val="64685665"/>
    <w:rsid w:val="646A2293"/>
    <w:rsid w:val="646D255C"/>
    <w:rsid w:val="647153D0"/>
    <w:rsid w:val="647749B0"/>
    <w:rsid w:val="64776999"/>
    <w:rsid w:val="647A02E0"/>
    <w:rsid w:val="647B624F"/>
    <w:rsid w:val="647B7FFD"/>
    <w:rsid w:val="64803865"/>
    <w:rsid w:val="648149B7"/>
    <w:rsid w:val="648312A7"/>
    <w:rsid w:val="64863547"/>
    <w:rsid w:val="64872E45"/>
    <w:rsid w:val="648A46E4"/>
    <w:rsid w:val="64915A72"/>
    <w:rsid w:val="6492058C"/>
    <w:rsid w:val="6492774D"/>
    <w:rsid w:val="649B3E72"/>
    <w:rsid w:val="649E3DC5"/>
    <w:rsid w:val="64A54380"/>
    <w:rsid w:val="64A84855"/>
    <w:rsid w:val="64AA08E2"/>
    <w:rsid w:val="64AB05AF"/>
    <w:rsid w:val="64B37004"/>
    <w:rsid w:val="64B47BF8"/>
    <w:rsid w:val="64BC7BC3"/>
    <w:rsid w:val="64BD5616"/>
    <w:rsid w:val="64D2120A"/>
    <w:rsid w:val="64D6170C"/>
    <w:rsid w:val="64D8544F"/>
    <w:rsid w:val="64D9638C"/>
    <w:rsid w:val="64DE67DD"/>
    <w:rsid w:val="64E77440"/>
    <w:rsid w:val="64EC323A"/>
    <w:rsid w:val="64EF4547"/>
    <w:rsid w:val="64F63B27"/>
    <w:rsid w:val="64F8164D"/>
    <w:rsid w:val="64F81CAE"/>
    <w:rsid w:val="64FD3107"/>
    <w:rsid w:val="64FE29DC"/>
    <w:rsid w:val="64FE321B"/>
    <w:rsid w:val="65003C4E"/>
    <w:rsid w:val="65031DA0"/>
    <w:rsid w:val="65037FF2"/>
    <w:rsid w:val="65085009"/>
    <w:rsid w:val="650A10D3"/>
    <w:rsid w:val="650B39F5"/>
    <w:rsid w:val="651A6124"/>
    <w:rsid w:val="651B17E0"/>
    <w:rsid w:val="651C1E7C"/>
    <w:rsid w:val="651D7310"/>
    <w:rsid w:val="651E4C38"/>
    <w:rsid w:val="65242442"/>
    <w:rsid w:val="6525440C"/>
    <w:rsid w:val="65271052"/>
    <w:rsid w:val="652C2D84"/>
    <w:rsid w:val="65323CE2"/>
    <w:rsid w:val="653667D3"/>
    <w:rsid w:val="653B0769"/>
    <w:rsid w:val="653C156A"/>
    <w:rsid w:val="65401246"/>
    <w:rsid w:val="65414C11"/>
    <w:rsid w:val="65452B0E"/>
    <w:rsid w:val="654E77B3"/>
    <w:rsid w:val="65546448"/>
    <w:rsid w:val="655F0592"/>
    <w:rsid w:val="65637788"/>
    <w:rsid w:val="65644F35"/>
    <w:rsid w:val="656A1E1F"/>
    <w:rsid w:val="656B3569"/>
    <w:rsid w:val="656B7FBE"/>
    <w:rsid w:val="657B15BD"/>
    <w:rsid w:val="657D1B52"/>
    <w:rsid w:val="657F7AF2"/>
    <w:rsid w:val="658137B1"/>
    <w:rsid w:val="65817851"/>
    <w:rsid w:val="658253BB"/>
    <w:rsid w:val="65831215"/>
    <w:rsid w:val="65852D31"/>
    <w:rsid w:val="658A0094"/>
    <w:rsid w:val="658D5441"/>
    <w:rsid w:val="65903E57"/>
    <w:rsid w:val="65905648"/>
    <w:rsid w:val="65960E66"/>
    <w:rsid w:val="659A0956"/>
    <w:rsid w:val="659A600C"/>
    <w:rsid w:val="65A17F37"/>
    <w:rsid w:val="65A2617E"/>
    <w:rsid w:val="65A866B5"/>
    <w:rsid w:val="65AE7F5E"/>
    <w:rsid w:val="65CB0B10"/>
    <w:rsid w:val="65CB4592"/>
    <w:rsid w:val="65CC6636"/>
    <w:rsid w:val="65CE550C"/>
    <w:rsid w:val="65D73958"/>
    <w:rsid w:val="65D8147F"/>
    <w:rsid w:val="65DE2565"/>
    <w:rsid w:val="65DE2D4F"/>
    <w:rsid w:val="65DF336C"/>
    <w:rsid w:val="65E25E59"/>
    <w:rsid w:val="65E3060E"/>
    <w:rsid w:val="65E35C92"/>
    <w:rsid w:val="65EA307D"/>
    <w:rsid w:val="65EB2F60"/>
    <w:rsid w:val="65EE6960"/>
    <w:rsid w:val="65F0429F"/>
    <w:rsid w:val="65F10D96"/>
    <w:rsid w:val="65F66A61"/>
    <w:rsid w:val="65F71905"/>
    <w:rsid w:val="65FC46C9"/>
    <w:rsid w:val="65FF2BD8"/>
    <w:rsid w:val="66014531"/>
    <w:rsid w:val="66024B2B"/>
    <w:rsid w:val="66076DF7"/>
    <w:rsid w:val="66091638"/>
    <w:rsid w:val="660A5ADC"/>
    <w:rsid w:val="660C0B62"/>
    <w:rsid w:val="660D737A"/>
    <w:rsid w:val="660F4894"/>
    <w:rsid w:val="6614796A"/>
    <w:rsid w:val="66164C9A"/>
    <w:rsid w:val="66167260"/>
    <w:rsid w:val="661A1A97"/>
    <w:rsid w:val="66256DBE"/>
    <w:rsid w:val="66263F98"/>
    <w:rsid w:val="66283984"/>
    <w:rsid w:val="662932A3"/>
    <w:rsid w:val="662E109F"/>
    <w:rsid w:val="662F5543"/>
    <w:rsid w:val="663072F4"/>
    <w:rsid w:val="66354994"/>
    <w:rsid w:val="66372649"/>
    <w:rsid w:val="663A5C95"/>
    <w:rsid w:val="66402AE3"/>
    <w:rsid w:val="66415276"/>
    <w:rsid w:val="6646288C"/>
    <w:rsid w:val="66525B0B"/>
    <w:rsid w:val="665C3E5E"/>
    <w:rsid w:val="665E78AC"/>
    <w:rsid w:val="66600413"/>
    <w:rsid w:val="66636F9A"/>
    <w:rsid w:val="666435BE"/>
    <w:rsid w:val="666B22F3"/>
    <w:rsid w:val="666D606B"/>
    <w:rsid w:val="666D671B"/>
    <w:rsid w:val="667016B7"/>
    <w:rsid w:val="6673555F"/>
    <w:rsid w:val="66770C4B"/>
    <w:rsid w:val="667935E3"/>
    <w:rsid w:val="667B2F19"/>
    <w:rsid w:val="667D115E"/>
    <w:rsid w:val="667E3DD4"/>
    <w:rsid w:val="66807054"/>
    <w:rsid w:val="6681733D"/>
    <w:rsid w:val="66831544"/>
    <w:rsid w:val="66876EA9"/>
    <w:rsid w:val="668A4527"/>
    <w:rsid w:val="668B64F1"/>
    <w:rsid w:val="66923426"/>
    <w:rsid w:val="66AB66D0"/>
    <w:rsid w:val="66AD46B9"/>
    <w:rsid w:val="66AF5135"/>
    <w:rsid w:val="66B120D2"/>
    <w:rsid w:val="66B56746"/>
    <w:rsid w:val="66B617C0"/>
    <w:rsid w:val="66B6356E"/>
    <w:rsid w:val="66BB1E10"/>
    <w:rsid w:val="66C043ED"/>
    <w:rsid w:val="66C72C73"/>
    <w:rsid w:val="66CE235D"/>
    <w:rsid w:val="66D54620"/>
    <w:rsid w:val="66D81AB8"/>
    <w:rsid w:val="66DA3C8F"/>
    <w:rsid w:val="66DC51F5"/>
    <w:rsid w:val="66EB4FDD"/>
    <w:rsid w:val="66F070E8"/>
    <w:rsid w:val="66FB2124"/>
    <w:rsid w:val="66FD2343"/>
    <w:rsid w:val="66FD5574"/>
    <w:rsid w:val="66FD66F7"/>
    <w:rsid w:val="67012590"/>
    <w:rsid w:val="670B3CFD"/>
    <w:rsid w:val="67112E9A"/>
    <w:rsid w:val="67145A4D"/>
    <w:rsid w:val="671966DB"/>
    <w:rsid w:val="671F7566"/>
    <w:rsid w:val="672076A9"/>
    <w:rsid w:val="67314857"/>
    <w:rsid w:val="673244E6"/>
    <w:rsid w:val="67386679"/>
    <w:rsid w:val="673E16E0"/>
    <w:rsid w:val="67464D3B"/>
    <w:rsid w:val="67484DA3"/>
    <w:rsid w:val="67495941"/>
    <w:rsid w:val="674D0447"/>
    <w:rsid w:val="67554111"/>
    <w:rsid w:val="67564D51"/>
    <w:rsid w:val="67566EED"/>
    <w:rsid w:val="67591058"/>
    <w:rsid w:val="675A1752"/>
    <w:rsid w:val="675A3512"/>
    <w:rsid w:val="675B5EC3"/>
    <w:rsid w:val="675B7D54"/>
    <w:rsid w:val="676034DA"/>
    <w:rsid w:val="67650AF0"/>
    <w:rsid w:val="676A5208"/>
    <w:rsid w:val="676E26A4"/>
    <w:rsid w:val="67760D7A"/>
    <w:rsid w:val="6778718F"/>
    <w:rsid w:val="678634CD"/>
    <w:rsid w:val="67882135"/>
    <w:rsid w:val="67890C82"/>
    <w:rsid w:val="678B49FB"/>
    <w:rsid w:val="678F4E88"/>
    <w:rsid w:val="67902011"/>
    <w:rsid w:val="679D472E"/>
    <w:rsid w:val="679F04A6"/>
    <w:rsid w:val="67A02E70"/>
    <w:rsid w:val="67A2189A"/>
    <w:rsid w:val="67A94F51"/>
    <w:rsid w:val="67B617EE"/>
    <w:rsid w:val="67B90FEC"/>
    <w:rsid w:val="67BD26DA"/>
    <w:rsid w:val="67BD6B7E"/>
    <w:rsid w:val="67C843ED"/>
    <w:rsid w:val="67CD06FC"/>
    <w:rsid w:val="67CF376D"/>
    <w:rsid w:val="67D068B1"/>
    <w:rsid w:val="67D54704"/>
    <w:rsid w:val="67D572BB"/>
    <w:rsid w:val="67E1286C"/>
    <w:rsid w:val="67E91721"/>
    <w:rsid w:val="67EB09B0"/>
    <w:rsid w:val="67EB3793"/>
    <w:rsid w:val="67F1016D"/>
    <w:rsid w:val="67F51D58"/>
    <w:rsid w:val="67F84BAC"/>
    <w:rsid w:val="67FA56DC"/>
    <w:rsid w:val="68084E80"/>
    <w:rsid w:val="68091DC3"/>
    <w:rsid w:val="680E512F"/>
    <w:rsid w:val="68100E9E"/>
    <w:rsid w:val="6813212A"/>
    <w:rsid w:val="681331C7"/>
    <w:rsid w:val="681432BF"/>
    <w:rsid w:val="68160369"/>
    <w:rsid w:val="68172BDD"/>
    <w:rsid w:val="68182006"/>
    <w:rsid w:val="681A3FD0"/>
    <w:rsid w:val="681F3711"/>
    <w:rsid w:val="68224C33"/>
    <w:rsid w:val="68295FC1"/>
    <w:rsid w:val="682F238B"/>
    <w:rsid w:val="683105C0"/>
    <w:rsid w:val="683722F0"/>
    <w:rsid w:val="683C3F47"/>
    <w:rsid w:val="684730E9"/>
    <w:rsid w:val="68585345"/>
    <w:rsid w:val="685A43CD"/>
    <w:rsid w:val="685C4425"/>
    <w:rsid w:val="68605CAA"/>
    <w:rsid w:val="68676F16"/>
    <w:rsid w:val="68776D2D"/>
    <w:rsid w:val="687F144B"/>
    <w:rsid w:val="688A17C5"/>
    <w:rsid w:val="688F051A"/>
    <w:rsid w:val="6895178F"/>
    <w:rsid w:val="68961784"/>
    <w:rsid w:val="68996DED"/>
    <w:rsid w:val="68996F86"/>
    <w:rsid w:val="689C4BF4"/>
    <w:rsid w:val="689E250C"/>
    <w:rsid w:val="689E3048"/>
    <w:rsid w:val="689F18C8"/>
    <w:rsid w:val="68A07BC4"/>
    <w:rsid w:val="68A13C24"/>
    <w:rsid w:val="68A36041"/>
    <w:rsid w:val="68A86526"/>
    <w:rsid w:val="68A959A5"/>
    <w:rsid w:val="68B27663"/>
    <w:rsid w:val="68B7181F"/>
    <w:rsid w:val="68B97536"/>
    <w:rsid w:val="68BE5C06"/>
    <w:rsid w:val="68C1269E"/>
    <w:rsid w:val="68C8394A"/>
    <w:rsid w:val="68C83A2C"/>
    <w:rsid w:val="68D979E8"/>
    <w:rsid w:val="68DB3A27"/>
    <w:rsid w:val="68ED5241"/>
    <w:rsid w:val="68F24605"/>
    <w:rsid w:val="68F71C1C"/>
    <w:rsid w:val="68FA028C"/>
    <w:rsid w:val="68FF0055"/>
    <w:rsid w:val="69002550"/>
    <w:rsid w:val="690031C6"/>
    <w:rsid w:val="6905258B"/>
    <w:rsid w:val="690E252E"/>
    <w:rsid w:val="690F186C"/>
    <w:rsid w:val="69116C2B"/>
    <w:rsid w:val="69182A50"/>
    <w:rsid w:val="691B6A95"/>
    <w:rsid w:val="69230C63"/>
    <w:rsid w:val="69236EB5"/>
    <w:rsid w:val="69280027"/>
    <w:rsid w:val="692A0243"/>
    <w:rsid w:val="692A4C5F"/>
    <w:rsid w:val="6938470E"/>
    <w:rsid w:val="693C3AD3"/>
    <w:rsid w:val="693C4933"/>
    <w:rsid w:val="694043FF"/>
    <w:rsid w:val="69482210"/>
    <w:rsid w:val="695157D0"/>
    <w:rsid w:val="695232F6"/>
    <w:rsid w:val="69584DB0"/>
    <w:rsid w:val="695B664F"/>
    <w:rsid w:val="696372B1"/>
    <w:rsid w:val="69672308"/>
    <w:rsid w:val="696B71DF"/>
    <w:rsid w:val="69794D27"/>
    <w:rsid w:val="697F058F"/>
    <w:rsid w:val="698338AD"/>
    <w:rsid w:val="69872FA0"/>
    <w:rsid w:val="69874162"/>
    <w:rsid w:val="698C4A5A"/>
    <w:rsid w:val="69913E1E"/>
    <w:rsid w:val="699305F8"/>
    <w:rsid w:val="699441C6"/>
    <w:rsid w:val="6997629B"/>
    <w:rsid w:val="699B1675"/>
    <w:rsid w:val="699B4C9D"/>
    <w:rsid w:val="69A47FF6"/>
    <w:rsid w:val="69AE6D52"/>
    <w:rsid w:val="69AF725C"/>
    <w:rsid w:val="69AF7273"/>
    <w:rsid w:val="69B36AB8"/>
    <w:rsid w:val="69BA15C7"/>
    <w:rsid w:val="69BB4943"/>
    <w:rsid w:val="69BB533F"/>
    <w:rsid w:val="69BE41E9"/>
    <w:rsid w:val="69C40A40"/>
    <w:rsid w:val="69C820DD"/>
    <w:rsid w:val="69CC7495"/>
    <w:rsid w:val="69CE5072"/>
    <w:rsid w:val="69D34437"/>
    <w:rsid w:val="69D63F27"/>
    <w:rsid w:val="69D76098"/>
    <w:rsid w:val="69DD0FAB"/>
    <w:rsid w:val="69E04D5B"/>
    <w:rsid w:val="69E93CEB"/>
    <w:rsid w:val="69EC68F9"/>
    <w:rsid w:val="69EE1271"/>
    <w:rsid w:val="69EF1C44"/>
    <w:rsid w:val="69F85F49"/>
    <w:rsid w:val="69FE3207"/>
    <w:rsid w:val="6A040A94"/>
    <w:rsid w:val="6A082C8B"/>
    <w:rsid w:val="6A0E1913"/>
    <w:rsid w:val="6A0E36C1"/>
    <w:rsid w:val="6A115CF4"/>
    <w:rsid w:val="6A1330E9"/>
    <w:rsid w:val="6A1522D6"/>
    <w:rsid w:val="6A154A4F"/>
    <w:rsid w:val="6A1A02DD"/>
    <w:rsid w:val="6A1E3C9F"/>
    <w:rsid w:val="6A1E451F"/>
    <w:rsid w:val="6A216416"/>
    <w:rsid w:val="6A226039"/>
    <w:rsid w:val="6A2473ED"/>
    <w:rsid w:val="6A270980"/>
    <w:rsid w:val="6A292930"/>
    <w:rsid w:val="6A367544"/>
    <w:rsid w:val="6A3C022E"/>
    <w:rsid w:val="6A4315BC"/>
    <w:rsid w:val="6A594425"/>
    <w:rsid w:val="6A597A1A"/>
    <w:rsid w:val="6A5C211B"/>
    <w:rsid w:val="6A5E6230"/>
    <w:rsid w:val="6A5F52CE"/>
    <w:rsid w:val="6A610B11"/>
    <w:rsid w:val="6A617C95"/>
    <w:rsid w:val="6A697D10"/>
    <w:rsid w:val="6A6B28C1"/>
    <w:rsid w:val="6A6C42EE"/>
    <w:rsid w:val="6A6E4160"/>
    <w:rsid w:val="6A6E5F0E"/>
    <w:rsid w:val="6A6F381B"/>
    <w:rsid w:val="6A723C50"/>
    <w:rsid w:val="6A745C1A"/>
    <w:rsid w:val="6A7764B7"/>
    <w:rsid w:val="6A7A16F4"/>
    <w:rsid w:val="6A8B6AC0"/>
    <w:rsid w:val="6A8D4CB6"/>
    <w:rsid w:val="6A9C0CCD"/>
    <w:rsid w:val="6A9C7D94"/>
    <w:rsid w:val="6A9D3F84"/>
    <w:rsid w:val="6AA45DD3"/>
    <w:rsid w:val="6AA95198"/>
    <w:rsid w:val="6ABE79D1"/>
    <w:rsid w:val="6AC41FD2"/>
    <w:rsid w:val="6AC92FB4"/>
    <w:rsid w:val="6ACC2680"/>
    <w:rsid w:val="6AD55F8D"/>
    <w:rsid w:val="6AD71D05"/>
    <w:rsid w:val="6AD77F57"/>
    <w:rsid w:val="6AD82408"/>
    <w:rsid w:val="6ADB03D8"/>
    <w:rsid w:val="6AE14931"/>
    <w:rsid w:val="6AE924A8"/>
    <w:rsid w:val="6AEB755E"/>
    <w:rsid w:val="6AF132B6"/>
    <w:rsid w:val="6AF243BB"/>
    <w:rsid w:val="6AF428B7"/>
    <w:rsid w:val="6AF53B10"/>
    <w:rsid w:val="6AF663A6"/>
    <w:rsid w:val="6AF93C50"/>
    <w:rsid w:val="6AF942D9"/>
    <w:rsid w:val="6AFB1E97"/>
    <w:rsid w:val="6B0074AE"/>
    <w:rsid w:val="6B014FD4"/>
    <w:rsid w:val="6B052035"/>
    <w:rsid w:val="6B056872"/>
    <w:rsid w:val="6B061A73"/>
    <w:rsid w:val="6B0D0E06"/>
    <w:rsid w:val="6B0F1760"/>
    <w:rsid w:val="6B100568"/>
    <w:rsid w:val="6B145332"/>
    <w:rsid w:val="6B1B42E7"/>
    <w:rsid w:val="6B1E5B86"/>
    <w:rsid w:val="6B211AB1"/>
    <w:rsid w:val="6B2667E8"/>
    <w:rsid w:val="6B272C8C"/>
    <w:rsid w:val="6B2A277C"/>
    <w:rsid w:val="6B321631"/>
    <w:rsid w:val="6B376C47"/>
    <w:rsid w:val="6B4636FB"/>
    <w:rsid w:val="6B4A5DA3"/>
    <w:rsid w:val="6B511AB7"/>
    <w:rsid w:val="6B5A6D17"/>
    <w:rsid w:val="6B61461B"/>
    <w:rsid w:val="6B6A4429"/>
    <w:rsid w:val="6B6B51B8"/>
    <w:rsid w:val="6B6C4B43"/>
    <w:rsid w:val="6B747946"/>
    <w:rsid w:val="6B7C2C80"/>
    <w:rsid w:val="6B826114"/>
    <w:rsid w:val="6B856C99"/>
    <w:rsid w:val="6B8C12A1"/>
    <w:rsid w:val="6B8C3EAC"/>
    <w:rsid w:val="6B910106"/>
    <w:rsid w:val="6B910FBF"/>
    <w:rsid w:val="6B9145AA"/>
    <w:rsid w:val="6B9305A5"/>
    <w:rsid w:val="6B986A02"/>
    <w:rsid w:val="6B9A0764"/>
    <w:rsid w:val="6BA442DD"/>
    <w:rsid w:val="6BA83EEE"/>
    <w:rsid w:val="6BA951C5"/>
    <w:rsid w:val="6BAD0DEB"/>
    <w:rsid w:val="6BB17E19"/>
    <w:rsid w:val="6BB2130C"/>
    <w:rsid w:val="6BB25946"/>
    <w:rsid w:val="6BB42046"/>
    <w:rsid w:val="6BBA58AE"/>
    <w:rsid w:val="6BBE116D"/>
    <w:rsid w:val="6BBE4C73"/>
    <w:rsid w:val="6BC06C3D"/>
    <w:rsid w:val="6BC9641B"/>
    <w:rsid w:val="6BCC25E4"/>
    <w:rsid w:val="6BCC7390"/>
    <w:rsid w:val="6BD02241"/>
    <w:rsid w:val="6BD05FBC"/>
    <w:rsid w:val="6BD149A6"/>
    <w:rsid w:val="6BD46244"/>
    <w:rsid w:val="6BD53A54"/>
    <w:rsid w:val="6BDB5825"/>
    <w:rsid w:val="6BDD1D01"/>
    <w:rsid w:val="6BDD7A07"/>
    <w:rsid w:val="6BE0415C"/>
    <w:rsid w:val="6BE50451"/>
    <w:rsid w:val="6BE566A3"/>
    <w:rsid w:val="6BEA2B9B"/>
    <w:rsid w:val="6BEE37AA"/>
    <w:rsid w:val="6BF34E65"/>
    <w:rsid w:val="6BF64FE3"/>
    <w:rsid w:val="6BFA1918"/>
    <w:rsid w:val="6BFF59B7"/>
    <w:rsid w:val="6C021003"/>
    <w:rsid w:val="6C0E5BFA"/>
    <w:rsid w:val="6C0E79A8"/>
    <w:rsid w:val="6C154ABD"/>
    <w:rsid w:val="6C186A79"/>
    <w:rsid w:val="6C1D408F"/>
    <w:rsid w:val="6C2152D1"/>
    <w:rsid w:val="6C244964"/>
    <w:rsid w:val="6C260EDF"/>
    <w:rsid w:val="6C2B44F5"/>
    <w:rsid w:val="6C2D476B"/>
    <w:rsid w:val="6C2F7FCF"/>
    <w:rsid w:val="6C3D0414"/>
    <w:rsid w:val="6C4258A4"/>
    <w:rsid w:val="6C46055A"/>
    <w:rsid w:val="6C47110C"/>
    <w:rsid w:val="6C495F89"/>
    <w:rsid w:val="6C4A10E1"/>
    <w:rsid w:val="6C4B6506"/>
    <w:rsid w:val="6C4E4249"/>
    <w:rsid w:val="6C5506B8"/>
    <w:rsid w:val="6C5611E9"/>
    <w:rsid w:val="6C575EA4"/>
    <w:rsid w:val="6C586E75"/>
    <w:rsid w:val="6C5A499B"/>
    <w:rsid w:val="6C613F7C"/>
    <w:rsid w:val="6C615D2A"/>
    <w:rsid w:val="6C64581A"/>
    <w:rsid w:val="6C6778F7"/>
    <w:rsid w:val="6C6D29F5"/>
    <w:rsid w:val="6C733CAF"/>
    <w:rsid w:val="6C747BEF"/>
    <w:rsid w:val="6C7539D8"/>
    <w:rsid w:val="6C765833"/>
    <w:rsid w:val="6C767237"/>
    <w:rsid w:val="6C7830B1"/>
    <w:rsid w:val="6C7A6EA4"/>
    <w:rsid w:val="6C7D68DC"/>
    <w:rsid w:val="6C80631C"/>
    <w:rsid w:val="6C843B8E"/>
    <w:rsid w:val="6C875F9B"/>
    <w:rsid w:val="6C922387"/>
    <w:rsid w:val="6C9360FF"/>
    <w:rsid w:val="6C950AE3"/>
    <w:rsid w:val="6C9D0520"/>
    <w:rsid w:val="6C9E14DF"/>
    <w:rsid w:val="6CA2698F"/>
    <w:rsid w:val="6CA6504F"/>
    <w:rsid w:val="6CA87D8E"/>
    <w:rsid w:val="6CAB1B2E"/>
    <w:rsid w:val="6CAC3500"/>
    <w:rsid w:val="6CB0280D"/>
    <w:rsid w:val="6CB26586"/>
    <w:rsid w:val="6CB87914"/>
    <w:rsid w:val="6CC22541"/>
    <w:rsid w:val="6CC462B9"/>
    <w:rsid w:val="6CC9154D"/>
    <w:rsid w:val="6CD72490"/>
    <w:rsid w:val="6CDC1854"/>
    <w:rsid w:val="6CE03B53"/>
    <w:rsid w:val="6CE10C19"/>
    <w:rsid w:val="6CE12720"/>
    <w:rsid w:val="6CE63F9D"/>
    <w:rsid w:val="6CED5810"/>
    <w:rsid w:val="6CF154CA"/>
    <w:rsid w:val="6CF37CE2"/>
    <w:rsid w:val="6CF43042"/>
    <w:rsid w:val="6CFB10D7"/>
    <w:rsid w:val="6CFC177A"/>
    <w:rsid w:val="6D056FFD"/>
    <w:rsid w:val="6D0907C7"/>
    <w:rsid w:val="6D0A7B1D"/>
    <w:rsid w:val="6D0B038C"/>
    <w:rsid w:val="6D0E1EBB"/>
    <w:rsid w:val="6D1014FE"/>
    <w:rsid w:val="6D176D30"/>
    <w:rsid w:val="6D1B431D"/>
    <w:rsid w:val="6D203E37"/>
    <w:rsid w:val="6D273508"/>
    <w:rsid w:val="6D30099F"/>
    <w:rsid w:val="6D3671B7"/>
    <w:rsid w:val="6D400035"/>
    <w:rsid w:val="6D411D30"/>
    <w:rsid w:val="6D4847CA"/>
    <w:rsid w:val="6D4C4C2C"/>
    <w:rsid w:val="6D521B17"/>
    <w:rsid w:val="6D5449D8"/>
    <w:rsid w:val="6D5E0131"/>
    <w:rsid w:val="6D600A16"/>
    <w:rsid w:val="6D635AD2"/>
    <w:rsid w:val="6D6A3304"/>
    <w:rsid w:val="6D6C0E2A"/>
    <w:rsid w:val="6D6D452C"/>
    <w:rsid w:val="6D6F26C8"/>
    <w:rsid w:val="6D7101EF"/>
    <w:rsid w:val="6D717D67"/>
    <w:rsid w:val="6D7A218E"/>
    <w:rsid w:val="6D7F4455"/>
    <w:rsid w:val="6D8819DC"/>
    <w:rsid w:val="6D8A12B0"/>
    <w:rsid w:val="6D8B38C4"/>
    <w:rsid w:val="6D8D552B"/>
    <w:rsid w:val="6D9578E1"/>
    <w:rsid w:val="6D9739CD"/>
    <w:rsid w:val="6D990679"/>
    <w:rsid w:val="6DA0381A"/>
    <w:rsid w:val="6DA8457F"/>
    <w:rsid w:val="6DAB0C1D"/>
    <w:rsid w:val="6DAC56CB"/>
    <w:rsid w:val="6DAC7479"/>
    <w:rsid w:val="6DB57033"/>
    <w:rsid w:val="6DB91B96"/>
    <w:rsid w:val="6DBA662A"/>
    <w:rsid w:val="6DBC66AB"/>
    <w:rsid w:val="6DBD5360"/>
    <w:rsid w:val="6DC3394D"/>
    <w:rsid w:val="6DCC559D"/>
    <w:rsid w:val="6DDB2EA4"/>
    <w:rsid w:val="6DDC2DC1"/>
    <w:rsid w:val="6DDD76B3"/>
    <w:rsid w:val="6DE05DC6"/>
    <w:rsid w:val="6DE07122"/>
    <w:rsid w:val="6DE2733E"/>
    <w:rsid w:val="6DE72678"/>
    <w:rsid w:val="6DEB0280"/>
    <w:rsid w:val="6DEF3809"/>
    <w:rsid w:val="6DF32115"/>
    <w:rsid w:val="6DF4662F"/>
    <w:rsid w:val="6DF546B7"/>
    <w:rsid w:val="6DF86C28"/>
    <w:rsid w:val="6DFB0585"/>
    <w:rsid w:val="6DFD7CD4"/>
    <w:rsid w:val="6E003712"/>
    <w:rsid w:val="6E005A16"/>
    <w:rsid w:val="6E021E51"/>
    <w:rsid w:val="6E056B89"/>
    <w:rsid w:val="6E065A2C"/>
    <w:rsid w:val="6E0D462A"/>
    <w:rsid w:val="6E0D7865"/>
    <w:rsid w:val="6E0E1EE1"/>
    <w:rsid w:val="6E102D14"/>
    <w:rsid w:val="6E1374F8"/>
    <w:rsid w:val="6E1B45FE"/>
    <w:rsid w:val="6E1E4715"/>
    <w:rsid w:val="6E23118A"/>
    <w:rsid w:val="6E296D1B"/>
    <w:rsid w:val="6E2A5F5A"/>
    <w:rsid w:val="6E2B2A93"/>
    <w:rsid w:val="6E2E60E0"/>
    <w:rsid w:val="6E2F4460"/>
    <w:rsid w:val="6E332A52"/>
    <w:rsid w:val="6E3F02ED"/>
    <w:rsid w:val="6E436894"/>
    <w:rsid w:val="6E4A548B"/>
    <w:rsid w:val="6E4C2A0A"/>
    <w:rsid w:val="6E4D4E71"/>
    <w:rsid w:val="6E5042A8"/>
    <w:rsid w:val="6E5D67E0"/>
    <w:rsid w:val="6E5E1BAD"/>
    <w:rsid w:val="6E6225BC"/>
    <w:rsid w:val="6E641B9E"/>
    <w:rsid w:val="6E643DA1"/>
    <w:rsid w:val="6E657628"/>
    <w:rsid w:val="6E66170D"/>
    <w:rsid w:val="6E674F9E"/>
    <w:rsid w:val="6E712470"/>
    <w:rsid w:val="6E7449D1"/>
    <w:rsid w:val="6E767734"/>
    <w:rsid w:val="6E775CD9"/>
    <w:rsid w:val="6E786ABC"/>
    <w:rsid w:val="6E7A0843"/>
    <w:rsid w:val="6E7A59B0"/>
    <w:rsid w:val="6E7D0E15"/>
    <w:rsid w:val="6E7E3225"/>
    <w:rsid w:val="6E82467D"/>
    <w:rsid w:val="6E82642B"/>
    <w:rsid w:val="6E881292"/>
    <w:rsid w:val="6E8B1784"/>
    <w:rsid w:val="6E8C1275"/>
    <w:rsid w:val="6E8E4DD0"/>
    <w:rsid w:val="6E913904"/>
    <w:rsid w:val="6E95728B"/>
    <w:rsid w:val="6E970098"/>
    <w:rsid w:val="6E9804F8"/>
    <w:rsid w:val="6E9B6D4A"/>
    <w:rsid w:val="6EA22C9D"/>
    <w:rsid w:val="6EA36ACE"/>
    <w:rsid w:val="6EA87056"/>
    <w:rsid w:val="6EAC5256"/>
    <w:rsid w:val="6EAE7221"/>
    <w:rsid w:val="6EB033C6"/>
    <w:rsid w:val="6EB0547A"/>
    <w:rsid w:val="6EB2181E"/>
    <w:rsid w:val="6EB760D5"/>
    <w:rsid w:val="6EB8009F"/>
    <w:rsid w:val="6EC070A4"/>
    <w:rsid w:val="6EC45E38"/>
    <w:rsid w:val="6ECB6F4F"/>
    <w:rsid w:val="6ECE341F"/>
    <w:rsid w:val="6ECE536B"/>
    <w:rsid w:val="6ED21161"/>
    <w:rsid w:val="6EE60046"/>
    <w:rsid w:val="6EE92007"/>
    <w:rsid w:val="6EEB6121"/>
    <w:rsid w:val="6EED2707"/>
    <w:rsid w:val="6EEF4DA3"/>
    <w:rsid w:val="6EF020B7"/>
    <w:rsid w:val="6EFA4403"/>
    <w:rsid w:val="6EFC5D0E"/>
    <w:rsid w:val="6EFD3685"/>
    <w:rsid w:val="6F07206C"/>
    <w:rsid w:val="6F0E0B37"/>
    <w:rsid w:val="6F116F85"/>
    <w:rsid w:val="6F125A01"/>
    <w:rsid w:val="6F127055"/>
    <w:rsid w:val="6F1277AF"/>
    <w:rsid w:val="6F147CF5"/>
    <w:rsid w:val="6F1572A0"/>
    <w:rsid w:val="6F196D90"/>
    <w:rsid w:val="6F1A1012"/>
    <w:rsid w:val="6F1B2B08"/>
    <w:rsid w:val="6F215C44"/>
    <w:rsid w:val="6F240B2A"/>
    <w:rsid w:val="6F2D6397"/>
    <w:rsid w:val="6F2E3EBD"/>
    <w:rsid w:val="6F355C1A"/>
    <w:rsid w:val="6F364547"/>
    <w:rsid w:val="6F3B5AF9"/>
    <w:rsid w:val="6F3D37E0"/>
    <w:rsid w:val="6F3E0091"/>
    <w:rsid w:val="6F437969"/>
    <w:rsid w:val="6F48243C"/>
    <w:rsid w:val="6F4A4AEF"/>
    <w:rsid w:val="6F5361F2"/>
    <w:rsid w:val="6F59718C"/>
    <w:rsid w:val="6F66482C"/>
    <w:rsid w:val="6F6B6EC0"/>
    <w:rsid w:val="6F6C1BF9"/>
    <w:rsid w:val="6F6C3363"/>
    <w:rsid w:val="6F71097A"/>
    <w:rsid w:val="6F7B6738"/>
    <w:rsid w:val="6F7C2E7B"/>
    <w:rsid w:val="6F83609C"/>
    <w:rsid w:val="6F96218E"/>
    <w:rsid w:val="6F982104"/>
    <w:rsid w:val="6F9965D5"/>
    <w:rsid w:val="6F9E1675"/>
    <w:rsid w:val="6F9F3EEA"/>
    <w:rsid w:val="6FA74F6D"/>
    <w:rsid w:val="6FA84A4C"/>
    <w:rsid w:val="6FA904D1"/>
    <w:rsid w:val="6FAA6067"/>
    <w:rsid w:val="6FAB550E"/>
    <w:rsid w:val="6FAC5A7B"/>
    <w:rsid w:val="6FAF4FFE"/>
    <w:rsid w:val="6FAF7099"/>
    <w:rsid w:val="6FB616E5"/>
    <w:rsid w:val="6FB62831"/>
    <w:rsid w:val="6FB70357"/>
    <w:rsid w:val="6FBB39A3"/>
    <w:rsid w:val="6FBE49C3"/>
    <w:rsid w:val="6FBF02B5"/>
    <w:rsid w:val="6FC43F90"/>
    <w:rsid w:val="6FC52A74"/>
    <w:rsid w:val="6FD37D9E"/>
    <w:rsid w:val="6FD40F09"/>
    <w:rsid w:val="6FD4433F"/>
    <w:rsid w:val="6FD44A65"/>
    <w:rsid w:val="6FD809F9"/>
    <w:rsid w:val="6FE74798"/>
    <w:rsid w:val="6FE80510"/>
    <w:rsid w:val="6FEC6252"/>
    <w:rsid w:val="6FFB46E7"/>
    <w:rsid w:val="700314C5"/>
    <w:rsid w:val="70045812"/>
    <w:rsid w:val="70083FED"/>
    <w:rsid w:val="700853C0"/>
    <w:rsid w:val="700B641B"/>
    <w:rsid w:val="700C2451"/>
    <w:rsid w:val="70101F69"/>
    <w:rsid w:val="70103AEC"/>
    <w:rsid w:val="701A1FC1"/>
    <w:rsid w:val="701E3F32"/>
    <w:rsid w:val="70223A22"/>
    <w:rsid w:val="702459EC"/>
    <w:rsid w:val="702478A3"/>
    <w:rsid w:val="70251764"/>
    <w:rsid w:val="7025742A"/>
    <w:rsid w:val="702920DD"/>
    <w:rsid w:val="702C0726"/>
    <w:rsid w:val="702D46D3"/>
    <w:rsid w:val="703270B5"/>
    <w:rsid w:val="703C2F7E"/>
    <w:rsid w:val="70422316"/>
    <w:rsid w:val="70453BB5"/>
    <w:rsid w:val="70467F16"/>
    <w:rsid w:val="704E2A69"/>
    <w:rsid w:val="704F288A"/>
    <w:rsid w:val="704F44A9"/>
    <w:rsid w:val="70587444"/>
    <w:rsid w:val="705A140E"/>
    <w:rsid w:val="705B6F34"/>
    <w:rsid w:val="705C2F35"/>
    <w:rsid w:val="705D08A4"/>
    <w:rsid w:val="70673B2B"/>
    <w:rsid w:val="706A1AA4"/>
    <w:rsid w:val="707149AA"/>
    <w:rsid w:val="70725106"/>
    <w:rsid w:val="708244C1"/>
    <w:rsid w:val="70827D2B"/>
    <w:rsid w:val="70862203"/>
    <w:rsid w:val="70875F7B"/>
    <w:rsid w:val="70894A62"/>
    <w:rsid w:val="708C17E3"/>
    <w:rsid w:val="70944D11"/>
    <w:rsid w:val="70995E5E"/>
    <w:rsid w:val="709E5136"/>
    <w:rsid w:val="70A02B99"/>
    <w:rsid w:val="70AA6F37"/>
    <w:rsid w:val="70AD3FF0"/>
    <w:rsid w:val="70B37F1E"/>
    <w:rsid w:val="70BD374B"/>
    <w:rsid w:val="70BE7F7D"/>
    <w:rsid w:val="70C04FE9"/>
    <w:rsid w:val="70C06731"/>
    <w:rsid w:val="70C71B7C"/>
    <w:rsid w:val="70C74DF3"/>
    <w:rsid w:val="70D021B7"/>
    <w:rsid w:val="70D76B64"/>
    <w:rsid w:val="70D95706"/>
    <w:rsid w:val="70DB4B14"/>
    <w:rsid w:val="70E029FA"/>
    <w:rsid w:val="70E81C25"/>
    <w:rsid w:val="70E92F39"/>
    <w:rsid w:val="70F33EB5"/>
    <w:rsid w:val="70F512BC"/>
    <w:rsid w:val="70F67E92"/>
    <w:rsid w:val="70FC24C5"/>
    <w:rsid w:val="70FC7F1F"/>
    <w:rsid w:val="71063344"/>
    <w:rsid w:val="71063693"/>
    <w:rsid w:val="71077E7B"/>
    <w:rsid w:val="71092257"/>
    <w:rsid w:val="710C7503"/>
    <w:rsid w:val="71105EBD"/>
    <w:rsid w:val="71155335"/>
    <w:rsid w:val="711A6DEF"/>
    <w:rsid w:val="711B4938"/>
    <w:rsid w:val="712107AA"/>
    <w:rsid w:val="71224100"/>
    <w:rsid w:val="7124455A"/>
    <w:rsid w:val="712B4B58"/>
    <w:rsid w:val="71382610"/>
    <w:rsid w:val="71463740"/>
    <w:rsid w:val="71471619"/>
    <w:rsid w:val="71471A4F"/>
    <w:rsid w:val="71502811"/>
    <w:rsid w:val="715220E5"/>
    <w:rsid w:val="716A5681"/>
    <w:rsid w:val="71725D5E"/>
    <w:rsid w:val="71787E24"/>
    <w:rsid w:val="717C0814"/>
    <w:rsid w:val="717C3606"/>
    <w:rsid w:val="717E6468"/>
    <w:rsid w:val="717F6C52"/>
    <w:rsid w:val="718030F6"/>
    <w:rsid w:val="718401CE"/>
    <w:rsid w:val="71847052"/>
    <w:rsid w:val="7185070D"/>
    <w:rsid w:val="7188125C"/>
    <w:rsid w:val="71881FAB"/>
    <w:rsid w:val="71883F71"/>
    <w:rsid w:val="719212C2"/>
    <w:rsid w:val="719A3A8C"/>
    <w:rsid w:val="719E357C"/>
    <w:rsid w:val="71A16BC9"/>
    <w:rsid w:val="71A37926"/>
    <w:rsid w:val="71A54F3B"/>
    <w:rsid w:val="71AE31E3"/>
    <w:rsid w:val="71B42DA0"/>
    <w:rsid w:val="71B92164"/>
    <w:rsid w:val="71BA7C8A"/>
    <w:rsid w:val="71BB2380"/>
    <w:rsid w:val="71BC7EA6"/>
    <w:rsid w:val="71C034F3"/>
    <w:rsid w:val="71C07AE9"/>
    <w:rsid w:val="71C4417B"/>
    <w:rsid w:val="71CB4BD9"/>
    <w:rsid w:val="71CC461A"/>
    <w:rsid w:val="71D022E5"/>
    <w:rsid w:val="71D025FE"/>
    <w:rsid w:val="71D40D4C"/>
    <w:rsid w:val="71D84CF3"/>
    <w:rsid w:val="71DA7817"/>
    <w:rsid w:val="71E15B09"/>
    <w:rsid w:val="71E47292"/>
    <w:rsid w:val="71E97C9F"/>
    <w:rsid w:val="71EA0185"/>
    <w:rsid w:val="71EA67C2"/>
    <w:rsid w:val="71EC46A3"/>
    <w:rsid w:val="71EF1F5F"/>
    <w:rsid w:val="71F56BF6"/>
    <w:rsid w:val="71F7646A"/>
    <w:rsid w:val="71F76F96"/>
    <w:rsid w:val="71F80EDE"/>
    <w:rsid w:val="71F83243"/>
    <w:rsid w:val="72012CBF"/>
    <w:rsid w:val="7202073D"/>
    <w:rsid w:val="7202155D"/>
    <w:rsid w:val="720535FB"/>
    <w:rsid w:val="720A0C12"/>
    <w:rsid w:val="720C14E0"/>
    <w:rsid w:val="720C2DD1"/>
    <w:rsid w:val="720D24B0"/>
    <w:rsid w:val="720E0702"/>
    <w:rsid w:val="720F447A"/>
    <w:rsid w:val="7213457E"/>
    <w:rsid w:val="72147835"/>
    <w:rsid w:val="72190E55"/>
    <w:rsid w:val="721E646B"/>
    <w:rsid w:val="72272691"/>
    <w:rsid w:val="722D66AE"/>
    <w:rsid w:val="72330169"/>
    <w:rsid w:val="72367C59"/>
    <w:rsid w:val="72435ED2"/>
    <w:rsid w:val="72473C14"/>
    <w:rsid w:val="724C122A"/>
    <w:rsid w:val="724D437D"/>
    <w:rsid w:val="724E1389"/>
    <w:rsid w:val="724E6446"/>
    <w:rsid w:val="72504DAF"/>
    <w:rsid w:val="72516841"/>
    <w:rsid w:val="72572EF3"/>
    <w:rsid w:val="725B321B"/>
    <w:rsid w:val="725D3707"/>
    <w:rsid w:val="725E2F46"/>
    <w:rsid w:val="7261278F"/>
    <w:rsid w:val="72655E48"/>
    <w:rsid w:val="726A4578"/>
    <w:rsid w:val="726F4F19"/>
    <w:rsid w:val="72717C9B"/>
    <w:rsid w:val="72723FF6"/>
    <w:rsid w:val="72742114"/>
    <w:rsid w:val="72762888"/>
    <w:rsid w:val="7279039D"/>
    <w:rsid w:val="727918F3"/>
    <w:rsid w:val="727B1B10"/>
    <w:rsid w:val="728E1843"/>
    <w:rsid w:val="728E2BC1"/>
    <w:rsid w:val="7294672D"/>
    <w:rsid w:val="7295497F"/>
    <w:rsid w:val="729D3834"/>
    <w:rsid w:val="729F75AC"/>
    <w:rsid w:val="72A314FA"/>
    <w:rsid w:val="72A856AC"/>
    <w:rsid w:val="72A9042B"/>
    <w:rsid w:val="72AA18E0"/>
    <w:rsid w:val="72AC4779"/>
    <w:rsid w:val="72AE5A41"/>
    <w:rsid w:val="72B50B7E"/>
    <w:rsid w:val="72B8241C"/>
    <w:rsid w:val="72BA3401"/>
    <w:rsid w:val="72BA6194"/>
    <w:rsid w:val="72BF37AA"/>
    <w:rsid w:val="72C43218"/>
    <w:rsid w:val="72C76B03"/>
    <w:rsid w:val="72CC5CA5"/>
    <w:rsid w:val="72CD5DA8"/>
    <w:rsid w:val="72D40E29"/>
    <w:rsid w:val="72D52FCE"/>
    <w:rsid w:val="72DE3255"/>
    <w:rsid w:val="72E17F9D"/>
    <w:rsid w:val="72E256EB"/>
    <w:rsid w:val="72E7250F"/>
    <w:rsid w:val="72E8679E"/>
    <w:rsid w:val="72F202EC"/>
    <w:rsid w:val="72F47A2B"/>
    <w:rsid w:val="72F80C5B"/>
    <w:rsid w:val="72FC67AC"/>
    <w:rsid w:val="72FD221B"/>
    <w:rsid w:val="72FE225A"/>
    <w:rsid w:val="73010267"/>
    <w:rsid w:val="73016032"/>
    <w:rsid w:val="73020DF3"/>
    <w:rsid w:val="73044836"/>
    <w:rsid w:val="73051EE1"/>
    <w:rsid w:val="73133AF6"/>
    <w:rsid w:val="73161781"/>
    <w:rsid w:val="731735E6"/>
    <w:rsid w:val="731A6C33"/>
    <w:rsid w:val="731D1633"/>
    <w:rsid w:val="73275372"/>
    <w:rsid w:val="732D6BBB"/>
    <w:rsid w:val="733511AD"/>
    <w:rsid w:val="73352289"/>
    <w:rsid w:val="7335411A"/>
    <w:rsid w:val="7335505D"/>
    <w:rsid w:val="733D30E0"/>
    <w:rsid w:val="7340007A"/>
    <w:rsid w:val="73447BFD"/>
    <w:rsid w:val="734C0DB6"/>
    <w:rsid w:val="7352461E"/>
    <w:rsid w:val="73577E87"/>
    <w:rsid w:val="737169E3"/>
    <w:rsid w:val="737943CD"/>
    <w:rsid w:val="737E3665"/>
    <w:rsid w:val="737F118B"/>
    <w:rsid w:val="73812C94"/>
    <w:rsid w:val="7385684A"/>
    <w:rsid w:val="73874293"/>
    <w:rsid w:val="738B5D82"/>
    <w:rsid w:val="73927111"/>
    <w:rsid w:val="739B6F5E"/>
    <w:rsid w:val="739D529C"/>
    <w:rsid w:val="739E7E78"/>
    <w:rsid w:val="73A062CC"/>
    <w:rsid w:val="73AB1F81"/>
    <w:rsid w:val="73AB4594"/>
    <w:rsid w:val="73AD5CF9"/>
    <w:rsid w:val="73AE399F"/>
    <w:rsid w:val="73B01345"/>
    <w:rsid w:val="73B51D3E"/>
    <w:rsid w:val="73B87024"/>
    <w:rsid w:val="73BB3939"/>
    <w:rsid w:val="73BB7FA3"/>
    <w:rsid w:val="73C44DF0"/>
    <w:rsid w:val="73C66DBA"/>
    <w:rsid w:val="73CB43D1"/>
    <w:rsid w:val="73CB617F"/>
    <w:rsid w:val="73D414D7"/>
    <w:rsid w:val="73D52B09"/>
    <w:rsid w:val="73DA0CAB"/>
    <w:rsid w:val="73DA55A8"/>
    <w:rsid w:val="73DB274C"/>
    <w:rsid w:val="73E07E7C"/>
    <w:rsid w:val="73E31F36"/>
    <w:rsid w:val="73E92976"/>
    <w:rsid w:val="73EB05CF"/>
    <w:rsid w:val="73EF00BF"/>
    <w:rsid w:val="73F3740F"/>
    <w:rsid w:val="73F50988"/>
    <w:rsid w:val="73FA09CF"/>
    <w:rsid w:val="73FE105D"/>
    <w:rsid w:val="74013FEE"/>
    <w:rsid w:val="74031DBD"/>
    <w:rsid w:val="740C70C5"/>
    <w:rsid w:val="740D6797"/>
    <w:rsid w:val="740E69C9"/>
    <w:rsid w:val="740F0749"/>
    <w:rsid w:val="74100036"/>
    <w:rsid w:val="74133A97"/>
    <w:rsid w:val="74145D78"/>
    <w:rsid w:val="7416243F"/>
    <w:rsid w:val="74167A1B"/>
    <w:rsid w:val="74181EB8"/>
    <w:rsid w:val="741A07E9"/>
    <w:rsid w:val="74237D69"/>
    <w:rsid w:val="742464AB"/>
    <w:rsid w:val="74257F85"/>
    <w:rsid w:val="742F3B89"/>
    <w:rsid w:val="74302CE5"/>
    <w:rsid w:val="74367D23"/>
    <w:rsid w:val="744245F4"/>
    <w:rsid w:val="74424693"/>
    <w:rsid w:val="7446778E"/>
    <w:rsid w:val="744760BC"/>
    <w:rsid w:val="744A79EB"/>
    <w:rsid w:val="744C0614"/>
    <w:rsid w:val="744D11B3"/>
    <w:rsid w:val="745A5E80"/>
    <w:rsid w:val="745B2674"/>
    <w:rsid w:val="745D771F"/>
    <w:rsid w:val="745F3497"/>
    <w:rsid w:val="74600FBD"/>
    <w:rsid w:val="746060D9"/>
    <w:rsid w:val="746127C7"/>
    <w:rsid w:val="74624D35"/>
    <w:rsid w:val="74641DE3"/>
    <w:rsid w:val="746D04E3"/>
    <w:rsid w:val="746E5488"/>
    <w:rsid w:val="74756912"/>
    <w:rsid w:val="74790DB9"/>
    <w:rsid w:val="7479207F"/>
    <w:rsid w:val="747D0D73"/>
    <w:rsid w:val="747D1B6F"/>
    <w:rsid w:val="747F58E7"/>
    <w:rsid w:val="748C0004"/>
    <w:rsid w:val="748C590E"/>
    <w:rsid w:val="748F41FE"/>
    <w:rsid w:val="74911176"/>
    <w:rsid w:val="74934EEE"/>
    <w:rsid w:val="749B0247"/>
    <w:rsid w:val="74A16D28"/>
    <w:rsid w:val="74A62DC1"/>
    <w:rsid w:val="74A71E5E"/>
    <w:rsid w:val="74A8676A"/>
    <w:rsid w:val="74AB34B4"/>
    <w:rsid w:val="74AD5CBB"/>
    <w:rsid w:val="74B104DB"/>
    <w:rsid w:val="74B12652"/>
    <w:rsid w:val="74BA1537"/>
    <w:rsid w:val="74BB03F9"/>
    <w:rsid w:val="74BC25C2"/>
    <w:rsid w:val="74C01A5C"/>
    <w:rsid w:val="74CE0828"/>
    <w:rsid w:val="74DD7D2B"/>
    <w:rsid w:val="74E01B66"/>
    <w:rsid w:val="74EC45FF"/>
    <w:rsid w:val="74ED7B41"/>
    <w:rsid w:val="74EF08C6"/>
    <w:rsid w:val="74F26B25"/>
    <w:rsid w:val="74F94E39"/>
    <w:rsid w:val="75017A26"/>
    <w:rsid w:val="75046D0E"/>
    <w:rsid w:val="750556C0"/>
    <w:rsid w:val="75071439"/>
    <w:rsid w:val="750951B1"/>
    <w:rsid w:val="750B288E"/>
    <w:rsid w:val="750E27C7"/>
    <w:rsid w:val="751002F7"/>
    <w:rsid w:val="751221DA"/>
    <w:rsid w:val="7513602F"/>
    <w:rsid w:val="751733A8"/>
    <w:rsid w:val="751B4EE4"/>
    <w:rsid w:val="751F48C4"/>
    <w:rsid w:val="751F6803"/>
    <w:rsid w:val="75243D99"/>
    <w:rsid w:val="75283DAC"/>
    <w:rsid w:val="752C7C80"/>
    <w:rsid w:val="752E4C17"/>
    <w:rsid w:val="75306BE1"/>
    <w:rsid w:val="7535244A"/>
    <w:rsid w:val="753631FE"/>
    <w:rsid w:val="75390472"/>
    <w:rsid w:val="753C0F6C"/>
    <w:rsid w:val="753D29BF"/>
    <w:rsid w:val="75411AD6"/>
    <w:rsid w:val="754B452A"/>
    <w:rsid w:val="754B7177"/>
    <w:rsid w:val="7553467E"/>
    <w:rsid w:val="75535879"/>
    <w:rsid w:val="75581C94"/>
    <w:rsid w:val="755D54FC"/>
    <w:rsid w:val="75616D9B"/>
    <w:rsid w:val="75671ED7"/>
    <w:rsid w:val="75762533"/>
    <w:rsid w:val="757A210D"/>
    <w:rsid w:val="757C5983"/>
    <w:rsid w:val="757D070F"/>
    <w:rsid w:val="75866801"/>
    <w:rsid w:val="75877013"/>
    <w:rsid w:val="75882579"/>
    <w:rsid w:val="758D4034"/>
    <w:rsid w:val="759B1025"/>
    <w:rsid w:val="759D2199"/>
    <w:rsid w:val="759E5A29"/>
    <w:rsid w:val="75A47E89"/>
    <w:rsid w:val="75AB44BA"/>
    <w:rsid w:val="75AC051A"/>
    <w:rsid w:val="75AD1FE0"/>
    <w:rsid w:val="75AE004B"/>
    <w:rsid w:val="75B07D22"/>
    <w:rsid w:val="75B60A34"/>
    <w:rsid w:val="75B72082"/>
    <w:rsid w:val="75B72E5F"/>
    <w:rsid w:val="75B86FA7"/>
    <w:rsid w:val="75BA64AB"/>
    <w:rsid w:val="75C64DC4"/>
    <w:rsid w:val="75CC18D1"/>
    <w:rsid w:val="75D61A57"/>
    <w:rsid w:val="75DB329A"/>
    <w:rsid w:val="75DD444D"/>
    <w:rsid w:val="75E50546"/>
    <w:rsid w:val="75E579CC"/>
    <w:rsid w:val="75E654F2"/>
    <w:rsid w:val="75E81D1C"/>
    <w:rsid w:val="75EA0CC4"/>
    <w:rsid w:val="75EB0273"/>
    <w:rsid w:val="75EF25F8"/>
    <w:rsid w:val="75F93477"/>
    <w:rsid w:val="75FF2649"/>
    <w:rsid w:val="7612601E"/>
    <w:rsid w:val="761402B1"/>
    <w:rsid w:val="76147D8F"/>
    <w:rsid w:val="76171A23"/>
    <w:rsid w:val="761B3EDC"/>
    <w:rsid w:val="761D53B8"/>
    <w:rsid w:val="761E337E"/>
    <w:rsid w:val="76237344"/>
    <w:rsid w:val="7625426C"/>
    <w:rsid w:val="762A53DF"/>
    <w:rsid w:val="76397D18"/>
    <w:rsid w:val="763D4C02"/>
    <w:rsid w:val="7641097A"/>
    <w:rsid w:val="76435F36"/>
    <w:rsid w:val="764D475E"/>
    <w:rsid w:val="76591549"/>
    <w:rsid w:val="765E1F52"/>
    <w:rsid w:val="7662101C"/>
    <w:rsid w:val="766B15EC"/>
    <w:rsid w:val="766F54E7"/>
    <w:rsid w:val="76777605"/>
    <w:rsid w:val="767779D2"/>
    <w:rsid w:val="76790114"/>
    <w:rsid w:val="767E1BCE"/>
    <w:rsid w:val="767E572A"/>
    <w:rsid w:val="768076F4"/>
    <w:rsid w:val="768970B7"/>
    <w:rsid w:val="7691545E"/>
    <w:rsid w:val="76932C49"/>
    <w:rsid w:val="76942021"/>
    <w:rsid w:val="76A35CA9"/>
    <w:rsid w:val="76A423A7"/>
    <w:rsid w:val="76A71125"/>
    <w:rsid w:val="76A74C81"/>
    <w:rsid w:val="76B850E0"/>
    <w:rsid w:val="76BE1FCB"/>
    <w:rsid w:val="76BE30F4"/>
    <w:rsid w:val="76C15B4E"/>
    <w:rsid w:val="76C53359"/>
    <w:rsid w:val="76C577FD"/>
    <w:rsid w:val="76C74EFE"/>
    <w:rsid w:val="76C9109B"/>
    <w:rsid w:val="76CD198A"/>
    <w:rsid w:val="76CE510C"/>
    <w:rsid w:val="76CF166E"/>
    <w:rsid w:val="76D0242A"/>
    <w:rsid w:val="76D10B32"/>
    <w:rsid w:val="76D161A2"/>
    <w:rsid w:val="76D23B71"/>
    <w:rsid w:val="76DC6F10"/>
    <w:rsid w:val="76DD14DA"/>
    <w:rsid w:val="76E060E7"/>
    <w:rsid w:val="76E17882"/>
    <w:rsid w:val="76E70438"/>
    <w:rsid w:val="76E74F45"/>
    <w:rsid w:val="76EC16A6"/>
    <w:rsid w:val="76EF6628"/>
    <w:rsid w:val="76F459ED"/>
    <w:rsid w:val="76F667DF"/>
    <w:rsid w:val="76FB6D7B"/>
    <w:rsid w:val="770A4F84"/>
    <w:rsid w:val="77176686"/>
    <w:rsid w:val="771D50DB"/>
    <w:rsid w:val="7720567C"/>
    <w:rsid w:val="77260998"/>
    <w:rsid w:val="77277B70"/>
    <w:rsid w:val="772A034D"/>
    <w:rsid w:val="772B173D"/>
    <w:rsid w:val="772B58B2"/>
    <w:rsid w:val="772E53A2"/>
    <w:rsid w:val="772F04A0"/>
    <w:rsid w:val="77334767"/>
    <w:rsid w:val="77366005"/>
    <w:rsid w:val="773B3051"/>
    <w:rsid w:val="773F2A73"/>
    <w:rsid w:val="77497DB7"/>
    <w:rsid w:val="774A385E"/>
    <w:rsid w:val="774B7D02"/>
    <w:rsid w:val="774E77F3"/>
    <w:rsid w:val="775306E2"/>
    <w:rsid w:val="77550B81"/>
    <w:rsid w:val="77562203"/>
    <w:rsid w:val="775B0206"/>
    <w:rsid w:val="775C13BB"/>
    <w:rsid w:val="775E77FF"/>
    <w:rsid w:val="7767792C"/>
    <w:rsid w:val="776A1E10"/>
    <w:rsid w:val="776D5D63"/>
    <w:rsid w:val="7778661E"/>
    <w:rsid w:val="77792F67"/>
    <w:rsid w:val="777F50F4"/>
    <w:rsid w:val="77884AB3"/>
    <w:rsid w:val="7790475A"/>
    <w:rsid w:val="7793643A"/>
    <w:rsid w:val="779571D0"/>
    <w:rsid w:val="7796101E"/>
    <w:rsid w:val="779B2445"/>
    <w:rsid w:val="779B7DB1"/>
    <w:rsid w:val="779E42D6"/>
    <w:rsid w:val="779F1DFC"/>
    <w:rsid w:val="77A17922"/>
    <w:rsid w:val="77A47159"/>
    <w:rsid w:val="77A85537"/>
    <w:rsid w:val="77B8543C"/>
    <w:rsid w:val="77B91110"/>
    <w:rsid w:val="77B91FE2"/>
    <w:rsid w:val="77C0324D"/>
    <w:rsid w:val="77CB0E43"/>
    <w:rsid w:val="77CD6969"/>
    <w:rsid w:val="77D00BA3"/>
    <w:rsid w:val="77D30FFF"/>
    <w:rsid w:val="77D777E8"/>
    <w:rsid w:val="77DE1FC7"/>
    <w:rsid w:val="77DE41E0"/>
    <w:rsid w:val="77DF3B50"/>
    <w:rsid w:val="77E255F1"/>
    <w:rsid w:val="77E31255"/>
    <w:rsid w:val="77E67A2B"/>
    <w:rsid w:val="77E74CD6"/>
    <w:rsid w:val="77EC3318"/>
    <w:rsid w:val="77ED2B68"/>
    <w:rsid w:val="77F55EC0"/>
    <w:rsid w:val="77F832AB"/>
    <w:rsid w:val="77FA34D6"/>
    <w:rsid w:val="780075EB"/>
    <w:rsid w:val="78061D4D"/>
    <w:rsid w:val="780C6C70"/>
    <w:rsid w:val="781003C8"/>
    <w:rsid w:val="7811385C"/>
    <w:rsid w:val="78135187"/>
    <w:rsid w:val="78164BF4"/>
    <w:rsid w:val="782F4F2E"/>
    <w:rsid w:val="78322C70"/>
    <w:rsid w:val="783764D9"/>
    <w:rsid w:val="7844403A"/>
    <w:rsid w:val="784604CA"/>
    <w:rsid w:val="784D7AAA"/>
    <w:rsid w:val="784E3C31"/>
    <w:rsid w:val="78522778"/>
    <w:rsid w:val="785A7737"/>
    <w:rsid w:val="78670128"/>
    <w:rsid w:val="78695011"/>
    <w:rsid w:val="7871641E"/>
    <w:rsid w:val="787A3896"/>
    <w:rsid w:val="78852D33"/>
    <w:rsid w:val="788B039C"/>
    <w:rsid w:val="788C2381"/>
    <w:rsid w:val="788D521D"/>
    <w:rsid w:val="788F1F55"/>
    <w:rsid w:val="788F3C1F"/>
    <w:rsid w:val="78906668"/>
    <w:rsid w:val="78925885"/>
    <w:rsid w:val="78945D76"/>
    <w:rsid w:val="789F0C99"/>
    <w:rsid w:val="78A141F4"/>
    <w:rsid w:val="78A46E91"/>
    <w:rsid w:val="78A551F0"/>
    <w:rsid w:val="78A82F32"/>
    <w:rsid w:val="78AB2EE0"/>
    <w:rsid w:val="78B2513E"/>
    <w:rsid w:val="78B34CF1"/>
    <w:rsid w:val="78B418D7"/>
    <w:rsid w:val="78B54E45"/>
    <w:rsid w:val="78B7290A"/>
    <w:rsid w:val="78B7340B"/>
    <w:rsid w:val="78BB0B72"/>
    <w:rsid w:val="78BE1898"/>
    <w:rsid w:val="78BE2756"/>
    <w:rsid w:val="78C0027C"/>
    <w:rsid w:val="78C02044"/>
    <w:rsid w:val="78C45BA2"/>
    <w:rsid w:val="78C53AE4"/>
    <w:rsid w:val="78C7785D"/>
    <w:rsid w:val="78CA1E86"/>
    <w:rsid w:val="78CD2D94"/>
    <w:rsid w:val="78D45AD6"/>
    <w:rsid w:val="78D930EC"/>
    <w:rsid w:val="78DA7590"/>
    <w:rsid w:val="78E57CE3"/>
    <w:rsid w:val="78E81581"/>
    <w:rsid w:val="78EA70A7"/>
    <w:rsid w:val="78EF0B61"/>
    <w:rsid w:val="78F039E3"/>
    <w:rsid w:val="78F07D12"/>
    <w:rsid w:val="78F46AAA"/>
    <w:rsid w:val="78F47F26"/>
    <w:rsid w:val="78F77D47"/>
    <w:rsid w:val="78FB1C0E"/>
    <w:rsid w:val="78FE12F8"/>
    <w:rsid w:val="79052133"/>
    <w:rsid w:val="790653DF"/>
    <w:rsid w:val="7908577F"/>
    <w:rsid w:val="790C1713"/>
    <w:rsid w:val="790D43D7"/>
    <w:rsid w:val="790E7239"/>
    <w:rsid w:val="791A3E30"/>
    <w:rsid w:val="791F1447"/>
    <w:rsid w:val="79240792"/>
    <w:rsid w:val="79252588"/>
    <w:rsid w:val="792627D5"/>
    <w:rsid w:val="7931480B"/>
    <w:rsid w:val="793551ED"/>
    <w:rsid w:val="793820EB"/>
    <w:rsid w:val="79385B87"/>
    <w:rsid w:val="79394C6A"/>
    <w:rsid w:val="794B1A7D"/>
    <w:rsid w:val="79500848"/>
    <w:rsid w:val="79520560"/>
    <w:rsid w:val="79533C02"/>
    <w:rsid w:val="795B722F"/>
    <w:rsid w:val="795E155F"/>
    <w:rsid w:val="79623590"/>
    <w:rsid w:val="79653108"/>
    <w:rsid w:val="79674240"/>
    <w:rsid w:val="79677B15"/>
    <w:rsid w:val="79690914"/>
    <w:rsid w:val="796E4E17"/>
    <w:rsid w:val="796E5D58"/>
    <w:rsid w:val="797075A7"/>
    <w:rsid w:val="797A48CF"/>
    <w:rsid w:val="797F6770"/>
    <w:rsid w:val="798017B9"/>
    <w:rsid w:val="798412AA"/>
    <w:rsid w:val="798E6F68"/>
    <w:rsid w:val="79917E9D"/>
    <w:rsid w:val="79976421"/>
    <w:rsid w:val="79981CAE"/>
    <w:rsid w:val="799C2A97"/>
    <w:rsid w:val="79A050D4"/>
    <w:rsid w:val="79A25BD4"/>
    <w:rsid w:val="79A429F8"/>
    <w:rsid w:val="79A47B9E"/>
    <w:rsid w:val="79B24069"/>
    <w:rsid w:val="79B31B8F"/>
    <w:rsid w:val="79B871A5"/>
    <w:rsid w:val="79BA2F1D"/>
    <w:rsid w:val="79BB24FB"/>
    <w:rsid w:val="79CD2C51"/>
    <w:rsid w:val="79D5703B"/>
    <w:rsid w:val="79DF4732"/>
    <w:rsid w:val="79E42378"/>
    <w:rsid w:val="79E51157"/>
    <w:rsid w:val="79F3784F"/>
    <w:rsid w:val="79F8125D"/>
    <w:rsid w:val="79FB2FC3"/>
    <w:rsid w:val="79FC0642"/>
    <w:rsid w:val="79FC662C"/>
    <w:rsid w:val="79FC7092"/>
    <w:rsid w:val="7A077097"/>
    <w:rsid w:val="7A081EDB"/>
    <w:rsid w:val="7A0B5527"/>
    <w:rsid w:val="7A0D32DE"/>
    <w:rsid w:val="7A0D4E3F"/>
    <w:rsid w:val="7A0E5017"/>
    <w:rsid w:val="7A0F2CE0"/>
    <w:rsid w:val="7A0F3269"/>
    <w:rsid w:val="7A1268B5"/>
    <w:rsid w:val="7A173C13"/>
    <w:rsid w:val="7A191E12"/>
    <w:rsid w:val="7A28257D"/>
    <w:rsid w:val="7A2B780E"/>
    <w:rsid w:val="7A3063A3"/>
    <w:rsid w:val="7A33329F"/>
    <w:rsid w:val="7A3562EE"/>
    <w:rsid w:val="7A361C20"/>
    <w:rsid w:val="7A3905A1"/>
    <w:rsid w:val="7A3A1919"/>
    <w:rsid w:val="7A482A0E"/>
    <w:rsid w:val="7A4A17D1"/>
    <w:rsid w:val="7A4A6FE1"/>
    <w:rsid w:val="7A4D5B40"/>
    <w:rsid w:val="7A515E1A"/>
    <w:rsid w:val="7A5533B1"/>
    <w:rsid w:val="7A5609AC"/>
    <w:rsid w:val="7A57076C"/>
    <w:rsid w:val="7A5C5D83"/>
    <w:rsid w:val="7A646D20"/>
    <w:rsid w:val="7A6526C3"/>
    <w:rsid w:val="7A655BDA"/>
    <w:rsid w:val="7A65732D"/>
    <w:rsid w:val="7A664E53"/>
    <w:rsid w:val="7A6B246A"/>
    <w:rsid w:val="7A6F1F5A"/>
    <w:rsid w:val="7A6F5AB6"/>
    <w:rsid w:val="7A704982"/>
    <w:rsid w:val="7A7132ED"/>
    <w:rsid w:val="7A7255A6"/>
    <w:rsid w:val="7A730732"/>
    <w:rsid w:val="7A7E27D8"/>
    <w:rsid w:val="7A7E7C03"/>
    <w:rsid w:val="7A811A14"/>
    <w:rsid w:val="7A811C8D"/>
    <w:rsid w:val="7A8714CA"/>
    <w:rsid w:val="7A8B6668"/>
    <w:rsid w:val="7A8C1740"/>
    <w:rsid w:val="7A8D0632"/>
    <w:rsid w:val="7A8F4231"/>
    <w:rsid w:val="7A920688"/>
    <w:rsid w:val="7A9669F4"/>
    <w:rsid w:val="7A9814B1"/>
    <w:rsid w:val="7A99400F"/>
    <w:rsid w:val="7A9B2D4F"/>
    <w:rsid w:val="7AA02320"/>
    <w:rsid w:val="7AA31C03"/>
    <w:rsid w:val="7AAA017E"/>
    <w:rsid w:val="7AAE2183"/>
    <w:rsid w:val="7AB04A66"/>
    <w:rsid w:val="7AB20098"/>
    <w:rsid w:val="7AB21E46"/>
    <w:rsid w:val="7AB414D0"/>
    <w:rsid w:val="7AB81B45"/>
    <w:rsid w:val="7AB931D5"/>
    <w:rsid w:val="7ABC2E0E"/>
    <w:rsid w:val="7ABE4C69"/>
    <w:rsid w:val="7AC11E3E"/>
    <w:rsid w:val="7AC5601E"/>
    <w:rsid w:val="7AC6403B"/>
    <w:rsid w:val="7AC754CB"/>
    <w:rsid w:val="7AC85AB9"/>
    <w:rsid w:val="7ACE655D"/>
    <w:rsid w:val="7AD04F18"/>
    <w:rsid w:val="7AD150A1"/>
    <w:rsid w:val="7AD526A0"/>
    <w:rsid w:val="7ADC7E33"/>
    <w:rsid w:val="7ADD3367"/>
    <w:rsid w:val="7ADD5115"/>
    <w:rsid w:val="7AE07E53"/>
    <w:rsid w:val="7AE449F3"/>
    <w:rsid w:val="7AE621E7"/>
    <w:rsid w:val="7AE85868"/>
    <w:rsid w:val="7AEB7E61"/>
    <w:rsid w:val="7AF10738"/>
    <w:rsid w:val="7AF547CF"/>
    <w:rsid w:val="7AF75AAB"/>
    <w:rsid w:val="7AFD1314"/>
    <w:rsid w:val="7AFD5992"/>
    <w:rsid w:val="7AFD7A76"/>
    <w:rsid w:val="7B001017"/>
    <w:rsid w:val="7B032A3A"/>
    <w:rsid w:val="7B0F1A1F"/>
    <w:rsid w:val="7B117F76"/>
    <w:rsid w:val="7B136D89"/>
    <w:rsid w:val="7B152B01"/>
    <w:rsid w:val="7B160ED4"/>
    <w:rsid w:val="7B1A1656"/>
    <w:rsid w:val="7B1A58EF"/>
    <w:rsid w:val="7B2745E3"/>
    <w:rsid w:val="7B307B23"/>
    <w:rsid w:val="7B314489"/>
    <w:rsid w:val="7B31720F"/>
    <w:rsid w:val="7B3454C7"/>
    <w:rsid w:val="7B3E7187"/>
    <w:rsid w:val="7B4038F6"/>
    <w:rsid w:val="7B406801"/>
    <w:rsid w:val="7B450F0D"/>
    <w:rsid w:val="7B494559"/>
    <w:rsid w:val="7B577F68"/>
    <w:rsid w:val="7B5C43DD"/>
    <w:rsid w:val="7B5D6256"/>
    <w:rsid w:val="7B5E2F40"/>
    <w:rsid w:val="7B6114FA"/>
    <w:rsid w:val="7B6273C9"/>
    <w:rsid w:val="7B6337D4"/>
    <w:rsid w:val="7B670E83"/>
    <w:rsid w:val="7B6770D5"/>
    <w:rsid w:val="7B6E1D05"/>
    <w:rsid w:val="7B711D02"/>
    <w:rsid w:val="7B725958"/>
    <w:rsid w:val="7B7315D6"/>
    <w:rsid w:val="7B7A0FC8"/>
    <w:rsid w:val="7B842A5B"/>
    <w:rsid w:val="7B845591"/>
    <w:rsid w:val="7B8552CC"/>
    <w:rsid w:val="7B8657AD"/>
    <w:rsid w:val="7B865BCD"/>
    <w:rsid w:val="7B8C61F4"/>
    <w:rsid w:val="7B945FC9"/>
    <w:rsid w:val="7B9652C4"/>
    <w:rsid w:val="7B98103C"/>
    <w:rsid w:val="7B9931A4"/>
    <w:rsid w:val="7B9A3006"/>
    <w:rsid w:val="7B9F23CB"/>
    <w:rsid w:val="7BA7127F"/>
    <w:rsid w:val="7BAE260E"/>
    <w:rsid w:val="7BB120FE"/>
    <w:rsid w:val="7BB37C24"/>
    <w:rsid w:val="7BB90F1E"/>
    <w:rsid w:val="7BBA0FB3"/>
    <w:rsid w:val="7BC01A25"/>
    <w:rsid w:val="7BC02341"/>
    <w:rsid w:val="7BC02DE0"/>
    <w:rsid w:val="7BC10593"/>
    <w:rsid w:val="7BC2255D"/>
    <w:rsid w:val="7BC44E64"/>
    <w:rsid w:val="7BC51142"/>
    <w:rsid w:val="7BC77B74"/>
    <w:rsid w:val="7BCB1EA0"/>
    <w:rsid w:val="7BCD4E47"/>
    <w:rsid w:val="7BCE4A5E"/>
    <w:rsid w:val="7BCF674F"/>
    <w:rsid w:val="7BD454BB"/>
    <w:rsid w:val="7BD93E67"/>
    <w:rsid w:val="7BDB359E"/>
    <w:rsid w:val="7BDC53CD"/>
    <w:rsid w:val="7BDE04E6"/>
    <w:rsid w:val="7BE77A84"/>
    <w:rsid w:val="7BE95995"/>
    <w:rsid w:val="7BED1ED3"/>
    <w:rsid w:val="7BEE611A"/>
    <w:rsid w:val="7BF3250D"/>
    <w:rsid w:val="7BF43BA0"/>
    <w:rsid w:val="7BF87D2D"/>
    <w:rsid w:val="7BF94F61"/>
    <w:rsid w:val="7BFD3595"/>
    <w:rsid w:val="7C09013E"/>
    <w:rsid w:val="7C0D1674"/>
    <w:rsid w:val="7C10151B"/>
    <w:rsid w:val="7C105077"/>
    <w:rsid w:val="7C150808"/>
    <w:rsid w:val="7C1E2A4E"/>
    <w:rsid w:val="7C290BCC"/>
    <w:rsid w:val="7C302075"/>
    <w:rsid w:val="7C305674"/>
    <w:rsid w:val="7C33534D"/>
    <w:rsid w:val="7C3511B2"/>
    <w:rsid w:val="7C3A20F4"/>
    <w:rsid w:val="7C3E4A65"/>
    <w:rsid w:val="7C436174"/>
    <w:rsid w:val="7C437E89"/>
    <w:rsid w:val="7C444D20"/>
    <w:rsid w:val="7C466CEA"/>
    <w:rsid w:val="7C4902F7"/>
    <w:rsid w:val="7C490589"/>
    <w:rsid w:val="7C4976FE"/>
    <w:rsid w:val="7C4F2043"/>
    <w:rsid w:val="7C53250F"/>
    <w:rsid w:val="7C597159"/>
    <w:rsid w:val="7C597A87"/>
    <w:rsid w:val="7C6255BF"/>
    <w:rsid w:val="7C703D67"/>
    <w:rsid w:val="7C741AA9"/>
    <w:rsid w:val="7C765821"/>
    <w:rsid w:val="7C773348"/>
    <w:rsid w:val="7C7B1AA8"/>
    <w:rsid w:val="7C864568"/>
    <w:rsid w:val="7C8768B4"/>
    <w:rsid w:val="7C920181"/>
    <w:rsid w:val="7C923CDE"/>
    <w:rsid w:val="7C9A5513"/>
    <w:rsid w:val="7CA247BC"/>
    <w:rsid w:val="7CA83501"/>
    <w:rsid w:val="7CA86628"/>
    <w:rsid w:val="7CAB7FBA"/>
    <w:rsid w:val="7CAF2AE1"/>
    <w:rsid w:val="7CB14F7B"/>
    <w:rsid w:val="7CC006A1"/>
    <w:rsid w:val="7CC24649"/>
    <w:rsid w:val="7CC763FF"/>
    <w:rsid w:val="7CC90BBB"/>
    <w:rsid w:val="7CC93A4F"/>
    <w:rsid w:val="7CCA791B"/>
    <w:rsid w:val="7CCC1993"/>
    <w:rsid w:val="7CCC3693"/>
    <w:rsid w:val="7CD14CFC"/>
    <w:rsid w:val="7CDB38D7"/>
    <w:rsid w:val="7CE02C9B"/>
    <w:rsid w:val="7CE502B1"/>
    <w:rsid w:val="7CE50FF2"/>
    <w:rsid w:val="7CE7227B"/>
    <w:rsid w:val="7CE87DA1"/>
    <w:rsid w:val="7CEA3B1A"/>
    <w:rsid w:val="7CEB55B2"/>
    <w:rsid w:val="7CEF7382"/>
    <w:rsid w:val="7CFB7AD5"/>
    <w:rsid w:val="7D0070CE"/>
    <w:rsid w:val="7D007C96"/>
    <w:rsid w:val="7D022412"/>
    <w:rsid w:val="7D0746CC"/>
    <w:rsid w:val="7D0755A2"/>
    <w:rsid w:val="7D0A41BC"/>
    <w:rsid w:val="7D0F3580"/>
    <w:rsid w:val="7D104A16"/>
    <w:rsid w:val="7D113DE9"/>
    <w:rsid w:val="7D113FD7"/>
    <w:rsid w:val="7D160A41"/>
    <w:rsid w:val="7D193B14"/>
    <w:rsid w:val="7D201441"/>
    <w:rsid w:val="7D23702C"/>
    <w:rsid w:val="7D2E696B"/>
    <w:rsid w:val="7D306D5D"/>
    <w:rsid w:val="7D3F20B7"/>
    <w:rsid w:val="7D4274B2"/>
    <w:rsid w:val="7D456708"/>
    <w:rsid w:val="7D4866DA"/>
    <w:rsid w:val="7D4F1BCF"/>
    <w:rsid w:val="7D511DEB"/>
    <w:rsid w:val="7D513E64"/>
    <w:rsid w:val="7D586923"/>
    <w:rsid w:val="7D5B224E"/>
    <w:rsid w:val="7D5B4A17"/>
    <w:rsid w:val="7D5D44AD"/>
    <w:rsid w:val="7D623033"/>
    <w:rsid w:val="7D625829"/>
    <w:rsid w:val="7D6640CF"/>
    <w:rsid w:val="7D6D4248"/>
    <w:rsid w:val="7D6E02A7"/>
    <w:rsid w:val="7D6E474B"/>
    <w:rsid w:val="7D7D04EA"/>
    <w:rsid w:val="7D8201F6"/>
    <w:rsid w:val="7D9D5DA1"/>
    <w:rsid w:val="7D9D6DDE"/>
    <w:rsid w:val="7DA0242A"/>
    <w:rsid w:val="7DA4224A"/>
    <w:rsid w:val="7DA86035"/>
    <w:rsid w:val="7DBE6776"/>
    <w:rsid w:val="7DC51E91"/>
    <w:rsid w:val="7DC720AD"/>
    <w:rsid w:val="7DD057ED"/>
    <w:rsid w:val="7DD32800"/>
    <w:rsid w:val="7DE36933"/>
    <w:rsid w:val="7DE46CF3"/>
    <w:rsid w:val="7DE83EE6"/>
    <w:rsid w:val="7DEB329C"/>
    <w:rsid w:val="7E002EC9"/>
    <w:rsid w:val="7E066731"/>
    <w:rsid w:val="7E0D3F64"/>
    <w:rsid w:val="7E0E3838"/>
    <w:rsid w:val="7E10135E"/>
    <w:rsid w:val="7E197CE3"/>
    <w:rsid w:val="7E1A7A97"/>
    <w:rsid w:val="7E242989"/>
    <w:rsid w:val="7E275D77"/>
    <w:rsid w:val="7E2867A7"/>
    <w:rsid w:val="7E2B12D3"/>
    <w:rsid w:val="7E2D0162"/>
    <w:rsid w:val="7E3471BF"/>
    <w:rsid w:val="7E3E411D"/>
    <w:rsid w:val="7E3F35FC"/>
    <w:rsid w:val="7E491E00"/>
    <w:rsid w:val="7E4A6BE9"/>
    <w:rsid w:val="7E4B683A"/>
    <w:rsid w:val="7E4F3BE5"/>
    <w:rsid w:val="7E510147"/>
    <w:rsid w:val="7E5C3F56"/>
    <w:rsid w:val="7E5D74F0"/>
    <w:rsid w:val="7E5E6FCF"/>
    <w:rsid w:val="7E6054A8"/>
    <w:rsid w:val="7E635932"/>
    <w:rsid w:val="7E694F12"/>
    <w:rsid w:val="7E6B0C8A"/>
    <w:rsid w:val="7E6C674D"/>
    <w:rsid w:val="7E6D2C07"/>
    <w:rsid w:val="7E6F077A"/>
    <w:rsid w:val="7E712654"/>
    <w:rsid w:val="7E747C28"/>
    <w:rsid w:val="7E7E0F36"/>
    <w:rsid w:val="7E8C56BA"/>
    <w:rsid w:val="7E9205EB"/>
    <w:rsid w:val="7E927FC5"/>
    <w:rsid w:val="7E97382D"/>
    <w:rsid w:val="7E9F0EEE"/>
    <w:rsid w:val="7E9F6357"/>
    <w:rsid w:val="7EA111FA"/>
    <w:rsid w:val="7EA1645A"/>
    <w:rsid w:val="7EA61CC2"/>
    <w:rsid w:val="7EB02B41"/>
    <w:rsid w:val="7EB048EF"/>
    <w:rsid w:val="7EB61686"/>
    <w:rsid w:val="7EB919F5"/>
    <w:rsid w:val="7EB9429C"/>
    <w:rsid w:val="7EBB39C0"/>
    <w:rsid w:val="7EBD2E7D"/>
    <w:rsid w:val="7EC30AC6"/>
    <w:rsid w:val="7EC42148"/>
    <w:rsid w:val="7ECF4278"/>
    <w:rsid w:val="7ED54355"/>
    <w:rsid w:val="7ED56142"/>
    <w:rsid w:val="7ED8589C"/>
    <w:rsid w:val="7ED93E46"/>
    <w:rsid w:val="7EDF2CD5"/>
    <w:rsid w:val="7EE04C53"/>
    <w:rsid w:val="7EE051D4"/>
    <w:rsid w:val="7EEE00A7"/>
    <w:rsid w:val="7EEF3669"/>
    <w:rsid w:val="7EEF4135"/>
    <w:rsid w:val="7EF83A6A"/>
    <w:rsid w:val="7EFA536A"/>
    <w:rsid w:val="7EFB1132"/>
    <w:rsid w:val="7EFC1C85"/>
    <w:rsid w:val="7EFE1AFE"/>
    <w:rsid w:val="7F0047E7"/>
    <w:rsid w:val="7F01339C"/>
    <w:rsid w:val="7F08033F"/>
    <w:rsid w:val="7F0864D9"/>
    <w:rsid w:val="7F0976B1"/>
    <w:rsid w:val="7F0A7CC2"/>
    <w:rsid w:val="7F0C2B0B"/>
    <w:rsid w:val="7F2C033B"/>
    <w:rsid w:val="7F2C0419"/>
    <w:rsid w:val="7F2D7CEE"/>
    <w:rsid w:val="7F313C82"/>
    <w:rsid w:val="7F364DF4"/>
    <w:rsid w:val="7F3C4F87"/>
    <w:rsid w:val="7F3C517A"/>
    <w:rsid w:val="7F46479C"/>
    <w:rsid w:val="7F4A2E8A"/>
    <w:rsid w:val="7F4B5363"/>
    <w:rsid w:val="7F4F1849"/>
    <w:rsid w:val="7F54171E"/>
    <w:rsid w:val="7F606315"/>
    <w:rsid w:val="7F6A7194"/>
    <w:rsid w:val="7F721F37"/>
    <w:rsid w:val="7F763505"/>
    <w:rsid w:val="7F787239"/>
    <w:rsid w:val="7F7A007C"/>
    <w:rsid w:val="7F7A3C92"/>
    <w:rsid w:val="7F7E035C"/>
    <w:rsid w:val="7F89672E"/>
    <w:rsid w:val="7F8A164E"/>
    <w:rsid w:val="7F8B678B"/>
    <w:rsid w:val="7F8B793F"/>
    <w:rsid w:val="7F8C710A"/>
    <w:rsid w:val="7F8F2756"/>
    <w:rsid w:val="7F9340A2"/>
    <w:rsid w:val="7F9E48CC"/>
    <w:rsid w:val="7FAB6672"/>
    <w:rsid w:val="7FB0616F"/>
    <w:rsid w:val="7FB14DC3"/>
    <w:rsid w:val="7FB561D0"/>
    <w:rsid w:val="7FBC555C"/>
    <w:rsid w:val="7FC25B91"/>
    <w:rsid w:val="7FCE14D1"/>
    <w:rsid w:val="7FD75C83"/>
    <w:rsid w:val="7FE62D4C"/>
    <w:rsid w:val="7FE6632B"/>
    <w:rsid w:val="7FE900B8"/>
    <w:rsid w:val="7FE9630A"/>
    <w:rsid w:val="7FEE203D"/>
    <w:rsid w:val="7FF259AD"/>
    <w:rsid w:val="7FF76C79"/>
    <w:rsid w:val="7FFD2F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qFormat="1" w:unhideWhenUsed="0" w:uiPriority="0" w:name="toc 7"/>
    <w:lsdException w:qFormat="1" w:unhideWhenUsed="0" w:uiPriority="0" w:semiHidden="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qFormat="1" w:uiPriority="99" w:semiHidden="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pageBreakBefore/>
      <w:spacing w:line="500" w:lineRule="exact"/>
      <w:jc w:val="left"/>
      <w:outlineLvl w:val="0"/>
    </w:pPr>
    <w:rPr>
      <w:b/>
      <w:bCs/>
      <w:kern w:val="44"/>
      <w:sz w:val="30"/>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autoRedefine/>
    <w:qFormat/>
    <w:uiPriority w:val="0"/>
    <w:pPr>
      <w:keepNext/>
      <w:keepLines/>
      <w:widowControl/>
      <w:spacing w:before="260" w:after="260" w:line="416" w:lineRule="auto"/>
      <w:jc w:val="left"/>
      <w:outlineLvl w:val="2"/>
    </w:pPr>
    <w:rPr>
      <w:b/>
      <w:kern w:val="0"/>
      <w:sz w:val="32"/>
    </w:rPr>
  </w:style>
  <w:style w:type="paragraph" w:styleId="7">
    <w:name w:val="heading 4"/>
    <w:basedOn w:val="1"/>
    <w:next w:val="5"/>
    <w:link w:val="124"/>
    <w:autoRedefine/>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autoRedefine/>
    <w:qFormat/>
    <w:uiPriority w:val="0"/>
    <w:pPr>
      <w:keepNext/>
      <w:keepLines/>
      <w:tabs>
        <w:tab w:val="left" w:pos="1008"/>
      </w:tabs>
      <w:spacing w:line="360" w:lineRule="auto"/>
      <w:ind w:left="1008" w:hanging="1008"/>
      <w:outlineLvl w:val="4"/>
    </w:pPr>
    <w:rPr>
      <w:rFonts w:ascii="宋体" w:hAnsi="宋体"/>
      <w:bCs/>
      <w:sz w:val="24"/>
      <w:szCs w:val="24"/>
    </w:rPr>
  </w:style>
  <w:style w:type="paragraph" w:styleId="9">
    <w:name w:val="heading 6"/>
    <w:basedOn w:val="1"/>
    <w:next w:val="1"/>
    <w:autoRedefine/>
    <w:qFormat/>
    <w:uiPriority w:val="0"/>
    <w:pPr>
      <w:keepNext/>
      <w:keepLines/>
      <w:tabs>
        <w:tab w:val="left" w:pos="1152"/>
      </w:tabs>
      <w:spacing w:before="240" w:after="64" w:line="320" w:lineRule="atLeast"/>
      <w:ind w:left="1152" w:hanging="1152"/>
      <w:outlineLvl w:val="5"/>
    </w:pPr>
    <w:rPr>
      <w:rFonts w:ascii="Arial" w:hAnsi="Arial" w:eastAsia="黑体"/>
      <w:b/>
      <w:bCs/>
      <w:sz w:val="24"/>
      <w:szCs w:val="24"/>
    </w:rPr>
  </w:style>
  <w:style w:type="paragraph" w:styleId="10">
    <w:name w:val="heading 7"/>
    <w:basedOn w:val="1"/>
    <w:next w:val="1"/>
    <w:autoRedefine/>
    <w:qFormat/>
    <w:uiPriority w:val="0"/>
    <w:pPr>
      <w:keepNext/>
      <w:keepLines/>
      <w:tabs>
        <w:tab w:val="left" w:pos="1296"/>
      </w:tabs>
      <w:spacing w:before="240" w:after="64" w:line="320" w:lineRule="atLeast"/>
      <w:ind w:left="1296" w:hanging="1296"/>
      <w:outlineLvl w:val="6"/>
    </w:pPr>
    <w:rPr>
      <w:rFonts w:ascii="Arial" w:hAnsi="Arial"/>
      <w:b/>
      <w:bCs/>
      <w:sz w:val="24"/>
      <w:szCs w:val="24"/>
    </w:rPr>
  </w:style>
  <w:style w:type="paragraph" w:styleId="11">
    <w:name w:val="heading 8"/>
    <w:basedOn w:val="1"/>
    <w:next w:val="1"/>
    <w:link w:val="165"/>
    <w:autoRedefine/>
    <w:qFormat/>
    <w:uiPriority w:val="0"/>
    <w:pPr>
      <w:keepNext/>
      <w:keepLines/>
      <w:tabs>
        <w:tab w:val="left" w:pos="1440"/>
      </w:tabs>
      <w:spacing w:before="240" w:after="64" w:line="320" w:lineRule="atLeast"/>
      <w:ind w:left="1440" w:hanging="1440"/>
      <w:outlineLvl w:val="7"/>
    </w:pPr>
    <w:rPr>
      <w:rFonts w:ascii="Arial" w:hAnsi="Arial" w:eastAsia="黑体"/>
      <w:sz w:val="24"/>
      <w:szCs w:val="24"/>
    </w:rPr>
  </w:style>
  <w:style w:type="paragraph" w:styleId="12">
    <w:name w:val="heading 9"/>
    <w:basedOn w:val="1"/>
    <w:next w:val="1"/>
    <w:autoRedefine/>
    <w:qFormat/>
    <w:uiPriority w:val="0"/>
    <w:pPr>
      <w:keepNext/>
      <w:keepLines/>
      <w:tabs>
        <w:tab w:val="left" w:pos="1584"/>
      </w:tabs>
      <w:spacing w:before="240" w:after="64" w:line="320" w:lineRule="atLeast"/>
      <w:ind w:left="1584" w:hanging="1584"/>
      <w:outlineLvl w:val="8"/>
    </w:pPr>
    <w:rPr>
      <w:rFonts w:ascii="Arial" w:hAnsi="Arial" w:eastAsia="黑体"/>
      <w:szCs w:val="21"/>
    </w:rPr>
  </w:style>
  <w:style w:type="character" w:default="1" w:styleId="50">
    <w:name w:val="Default Paragraph Font"/>
    <w:autoRedefine/>
    <w:semiHidden/>
    <w:unhideWhenUsed/>
    <w:qFormat/>
    <w:uiPriority w:val="1"/>
  </w:style>
  <w:style w:type="table" w:default="1" w:styleId="4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link w:val="129"/>
    <w:autoRedefine/>
    <w:qFormat/>
    <w:uiPriority w:val="99"/>
    <w:pPr>
      <w:ind w:firstLine="420"/>
    </w:pPr>
  </w:style>
  <w:style w:type="paragraph" w:styleId="6">
    <w:name w:val="Note Heading"/>
    <w:basedOn w:val="1"/>
    <w:next w:val="1"/>
    <w:autoRedefine/>
    <w:unhideWhenUsed/>
    <w:qFormat/>
    <w:uiPriority w:val="0"/>
    <w:pPr>
      <w:jc w:val="center"/>
    </w:pPr>
    <w:rPr>
      <w:szCs w:val="24"/>
    </w:rPr>
  </w:style>
  <w:style w:type="paragraph" w:styleId="13">
    <w:name w:val="toc 7"/>
    <w:basedOn w:val="1"/>
    <w:next w:val="1"/>
    <w:autoRedefine/>
    <w:semiHidden/>
    <w:qFormat/>
    <w:uiPriority w:val="0"/>
    <w:pPr>
      <w:ind w:left="2520" w:leftChars="1200"/>
    </w:pPr>
  </w:style>
  <w:style w:type="paragraph" w:styleId="14">
    <w:name w:val="caption"/>
    <w:basedOn w:val="1"/>
    <w:next w:val="1"/>
    <w:link w:val="125"/>
    <w:autoRedefine/>
    <w:qFormat/>
    <w:uiPriority w:val="0"/>
    <w:pPr>
      <w:jc w:val="center"/>
    </w:pPr>
    <w:rPr>
      <w:rFonts w:ascii="宋体" w:hAnsi="Arial" w:cs="Arial"/>
    </w:rPr>
  </w:style>
  <w:style w:type="paragraph" w:styleId="15">
    <w:name w:val="index 5"/>
    <w:basedOn w:val="1"/>
    <w:next w:val="1"/>
    <w:autoRedefine/>
    <w:qFormat/>
    <w:uiPriority w:val="0"/>
    <w:pPr>
      <w:ind w:left="1680"/>
    </w:pPr>
  </w:style>
  <w:style w:type="paragraph" w:styleId="16">
    <w:name w:val="Document Map"/>
    <w:basedOn w:val="1"/>
    <w:autoRedefine/>
    <w:semiHidden/>
    <w:qFormat/>
    <w:uiPriority w:val="0"/>
    <w:pPr>
      <w:shd w:val="clear" w:color="auto" w:fill="000080"/>
    </w:pPr>
  </w:style>
  <w:style w:type="paragraph" w:styleId="17">
    <w:name w:val="annotation text"/>
    <w:basedOn w:val="1"/>
    <w:link w:val="77"/>
    <w:autoRedefine/>
    <w:qFormat/>
    <w:uiPriority w:val="0"/>
    <w:pPr>
      <w:jc w:val="left"/>
    </w:pPr>
  </w:style>
  <w:style w:type="paragraph" w:styleId="18">
    <w:name w:val="Body Text 3"/>
    <w:basedOn w:val="1"/>
    <w:autoRedefine/>
    <w:qFormat/>
    <w:uiPriority w:val="0"/>
    <w:pPr>
      <w:jc w:val="left"/>
    </w:pPr>
    <w:rPr>
      <w:sz w:val="28"/>
    </w:rPr>
  </w:style>
  <w:style w:type="paragraph" w:styleId="19">
    <w:name w:val="Body Text"/>
    <w:basedOn w:val="1"/>
    <w:next w:val="1"/>
    <w:link w:val="62"/>
    <w:autoRedefine/>
    <w:qFormat/>
    <w:uiPriority w:val="0"/>
    <w:rPr>
      <w:sz w:val="28"/>
    </w:rPr>
  </w:style>
  <w:style w:type="paragraph" w:styleId="20">
    <w:name w:val="Body Text Indent"/>
    <w:basedOn w:val="1"/>
    <w:next w:val="21"/>
    <w:autoRedefine/>
    <w:qFormat/>
    <w:uiPriority w:val="0"/>
    <w:pPr>
      <w:snapToGrid w:val="0"/>
      <w:ind w:firstLine="498"/>
    </w:pPr>
    <w:rPr>
      <w:rFonts w:ascii="宋体"/>
      <w:sz w:val="24"/>
    </w:rPr>
  </w:style>
  <w:style w:type="paragraph" w:customStyle="1" w:styleId="21">
    <w:name w:val="样式 正文文本缩进 + 行距: 1.5 倍行距"/>
    <w:basedOn w:val="1"/>
    <w:qFormat/>
    <w:uiPriority w:val="0"/>
    <w:pPr>
      <w:spacing w:after="120" w:line="360" w:lineRule="auto"/>
      <w:ind w:left="90" w:leftChars="32" w:firstLine="560" w:firstLineChars="200"/>
    </w:pPr>
    <w:rPr>
      <w:rFonts w:cs="宋体"/>
    </w:rPr>
  </w:style>
  <w:style w:type="paragraph" w:styleId="22">
    <w:name w:val="Block Text"/>
    <w:basedOn w:val="1"/>
    <w:autoRedefine/>
    <w:qFormat/>
    <w:uiPriority w:val="0"/>
    <w:pPr>
      <w:snapToGrid w:val="0"/>
      <w:ind w:left="113" w:right="113" w:firstLine="480"/>
    </w:pPr>
    <w:rPr>
      <w:sz w:val="28"/>
      <w:szCs w:val="24"/>
    </w:rPr>
  </w:style>
  <w:style w:type="paragraph" w:styleId="23">
    <w:name w:val="toc 3"/>
    <w:basedOn w:val="1"/>
    <w:next w:val="1"/>
    <w:autoRedefine/>
    <w:qFormat/>
    <w:uiPriority w:val="39"/>
    <w:pPr>
      <w:spacing w:line="440" w:lineRule="exact"/>
      <w:ind w:left="480" w:firstLine="200" w:firstLineChars="200"/>
      <w:jc w:val="left"/>
    </w:pPr>
    <w:rPr>
      <w:i/>
      <w:iCs/>
      <w:sz w:val="20"/>
    </w:rPr>
  </w:style>
  <w:style w:type="paragraph" w:styleId="24">
    <w:name w:val="Plain Text"/>
    <w:basedOn w:val="1"/>
    <w:link w:val="85"/>
    <w:autoRedefine/>
    <w:qFormat/>
    <w:uiPriority w:val="0"/>
    <w:rPr>
      <w:rFonts w:ascii="宋体" w:hAnsi="Courier New"/>
    </w:rPr>
  </w:style>
  <w:style w:type="paragraph" w:styleId="25">
    <w:name w:val="List Bullet 5"/>
    <w:basedOn w:val="1"/>
    <w:autoRedefine/>
    <w:qFormat/>
    <w:uiPriority w:val="0"/>
    <w:pPr>
      <w:numPr>
        <w:ilvl w:val="0"/>
        <w:numId w:val="1"/>
      </w:numPr>
    </w:pPr>
  </w:style>
  <w:style w:type="paragraph" w:styleId="26">
    <w:name w:val="toc 8"/>
    <w:basedOn w:val="1"/>
    <w:next w:val="1"/>
    <w:qFormat/>
    <w:uiPriority w:val="0"/>
    <w:pPr>
      <w:ind w:left="2940" w:leftChars="1400"/>
    </w:pPr>
  </w:style>
  <w:style w:type="paragraph" w:styleId="27">
    <w:name w:val="Date"/>
    <w:basedOn w:val="1"/>
    <w:next w:val="1"/>
    <w:autoRedefine/>
    <w:qFormat/>
    <w:uiPriority w:val="0"/>
    <w:rPr>
      <w:rFonts w:ascii="宋体"/>
      <w:sz w:val="28"/>
    </w:rPr>
  </w:style>
  <w:style w:type="paragraph" w:styleId="28">
    <w:name w:val="Body Text Indent 2"/>
    <w:basedOn w:val="1"/>
    <w:autoRedefine/>
    <w:qFormat/>
    <w:uiPriority w:val="0"/>
    <w:pPr>
      <w:spacing w:line="420" w:lineRule="exact"/>
      <w:ind w:firstLine="561"/>
    </w:pPr>
    <w:rPr>
      <w:rFonts w:ascii="宋体" w:hAnsi="宋体"/>
      <w:sz w:val="24"/>
      <w:szCs w:val="24"/>
    </w:rPr>
  </w:style>
  <w:style w:type="paragraph" w:styleId="29">
    <w:name w:val="Balloon Text"/>
    <w:basedOn w:val="1"/>
    <w:link w:val="76"/>
    <w:autoRedefine/>
    <w:qFormat/>
    <w:uiPriority w:val="0"/>
    <w:rPr>
      <w:sz w:val="18"/>
      <w:szCs w:val="18"/>
    </w:rPr>
  </w:style>
  <w:style w:type="paragraph" w:styleId="30">
    <w:name w:val="footer"/>
    <w:basedOn w:val="1"/>
    <w:link w:val="164"/>
    <w:autoRedefine/>
    <w:qFormat/>
    <w:uiPriority w:val="99"/>
    <w:pPr>
      <w:tabs>
        <w:tab w:val="center" w:pos="4153"/>
        <w:tab w:val="right" w:pos="8306"/>
      </w:tabs>
      <w:snapToGrid w:val="0"/>
      <w:jc w:val="left"/>
    </w:pPr>
    <w:rPr>
      <w:sz w:val="18"/>
    </w:rPr>
  </w:style>
  <w:style w:type="paragraph" w:styleId="31">
    <w:name w:val="header"/>
    <w:basedOn w:val="1"/>
    <w:next w:val="3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32">
    <w:name w:val="样式5"/>
    <w:basedOn w:val="33"/>
    <w:autoRedefine/>
    <w:unhideWhenUsed/>
    <w:qFormat/>
    <w:uiPriority w:val="0"/>
    <w:pPr>
      <w:spacing w:beforeLines="20" w:afterLines="20" w:line="480" w:lineRule="exact"/>
      <w:ind w:firstLine="523" w:firstLineChars="218"/>
    </w:pPr>
    <w:rPr>
      <w:rFonts w:hint="eastAsia"/>
      <w:i/>
    </w:rPr>
  </w:style>
  <w:style w:type="paragraph" w:customStyle="1" w:styleId="33">
    <w:name w:val="正文1"/>
    <w:basedOn w:val="34"/>
    <w:next w:val="34"/>
    <w:link w:val="184"/>
    <w:autoRedefine/>
    <w:qFormat/>
    <w:uiPriority w:val="0"/>
    <w:pPr>
      <w:topLinePunct/>
      <w:adjustRightInd w:val="0"/>
      <w:snapToGrid w:val="0"/>
      <w:spacing w:line="440" w:lineRule="exact"/>
      <w:ind w:firstLine="200" w:firstLineChars="200"/>
      <w:jc w:val="both"/>
    </w:pPr>
    <w:rPr>
      <w:snapToGrid w:val="0"/>
      <w:kern w:val="0"/>
      <w:sz w:val="24"/>
    </w:rPr>
  </w:style>
  <w:style w:type="paragraph" w:styleId="34">
    <w:name w:val="Body Text 2"/>
    <w:basedOn w:val="1"/>
    <w:autoRedefine/>
    <w:qFormat/>
    <w:uiPriority w:val="0"/>
    <w:pPr>
      <w:jc w:val="left"/>
    </w:pPr>
  </w:style>
  <w:style w:type="paragraph" w:styleId="35">
    <w:name w:val="toc 1"/>
    <w:basedOn w:val="1"/>
    <w:next w:val="1"/>
    <w:autoRedefine/>
    <w:qFormat/>
    <w:uiPriority w:val="39"/>
  </w:style>
  <w:style w:type="paragraph" w:styleId="36">
    <w:name w:val="Subtitle"/>
    <w:basedOn w:val="1"/>
    <w:next w:val="1"/>
    <w:autoRedefine/>
    <w:qFormat/>
    <w:uiPriority w:val="0"/>
    <w:pPr>
      <w:adjustRightInd w:val="0"/>
      <w:snapToGrid w:val="0"/>
      <w:spacing w:before="120" w:after="120" w:line="240" w:lineRule="atLeast"/>
      <w:jc w:val="center"/>
      <w:outlineLvl w:val="1"/>
    </w:pPr>
    <w:rPr>
      <w:rFonts w:eastAsia="黑体" w:cs="Arial"/>
      <w:bCs/>
      <w:kern w:val="28"/>
      <w:sz w:val="24"/>
      <w:szCs w:val="32"/>
    </w:rPr>
  </w:style>
  <w:style w:type="paragraph" w:styleId="37">
    <w:name w:val="List"/>
    <w:basedOn w:val="1"/>
    <w:autoRedefine/>
    <w:qFormat/>
    <w:uiPriority w:val="0"/>
    <w:pPr>
      <w:spacing w:line="360" w:lineRule="exact"/>
      <w:ind w:firstLine="38" w:firstLineChars="18"/>
      <w:jc w:val="left"/>
    </w:pPr>
    <w:rPr>
      <w:rFonts w:ascii="宋体"/>
      <w:szCs w:val="21"/>
    </w:rPr>
  </w:style>
  <w:style w:type="paragraph" w:styleId="38">
    <w:name w:val="Body Text Indent 3"/>
    <w:basedOn w:val="1"/>
    <w:autoRedefine/>
    <w:qFormat/>
    <w:uiPriority w:val="0"/>
    <w:pPr>
      <w:spacing w:after="120"/>
      <w:ind w:left="420" w:leftChars="200"/>
    </w:pPr>
    <w:rPr>
      <w:sz w:val="16"/>
      <w:szCs w:val="16"/>
    </w:rPr>
  </w:style>
  <w:style w:type="paragraph" w:styleId="39">
    <w:name w:val="toc 2"/>
    <w:basedOn w:val="1"/>
    <w:next w:val="1"/>
    <w:autoRedefine/>
    <w:qFormat/>
    <w:uiPriority w:val="39"/>
    <w:pPr>
      <w:widowControl/>
      <w:ind w:left="240"/>
      <w:jc w:val="left"/>
    </w:pPr>
    <w:rPr>
      <w:smallCaps/>
      <w:kern w:val="0"/>
      <w:sz w:val="24"/>
      <w:szCs w:val="24"/>
    </w:rPr>
  </w:style>
  <w:style w:type="paragraph" w:styleId="40">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1">
    <w:name w:val="Normal (Web)"/>
    <w:basedOn w:val="1"/>
    <w:next w:val="26"/>
    <w:link w:val="191"/>
    <w:autoRedefine/>
    <w:qFormat/>
    <w:uiPriority w:val="99"/>
    <w:pPr>
      <w:widowControl/>
      <w:spacing w:before="100" w:beforeAutospacing="1" w:after="100" w:afterAutospacing="1"/>
      <w:jc w:val="left"/>
    </w:pPr>
    <w:rPr>
      <w:rFonts w:ascii="宋体" w:hAnsi="宋体" w:cs="宋体"/>
      <w:color w:val="000000"/>
      <w:kern w:val="0"/>
      <w:sz w:val="24"/>
      <w:szCs w:val="24"/>
    </w:rPr>
  </w:style>
  <w:style w:type="paragraph" w:styleId="42">
    <w:name w:val="index 1"/>
    <w:basedOn w:val="1"/>
    <w:next w:val="1"/>
    <w:autoRedefine/>
    <w:semiHidden/>
    <w:qFormat/>
    <w:uiPriority w:val="0"/>
    <w:pPr>
      <w:widowControl/>
      <w:jc w:val="left"/>
    </w:pPr>
    <w:rPr>
      <w:kern w:val="0"/>
      <w:sz w:val="20"/>
    </w:rPr>
  </w:style>
  <w:style w:type="paragraph" w:styleId="43">
    <w:name w:val="Title"/>
    <w:basedOn w:val="1"/>
    <w:next w:val="1"/>
    <w:link w:val="175"/>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44">
    <w:name w:val="annotation subject"/>
    <w:basedOn w:val="17"/>
    <w:next w:val="17"/>
    <w:link w:val="74"/>
    <w:autoRedefine/>
    <w:qFormat/>
    <w:uiPriority w:val="99"/>
    <w:rPr>
      <w:b/>
      <w:bCs/>
    </w:rPr>
  </w:style>
  <w:style w:type="paragraph" w:styleId="45">
    <w:name w:val="Body Text First Indent"/>
    <w:basedOn w:val="19"/>
    <w:next w:val="1"/>
    <w:link w:val="166"/>
    <w:autoRedefine/>
    <w:qFormat/>
    <w:uiPriority w:val="0"/>
    <w:pPr>
      <w:spacing w:after="120"/>
      <w:ind w:firstLine="420" w:firstLineChars="100"/>
    </w:pPr>
    <w:rPr>
      <w:sz w:val="21"/>
    </w:rPr>
  </w:style>
  <w:style w:type="paragraph" w:styleId="46">
    <w:name w:val="Body Text First Indent 2"/>
    <w:basedOn w:val="20"/>
    <w:next w:val="1"/>
    <w:autoRedefine/>
    <w:qFormat/>
    <w:uiPriority w:val="0"/>
    <w:pPr>
      <w:ind w:firstLine="420" w:firstLineChars="200"/>
    </w:pPr>
  </w:style>
  <w:style w:type="table" w:styleId="48">
    <w:name w:val="Table Grid"/>
    <w:basedOn w:val="47"/>
    <w:autoRedefine/>
    <w:qFormat/>
    <w:uiPriority w:val="9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Contemporary"/>
    <w:basedOn w:val="47"/>
    <w:autoRedefine/>
    <w:unhideWhenUsed/>
    <w:qFormat/>
    <w:uiPriority w:val="99"/>
    <w:pPr>
      <w:widowControl w:val="0"/>
      <w:jc w:val="both"/>
    </w:pPr>
    <w:rPr>
      <w:rFonts w:ascii="Calibri" w:hAnsi="Calibri" w:cs="Calibri"/>
    </w:rPr>
    <w:tblPr>
      <w:tblBorders>
        <w:insideH w:val="single" w:color="FFFFFF" w:sz="18" w:space="0"/>
        <w:insideV w:val="single" w:color="FFFFFF" w:sz="18" w:space="0"/>
      </w:tblBorders>
    </w:tblPr>
    <w:tblStylePr w:type="firstRow">
      <w:rPr>
        <w:rFonts w:hint="default" w:ascii="Courier New" w:hAnsi="Courier New" w:cs="Courier"/>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hint="default" w:ascii="Courier New" w:hAnsi="Courier New" w:cs="Courier"/>
        <w:color w:val="auto"/>
      </w:rPr>
      <w:tblPr/>
      <w:tcPr>
        <w:tcBorders>
          <w:top w:val="nil"/>
          <w:left w:val="nil"/>
          <w:bottom w:val="nil"/>
          <w:right w:val="nil"/>
          <w:insideH w:val="nil"/>
          <w:insideV w:val="nil"/>
          <w:tl2br w:val="nil"/>
          <w:tr2bl w:val="nil"/>
        </w:tcBorders>
        <w:shd w:val="pct5" w:color="000000" w:fill="FFFFFF"/>
      </w:tcPr>
    </w:tblStylePr>
    <w:tblStylePr w:type="band2Horz">
      <w:rPr>
        <w:rFonts w:hint="default" w:ascii="Courier New" w:hAnsi="Courier New" w:cs="Courier"/>
        <w:color w:val="auto"/>
      </w:rPr>
      <w:tblPr/>
      <w:tcPr>
        <w:tcBorders>
          <w:top w:val="nil"/>
          <w:left w:val="nil"/>
          <w:bottom w:val="nil"/>
          <w:right w:val="nil"/>
          <w:insideH w:val="nil"/>
          <w:insideV w:val="nil"/>
          <w:tl2br w:val="nil"/>
          <w:tr2bl w:val="nil"/>
        </w:tcBorders>
        <w:shd w:val="pct20" w:color="000000" w:fill="FFFFFF"/>
      </w:tcPr>
    </w:tblStylePr>
  </w:style>
  <w:style w:type="character" w:styleId="51">
    <w:name w:val="Strong"/>
    <w:basedOn w:val="50"/>
    <w:autoRedefine/>
    <w:qFormat/>
    <w:uiPriority w:val="22"/>
    <w:rPr>
      <w:b/>
      <w:bCs/>
    </w:rPr>
  </w:style>
  <w:style w:type="character" w:styleId="52">
    <w:name w:val="page number"/>
    <w:basedOn w:val="50"/>
    <w:autoRedefine/>
    <w:qFormat/>
    <w:uiPriority w:val="0"/>
  </w:style>
  <w:style w:type="character" w:styleId="53">
    <w:name w:val="FollowedHyperlink"/>
    <w:autoRedefine/>
    <w:qFormat/>
    <w:uiPriority w:val="0"/>
    <w:rPr>
      <w:color w:val="800080"/>
      <w:u w:val="single"/>
    </w:rPr>
  </w:style>
  <w:style w:type="character" w:styleId="54">
    <w:name w:val="Emphasis"/>
    <w:basedOn w:val="55"/>
    <w:autoRedefine/>
    <w:qFormat/>
    <w:uiPriority w:val="20"/>
    <w:rPr>
      <w:rFonts w:ascii="Times New Roman" w:hAnsi="Times New Roman" w:eastAsia="宋体"/>
      <w:sz w:val="21"/>
    </w:rPr>
  </w:style>
  <w:style w:type="character" w:customStyle="1" w:styleId="55">
    <w:name w:val="正文1 Char Char"/>
    <w:autoRedefine/>
    <w:qFormat/>
    <w:uiPriority w:val="0"/>
    <w:rPr>
      <w:rFonts w:eastAsia="宋体"/>
      <w:sz w:val="24"/>
    </w:rPr>
  </w:style>
  <w:style w:type="character" w:styleId="56">
    <w:name w:val="line number"/>
    <w:autoRedefine/>
    <w:qFormat/>
    <w:uiPriority w:val="0"/>
    <w:rPr>
      <w:rFonts w:ascii="黑体" w:hAnsi="Arial" w:eastAsia="华文中宋" w:cs="宋体"/>
      <w:kern w:val="2"/>
      <w:sz w:val="44"/>
      <w:szCs w:val="44"/>
      <w:lang w:val="en-US" w:eastAsia="zh-CN" w:bidi="ar-SA"/>
    </w:rPr>
  </w:style>
  <w:style w:type="character" w:styleId="57">
    <w:name w:val="Hyperlink"/>
    <w:autoRedefine/>
    <w:qFormat/>
    <w:uiPriority w:val="99"/>
    <w:rPr>
      <w:color w:val="0000FF"/>
      <w:u w:val="single"/>
    </w:rPr>
  </w:style>
  <w:style w:type="character" w:styleId="58">
    <w:name w:val="annotation reference"/>
    <w:autoRedefine/>
    <w:qFormat/>
    <w:uiPriority w:val="0"/>
    <w:rPr>
      <w:sz w:val="21"/>
      <w:szCs w:val="21"/>
    </w:rPr>
  </w:style>
  <w:style w:type="character" w:customStyle="1" w:styleId="59">
    <w:name w:val="正文缩进 Char1"/>
    <w:autoRedefine/>
    <w:qFormat/>
    <w:uiPriority w:val="0"/>
    <w:rPr>
      <w:rFonts w:eastAsia="宋体"/>
      <w:kern w:val="2"/>
      <w:sz w:val="24"/>
      <w:lang w:val="en-US" w:eastAsia="zh-CN" w:bidi="ar-SA"/>
    </w:rPr>
  </w:style>
  <w:style w:type="paragraph" w:customStyle="1" w:styleId="60">
    <w:name w:val="Default"/>
    <w:basedOn w:val="61"/>
    <w:next w:val="1"/>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1">
    <w:name w:val="纯文本1"/>
    <w:basedOn w:val="1"/>
    <w:autoRedefine/>
    <w:qFormat/>
    <w:uiPriority w:val="0"/>
    <w:pPr>
      <w:adjustRightInd w:val="0"/>
      <w:jc w:val="left"/>
      <w:textAlignment w:val="baseline"/>
    </w:pPr>
    <w:rPr>
      <w:rFonts w:ascii="宋体"/>
      <w:kern w:val="0"/>
      <w:sz w:val="20"/>
      <w:szCs w:val="20"/>
    </w:rPr>
  </w:style>
  <w:style w:type="character" w:customStyle="1" w:styleId="62">
    <w:name w:val="正文文本 Char"/>
    <w:link w:val="19"/>
    <w:autoRedefine/>
    <w:qFormat/>
    <w:uiPriority w:val="0"/>
    <w:rPr>
      <w:kern w:val="2"/>
      <w:sz w:val="28"/>
    </w:rPr>
  </w:style>
  <w:style w:type="paragraph" w:customStyle="1" w:styleId="63">
    <w:name w:val="表格内容"/>
    <w:basedOn w:val="46"/>
    <w:autoRedefine/>
    <w:qFormat/>
    <w:uiPriority w:val="0"/>
    <w:pPr>
      <w:spacing w:after="0" w:line="240" w:lineRule="auto"/>
      <w:ind w:left="0" w:leftChars="0" w:firstLine="0" w:firstLineChars="0"/>
      <w:jc w:val="center"/>
    </w:pPr>
    <w:rPr>
      <w:color w:val="000000"/>
      <w:szCs w:val="21"/>
    </w:rPr>
  </w:style>
  <w:style w:type="paragraph" w:customStyle="1" w:styleId="64">
    <w:name w:val="表头"/>
    <w:basedOn w:val="1"/>
    <w:link w:val="65"/>
    <w:autoRedefine/>
    <w:qFormat/>
    <w:uiPriority w:val="0"/>
    <w:pPr>
      <w:keepNext/>
      <w:adjustRightInd w:val="0"/>
      <w:snapToGrid w:val="0"/>
      <w:spacing w:line="480" w:lineRule="exact"/>
      <w:jc w:val="center"/>
    </w:pPr>
    <w:rPr>
      <w:b/>
      <w:sz w:val="24"/>
      <w:szCs w:val="21"/>
    </w:rPr>
  </w:style>
  <w:style w:type="character" w:customStyle="1" w:styleId="65">
    <w:name w:val="表头 Char"/>
    <w:link w:val="64"/>
    <w:autoRedefine/>
    <w:qFormat/>
    <w:uiPriority w:val="0"/>
    <w:rPr>
      <w:b/>
      <w:kern w:val="2"/>
      <w:sz w:val="24"/>
      <w:szCs w:val="21"/>
    </w:rPr>
  </w:style>
  <w:style w:type="character" w:customStyle="1" w:styleId="66">
    <w:name w:val="fontstyle01"/>
    <w:autoRedefine/>
    <w:qFormat/>
    <w:uiPriority w:val="0"/>
    <w:rPr>
      <w:rFonts w:hint="eastAsia" w:ascii="宋体" w:hAnsi="宋体" w:eastAsia="宋体"/>
      <w:color w:val="000000"/>
      <w:sz w:val="24"/>
      <w:szCs w:val="24"/>
    </w:rPr>
  </w:style>
  <w:style w:type="paragraph" w:customStyle="1" w:styleId="67">
    <w:name w:val="1表格文字"/>
    <w:basedOn w:val="68"/>
    <w:next w:val="1"/>
    <w:autoRedefine/>
    <w:qFormat/>
    <w:uiPriority w:val="0"/>
    <w:pPr>
      <w:tabs>
        <w:tab w:val="left" w:pos="0"/>
        <w:tab w:val="left" w:pos="360"/>
        <w:tab w:val="left" w:pos="900"/>
      </w:tabs>
      <w:topLinePunct/>
      <w:autoSpaceDE w:val="0"/>
      <w:autoSpaceDN w:val="0"/>
      <w:adjustRightInd w:val="0"/>
      <w:snapToGrid w:val="0"/>
      <w:spacing w:line="240" w:lineRule="auto"/>
      <w:textAlignment w:val="baseline"/>
    </w:pPr>
    <w:rPr>
      <w:bCs/>
      <w:spacing w:val="-12"/>
      <w:kern w:val="0"/>
      <w:sz w:val="21"/>
      <w:szCs w:val="20"/>
    </w:rPr>
  </w:style>
  <w:style w:type="paragraph" w:customStyle="1" w:styleId="68">
    <w:name w:val="表格2"/>
    <w:basedOn w:val="1"/>
    <w:autoRedefine/>
    <w:qFormat/>
    <w:uiPriority w:val="0"/>
    <w:pPr>
      <w:spacing w:line="320" w:lineRule="exact"/>
      <w:jc w:val="center"/>
    </w:pPr>
    <w:rPr>
      <w:sz w:val="24"/>
      <w:szCs w:val="28"/>
    </w:rPr>
  </w:style>
  <w:style w:type="paragraph" w:customStyle="1" w:styleId="69">
    <w:name w:val="样式 正文文本 + 首行缩进:  2 字符"/>
    <w:basedOn w:val="19"/>
    <w:autoRedefine/>
    <w:qFormat/>
    <w:uiPriority w:val="0"/>
    <w:pPr>
      <w:spacing w:line="480" w:lineRule="exact"/>
      <w:ind w:firstLine="480" w:firstLineChars="200"/>
    </w:pPr>
    <w:rPr>
      <w:rFonts w:ascii="宋体" w:hAnsi="宋体" w:eastAsia="宋体" w:cs="宋体"/>
      <w:sz w:val="21"/>
    </w:rPr>
  </w:style>
  <w:style w:type="paragraph" w:customStyle="1" w:styleId="70">
    <w:name w:val="正文段落"/>
    <w:basedOn w:val="19"/>
    <w:autoRedefine/>
    <w:qFormat/>
    <w:uiPriority w:val="99"/>
    <w:pPr>
      <w:overflowPunct w:val="0"/>
      <w:adjustRightInd w:val="0"/>
      <w:snapToGrid w:val="0"/>
      <w:spacing w:after="0"/>
      <w:ind w:firstLine="560" w:firstLineChars="200"/>
      <w:textAlignment w:val="center"/>
    </w:pPr>
    <w:rPr>
      <w:rFonts w:hAnsi="宋体"/>
      <w:kern w:val="2"/>
      <w:sz w:val="28"/>
      <w:szCs w:val="20"/>
    </w:rPr>
  </w:style>
  <w:style w:type="paragraph" w:customStyle="1" w:styleId="71">
    <w:name w:val="Char Char Char Char Char Char Char Char Char1 Char"/>
    <w:basedOn w:val="1"/>
    <w:next w:val="72"/>
    <w:autoRedefine/>
    <w:qFormat/>
    <w:uiPriority w:val="99"/>
    <w:pPr>
      <w:widowControl w:val="0"/>
      <w:spacing w:line="360" w:lineRule="auto"/>
      <w:ind w:firstLine="200" w:firstLineChars="200"/>
      <w:jc w:val="both"/>
    </w:pPr>
    <w:rPr>
      <w:kern w:val="2"/>
    </w:rPr>
  </w:style>
  <w:style w:type="paragraph" w:customStyle="1" w:styleId="72">
    <w:name w:val="Body Text First Indent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character" w:customStyle="1" w:styleId="73">
    <w:name w:val="纯文本 Char1"/>
    <w:autoRedefine/>
    <w:qFormat/>
    <w:uiPriority w:val="0"/>
    <w:rPr>
      <w:rFonts w:ascii="宋体" w:hAnsi="Courier New"/>
      <w:kern w:val="2"/>
      <w:sz w:val="21"/>
    </w:rPr>
  </w:style>
  <w:style w:type="character" w:customStyle="1" w:styleId="74">
    <w:name w:val="批注主题 Char"/>
    <w:link w:val="44"/>
    <w:autoRedefine/>
    <w:qFormat/>
    <w:uiPriority w:val="99"/>
    <w:rPr>
      <w:b/>
      <w:bCs/>
      <w:kern w:val="2"/>
      <w:sz w:val="21"/>
    </w:rPr>
  </w:style>
  <w:style w:type="character" w:customStyle="1" w:styleId="75">
    <w:name w:val="apple-converted-space"/>
    <w:basedOn w:val="50"/>
    <w:autoRedefine/>
    <w:qFormat/>
    <w:uiPriority w:val="0"/>
  </w:style>
  <w:style w:type="character" w:customStyle="1" w:styleId="76">
    <w:name w:val="批注框文本 Char"/>
    <w:link w:val="29"/>
    <w:autoRedefine/>
    <w:qFormat/>
    <w:uiPriority w:val="0"/>
    <w:rPr>
      <w:kern w:val="2"/>
      <w:sz w:val="18"/>
      <w:szCs w:val="18"/>
    </w:rPr>
  </w:style>
  <w:style w:type="character" w:customStyle="1" w:styleId="77">
    <w:name w:val="批注文字 Char"/>
    <w:link w:val="17"/>
    <w:autoRedefine/>
    <w:qFormat/>
    <w:uiPriority w:val="0"/>
    <w:rPr>
      <w:kern w:val="2"/>
      <w:sz w:val="21"/>
    </w:rPr>
  </w:style>
  <w:style w:type="character" w:customStyle="1" w:styleId="78">
    <w:name w:val="样式 样式 样式 正文@ + 首行缩进:  2 字符 + 首行缩进:  2 字符 + 行距: 多倍行距 1.3 字行 Char"/>
    <w:link w:val="79"/>
    <w:autoRedefine/>
    <w:qFormat/>
    <w:uiPriority w:val="0"/>
    <w:rPr>
      <w:rFonts w:ascii="宋体" w:hAnsi="宋体" w:eastAsia="宋体" w:cs="宋体"/>
      <w:kern w:val="2"/>
      <w:sz w:val="24"/>
      <w:lang w:val="en-US" w:eastAsia="zh-CN" w:bidi="ar-SA"/>
    </w:rPr>
  </w:style>
  <w:style w:type="paragraph" w:customStyle="1" w:styleId="79">
    <w:name w:val="样式 样式 样式 正文@ + 首行缩进:  2 字符 + 首行缩进:  2 字符 + 行距: 多倍行距 1.3 字行"/>
    <w:basedOn w:val="1"/>
    <w:link w:val="78"/>
    <w:autoRedefine/>
    <w:qFormat/>
    <w:uiPriority w:val="0"/>
    <w:pPr>
      <w:spacing w:line="312" w:lineRule="auto"/>
      <w:ind w:firstLine="480" w:firstLineChars="200"/>
    </w:pPr>
    <w:rPr>
      <w:rFonts w:ascii="宋体" w:hAnsi="宋体" w:cs="宋体"/>
      <w:sz w:val="24"/>
    </w:rPr>
  </w:style>
  <w:style w:type="character" w:customStyle="1" w:styleId="80">
    <w:name w:val="t1"/>
    <w:autoRedefine/>
    <w:qFormat/>
    <w:uiPriority w:val="0"/>
    <w:rPr>
      <w:sz w:val="18"/>
      <w:szCs w:val="18"/>
    </w:rPr>
  </w:style>
  <w:style w:type="character" w:customStyle="1" w:styleId="81">
    <w:name w:val="样式 表内容@ + 小四 Char"/>
    <w:link w:val="82"/>
    <w:autoRedefine/>
    <w:qFormat/>
    <w:uiPriority w:val="0"/>
    <w:rPr>
      <w:rFonts w:ascii="宋体" w:hAnsi="宋体" w:eastAsia="宋体" w:cs="宋体"/>
      <w:kern w:val="2"/>
      <w:sz w:val="24"/>
      <w:lang w:val="en-US" w:eastAsia="zh-CN" w:bidi="ar-SA"/>
    </w:rPr>
  </w:style>
  <w:style w:type="paragraph" w:customStyle="1" w:styleId="82">
    <w:name w:val="样式 表内容@ + 小四"/>
    <w:basedOn w:val="83"/>
    <w:link w:val="81"/>
    <w:autoRedefine/>
    <w:qFormat/>
    <w:uiPriority w:val="0"/>
  </w:style>
  <w:style w:type="paragraph" w:customStyle="1" w:styleId="83">
    <w:name w:val="表内容@"/>
    <w:basedOn w:val="1"/>
    <w:link w:val="120"/>
    <w:autoRedefine/>
    <w:qFormat/>
    <w:uiPriority w:val="0"/>
    <w:pPr>
      <w:spacing w:line="0" w:lineRule="atLeast"/>
      <w:jc w:val="center"/>
    </w:pPr>
    <w:rPr>
      <w:rFonts w:ascii="宋体" w:hAnsi="宋体" w:cs="宋体"/>
      <w:sz w:val="24"/>
    </w:rPr>
  </w:style>
  <w:style w:type="character" w:customStyle="1" w:styleId="84">
    <w:name w:val="ask-title"/>
    <w:basedOn w:val="50"/>
    <w:autoRedefine/>
    <w:qFormat/>
    <w:uiPriority w:val="0"/>
  </w:style>
  <w:style w:type="character" w:customStyle="1" w:styleId="85">
    <w:name w:val="纯文本 Char"/>
    <w:link w:val="24"/>
    <w:autoRedefine/>
    <w:qFormat/>
    <w:uiPriority w:val="0"/>
    <w:rPr>
      <w:rFonts w:ascii="宋体" w:hAnsi="Courier New" w:eastAsia="宋体"/>
      <w:kern w:val="2"/>
      <w:sz w:val="21"/>
      <w:lang w:val="en-US" w:eastAsia="zh-CN" w:bidi="ar-SA"/>
    </w:rPr>
  </w:style>
  <w:style w:type="character" w:customStyle="1" w:styleId="86">
    <w:name w:val="样式 样式 样式 样式 正文 + 首行缩进:  2 字符 + 首行缩进:  2 字符 + 首行缩进:  2 字符 + Char"/>
    <w:link w:val="87"/>
    <w:autoRedefine/>
    <w:qFormat/>
    <w:uiPriority w:val="0"/>
    <w:rPr>
      <w:rFonts w:ascii="宋体" w:hAnsi="宋体" w:eastAsia="宋体" w:cs="宋体"/>
      <w:sz w:val="24"/>
      <w:lang w:val="en-US" w:eastAsia="zh-CN" w:bidi="ar-SA"/>
    </w:rPr>
  </w:style>
  <w:style w:type="paragraph" w:customStyle="1" w:styleId="87">
    <w:name w:val="样式 样式 样式 样式 正文 + 首行缩进:  2 字符 + 首行缩进:  2 字符 + 首行缩进:  2 字符 +"/>
    <w:basedOn w:val="1"/>
    <w:link w:val="86"/>
    <w:autoRedefine/>
    <w:qFormat/>
    <w:uiPriority w:val="0"/>
    <w:pPr>
      <w:ind w:firstLine="200" w:firstLineChars="200"/>
    </w:pPr>
    <w:rPr>
      <w:rFonts w:ascii="宋体" w:hAnsi="宋体" w:cs="宋体"/>
      <w:kern w:val="0"/>
      <w:sz w:val="24"/>
    </w:rPr>
  </w:style>
  <w:style w:type="character" w:customStyle="1" w:styleId="88">
    <w:name w:val="样式 样式 正文@ + 首行缩进:  2 字符 字距调整小四 紧缩量  0.2 磅 + 首行缩进:  2 字符 Char"/>
    <w:link w:val="89"/>
    <w:autoRedefine/>
    <w:qFormat/>
    <w:uiPriority w:val="0"/>
    <w:rPr>
      <w:rFonts w:ascii="宋体" w:hAnsi="宋体" w:eastAsia="宋体" w:cs="宋体"/>
      <w:kern w:val="24"/>
      <w:sz w:val="24"/>
      <w:szCs w:val="24"/>
      <w:lang w:val="en-US" w:eastAsia="zh-CN" w:bidi="ar-SA"/>
    </w:rPr>
  </w:style>
  <w:style w:type="paragraph" w:customStyle="1" w:styleId="89">
    <w:name w:val="样式 样式 正文@ + 首行缩进:  2 字符 字距调整小四 紧缩量  0.2 磅 + 首行缩进:  2 字符"/>
    <w:basedOn w:val="1"/>
    <w:link w:val="88"/>
    <w:autoRedefine/>
    <w:qFormat/>
    <w:uiPriority w:val="0"/>
    <w:pPr>
      <w:spacing w:line="360" w:lineRule="auto"/>
      <w:ind w:firstLine="480" w:firstLineChars="200"/>
    </w:pPr>
    <w:rPr>
      <w:rFonts w:ascii="宋体" w:hAnsi="宋体" w:cs="宋体"/>
      <w:kern w:val="24"/>
      <w:sz w:val="24"/>
      <w:szCs w:val="24"/>
    </w:rPr>
  </w:style>
  <w:style w:type="character" w:customStyle="1" w:styleId="90">
    <w:name w:val="style29"/>
    <w:basedOn w:val="50"/>
    <w:autoRedefine/>
    <w:qFormat/>
    <w:uiPriority w:val="0"/>
  </w:style>
  <w:style w:type="character" w:customStyle="1" w:styleId="91">
    <w:name w:val="样式 样式 样式 样式 正文@ + 首行缩进:  2 字符 字距调整小四 紧缩量  0.2 磅 + 首行缩进:  2 字符 + ...1 Char"/>
    <w:basedOn w:val="92"/>
    <w:link w:val="94"/>
    <w:autoRedefine/>
    <w:qFormat/>
    <w:uiPriority w:val="0"/>
    <w:rPr>
      <w:rFonts w:ascii="宋体" w:hAnsi="宋体" w:eastAsia="宋体" w:cs="宋体"/>
      <w:kern w:val="24"/>
      <w:sz w:val="24"/>
      <w:szCs w:val="24"/>
      <w:lang w:val="en-US" w:eastAsia="zh-CN" w:bidi="ar-SA"/>
    </w:rPr>
  </w:style>
  <w:style w:type="character" w:customStyle="1" w:styleId="92">
    <w:name w:val="样式 样式 样式 正文@ + 首行缩进:  2 字符 字距调整小四 紧缩量  0.2 磅 + 首行缩进:  2 字符 + 首行缩... Char"/>
    <w:basedOn w:val="88"/>
    <w:link w:val="93"/>
    <w:autoRedefine/>
    <w:qFormat/>
    <w:uiPriority w:val="0"/>
    <w:rPr>
      <w:rFonts w:ascii="宋体" w:hAnsi="宋体" w:eastAsia="宋体" w:cs="宋体"/>
      <w:kern w:val="24"/>
      <w:sz w:val="24"/>
      <w:szCs w:val="24"/>
      <w:lang w:val="en-US" w:eastAsia="zh-CN" w:bidi="ar-SA"/>
    </w:rPr>
  </w:style>
  <w:style w:type="paragraph" w:customStyle="1" w:styleId="93">
    <w:name w:val="样式 样式 样式 正文@ + 首行缩进:  2 字符 字距调整小四 紧缩量  0.2 磅 + 首行缩进:  2 字符 + 首行缩..."/>
    <w:basedOn w:val="89"/>
    <w:link w:val="92"/>
    <w:autoRedefine/>
    <w:qFormat/>
    <w:uiPriority w:val="0"/>
    <w:pPr>
      <w:ind w:firstLine="438"/>
    </w:pPr>
    <w:rPr>
      <w:szCs w:val="20"/>
    </w:rPr>
  </w:style>
  <w:style w:type="paragraph" w:customStyle="1" w:styleId="94">
    <w:name w:val="样式 样式 样式 样式 正文@ + 首行缩进:  2 字符 字距调整小四 紧缩量  0.2 磅 + 首行缩进:  2 字符 + ...1"/>
    <w:basedOn w:val="93"/>
    <w:link w:val="91"/>
    <w:autoRedefine/>
    <w:qFormat/>
    <w:uiPriority w:val="0"/>
    <w:pPr>
      <w:spacing w:line="312" w:lineRule="auto"/>
    </w:pPr>
    <w:rPr>
      <w:kern w:val="0"/>
    </w:rPr>
  </w:style>
  <w:style w:type="character" w:customStyle="1" w:styleId="95">
    <w:name w:val="headline-content2"/>
    <w:basedOn w:val="50"/>
    <w:autoRedefine/>
    <w:qFormat/>
    <w:uiPriority w:val="0"/>
  </w:style>
  <w:style w:type="character" w:customStyle="1" w:styleId="96">
    <w:name w:val="样式 表内容 +1 Char"/>
    <w:link w:val="97"/>
    <w:autoRedefine/>
    <w:qFormat/>
    <w:uiPriority w:val="0"/>
    <w:rPr>
      <w:rFonts w:ascii="宋体" w:hAnsi="宋体" w:eastAsia="宋体" w:cs="Arial"/>
      <w:sz w:val="18"/>
      <w:szCs w:val="18"/>
      <w:lang w:val="en-US" w:eastAsia="zh-CN" w:bidi="ar-SA"/>
    </w:rPr>
  </w:style>
  <w:style w:type="paragraph" w:customStyle="1" w:styleId="97">
    <w:name w:val="样式 表内容 +1"/>
    <w:basedOn w:val="1"/>
    <w:link w:val="96"/>
    <w:autoRedefine/>
    <w:qFormat/>
    <w:uiPriority w:val="0"/>
    <w:pPr>
      <w:adjustRightInd w:val="0"/>
      <w:spacing w:line="0" w:lineRule="atLeast"/>
      <w:jc w:val="center"/>
    </w:pPr>
    <w:rPr>
      <w:rFonts w:ascii="宋体" w:hAnsi="宋体" w:cs="Arial"/>
      <w:kern w:val="0"/>
      <w:sz w:val="18"/>
      <w:szCs w:val="18"/>
    </w:rPr>
  </w:style>
  <w:style w:type="character" w:customStyle="1" w:styleId="98">
    <w:name w:val="样式 样式 样式 正文@ + 首行缩进:  2 字符 字距调整小四 紧缩量  0.2 磅 + 首行缩进:  2 字符 + 加宽量... Char"/>
    <w:link w:val="99"/>
    <w:autoRedefine/>
    <w:qFormat/>
    <w:uiPriority w:val="0"/>
    <w:rPr>
      <w:rFonts w:ascii="宋体" w:hAnsi="宋体" w:eastAsia="宋体" w:cs="宋体"/>
      <w:spacing w:val="4"/>
      <w:kern w:val="24"/>
      <w:sz w:val="24"/>
      <w:szCs w:val="24"/>
      <w:lang w:val="en-US" w:eastAsia="zh-CN" w:bidi="ar-SA"/>
    </w:rPr>
  </w:style>
  <w:style w:type="paragraph" w:customStyle="1" w:styleId="99">
    <w:name w:val="样式 样式 样式 正文@ + 首行缩进:  2 字符 字距调整小四 紧缩量  0.2 磅 + 首行缩进:  2 字符 + 加宽量..."/>
    <w:basedOn w:val="1"/>
    <w:link w:val="98"/>
    <w:autoRedefine/>
    <w:qFormat/>
    <w:uiPriority w:val="0"/>
    <w:pPr>
      <w:spacing w:line="360" w:lineRule="auto"/>
      <w:ind w:firstLine="480" w:firstLineChars="200"/>
    </w:pPr>
    <w:rPr>
      <w:rFonts w:ascii="宋体" w:hAnsi="宋体" w:cs="宋体"/>
      <w:spacing w:val="4"/>
      <w:kern w:val="24"/>
      <w:sz w:val="24"/>
      <w:szCs w:val="24"/>
    </w:rPr>
  </w:style>
  <w:style w:type="character" w:customStyle="1" w:styleId="100">
    <w:name w:val="样式 正文@ + 首行缩进:  2 字符 Char"/>
    <w:basedOn w:val="101"/>
    <w:link w:val="104"/>
    <w:autoRedefine/>
    <w:qFormat/>
    <w:uiPriority w:val="0"/>
    <w:rPr>
      <w:rFonts w:ascii="宋体" w:hAnsi="宋体" w:eastAsia="宋体" w:cs="宋体"/>
      <w:color w:val="000000"/>
      <w:kern w:val="2"/>
      <w:sz w:val="24"/>
      <w:lang w:val="en-US" w:eastAsia="zh-CN" w:bidi="ar-SA"/>
    </w:rPr>
  </w:style>
  <w:style w:type="character" w:customStyle="1" w:styleId="101">
    <w:name w:val="正文@ Char"/>
    <w:link w:val="102"/>
    <w:autoRedefine/>
    <w:qFormat/>
    <w:uiPriority w:val="0"/>
    <w:rPr>
      <w:rFonts w:ascii="宋体" w:hAnsi="宋体" w:eastAsia="宋体" w:cs="宋体"/>
      <w:color w:val="000000"/>
      <w:kern w:val="2"/>
      <w:sz w:val="24"/>
      <w:lang w:val="en-US" w:eastAsia="zh-CN" w:bidi="ar-SA"/>
    </w:rPr>
  </w:style>
  <w:style w:type="paragraph" w:customStyle="1" w:styleId="102">
    <w:name w:val="正文@"/>
    <w:basedOn w:val="103"/>
    <w:link w:val="101"/>
    <w:autoRedefine/>
    <w:qFormat/>
    <w:uiPriority w:val="0"/>
    <w:pPr>
      <w:ind w:firstLine="200" w:firstLineChars="200"/>
      <w:jc w:val="left"/>
    </w:pPr>
    <w:rPr>
      <w:color w:val="000000"/>
      <w:sz w:val="24"/>
    </w:rPr>
  </w:style>
  <w:style w:type="paragraph" w:customStyle="1" w:styleId="103">
    <w:name w:val="样式 宋体 首行缩进:  2 字符 段前: 2.5 磅 段后: 2.5 磅 行距: 1.5 倍行距"/>
    <w:basedOn w:val="1"/>
    <w:autoRedefine/>
    <w:qFormat/>
    <w:uiPriority w:val="0"/>
    <w:pPr>
      <w:spacing w:line="360" w:lineRule="auto"/>
    </w:pPr>
    <w:rPr>
      <w:rFonts w:ascii="宋体" w:hAnsi="宋体" w:cs="宋体"/>
    </w:rPr>
  </w:style>
  <w:style w:type="paragraph" w:customStyle="1" w:styleId="104">
    <w:name w:val="样式 正文@ + 首行缩进:  2 字符"/>
    <w:basedOn w:val="102"/>
    <w:link w:val="100"/>
    <w:autoRedefine/>
    <w:qFormat/>
    <w:uiPriority w:val="0"/>
  </w:style>
  <w:style w:type="character" w:customStyle="1" w:styleId="105">
    <w:name w:val="样式 样式 样式 正文@ + 首行缩进:  2 字符 字距调整小四 紧缩量  0.2 磅 + 首行缩进:  2 字符 + Char"/>
    <w:link w:val="106"/>
    <w:autoRedefine/>
    <w:qFormat/>
    <w:uiPriority w:val="0"/>
    <w:rPr>
      <w:rFonts w:ascii="宋体" w:hAnsi="宋体" w:eastAsia="宋体" w:cs="宋体"/>
      <w:sz w:val="24"/>
      <w:szCs w:val="24"/>
      <w:lang w:val="en-US" w:eastAsia="zh-CN" w:bidi="ar-SA"/>
    </w:rPr>
  </w:style>
  <w:style w:type="paragraph" w:customStyle="1" w:styleId="106">
    <w:name w:val="样式 样式 样式 正文@ + 首行缩进:  2 字符 字距调整小四 紧缩量  0.2 磅 + 首行缩进:  2 字符 +"/>
    <w:basedOn w:val="1"/>
    <w:link w:val="105"/>
    <w:autoRedefine/>
    <w:qFormat/>
    <w:uiPriority w:val="0"/>
    <w:pPr>
      <w:spacing w:line="360" w:lineRule="auto"/>
      <w:ind w:firstLine="480" w:firstLineChars="200"/>
    </w:pPr>
    <w:rPr>
      <w:rFonts w:ascii="宋体" w:hAnsi="宋体" w:cs="宋体"/>
      <w:kern w:val="0"/>
      <w:sz w:val="24"/>
      <w:szCs w:val="24"/>
    </w:rPr>
  </w:style>
  <w:style w:type="character" w:customStyle="1" w:styleId="107">
    <w:name w:val="Char Char1"/>
    <w:autoRedefine/>
    <w:qFormat/>
    <w:uiPriority w:val="0"/>
    <w:rPr>
      <w:rFonts w:ascii="宋体" w:hAnsi="宋体" w:eastAsia="宋体" w:cs="Arial"/>
      <w:snapToGrid w:val="0"/>
      <w:kern w:val="2"/>
      <w:sz w:val="21"/>
      <w:szCs w:val="24"/>
      <w:lang w:val="en-US" w:eastAsia="zh-CN" w:bidi="ar-SA"/>
    </w:rPr>
  </w:style>
  <w:style w:type="character" w:customStyle="1" w:styleId="108">
    <w:name w:val="样式 样式 样式 样式 样式 正文@ + 首行缩进:  2 字符 字距调整小四 紧缩量  0.2 磅 + 首行缩进:  2 字符... Char"/>
    <w:basedOn w:val="91"/>
    <w:link w:val="109"/>
    <w:autoRedefine/>
    <w:qFormat/>
    <w:uiPriority w:val="0"/>
    <w:rPr>
      <w:rFonts w:ascii="宋体" w:hAnsi="宋体" w:eastAsia="宋体" w:cs="宋体"/>
      <w:kern w:val="24"/>
      <w:sz w:val="24"/>
      <w:szCs w:val="24"/>
      <w:lang w:val="en-US" w:eastAsia="zh-CN" w:bidi="ar-SA"/>
    </w:rPr>
  </w:style>
  <w:style w:type="paragraph" w:customStyle="1" w:styleId="109">
    <w:name w:val="样式 样式 样式 样式 样式 正文@ + 首行缩进:  2 字符 字距调整小四 紧缩量  0.2 磅 + 首行缩进:  2 字符..."/>
    <w:basedOn w:val="94"/>
    <w:link w:val="108"/>
    <w:autoRedefine/>
    <w:qFormat/>
    <w:uiPriority w:val="0"/>
    <w:pPr>
      <w:spacing w:line="360" w:lineRule="auto"/>
      <w:ind w:firstLine="200"/>
    </w:pPr>
  </w:style>
  <w:style w:type="character" w:customStyle="1" w:styleId="110">
    <w:name w:val="样式 正文@ + 黑色 图案: 清除 (白色) Char"/>
    <w:link w:val="111"/>
    <w:autoRedefine/>
    <w:qFormat/>
    <w:uiPriority w:val="0"/>
    <w:rPr>
      <w:rFonts w:ascii="宋体" w:hAnsi="宋体" w:eastAsia="宋体" w:cs="宋体"/>
      <w:color w:val="000000"/>
      <w:kern w:val="2"/>
      <w:sz w:val="24"/>
      <w:shd w:val="clear" w:color="auto" w:fill="FFFFFF"/>
      <w:lang w:val="en-US" w:eastAsia="zh-CN" w:bidi="ar-SA"/>
    </w:rPr>
  </w:style>
  <w:style w:type="paragraph" w:customStyle="1" w:styleId="111">
    <w:name w:val="样式 正文@ + 黑色 图案: 清除 (白色)"/>
    <w:basedOn w:val="1"/>
    <w:link w:val="110"/>
    <w:autoRedefine/>
    <w:qFormat/>
    <w:uiPriority w:val="0"/>
    <w:pPr>
      <w:spacing w:line="360" w:lineRule="auto"/>
      <w:ind w:firstLine="200" w:firstLineChars="200"/>
    </w:pPr>
    <w:rPr>
      <w:rFonts w:ascii="宋体" w:hAnsi="宋体" w:cs="宋体"/>
      <w:color w:val="000000"/>
      <w:sz w:val="24"/>
      <w:shd w:val="clear" w:color="auto" w:fill="FFFFFF"/>
    </w:rPr>
  </w:style>
  <w:style w:type="character" w:customStyle="1" w:styleId="112">
    <w:name w:val="表头@ Char"/>
    <w:link w:val="113"/>
    <w:autoRedefine/>
    <w:qFormat/>
    <w:uiPriority w:val="0"/>
    <w:rPr>
      <w:rFonts w:ascii="宋体" w:hAnsi="宋体" w:eastAsia="宋体" w:cs="宋体"/>
      <w:kern w:val="2"/>
      <w:sz w:val="21"/>
      <w:lang w:val="en-US" w:eastAsia="zh-CN" w:bidi="ar-SA"/>
    </w:rPr>
  </w:style>
  <w:style w:type="paragraph" w:customStyle="1" w:styleId="113">
    <w:name w:val="表头@"/>
    <w:basedOn w:val="1"/>
    <w:link w:val="112"/>
    <w:autoRedefine/>
    <w:qFormat/>
    <w:uiPriority w:val="0"/>
    <w:pPr>
      <w:jc w:val="center"/>
    </w:pPr>
    <w:rPr>
      <w:rFonts w:ascii="宋体" w:hAnsi="宋体" w:cs="宋体"/>
    </w:rPr>
  </w:style>
  <w:style w:type="character" w:customStyle="1" w:styleId="114">
    <w:name w:val="样式11 Char"/>
    <w:link w:val="115"/>
    <w:autoRedefine/>
    <w:qFormat/>
    <w:uiPriority w:val="0"/>
    <w:rPr>
      <w:rFonts w:ascii="宋体" w:hAnsi="宋体" w:eastAsia="宋体" w:cs="宋体"/>
      <w:kern w:val="2"/>
      <w:sz w:val="24"/>
      <w:lang w:val="en-US" w:eastAsia="zh-CN" w:bidi="ar-SA"/>
    </w:rPr>
  </w:style>
  <w:style w:type="paragraph" w:customStyle="1" w:styleId="115">
    <w:name w:val="样式11"/>
    <w:basedOn w:val="116"/>
    <w:link w:val="114"/>
    <w:autoRedefine/>
    <w:qFormat/>
    <w:uiPriority w:val="0"/>
    <w:pPr>
      <w:ind w:firstLine="436"/>
    </w:pPr>
  </w:style>
  <w:style w:type="paragraph" w:customStyle="1" w:styleId="116">
    <w:name w:val="样式 样式 正文@ + 首行缩进:  2 字符 + 首行缩进:  2 字符"/>
    <w:basedOn w:val="104"/>
    <w:link w:val="132"/>
    <w:autoRedefine/>
    <w:qFormat/>
    <w:uiPriority w:val="0"/>
    <w:pPr>
      <w:ind w:firstLine="480"/>
    </w:pPr>
  </w:style>
  <w:style w:type="character" w:customStyle="1" w:styleId="117">
    <w:name w:val="段落 Char"/>
    <w:link w:val="118"/>
    <w:autoRedefine/>
    <w:qFormat/>
    <w:uiPriority w:val="0"/>
    <w:rPr>
      <w:rFonts w:eastAsia="宋体"/>
      <w:sz w:val="24"/>
      <w:szCs w:val="24"/>
      <w:lang w:val="zh-CN" w:eastAsia="zh-CN" w:bidi="ar-SA"/>
    </w:rPr>
  </w:style>
  <w:style w:type="paragraph" w:customStyle="1" w:styleId="118">
    <w:name w:val="段落"/>
    <w:basedOn w:val="1"/>
    <w:link w:val="117"/>
    <w:autoRedefine/>
    <w:qFormat/>
    <w:uiPriority w:val="0"/>
    <w:pPr>
      <w:topLinePunct/>
      <w:ind w:firstLine="200" w:firstLineChars="200"/>
      <w:jc w:val="left"/>
    </w:pPr>
    <w:rPr>
      <w:kern w:val="0"/>
      <w:sz w:val="24"/>
      <w:szCs w:val="24"/>
      <w:lang w:val="zh-CN"/>
    </w:rPr>
  </w:style>
  <w:style w:type="character" w:customStyle="1" w:styleId="119">
    <w:name w:val="样式 表内容@ + 行距: 最小值 0 磅 Char"/>
    <w:basedOn w:val="120"/>
    <w:link w:val="121"/>
    <w:autoRedefine/>
    <w:qFormat/>
    <w:uiPriority w:val="0"/>
    <w:rPr>
      <w:rFonts w:ascii="宋体" w:hAnsi="宋体" w:eastAsia="宋体" w:cs="宋体"/>
      <w:kern w:val="2"/>
      <w:sz w:val="24"/>
      <w:lang w:val="en-US" w:eastAsia="zh-CN" w:bidi="ar-SA"/>
    </w:rPr>
  </w:style>
  <w:style w:type="character" w:customStyle="1" w:styleId="120">
    <w:name w:val="表内容@ Char"/>
    <w:link w:val="83"/>
    <w:autoRedefine/>
    <w:qFormat/>
    <w:uiPriority w:val="0"/>
    <w:rPr>
      <w:rFonts w:ascii="宋体" w:hAnsi="宋体" w:eastAsia="宋体" w:cs="宋体"/>
      <w:kern w:val="2"/>
      <w:sz w:val="24"/>
      <w:lang w:val="en-US" w:eastAsia="zh-CN" w:bidi="ar-SA"/>
    </w:rPr>
  </w:style>
  <w:style w:type="paragraph" w:customStyle="1" w:styleId="121">
    <w:name w:val="样式 表内容@ + 行距: 最小值 0 磅"/>
    <w:basedOn w:val="83"/>
    <w:link w:val="119"/>
    <w:autoRedefine/>
    <w:qFormat/>
    <w:uiPriority w:val="0"/>
    <w:pPr>
      <w:adjustRightInd w:val="0"/>
    </w:pPr>
  </w:style>
  <w:style w:type="character" w:customStyle="1" w:styleId="122">
    <w:name w:val="样式 样式 首行缩进:  2 字符 + 首行缩进:  2 字符 Char"/>
    <w:link w:val="123"/>
    <w:autoRedefine/>
    <w:qFormat/>
    <w:locked/>
    <w:uiPriority w:val="0"/>
    <w:rPr>
      <w:rFonts w:ascii="宋体" w:hAnsi="宋体" w:eastAsia="宋体" w:cs="宋体"/>
      <w:kern w:val="2"/>
      <w:sz w:val="24"/>
      <w:lang w:val="en-US" w:eastAsia="zh-CN" w:bidi="ar-SA"/>
    </w:rPr>
  </w:style>
  <w:style w:type="paragraph" w:customStyle="1" w:styleId="123">
    <w:name w:val="样式 样式 首行缩进:  2 字符 + 首行缩进:  2 字符"/>
    <w:basedOn w:val="1"/>
    <w:link w:val="122"/>
    <w:autoRedefine/>
    <w:qFormat/>
    <w:uiPriority w:val="0"/>
    <w:pPr>
      <w:spacing w:line="360" w:lineRule="auto"/>
      <w:ind w:firstLine="200" w:firstLineChars="200"/>
    </w:pPr>
    <w:rPr>
      <w:rFonts w:ascii="宋体" w:hAnsi="宋体" w:cs="宋体"/>
      <w:sz w:val="24"/>
    </w:rPr>
  </w:style>
  <w:style w:type="character" w:customStyle="1" w:styleId="124">
    <w:name w:val="标题 4 Char"/>
    <w:link w:val="7"/>
    <w:autoRedefine/>
    <w:qFormat/>
    <w:uiPriority w:val="0"/>
    <w:rPr>
      <w:rFonts w:ascii="Arial" w:hAnsi="Arial" w:eastAsia="黑体"/>
      <w:b/>
      <w:bCs/>
      <w:kern w:val="2"/>
      <w:sz w:val="28"/>
      <w:szCs w:val="28"/>
      <w:lang w:val="en-US" w:eastAsia="zh-CN" w:bidi="ar-SA"/>
    </w:rPr>
  </w:style>
  <w:style w:type="character" w:customStyle="1" w:styleId="125">
    <w:name w:val="题注 Char"/>
    <w:link w:val="14"/>
    <w:autoRedefine/>
    <w:qFormat/>
    <w:uiPriority w:val="0"/>
    <w:rPr>
      <w:rFonts w:ascii="宋体" w:hAnsi="Arial" w:eastAsia="宋体" w:cs="Arial"/>
      <w:kern w:val="2"/>
      <w:sz w:val="21"/>
      <w:lang w:val="en-US" w:eastAsia="zh-CN" w:bidi="ar-SA"/>
    </w:rPr>
  </w:style>
  <w:style w:type="character" w:customStyle="1" w:styleId="126">
    <w:name w:val="正文（首行缩进两字） Char Char Char Char1"/>
    <w:autoRedefine/>
    <w:qFormat/>
    <w:uiPriority w:val="0"/>
    <w:rPr>
      <w:rFonts w:ascii="Arial" w:hAnsi="Arial" w:eastAsia="宋体"/>
      <w:kern w:val="2"/>
      <w:sz w:val="24"/>
      <w:szCs w:val="24"/>
      <w:lang w:val="en-US" w:eastAsia="zh-CN" w:bidi="ar-SA"/>
    </w:rPr>
  </w:style>
  <w:style w:type="character" w:customStyle="1" w:styleId="127">
    <w:name w:val="样式 样式 样式 正文 + 首行缩进:  2 字符 + 首行缩进:  2 字符 + 首行缩进:  2 字符 Char"/>
    <w:link w:val="128"/>
    <w:autoRedefine/>
    <w:qFormat/>
    <w:uiPriority w:val="0"/>
    <w:rPr>
      <w:rFonts w:ascii="宋体" w:hAnsi="宋体" w:eastAsia="宋体" w:cs="宋体"/>
      <w:kern w:val="2"/>
      <w:sz w:val="24"/>
      <w:lang w:val="en-US" w:eastAsia="zh-CN" w:bidi="ar-SA"/>
    </w:rPr>
  </w:style>
  <w:style w:type="paragraph" w:customStyle="1" w:styleId="128">
    <w:name w:val="样式 样式 样式 正文 + 首行缩进:  2 字符 + 首行缩进:  2 字符 + 首行缩进:  2 字符"/>
    <w:basedOn w:val="1"/>
    <w:link w:val="127"/>
    <w:autoRedefine/>
    <w:qFormat/>
    <w:uiPriority w:val="0"/>
    <w:pPr>
      <w:ind w:firstLine="200" w:firstLineChars="200"/>
    </w:pPr>
    <w:rPr>
      <w:rFonts w:ascii="宋体" w:hAnsi="宋体" w:cs="宋体"/>
      <w:sz w:val="24"/>
    </w:rPr>
  </w:style>
  <w:style w:type="character" w:customStyle="1" w:styleId="129">
    <w:name w:val="正文缩进 Char"/>
    <w:link w:val="5"/>
    <w:autoRedefine/>
    <w:qFormat/>
    <w:uiPriority w:val="99"/>
    <w:rPr>
      <w:rFonts w:eastAsia="宋体"/>
      <w:kern w:val="2"/>
      <w:sz w:val="21"/>
      <w:lang w:val="en-US" w:eastAsia="zh-CN" w:bidi="ar-SA"/>
    </w:rPr>
  </w:style>
  <w:style w:type="character" w:customStyle="1" w:styleId="130">
    <w:name w:val="表格 Char"/>
    <w:link w:val="131"/>
    <w:autoRedefine/>
    <w:qFormat/>
    <w:uiPriority w:val="0"/>
    <w:rPr>
      <w:sz w:val="21"/>
      <w:szCs w:val="21"/>
    </w:rPr>
  </w:style>
  <w:style w:type="paragraph" w:customStyle="1" w:styleId="131">
    <w:name w:val="表格"/>
    <w:basedOn w:val="33"/>
    <w:next w:val="1"/>
    <w:link w:val="130"/>
    <w:autoRedefine/>
    <w:qFormat/>
    <w:uiPriority w:val="0"/>
    <w:pPr>
      <w:adjustRightInd w:val="0"/>
      <w:snapToGrid w:val="0"/>
      <w:jc w:val="center"/>
      <w:textAlignment w:val="baseline"/>
    </w:pPr>
    <w:rPr>
      <w:kern w:val="0"/>
      <w:sz w:val="21"/>
      <w:szCs w:val="21"/>
    </w:rPr>
  </w:style>
  <w:style w:type="character" w:customStyle="1" w:styleId="132">
    <w:name w:val="样式 样式 正文@ + 首行缩进:  2 字符 + 首行缩进:  2 字符 Char"/>
    <w:link w:val="116"/>
    <w:autoRedefine/>
    <w:qFormat/>
    <w:uiPriority w:val="0"/>
    <w:rPr>
      <w:rFonts w:ascii="宋体" w:hAnsi="宋体" w:eastAsia="宋体" w:cs="宋体"/>
      <w:kern w:val="2"/>
      <w:sz w:val="24"/>
      <w:lang w:val="en-US" w:eastAsia="zh-CN" w:bidi="ar-SA"/>
    </w:rPr>
  </w:style>
  <w:style w:type="character" w:customStyle="1" w:styleId="133">
    <w:name w:val="样式 表图头@ + 段前: 0.5 行 Char"/>
    <w:link w:val="134"/>
    <w:autoRedefine/>
    <w:qFormat/>
    <w:uiPriority w:val="0"/>
    <w:rPr>
      <w:rFonts w:ascii="宋体" w:hAnsi="宋体" w:eastAsia="宋体" w:cs="宋体"/>
      <w:kern w:val="2"/>
      <w:sz w:val="21"/>
      <w:lang w:val="en-US" w:eastAsia="zh-CN" w:bidi="ar-SA"/>
    </w:rPr>
  </w:style>
  <w:style w:type="paragraph" w:customStyle="1" w:styleId="134">
    <w:name w:val="样式 表图头@ + 段前: 0.5 行"/>
    <w:basedOn w:val="1"/>
    <w:link w:val="133"/>
    <w:autoRedefine/>
    <w:qFormat/>
    <w:uiPriority w:val="0"/>
    <w:pPr>
      <w:adjustRightInd w:val="0"/>
      <w:jc w:val="center"/>
    </w:pPr>
    <w:rPr>
      <w:rFonts w:ascii="宋体" w:hAnsi="宋体" w:cs="宋体"/>
    </w:rPr>
  </w:style>
  <w:style w:type="paragraph" w:styleId="135">
    <w:name w:val="List Paragraph"/>
    <w:basedOn w:val="1"/>
    <w:link w:val="205"/>
    <w:autoRedefine/>
    <w:qFormat/>
    <w:uiPriority w:val="99"/>
    <w:pPr>
      <w:ind w:firstLine="420" w:firstLineChars="200"/>
    </w:pPr>
    <w:rPr>
      <w:rFonts w:ascii="Calibri" w:hAnsi="Calibri"/>
      <w:szCs w:val="22"/>
    </w:rPr>
  </w:style>
  <w:style w:type="paragraph" w:customStyle="1" w:styleId="136">
    <w:name w:val="Table Paragraph"/>
    <w:basedOn w:val="1"/>
    <w:autoRedefine/>
    <w:qFormat/>
    <w:uiPriority w:val="1"/>
    <w:pPr>
      <w:widowControl/>
      <w:jc w:val="left"/>
    </w:pPr>
    <w:rPr>
      <w:kern w:val="0"/>
    </w:rPr>
  </w:style>
  <w:style w:type="paragraph" w:customStyle="1" w:styleId="137">
    <w:name w:val="表头1号"/>
    <w:basedOn w:val="1"/>
    <w:autoRedefine/>
    <w:qFormat/>
    <w:uiPriority w:val="0"/>
    <w:pPr>
      <w:keepNext/>
      <w:widowControl/>
      <w:jc w:val="center"/>
    </w:pPr>
    <w:rPr>
      <w:b/>
      <w:sz w:val="24"/>
    </w:rPr>
  </w:style>
  <w:style w:type="paragraph" w:customStyle="1" w:styleId="138">
    <w:name w:val="Char1 Char Char Char Char Char Char Char Char Char Char Char Char Char Char Char Char"/>
    <w:basedOn w:val="4"/>
    <w:autoRedefine/>
    <w:qFormat/>
    <w:uiPriority w:val="0"/>
    <w:pPr>
      <w:widowControl w:val="0"/>
      <w:tabs>
        <w:tab w:val="left" w:pos="360"/>
        <w:tab w:val="left" w:pos="900"/>
      </w:tabs>
      <w:snapToGrid w:val="0"/>
      <w:spacing w:before="120" w:after="120" w:line="360" w:lineRule="auto"/>
      <w:ind w:left="542" w:leftChars="-12" w:firstLine="200" w:firstLineChars="200"/>
    </w:pPr>
    <w:rPr>
      <w:rFonts w:eastAsia="黑体"/>
      <w:b w:val="0"/>
      <w:snapToGrid w:val="0"/>
      <w:kern w:val="2"/>
      <w:sz w:val="24"/>
      <w:szCs w:val="24"/>
    </w:rPr>
  </w:style>
  <w:style w:type="paragraph" w:customStyle="1" w:styleId="139">
    <w:name w:val="Char"/>
    <w:basedOn w:val="5"/>
    <w:autoRedefine/>
    <w:semiHidden/>
    <w:qFormat/>
    <w:uiPriority w:val="0"/>
    <w:pPr>
      <w:keepNext/>
      <w:adjustRightInd w:val="0"/>
      <w:snapToGrid w:val="0"/>
      <w:spacing w:line="500" w:lineRule="exact"/>
      <w:ind w:firstLine="200" w:firstLineChars="200"/>
    </w:pPr>
    <w:rPr>
      <w:rFonts w:ascii="Verdana" w:hAnsi="Verdana" w:eastAsia="仿宋_GB2312"/>
      <w:color w:val="000000"/>
      <w:spacing w:val="8"/>
      <w:kern w:val="0"/>
      <w:sz w:val="28"/>
      <w:lang w:eastAsia="en-US"/>
    </w:rPr>
  </w:style>
  <w:style w:type="paragraph" w:customStyle="1" w:styleId="140">
    <w:name w:val="样式 样式 标题 2标题2，@ + 段前: 0.5 行 段后: 0.5 行 + 段前: 0.5 行 段后: 0.5 行"/>
    <w:basedOn w:val="1"/>
    <w:autoRedefine/>
    <w:qFormat/>
    <w:uiPriority w:val="0"/>
    <w:pPr>
      <w:numPr>
        <w:ilvl w:val="1"/>
        <w:numId w:val="2"/>
      </w:numPr>
      <w:spacing w:beforeLines="50" w:afterLines="50" w:line="360" w:lineRule="auto"/>
      <w:outlineLvl w:val="1"/>
    </w:pPr>
    <w:rPr>
      <w:rFonts w:ascii="宋体" w:hAnsi="宋体" w:cs="宋体"/>
      <w:b/>
      <w:bCs/>
      <w:sz w:val="24"/>
    </w:rPr>
  </w:style>
  <w:style w:type="paragraph" w:customStyle="1" w:styleId="141">
    <w:name w:val="12二级标题"/>
    <w:next w:val="142"/>
    <w:autoRedefine/>
    <w:qFormat/>
    <w:uiPriority w:val="0"/>
    <w:pPr>
      <w:spacing w:line="360" w:lineRule="auto"/>
      <w:jc w:val="both"/>
      <w:outlineLvl w:val="1"/>
    </w:pPr>
    <w:rPr>
      <w:rFonts w:ascii="Times New Roman" w:hAnsi="Times New Roman" w:eastAsia="黑体" w:cs="宋体"/>
      <w:kern w:val="2"/>
      <w:sz w:val="30"/>
      <w:lang w:val="en-US" w:eastAsia="zh-CN" w:bidi="ar-SA"/>
    </w:rPr>
  </w:style>
  <w:style w:type="paragraph" w:customStyle="1" w:styleId="142">
    <w:name w:val="15正文"/>
    <w:autoRedefine/>
    <w:qFormat/>
    <w:uiPriority w:val="0"/>
    <w:pPr>
      <w:spacing w:line="360" w:lineRule="auto"/>
      <w:ind w:firstLine="480" w:firstLineChars="200"/>
    </w:pPr>
    <w:rPr>
      <w:rFonts w:ascii="Times New Roman" w:hAnsi="Times New Roman" w:eastAsia="宋体" w:cs="仿宋_GB2312"/>
      <w:kern w:val="2"/>
      <w:sz w:val="24"/>
      <w:szCs w:val="24"/>
      <w:lang w:val="en-US" w:eastAsia="zh-CN" w:bidi="ar-SA"/>
    </w:rPr>
  </w:style>
  <w:style w:type="paragraph" w:customStyle="1" w:styleId="143">
    <w:name w:val="样式 标题 1@1.标题 1H1Chapter Headline章chap标题 章Charb1章节标题MB..."/>
    <w:basedOn w:val="2"/>
    <w:autoRedefine/>
    <w:qFormat/>
    <w:uiPriority w:val="0"/>
    <w:pPr>
      <w:numPr>
        <w:ilvl w:val="0"/>
        <w:numId w:val="2"/>
      </w:numPr>
      <w:spacing w:beforeLines="50" w:afterLines="50" w:line="360" w:lineRule="auto"/>
    </w:pPr>
    <w:rPr>
      <w:rFonts w:ascii="宋体" w:hAnsi="宋体" w:cs="宋体"/>
      <w:kern w:val="2"/>
      <w:szCs w:val="20"/>
    </w:rPr>
  </w:style>
  <w:style w:type="paragraph" w:customStyle="1" w:styleId="144">
    <w:name w:val="_Style 2"/>
    <w:basedOn w:val="1"/>
    <w:autoRedefine/>
    <w:qFormat/>
    <w:uiPriority w:val="34"/>
    <w:pPr>
      <w:ind w:firstLine="420" w:firstLineChars="200"/>
    </w:pPr>
  </w:style>
  <w:style w:type="paragraph" w:customStyle="1" w:styleId="145">
    <w:name w:val="Char Char5 Char Char Char Char Char Char Char Char Char Char Char Char Char Char Char1"/>
    <w:basedOn w:val="4"/>
    <w:autoRedefine/>
    <w:qFormat/>
    <w:uiPriority w:val="0"/>
    <w:pPr>
      <w:widowControl w:val="0"/>
      <w:tabs>
        <w:tab w:val="left" w:pos="360"/>
        <w:tab w:val="left" w:pos="900"/>
      </w:tabs>
      <w:snapToGrid w:val="0"/>
      <w:spacing w:before="120" w:after="120" w:line="360" w:lineRule="auto"/>
      <w:ind w:left="542" w:leftChars="-12" w:firstLine="200" w:firstLineChars="200"/>
    </w:pPr>
    <w:rPr>
      <w:rFonts w:eastAsia="黑体"/>
      <w:b w:val="0"/>
      <w:snapToGrid w:val="0"/>
      <w:kern w:val="2"/>
      <w:sz w:val="24"/>
      <w:szCs w:val="24"/>
    </w:rPr>
  </w:style>
  <w:style w:type="paragraph" w:customStyle="1" w:styleId="146">
    <w:name w:val="段落1"/>
    <w:basedOn w:val="46"/>
    <w:autoRedefine/>
    <w:qFormat/>
    <w:uiPriority w:val="0"/>
    <w:pPr>
      <w:ind w:firstLine="200"/>
    </w:pPr>
    <w:rPr>
      <w:rFonts w:ascii="Calibri" w:hAnsi="Calibri"/>
    </w:rPr>
  </w:style>
  <w:style w:type="paragraph" w:customStyle="1" w:styleId="147">
    <w:name w:val="Char1"/>
    <w:basedOn w:val="5"/>
    <w:autoRedefine/>
    <w:semiHidden/>
    <w:qFormat/>
    <w:uiPriority w:val="0"/>
    <w:pPr>
      <w:keepNext/>
      <w:adjustRightInd w:val="0"/>
      <w:snapToGrid w:val="0"/>
      <w:spacing w:line="500" w:lineRule="exact"/>
      <w:ind w:firstLine="200" w:firstLineChars="200"/>
    </w:pPr>
    <w:rPr>
      <w:rFonts w:ascii="Verdana" w:hAnsi="Verdana" w:eastAsia="仿宋_GB2312"/>
      <w:color w:val="000000"/>
      <w:spacing w:val="8"/>
      <w:kern w:val="0"/>
      <w:sz w:val="28"/>
      <w:lang w:eastAsia="en-US"/>
    </w:rPr>
  </w:style>
  <w:style w:type="paragraph" w:customStyle="1" w:styleId="148">
    <w:name w:val="_Style 23"/>
    <w:basedOn w:val="1"/>
    <w:next w:val="5"/>
    <w:autoRedefine/>
    <w:qFormat/>
    <w:uiPriority w:val="0"/>
    <w:pPr>
      <w:ind w:firstLine="420"/>
    </w:pPr>
  </w:style>
  <w:style w:type="paragraph" w:customStyle="1" w:styleId="149">
    <w:name w:val="Lee正文"/>
    <w:basedOn w:val="1"/>
    <w:next w:val="45"/>
    <w:autoRedefine/>
    <w:qFormat/>
    <w:uiPriority w:val="0"/>
    <w:pPr>
      <w:adjustRightInd w:val="0"/>
      <w:snapToGrid w:val="0"/>
      <w:spacing w:line="480" w:lineRule="exact"/>
      <w:ind w:firstLine="200" w:firstLineChars="200"/>
    </w:pPr>
    <w:rPr>
      <w:kern w:val="0"/>
      <w:sz w:val="24"/>
      <w:szCs w:val="22"/>
    </w:rPr>
  </w:style>
  <w:style w:type="paragraph" w:customStyle="1" w:styleId="150">
    <w:name w:val="z报告书正文  小四1.5倍"/>
    <w:basedOn w:val="1"/>
    <w:autoRedefine/>
    <w:qFormat/>
    <w:uiPriority w:val="0"/>
    <w:pPr>
      <w:spacing w:line="360" w:lineRule="auto"/>
      <w:ind w:firstLine="480" w:firstLineChars="200"/>
    </w:pPr>
    <w:rPr>
      <w:sz w:val="24"/>
      <w:szCs w:val="21"/>
      <w:lang w:val="zh-CN"/>
    </w:rPr>
  </w:style>
  <w:style w:type="paragraph" w:customStyle="1" w:styleId="151">
    <w:name w:val="（一）"/>
    <w:basedOn w:val="1"/>
    <w:autoRedefine/>
    <w:qFormat/>
    <w:uiPriority w:val="0"/>
    <w:pPr>
      <w:spacing w:line="460" w:lineRule="exact"/>
    </w:pPr>
    <w:rPr>
      <w:sz w:val="24"/>
    </w:rPr>
  </w:style>
  <w:style w:type="paragraph" w:customStyle="1" w:styleId="152">
    <w:name w:val="表"/>
    <w:basedOn w:val="153"/>
    <w:autoRedefine/>
    <w:qFormat/>
    <w:uiPriority w:val="0"/>
    <w:pPr>
      <w:keepNext/>
      <w:keepLines/>
      <w:autoSpaceDE w:val="0"/>
      <w:autoSpaceDN w:val="0"/>
      <w:adjustRightInd w:val="0"/>
      <w:spacing w:line="240" w:lineRule="exact"/>
      <w:jc w:val="center"/>
    </w:pPr>
    <w:rPr>
      <w:snapToGrid w:val="0"/>
      <w:w w:val="80"/>
      <w:kern w:val="0"/>
      <w:szCs w:val="21"/>
    </w:rPr>
  </w:style>
  <w:style w:type="paragraph" w:customStyle="1" w:styleId="153">
    <w:name w:val="1.1"/>
    <w:basedOn w:val="1"/>
    <w:autoRedefine/>
    <w:qFormat/>
    <w:uiPriority w:val="0"/>
    <w:rPr>
      <w:rFonts w:ascii="黑体"/>
      <w:sz w:val="30"/>
    </w:rPr>
  </w:style>
  <w:style w:type="paragraph" w:customStyle="1" w:styleId="154">
    <w:name w:val="标题4"/>
    <w:basedOn w:val="1"/>
    <w:autoRedefine/>
    <w:qFormat/>
    <w:uiPriority w:val="0"/>
    <w:pPr>
      <w:spacing w:line="480" w:lineRule="exact"/>
      <w:ind w:firstLine="600" w:firstLineChars="200"/>
      <w:jc w:val="left"/>
    </w:pPr>
    <w:rPr>
      <w:rFonts w:ascii="Calibri" w:hAnsi="Calibri" w:cs="Calibri"/>
      <w:b/>
      <w:bCs/>
      <w:sz w:val="24"/>
      <w:szCs w:val="24"/>
    </w:rPr>
  </w:style>
  <w:style w:type="paragraph" w:customStyle="1" w:styleId="155">
    <w:name w:val="内容11"/>
    <w:basedOn w:val="24"/>
    <w:autoRedefine/>
    <w:qFormat/>
    <w:uiPriority w:val="0"/>
    <w:pPr>
      <w:adjustRightInd w:val="0"/>
      <w:spacing w:line="360" w:lineRule="auto"/>
      <w:ind w:right="-92" w:rightChars="-44" w:firstLine="415" w:firstLineChars="179"/>
      <w:textAlignment w:val="baseline"/>
    </w:pPr>
    <w:rPr>
      <w:rFonts w:hAnsi="宋体" w:cs="宋体"/>
      <w:spacing w:val="-4"/>
      <w:position w:val="6"/>
      <w:sz w:val="24"/>
      <w:szCs w:val="24"/>
    </w:rPr>
  </w:style>
  <w:style w:type="paragraph" w:customStyle="1" w:styleId="156">
    <w:name w:val="Char2 Char Char Char Char Char Char Char Char Char Char Char Char Char Char Char Char Char Char Char Char Char Char Char Char Char Char Char Char"/>
    <w:basedOn w:val="4"/>
    <w:autoRedefine/>
    <w:semiHidden/>
    <w:qFormat/>
    <w:uiPriority w:val="0"/>
    <w:pPr>
      <w:widowControl w:val="0"/>
      <w:tabs>
        <w:tab w:val="left" w:pos="360"/>
        <w:tab w:val="left" w:pos="900"/>
      </w:tabs>
      <w:snapToGrid w:val="0"/>
      <w:spacing w:before="120" w:after="120" w:line="360" w:lineRule="auto"/>
      <w:ind w:left="542" w:leftChars="-12" w:firstLine="200" w:firstLineChars="200"/>
    </w:pPr>
    <w:rPr>
      <w:rFonts w:eastAsia="黑体"/>
      <w:b w:val="0"/>
      <w:snapToGrid w:val="0"/>
      <w:color w:val="FF0000"/>
      <w:kern w:val="2"/>
      <w:sz w:val="24"/>
      <w:szCs w:val="24"/>
    </w:rPr>
  </w:style>
  <w:style w:type="paragraph" w:customStyle="1" w:styleId="157">
    <w:name w:val="1"/>
    <w:basedOn w:val="1"/>
    <w:next w:val="1"/>
    <w:autoRedefine/>
    <w:qFormat/>
    <w:uiPriority w:val="0"/>
    <w:pPr>
      <w:snapToGrid w:val="0"/>
      <w:ind w:firstLine="548" w:firstLineChars="200"/>
      <w:jc w:val="center"/>
    </w:pPr>
    <w:rPr>
      <w:rFonts w:ascii="Arial" w:hAnsi="Arial"/>
      <w:sz w:val="24"/>
    </w:rPr>
  </w:style>
  <w:style w:type="paragraph" w:customStyle="1" w:styleId="158">
    <w:name w:val="w4"/>
    <w:basedOn w:val="1"/>
    <w:autoRedefine/>
    <w:qFormat/>
    <w:uiPriority w:val="0"/>
    <w:pPr>
      <w:adjustRightInd w:val="0"/>
      <w:spacing w:line="360" w:lineRule="auto"/>
      <w:ind w:left="1200" w:firstLine="654"/>
      <w:textAlignment w:val="baseline"/>
    </w:pPr>
    <w:rPr>
      <w:rFonts w:ascii="宋体"/>
      <w:kern w:val="0"/>
      <w:sz w:val="28"/>
    </w:rPr>
  </w:style>
  <w:style w:type="paragraph" w:customStyle="1" w:styleId="159">
    <w:name w:val="Char2 Char Char Char Char Char Char Char Char Char Char Char Char Char Char Char Char Char Char Char Char Char Char Char Char Char Char Char Char1"/>
    <w:basedOn w:val="4"/>
    <w:autoRedefine/>
    <w:semiHidden/>
    <w:qFormat/>
    <w:uiPriority w:val="0"/>
    <w:pPr>
      <w:widowControl w:val="0"/>
      <w:tabs>
        <w:tab w:val="left" w:pos="360"/>
        <w:tab w:val="left" w:pos="900"/>
      </w:tabs>
      <w:snapToGrid w:val="0"/>
      <w:spacing w:before="120" w:after="120" w:line="360" w:lineRule="auto"/>
      <w:ind w:left="542" w:leftChars="-12" w:firstLine="200" w:firstLineChars="200"/>
    </w:pPr>
    <w:rPr>
      <w:rFonts w:eastAsia="黑体"/>
      <w:b w:val="0"/>
      <w:color w:val="FF0000"/>
      <w:kern w:val="2"/>
      <w:sz w:val="24"/>
      <w:szCs w:val="24"/>
    </w:rPr>
  </w:style>
  <w:style w:type="paragraph" w:customStyle="1" w:styleId="160">
    <w:name w:val="_Style 17"/>
    <w:basedOn w:val="1"/>
    <w:next w:val="5"/>
    <w:autoRedefine/>
    <w:qFormat/>
    <w:uiPriority w:val="0"/>
    <w:pPr>
      <w:widowControl/>
      <w:ind w:firstLine="539"/>
    </w:pPr>
    <w:rPr>
      <w:rFonts w:ascii="Arial" w:hAnsi="Arial"/>
      <w:kern w:val="0"/>
      <w:sz w:val="24"/>
    </w:rPr>
  </w:style>
  <w:style w:type="paragraph" w:customStyle="1" w:styleId="161">
    <w:name w:val="正文样式"/>
    <w:basedOn w:val="1"/>
    <w:link w:val="214"/>
    <w:autoRedefine/>
    <w:qFormat/>
    <w:uiPriority w:val="0"/>
    <w:pPr>
      <w:spacing w:line="400" w:lineRule="exact"/>
      <w:ind w:firstLine="200" w:firstLineChars="200"/>
    </w:pPr>
    <w:rPr>
      <w:sz w:val="24"/>
    </w:rPr>
  </w:style>
  <w:style w:type="paragraph" w:customStyle="1" w:styleId="162">
    <w:name w:val="表格正文"/>
    <w:basedOn w:val="5"/>
    <w:next w:val="1"/>
    <w:autoRedefine/>
    <w:qFormat/>
    <w:uiPriority w:val="0"/>
    <w:rPr>
      <w:spacing w:val="12"/>
      <w:kern w:val="1"/>
    </w:rPr>
  </w:style>
  <w:style w:type="paragraph" w:customStyle="1" w:styleId="163">
    <w:name w:val="样式 样式 样式 样式 正文@ + 首行缩进:  2 字符 字距调整小四 紧缩量  0.2 磅 + 首行缩进:  2 字符 + ..."/>
    <w:basedOn w:val="93"/>
    <w:autoRedefine/>
    <w:qFormat/>
    <w:uiPriority w:val="0"/>
    <w:pPr>
      <w:ind w:firstLine="0" w:firstLineChars="0"/>
      <w:outlineLvl w:val="0"/>
    </w:pPr>
    <w:rPr>
      <w:rFonts w:ascii="黑体" w:hAnsi="Times New Roman" w:eastAsia="黑体"/>
      <w:kern w:val="2"/>
      <w:sz w:val="28"/>
    </w:rPr>
  </w:style>
  <w:style w:type="character" w:customStyle="1" w:styleId="164">
    <w:name w:val="页脚 Char"/>
    <w:link w:val="30"/>
    <w:autoRedefine/>
    <w:qFormat/>
    <w:uiPriority w:val="99"/>
    <w:rPr>
      <w:kern w:val="2"/>
      <w:sz w:val="18"/>
    </w:rPr>
  </w:style>
  <w:style w:type="character" w:customStyle="1" w:styleId="165">
    <w:name w:val="标题 8 Char"/>
    <w:link w:val="11"/>
    <w:autoRedefine/>
    <w:qFormat/>
    <w:uiPriority w:val="0"/>
    <w:rPr>
      <w:rFonts w:ascii="Arial" w:hAnsi="Arial" w:eastAsia="黑体"/>
      <w:kern w:val="2"/>
      <w:sz w:val="24"/>
      <w:szCs w:val="24"/>
    </w:rPr>
  </w:style>
  <w:style w:type="character" w:customStyle="1" w:styleId="166">
    <w:name w:val="正文首行缩进 Char"/>
    <w:link w:val="45"/>
    <w:autoRedefine/>
    <w:qFormat/>
    <w:uiPriority w:val="0"/>
    <w:rPr>
      <w:kern w:val="2"/>
      <w:sz w:val="21"/>
    </w:rPr>
  </w:style>
  <w:style w:type="paragraph" w:customStyle="1" w:styleId="167">
    <w:name w:val="表格11"/>
    <w:basedOn w:val="152"/>
    <w:autoRedefine/>
    <w:qFormat/>
    <w:uiPriority w:val="0"/>
    <w:pPr>
      <w:ind w:firstLine="200" w:firstLineChars="200"/>
      <w:jc w:val="left"/>
    </w:pPr>
  </w:style>
  <w:style w:type="character" w:customStyle="1" w:styleId="168">
    <w:name w:val="font21"/>
    <w:autoRedefine/>
    <w:qFormat/>
    <w:uiPriority w:val="0"/>
    <w:rPr>
      <w:rFonts w:hint="eastAsia" w:ascii="宋体" w:hAnsi="宋体" w:eastAsia="宋体"/>
      <w:color w:val="000000"/>
      <w:sz w:val="21"/>
      <w:szCs w:val="21"/>
      <w:u w:val="none"/>
    </w:rPr>
  </w:style>
  <w:style w:type="character" w:customStyle="1" w:styleId="169">
    <w:name w:val="font11"/>
    <w:autoRedefine/>
    <w:qFormat/>
    <w:uiPriority w:val="0"/>
    <w:rPr>
      <w:rFonts w:hint="default" w:ascii="Times New Roman" w:hAnsi="Times New Roman" w:cs="Times New Roman"/>
      <w:color w:val="000000"/>
      <w:sz w:val="21"/>
      <w:szCs w:val="21"/>
      <w:u w:val="none"/>
    </w:rPr>
  </w:style>
  <w:style w:type="character" w:customStyle="1" w:styleId="170">
    <w:name w:val="font01"/>
    <w:autoRedefine/>
    <w:qFormat/>
    <w:uiPriority w:val="0"/>
    <w:rPr>
      <w:rFonts w:hint="default" w:ascii="Times New Roman" w:hAnsi="Times New Roman" w:cs="Times New Roman"/>
      <w:color w:val="000000"/>
      <w:sz w:val="10"/>
      <w:szCs w:val="10"/>
      <w:u w:val="none"/>
    </w:rPr>
  </w:style>
  <w:style w:type="character" w:customStyle="1" w:styleId="171">
    <w:name w:val="font31"/>
    <w:basedOn w:val="50"/>
    <w:autoRedefine/>
    <w:qFormat/>
    <w:uiPriority w:val="0"/>
    <w:rPr>
      <w:rFonts w:hint="default" w:ascii="Times New Roman" w:hAnsi="Times New Roman" w:cs="Times New Roman"/>
      <w:color w:val="000000"/>
      <w:sz w:val="10"/>
      <w:szCs w:val="10"/>
      <w:u w:val="none"/>
    </w:rPr>
  </w:style>
  <w:style w:type="paragraph" w:customStyle="1" w:styleId="172">
    <w:name w:val="1正文"/>
    <w:basedOn w:val="1"/>
    <w:next w:val="19"/>
    <w:link w:val="193"/>
    <w:autoRedefine/>
    <w:qFormat/>
    <w:uiPriority w:val="0"/>
    <w:pPr>
      <w:spacing w:line="440" w:lineRule="exact"/>
      <w:ind w:firstLine="200" w:firstLineChars="200"/>
    </w:pPr>
    <w:rPr>
      <w:snapToGrid w:val="0"/>
      <w:sz w:val="24"/>
      <w:szCs w:val="24"/>
    </w:rPr>
  </w:style>
  <w:style w:type="paragraph" w:customStyle="1" w:styleId="173">
    <w:name w:val="正文缩进1"/>
    <w:basedOn w:val="20"/>
    <w:autoRedefine/>
    <w:qFormat/>
    <w:uiPriority w:val="0"/>
    <w:pPr>
      <w:adjustRightInd w:val="0"/>
      <w:spacing w:line="440" w:lineRule="exact"/>
      <w:ind w:firstLine="200" w:firstLineChars="200"/>
    </w:pPr>
    <w:rPr>
      <w:rFonts w:ascii="Times New Roman" w:cs="宋体"/>
      <w:spacing w:val="4"/>
      <w:kern w:val="0"/>
    </w:rPr>
  </w:style>
  <w:style w:type="paragraph" w:customStyle="1" w:styleId="174">
    <w:name w:val="2表格标题"/>
    <w:basedOn w:val="43"/>
    <w:next w:val="43"/>
    <w:autoRedefine/>
    <w:qFormat/>
    <w:uiPriority w:val="0"/>
    <w:pPr>
      <w:tabs>
        <w:tab w:val="left" w:pos="360"/>
        <w:tab w:val="left" w:pos="900"/>
      </w:tabs>
      <w:adjustRightInd w:val="0"/>
      <w:snapToGrid w:val="0"/>
      <w:spacing w:before="0" w:after="0" w:line="440" w:lineRule="exact"/>
      <w:outlineLvl w:val="9"/>
    </w:pPr>
    <w:rPr>
      <w:rFonts w:ascii="Times New Roman" w:hAnsi="Times New Roman" w:eastAsia="宋体" w:cs="Times New Roman"/>
      <w:bCs w:val="0"/>
      <w:snapToGrid w:val="0"/>
      <w:sz w:val="24"/>
      <w:szCs w:val="24"/>
    </w:rPr>
  </w:style>
  <w:style w:type="character" w:customStyle="1" w:styleId="175">
    <w:name w:val="标题 Char"/>
    <w:basedOn w:val="50"/>
    <w:link w:val="43"/>
    <w:autoRedefine/>
    <w:qFormat/>
    <w:uiPriority w:val="0"/>
    <w:rPr>
      <w:rFonts w:asciiTheme="majorHAnsi" w:hAnsiTheme="majorHAnsi" w:eastAsiaTheme="majorEastAsia" w:cstheme="majorBidi"/>
      <w:b/>
      <w:bCs/>
      <w:kern w:val="2"/>
      <w:sz w:val="32"/>
      <w:szCs w:val="32"/>
    </w:rPr>
  </w:style>
  <w:style w:type="character" w:customStyle="1" w:styleId="176">
    <w:name w:val="正文缩进 字符1"/>
    <w:autoRedefine/>
    <w:qFormat/>
    <w:uiPriority w:val="99"/>
    <w:rPr>
      <w:kern w:val="2"/>
      <w:sz w:val="24"/>
    </w:rPr>
  </w:style>
  <w:style w:type="character" w:customStyle="1" w:styleId="177">
    <w:name w:val="表文 Char"/>
    <w:link w:val="178"/>
    <w:autoRedefine/>
    <w:qFormat/>
    <w:uiPriority w:val="0"/>
    <w:rPr>
      <w:spacing w:val="-12"/>
      <w:sz w:val="21"/>
      <w:szCs w:val="21"/>
    </w:rPr>
  </w:style>
  <w:style w:type="paragraph" w:customStyle="1" w:styleId="178">
    <w:name w:val="表文"/>
    <w:basedOn w:val="1"/>
    <w:link w:val="177"/>
    <w:autoRedefine/>
    <w:qFormat/>
    <w:uiPriority w:val="0"/>
    <w:pPr>
      <w:widowControl/>
      <w:adjustRightInd w:val="0"/>
      <w:snapToGrid w:val="0"/>
      <w:spacing w:line="240" w:lineRule="atLeast"/>
      <w:jc w:val="center"/>
    </w:pPr>
    <w:rPr>
      <w:spacing w:val="-12"/>
      <w:kern w:val="0"/>
      <w:szCs w:val="21"/>
    </w:rPr>
  </w:style>
  <w:style w:type="character" w:customStyle="1" w:styleId="179">
    <w:name w:val="正文－R Char"/>
    <w:link w:val="180"/>
    <w:autoRedefine/>
    <w:qFormat/>
    <w:uiPriority w:val="0"/>
    <w:rPr>
      <w:sz w:val="24"/>
    </w:rPr>
  </w:style>
  <w:style w:type="paragraph" w:customStyle="1" w:styleId="180">
    <w:name w:val="正文－R"/>
    <w:basedOn w:val="1"/>
    <w:link w:val="179"/>
    <w:autoRedefine/>
    <w:qFormat/>
    <w:uiPriority w:val="0"/>
    <w:pPr>
      <w:spacing w:line="440" w:lineRule="exact"/>
      <w:ind w:firstLine="200" w:firstLineChars="200"/>
    </w:pPr>
    <w:rPr>
      <w:kern w:val="0"/>
      <w:sz w:val="24"/>
    </w:rPr>
  </w:style>
  <w:style w:type="paragraph" w:customStyle="1" w:styleId="181">
    <w:name w:val="正文（首行缩进两字） Char Char"/>
    <w:basedOn w:val="1"/>
    <w:next w:val="5"/>
    <w:autoRedefine/>
    <w:qFormat/>
    <w:uiPriority w:val="0"/>
    <w:pPr>
      <w:widowControl/>
      <w:adjustRightInd w:val="0"/>
      <w:snapToGrid w:val="0"/>
      <w:spacing w:line="440" w:lineRule="exact"/>
      <w:ind w:firstLine="200" w:firstLineChars="200"/>
    </w:pPr>
    <w:rPr>
      <w:snapToGrid w:val="0"/>
      <w:sz w:val="24"/>
    </w:rPr>
  </w:style>
  <w:style w:type="paragraph" w:customStyle="1" w:styleId="182">
    <w:name w:val="表头文字"/>
    <w:basedOn w:val="1"/>
    <w:link w:val="183"/>
    <w:autoRedefine/>
    <w:qFormat/>
    <w:uiPriority w:val="0"/>
    <w:pPr>
      <w:jc w:val="center"/>
    </w:pPr>
    <w:rPr>
      <w:b/>
      <w:sz w:val="24"/>
      <w:szCs w:val="24"/>
    </w:rPr>
  </w:style>
  <w:style w:type="character" w:customStyle="1" w:styleId="183">
    <w:name w:val="表头文字 Char"/>
    <w:basedOn w:val="50"/>
    <w:link w:val="182"/>
    <w:autoRedefine/>
    <w:qFormat/>
    <w:uiPriority w:val="0"/>
    <w:rPr>
      <w:b/>
      <w:kern w:val="2"/>
      <w:sz w:val="24"/>
      <w:szCs w:val="24"/>
    </w:rPr>
  </w:style>
  <w:style w:type="character" w:customStyle="1" w:styleId="184">
    <w:name w:val="正文1 Char1"/>
    <w:link w:val="33"/>
    <w:autoRedefine/>
    <w:qFormat/>
    <w:uiPriority w:val="0"/>
    <w:rPr>
      <w:snapToGrid w:val="0"/>
      <w:sz w:val="24"/>
    </w:rPr>
  </w:style>
  <w:style w:type="paragraph" w:customStyle="1" w:styleId="185">
    <w:name w:val="_Style 7"/>
    <w:basedOn w:val="4"/>
    <w:autoRedefine/>
    <w:qFormat/>
    <w:uiPriority w:val="0"/>
    <w:pPr>
      <w:widowControl w:val="0"/>
      <w:tabs>
        <w:tab w:val="left" w:pos="360"/>
        <w:tab w:val="left" w:pos="900"/>
      </w:tabs>
      <w:snapToGrid w:val="0"/>
      <w:spacing w:before="120" w:after="120" w:line="360" w:lineRule="auto"/>
      <w:ind w:left="542" w:leftChars="-12" w:firstLine="200" w:firstLineChars="200"/>
    </w:pPr>
    <w:rPr>
      <w:bCs/>
      <w:kern w:val="2"/>
      <w:szCs w:val="32"/>
    </w:rPr>
  </w:style>
  <w:style w:type="paragraph" w:customStyle="1" w:styleId="186">
    <w:name w:val="【表格】"/>
    <w:next w:val="45"/>
    <w:autoRedefine/>
    <w:qFormat/>
    <w:uiPriority w:val="0"/>
    <w:pPr>
      <w:spacing w:line="300" w:lineRule="exact"/>
      <w:jc w:val="center"/>
    </w:pPr>
    <w:rPr>
      <w:rFonts w:ascii="Times New Roman" w:hAnsi="Times New Roman" w:eastAsia="宋体" w:cs="Times New Roman"/>
      <w:sz w:val="21"/>
      <w:szCs w:val="24"/>
      <w:lang w:val="en-US" w:eastAsia="zh-CN" w:bidi="ar-SA"/>
    </w:rPr>
  </w:style>
  <w:style w:type="paragraph" w:customStyle="1" w:styleId="187">
    <w:name w:val="【表头】"/>
    <w:basedOn w:val="1"/>
    <w:link w:val="188"/>
    <w:autoRedefine/>
    <w:qFormat/>
    <w:uiPriority w:val="0"/>
    <w:pPr>
      <w:widowControl/>
      <w:jc w:val="center"/>
    </w:pPr>
    <w:rPr>
      <w:b/>
      <w:kern w:val="0"/>
      <w:sz w:val="24"/>
      <w:szCs w:val="24"/>
    </w:rPr>
  </w:style>
  <w:style w:type="character" w:customStyle="1" w:styleId="188">
    <w:name w:val="【表头】 Char"/>
    <w:link w:val="187"/>
    <w:autoRedefine/>
    <w:qFormat/>
    <w:locked/>
    <w:uiPriority w:val="0"/>
    <w:rPr>
      <w:b/>
      <w:sz w:val="24"/>
      <w:szCs w:val="24"/>
    </w:rPr>
  </w:style>
  <w:style w:type="character" w:customStyle="1" w:styleId="189">
    <w:name w:val="样式2 Char"/>
    <w:link w:val="190"/>
    <w:autoRedefine/>
    <w:qFormat/>
    <w:uiPriority w:val="0"/>
    <w:rPr>
      <w:rFonts w:ascii="宋体" w:hAnsi="宋体"/>
      <w:kern w:val="2"/>
      <w:sz w:val="24"/>
      <w:szCs w:val="24"/>
    </w:rPr>
  </w:style>
  <w:style w:type="paragraph" w:customStyle="1" w:styleId="190">
    <w:name w:val="样式2"/>
    <w:basedOn w:val="1"/>
    <w:link w:val="189"/>
    <w:autoRedefine/>
    <w:qFormat/>
    <w:uiPriority w:val="0"/>
    <w:pPr>
      <w:widowControl/>
      <w:snapToGrid w:val="0"/>
      <w:spacing w:line="440" w:lineRule="exact"/>
      <w:ind w:firstLine="200" w:firstLineChars="200"/>
      <w:jc w:val="left"/>
    </w:pPr>
    <w:rPr>
      <w:rFonts w:ascii="宋体" w:hAnsi="宋体"/>
      <w:sz w:val="24"/>
      <w:szCs w:val="24"/>
    </w:rPr>
  </w:style>
  <w:style w:type="character" w:customStyle="1" w:styleId="191">
    <w:name w:val="普通(网站) Char"/>
    <w:link w:val="41"/>
    <w:autoRedefine/>
    <w:qFormat/>
    <w:locked/>
    <w:uiPriority w:val="99"/>
    <w:rPr>
      <w:rFonts w:ascii="宋体" w:hAnsi="宋体" w:cs="宋体"/>
      <w:color w:val="000000"/>
      <w:sz w:val="24"/>
      <w:szCs w:val="24"/>
    </w:rPr>
  </w:style>
  <w:style w:type="paragraph" w:customStyle="1" w:styleId="192">
    <w:name w:val="A正文"/>
    <w:basedOn w:val="1"/>
    <w:autoRedefine/>
    <w:qFormat/>
    <w:uiPriority w:val="99"/>
    <w:pPr>
      <w:spacing w:line="440" w:lineRule="exact"/>
      <w:ind w:firstLine="200" w:firstLineChars="200"/>
    </w:pPr>
    <w:rPr>
      <w:rFonts w:hint="eastAsia"/>
      <w:sz w:val="24"/>
    </w:rPr>
  </w:style>
  <w:style w:type="character" w:customStyle="1" w:styleId="193">
    <w:name w:val="1正文 Char"/>
    <w:link w:val="172"/>
    <w:autoRedefine/>
    <w:qFormat/>
    <w:uiPriority w:val="0"/>
    <w:rPr>
      <w:snapToGrid w:val="0"/>
      <w:kern w:val="2"/>
      <w:sz w:val="24"/>
      <w:szCs w:val="24"/>
    </w:rPr>
  </w:style>
  <w:style w:type="paragraph" w:customStyle="1" w:styleId="194">
    <w:name w:val="兰天 规划 正文"/>
    <w:basedOn w:val="1"/>
    <w:autoRedefine/>
    <w:qFormat/>
    <w:uiPriority w:val="99"/>
    <w:pPr>
      <w:widowControl/>
      <w:adjustRightInd w:val="0"/>
      <w:snapToGrid w:val="0"/>
      <w:spacing w:line="440" w:lineRule="exact"/>
      <w:ind w:firstLine="200" w:firstLineChars="200"/>
    </w:pPr>
    <w:rPr>
      <w:rFonts w:ascii="宋体" w:hAnsi="宋体"/>
      <w:color w:val="0070C0"/>
      <w:spacing w:val="4"/>
      <w:kern w:val="0"/>
      <w:sz w:val="24"/>
      <w:szCs w:val="22"/>
    </w:rPr>
  </w:style>
  <w:style w:type="paragraph" w:customStyle="1" w:styleId="195">
    <w:name w:val="2表格字体"/>
    <w:basedOn w:val="1"/>
    <w:autoRedefine/>
    <w:qFormat/>
    <w:uiPriority w:val="99"/>
    <w:pPr>
      <w:adjustRightInd w:val="0"/>
      <w:snapToGrid w:val="0"/>
      <w:jc w:val="center"/>
    </w:pPr>
    <w:rPr>
      <w:rFonts w:ascii="Arial" w:hAnsi="Arial"/>
      <w:kern w:val="0"/>
      <w:sz w:val="24"/>
    </w:rPr>
  </w:style>
  <w:style w:type="character" w:customStyle="1" w:styleId="196">
    <w:name w:val="报告正文 字符"/>
    <w:link w:val="197"/>
    <w:autoRedefine/>
    <w:qFormat/>
    <w:uiPriority w:val="0"/>
    <w:rPr>
      <w:color w:val="000000"/>
      <w:kern w:val="2"/>
      <w:sz w:val="24"/>
      <w:szCs w:val="24"/>
      <w:lang w:val="zh-CN"/>
    </w:rPr>
  </w:style>
  <w:style w:type="paragraph" w:customStyle="1" w:styleId="197">
    <w:name w:val="报告正文"/>
    <w:basedOn w:val="1"/>
    <w:link w:val="196"/>
    <w:autoRedefine/>
    <w:qFormat/>
    <w:uiPriority w:val="0"/>
    <w:pPr>
      <w:adjustRightInd w:val="0"/>
      <w:snapToGrid w:val="0"/>
      <w:spacing w:line="440" w:lineRule="exact"/>
      <w:ind w:firstLine="200" w:firstLineChars="200"/>
    </w:pPr>
    <w:rPr>
      <w:color w:val="000000"/>
      <w:sz w:val="24"/>
      <w:szCs w:val="24"/>
      <w:lang w:val="zh-CN"/>
    </w:rPr>
  </w:style>
  <w:style w:type="character" w:customStyle="1" w:styleId="198">
    <w:name w:val="标题 3 Char1"/>
    <w:autoRedefine/>
    <w:qFormat/>
    <w:uiPriority w:val="0"/>
    <w:rPr>
      <w:b/>
      <w:bCs/>
      <w:kern w:val="2"/>
      <w:sz w:val="32"/>
      <w:szCs w:val="32"/>
    </w:rPr>
  </w:style>
  <w:style w:type="character" w:customStyle="1" w:styleId="199">
    <w:name w:val="HTML 预设格式 Char1"/>
    <w:autoRedefine/>
    <w:qFormat/>
    <w:uiPriority w:val="0"/>
    <w:rPr>
      <w:rFonts w:ascii="Courier New" w:hAnsi="Courier New" w:cs="Courier New"/>
      <w:kern w:val="2"/>
    </w:rPr>
  </w:style>
  <w:style w:type="paragraph" w:customStyle="1" w:styleId="200">
    <w:name w:val="表格文字"/>
    <w:basedOn w:val="67"/>
    <w:autoRedefine/>
    <w:qFormat/>
    <w:uiPriority w:val="0"/>
    <w:pPr>
      <w:spacing w:line="240" w:lineRule="exact"/>
    </w:pPr>
    <w:rPr>
      <w:w w:val="90"/>
    </w:rPr>
  </w:style>
  <w:style w:type="character" w:customStyle="1" w:styleId="201">
    <w:name w:val="表头 Char Char"/>
    <w:autoRedefine/>
    <w:qFormat/>
    <w:uiPriority w:val="0"/>
    <w:rPr>
      <w:rFonts w:cstheme="minorBidi"/>
      <w:b/>
      <w:kern w:val="2"/>
      <w:sz w:val="24"/>
      <w:szCs w:val="22"/>
    </w:rPr>
  </w:style>
  <w:style w:type="character" w:customStyle="1" w:styleId="202">
    <w:name w:val="HTML 预设格式 Char"/>
    <w:basedOn w:val="50"/>
    <w:link w:val="40"/>
    <w:autoRedefine/>
    <w:qFormat/>
    <w:uiPriority w:val="0"/>
    <w:rPr>
      <w:rFonts w:ascii="宋体" w:hAnsi="宋体" w:cs="宋体"/>
      <w:sz w:val="24"/>
      <w:szCs w:val="24"/>
    </w:rPr>
  </w:style>
  <w:style w:type="paragraph" w:customStyle="1" w:styleId="203">
    <w:name w:val="文"/>
    <w:basedOn w:val="1"/>
    <w:autoRedefine/>
    <w:qFormat/>
    <w:uiPriority w:val="0"/>
    <w:pPr>
      <w:spacing w:line="360" w:lineRule="auto"/>
      <w:ind w:firstLine="480" w:firstLineChars="200"/>
    </w:pPr>
    <w:rPr>
      <w:sz w:val="24"/>
      <w:szCs w:val="24"/>
    </w:rPr>
  </w:style>
  <w:style w:type="paragraph" w:customStyle="1" w:styleId="204">
    <w:name w:val="表头居中"/>
    <w:basedOn w:val="1"/>
    <w:next w:val="1"/>
    <w:autoRedefine/>
    <w:qFormat/>
    <w:uiPriority w:val="0"/>
    <w:pPr>
      <w:spacing w:line="440" w:lineRule="exact"/>
      <w:jc w:val="center"/>
    </w:pPr>
    <w:rPr>
      <w:b/>
      <w:color w:val="000000"/>
      <w:kern w:val="0"/>
      <w:sz w:val="24"/>
      <w:szCs w:val="22"/>
    </w:rPr>
  </w:style>
  <w:style w:type="character" w:customStyle="1" w:styleId="205">
    <w:name w:val="列出段落 Char"/>
    <w:link w:val="135"/>
    <w:autoRedefine/>
    <w:qFormat/>
    <w:uiPriority w:val="99"/>
    <w:rPr>
      <w:rFonts w:ascii="Calibri" w:hAnsi="Calibri"/>
      <w:kern w:val="2"/>
      <w:sz w:val="21"/>
      <w:szCs w:val="22"/>
    </w:rPr>
  </w:style>
  <w:style w:type="paragraph" w:customStyle="1" w:styleId="206">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207">
    <w:name w:val="质量报告书正文"/>
    <w:basedOn w:val="1"/>
    <w:autoRedefine/>
    <w:qFormat/>
    <w:uiPriority w:val="0"/>
    <w:pPr>
      <w:spacing w:line="440" w:lineRule="exact"/>
      <w:ind w:firstLine="560" w:firstLineChars="200"/>
    </w:pPr>
    <w:rPr>
      <w:rFonts w:eastAsia="仿宋_GB2312" w:cstheme="minorBidi"/>
      <w:sz w:val="28"/>
      <w:szCs w:val="22"/>
    </w:rPr>
  </w:style>
  <w:style w:type="paragraph" w:customStyle="1" w:styleId="208">
    <w:name w:val="正文首行缩进1"/>
    <w:basedOn w:val="19"/>
    <w:autoRedefine/>
    <w:qFormat/>
    <w:uiPriority w:val="0"/>
    <w:pPr>
      <w:spacing w:before="149" w:after="120"/>
      <w:ind w:left="220" w:firstLine="420"/>
    </w:pPr>
    <w:rPr>
      <w:rFonts w:hAnsi="仿宋_GB2312" w:cs="仿宋_GB2312"/>
      <w:sz w:val="21"/>
      <w:szCs w:val="24"/>
      <w:lang w:val="zh-CN" w:bidi="zh-CN"/>
    </w:rPr>
  </w:style>
  <w:style w:type="paragraph" w:customStyle="1" w:styleId="209">
    <w:name w:val="C2"/>
    <w:basedOn w:val="1"/>
    <w:autoRedefine/>
    <w:qFormat/>
    <w:uiPriority w:val="0"/>
    <w:pPr>
      <w:autoSpaceDE w:val="0"/>
      <w:autoSpaceDN w:val="0"/>
      <w:jc w:val="left"/>
    </w:pPr>
    <w:rPr>
      <w:rFonts w:ascii="宋体" w:hAnsi="宋体" w:cs="宋体"/>
      <w:kern w:val="0"/>
      <w:sz w:val="28"/>
      <w:lang w:val="zh-CN" w:bidi="zh-CN"/>
    </w:rPr>
  </w:style>
  <w:style w:type="paragraph" w:customStyle="1" w:styleId="210">
    <w:name w:val="样式 样式 样式 首行缩进:  1 字符 + 首行缩进:  2 字符2 + 首行缩进:  2 字符 行距: 固定值 23 磅"/>
    <w:basedOn w:val="1"/>
    <w:autoRedefine/>
    <w:qFormat/>
    <w:uiPriority w:val="0"/>
    <w:pPr>
      <w:autoSpaceDE w:val="0"/>
      <w:autoSpaceDN w:val="0"/>
      <w:adjustRightInd w:val="0"/>
      <w:snapToGrid w:val="0"/>
      <w:spacing w:line="360" w:lineRule="auto"/>
      <w:ind w:firstLine="200" w:firstLineChars="200"/>
      <w:jc w:val="left"/>
    </w:pPr>
    <w:rPr>
      <w:rFonts w:ascii="宋体" w:hAnsi="宋体" w:cs="宋体"/>
      <w:kern w:val="0"/>
      <w:sz w:val="24"/>
      <w:szCs w:val="22"/>
      <w:lang w:val="zh-CN" w:bidi="zh-CN"/>
    </w:rPr>
  </w:style>
  <w:style w:type="character" w:customStyle="1" w:styleId="211">
    <w:name w:val="页脚 字符"/>
    <w:basedOn w:val="50"/>
    <w:autoRedefine/>
    <w:qFormat/>
    <w:uiPriority w:val="99"/>
  </w:style>
  <w:style w:type="character" w:customStyle="1" w:styleId="212">
    <w:name w:val="1项目名称 Char"/>
    <w:link w:val="213"/>
    <w:autoRedefine/>
    <w:qFormat/>
    <w:uiPriority w:val="0"/>
    <w:rPr>
      <w:b/>
      <w:sz w:val="32"/>
      <w:szCs w:val="24"/>
    </w:rPr>
  </w:style>
  <w:style w:type="paragraph" w:customStyle="1" w:styleId="213">
    <w:name w:val="1项目名称"/>
    <w:link w:val="212"/>
    <w:autoRedefine/>
    <w:qFormat/>
    <w:uiPriority w:val="0"/>
    <w:pPr>
      <w:spacing w:line="360" w:lineRule="auto"/>
      <w:ind w:hanging="1480" w:hangingChars="434"/>
    </w:pPr>
    <w:rPr>
      <w:rFonts w:ascii="Times New Roman" w:hAnsi="Times New Roman" w:eastAsia="宋体" w:cs="Times New Roman"/>
      <w:b/>
      <w:sz w:val="32"/>
      <w:szCs w:val="24"/>
      <w:lang w:val="en-US" w:eastAsia="zh-CN" w:bidi="ar-SA"/>
    </w:rPr>
  </w:style>
  <w:style w:type="character" w:customStyle="1" w:styleId="214">
    <w:name w:val="正文样式 Char"/>
    <w:link w:val="161"/>
    <w:autoRedefine/>
    <w:qFormat/>
    <w:uiPriority w:val="0"/>
    <w:rPr>
      <w:kern w:val="2"/>
      <w:sz w:val="24"/>
    </w:rPr>
  </w:style>
  <w:style w:type="table" w:customStyle="1" w:styleId="215">
    <w:name w:val="Table Normal"/>
    <w:autoRedefine/>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16">
    <w:name w:val="修订2"/>
    <w:autoRedefine/>
    <w:hidden/>
    <w:semiHidden/>
    <w:qFormat/>
    <w:uiPriority w:val="99"/>
    <w:rPr>
      <w:rFonts w:ascii="Times New Roman" w:hAnsi="Times New Roman" w:eastAsia="宋体" w:cs="Times New Roman"/>
      <w:kern w:val="2"/>
      <w:sz w:val="21"/>
      <w:lang w:val="en-US" w:eastAsia="zh-CN" w:bidi="ar-SA"/>
    </w:rPr>
  </w:style>
  <w:style w:type="paragraph" w:customStyle="1" w:styleId="217">
    <w:name w:val="正文01"/>
    <w:basedOn w:val="1"/>
    <w:autoRedefine/>
    <w:qFormat/>
    <w:uiPriority w:val="0"/>
    <w:pPr>
      <w:spacing w:before="60" w:line="460" w:lineRule="exact"/>
      <w:ind w:firstLine="200" w:firstLineChars="200"/>
    </w:pPr>
    <w:rPr>
      <w:sz w:val="24"/>
      <w:szCs w:val="24"/>
    </w:rPr>
  </w:style>
  <w:style w:type="paragraph" w:customStyle="1" w:styleId="218">
    <w:name w:val="TOC 标题1"/>
    <w:basedOn w:val="2"/>
    <w:next w:val="1"/>
    <w:autoRedefine/>
    <w:unhideWhenUsed/>
    <w:qFormat/>
    <w:uiPriority w:val="39"/>
    <w:pPr>
      <w:keepNext/>
      <w:keepLines/>
      <w:pageBreakBefore w:val="0"/>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9">
    <w:name w:val="content-right_8zs40"/>
    <w:basedOn w:val="50"/>
    <w:autoRedefine/>
    <w:qFormat/>
    <w:uiPriority w:val="0"/>
  </w:style>
  <w:style w:type="character" w:customStyle="1" w:styleId="220">
    <w:name w:val="【正文】 Char"/>
    <w:link w:val="221"/>
    <w:autoRedefine/>
    <w:qFormat/>
    <w:uiPriority w:val="0"/>
    <w:rPr>
      <w:sz w:val="24"/>
    </w:rPr>
  </w:style>
  <w:style w:type="paragraph" w:customStyle="1" w:styleId="221">
    <w:name w:val="【正文】"/>
    <w:basedOn w:val="1"/>
    <w:link w:val="220"/>
    <w:autoRedefine/>
    <w:qFormat/>
    <w:uiPriority w:val="0"/>
    <w:pPr>
      <w:spacing w:line="440" w:lineRule="exact"/>
      <w:ind w:firstLine="200" w:firstLineChars="200"/>
    </w:pPr>
    <w:rPr>
      <w:kern w:val="0"/>
      <w:sz w:val="24"/>
    </w:rPr>
  </w:style>
  <w:style w:type="character" w:customStyle="1" w:styleId="222">
    <w:name w:val="【表中文字】 Char"/>
    <w:link w:val="223"/>
    <w:autoRedefine/>
    <w:qFormat/>
    <w:uiPriority w:val="0"/>
    <w:rPr>
      <w:sz w:val="21"/>
    </w:rPr>
  </w:style>
  <w:style w:type="paragraph" w:customStyle="1" w:styleId="223">
    <w:name w:val="【表中文字】"/>
    <w:basedOn w:val="1"/>
    <w:link w:val="222"/>
    <w:autoRedefine/>
    <w:qFormat/>
    <w:uiPriority w:val="0"/>
    <w:pPr>
      <w:jc w:val="center"/>
    </w:pPr>
    <w:rPr>
      <w:kern w:val="0"/>
    </w:rPr>
  </w:style>
  <w:style w:type="paragraph" w:customStyle="1" w:styleId="224">
    <w:name w:val="0--表格文字"/>
    <w:basedOn w:val="1"/>
    <w:autoRedefine/>
    <w:qFormat/>
    <w:uiPriority w:val="0"/>
    <w:pPr>
      <w:spacing w:line="240" w:lineRule="exact"/>
      <w:contextualSpacing/>
      <w:jc w:val="center"/>
    </w:pPr>
    <w:rPr>
      <w:bCs/>
      <w:spacing w:val="-6"/>
      <w:w w:val="90"/>
      <w:kern w:val="0"/>
      <w:szCs w:val="21"/>
    </w:rPr>
  </w:style>
  <w:style w:type="paragraph" w:customStyle="1" w:styleId="225">
    <w:name w:val="表格格式"/>
    <w:basedOn w:val="36"/>
    <w:next w:val="1"/>
    <w:autoRedefine/>
    <w:qFormat/>
    <w:uiPriority w:val="0"/>
    <w:pPr>
      <w:jc w:val="center"/>
    </w:pPr>
    <w:rPr>
      <w:snapToGrid w:val="0"/>
      <w:sz w:val="20"/>
    </w:rPr>
  </w:style>
  <w:style w:type="paragraph" w:customStyle="1" w:styleId="226">
    <w:name w:val="...正文"/>
    <w:basedOn w:val="1"/>
    <w:autoRedefine/>
    <w:qFormat/>
    <w:uiPriority w:val="0"/>
    <w:pPr>
      <w:widowControl/>
      <w:spacing w:line="480" w:lineRule="exact"/>
      <w:ind w:firstLine="200" w:firstLineChars="200"/>
    </w:pPr>
    <w:rPr>
      <w:sz w:val="24"/>
    </w:rPr>
  </w:style>
  <w:style w:type="paragraph" w:customStyle="1" w:styleId="227">
    <w:name w:val="Table Text"/>
    <w:basedOn w:val="1"/>
    <w:autoRedefine/>
    <w:semiHidden/>
    <w:qFormat/>
    <w:uiPriority w:val="0"/>
    <w:rPr>
      <w:rFonts w:ascii="宋体" w:hAnsi="宋体" w:eastAsia="宋体" w:cs="宋体"/>
      <w:sz w:val="20"/>
      <w:szCs w:val="20"/>
      <w:lang w:val="en-US" w:eastAsia="en-US" w:bidi="ar-SA"/>
    </w:rPr>
  </w:style>
  <w:style w:type="character" w:customStyle="1" w:styleId="228">
    <w:name w:val="font61"/>
    <w:basedOn w:val="50"/>
    <w:qFormat/>
    <w:uiPriority w:val="0"/>
    <w:rPr>
      <w:rFonts w:ascii="Times New Roman" w:hAnsi="Times New Roman" w:cs="Times New Roman"/>
      <w:color w:val="000000"/>
      <w:sz w:val="21"/>
      <w:szCs w:val="21"/>
      <w:u w:val="none"/>
      <w:vertAlign w:val="subscript"/>
      <w:lang w:bidi="ar-SA"/>
    </w:rPr>
  </w:style>
  <w:style w:type="character" w:customStyle="1" w:styleId="229">
    <w:name w:val="font51"/>
    <w:basedOn w:val="50"/>
    <w:qFormat/>
    <w:uiPriority w:val="0"/>
    <w:rPr>
      <w:rFonts w:ascii="Times New Roman" w:hAnsi="Times New Roman" w:cs="Times New Roman"/>
      <w:color w:val="000000"/>
      <w:sz w:val="21"/>
      <w:szCs w:val="21"/>
      <w:u w:val="none"/>
      <w:vertAlign w:val="superscript"/>
      <w:lang w:bidi="ar-SA"/>
    </w:rPr>
  </w:style>
  <w:style w:type="paragraph" w:customStyle="1" w:styleId="230">
    <w:name w:val="报告表正文"/>
    <w:basedOn w:val="1"/>
    <w:qFormat/>
    <w:uiPriority w:val="0"/>
    <w:pPr>
      <w:adjustRightInd w:val="0"/>
      <w:spacing w:line="460" w:lineRule="exact"/>
      <w:ind w:firstLine="960" w:firstLineChars="200"/>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29579;&#38745;\&#29615;&#22659;&#24433;&#21709;&#25253;&#34920;\&#35780;&#20215;&#21333;&#203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评价单位</Template>
  <Company>Microsoft</Company>
  <Pages>112</Pages>
  <Words>24303</Words>
  <Characters>25620</Characters>
  <Lines>1</Lines>
  <Paragraphs>1</Paragraphs>
  <TotalTime>3</TotalTime>
  <ScaleCrop>false</ScaleCrop>
  <LinksUpToDate>false</LinksUpToDate>
  <CharactersWithSpaces>25745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2021-02-26T02:53:00Z</dcterms:created>
  <dc:creator>fc</dc:creator>
  <cp:lastModifiedBy>李坤</cp:lastModifiedBy>
  <cp:lastPrinted>2025-12-08T08:26:00Z</cp:lastPrinted>
  <dcterms:modified xsi:type="dcterms:W3CDTF">2025-12-09T06:10:55Z</dcterms:modified>
  <dc:title>评价单位                             (公章)</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3D0A0845056F41BEB3DAB2829E7EB79C</vt:lpwstr>
  </property>
  <property fmtid="{D5CDD505-2E9C-101B-9397-08002B2CF9AE}" pid="4" name="KSOTemplateDocerSaveRecord">
    <vt:lpwstr>eyJoZGlkIjoiNmI2Y2U5MmE2MzUwYWZiYmY4YTgxZWQyNjhkZmUwNGIiLCJ1c2VySWQiOiIyMDk1Nzg5MjcifQ==</vt:lpwstr>
  </property>
</Properties>
</file>