
<file path=[Content_Types].xml><?xml version="1.0" encoding="utf-8"?>
<Types xmlns="http://schemas.openxmlformats.org/package/2006/content-types">
  <Default Extension="xml" ContentType="application/xml"/>
  <Default Extension="jpeg" ContentType="image/jpeg"/>
  <Default Extension="JPG" ContentType="image/.jpg"/>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FED6807">
      <w:pPr>
        <w:jc w:val="center"/>
        <w:rPr>
          <w:rFonts w:hint="eastAsia" w:ascii="宋体" w:eastAsia="仿宋_GB2312"/>
          <w:b/>
          <w:bCs/>
          <w:sz w:val="40"/>
          <w:szCs w:val="40"/>
          <w:lang w:eastAsia="zh-CN"/>
        </w:rPr>
      </w:pPr>
      <w:r>
        <w:rPr>
          <w:rFonts w:hint="eastAsia" w:ascii="宋体"/>
          <w:b/>
          <w:bCs/>
          <w:sz w:val="40"/>
          <w:szCs w:val="40"/>
          <w:lang w:eastAsia="zh-CN"/>
        </w:rPr>
        <w:t>石家庄市自然资源和规划局栾城分局</w:t>
      </w:r>
    </w:p>
    <w:p w14:paraId="67D68F00">
      <w:pPr>
        <w:jc w:val="center"/>
        <w:rPr>
          <w:rFonts w:hint="eastAsia" w:ascii="宋体"/>
          <w:b/>
          <w:bCs/>
          <w:sz w:val="40"/>
          <w:szCs w:val="40"/>
        </w:rPr>
      </w:pPr>
      <w:r>
        <w:rPr>
          <w:rFonts w:hint="eastAsia" w:ascii="宋体"/>
          <w:b/>
          <w:bCs/>
          <w:sz w:val="40"/>
          <w:szCs w:val="40"/>
        </w:rPr>
        <w:t>关于公布</w:t>
      </w:r>
      <w:r>
        <w:rPr>
          <w:rFonts w:hint="eastAsia" w:ascii="宋体"/>
          <w:b/>
          <w:bCs/>
          <w:sz w:val="40"/>
          <w:szCs w:val="40"/>
          <w:lang w:eastAsia="zh-CN"/>
        </w:rPr>
        <w:t>实施</w:t>
      </w:r>
      <w:r>
        <w:rPr>
          <w:rFonts w:hint="eastAsia" w:ascii="宋体"/>
          <w:b/>
          <w:bCs/>
          <w:sz w:val="40"/>
          <w:szCs w:val="40"/>
        </w:rPr>
        <w:t>栾城区城区城镇基准地价和石家庄装备制造产业园基准地价全面更新成果的</w:t>
      </w:r>
    </w:p>
    <w:p w14:paraId="264049B5">
      <w:pPr>
        <w:jc w:val="center"/>
        <w:rPr>
          <w:rFonts w:hint="default" w:ascii="Times New Roman" w:hAnsi="Times New Roman" w:eastAsia="方正小标宋_GBK" w:cs="Times New Roman"/>
          <w:sz w:val="44"/>
          <w:szCs w:val="44"/>
          <w:lang w:val="en-US" w:eastAsia="zh-CN"/>
        </w:rPr>
      </w:pPr>
      <w:r>
        <w:rPr>
          <w:rFonts w:hint="eastAsia" w:ascii="宋体"/>
          <w:b/>
          <w:bCs/>
          <w:sz w:val="40"/>
          <w:szCs w:val="40"/>
          <w:lang w:eastAsia="zh-CN"/>
        </w:rPr>
        <w:t>通</w:t>
      </w:r>
      <w:r>
        <w:rPr>
          <w:rFonts w:hint="eastAsia" w:ascii="宋体"/>
          <w:b/>
          <w:bCs/>
          <w:sz w:val="40"/>
          <w:szCs w:val="40"/>
          <w:lang w:val="en-US" w:eastAsia="zh-CN"/>
        </w:rPr>
        <w:t xml:space="preserve">  </w:t>
      </w:r>
      <w:r>
        <w:rPr>
          <w:rFonts w:hint="eastAsia" w:ascii="宋体"/>
          <w:b/>
          <w:bCs/>
          <w:sz w:val="40"/>
          <w:szCs w:val="40"/>
          <w:lang w:eastAsia="zh-CN"/>
        </w:rPr>
        <w:t>知</w:t>
      </w:r>
    </w:p>
    <w:p w14:paraId="1030A0CF">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left="0" w:leftChars="0" w:right="0" w:rightChars="0" w:firstLine="560" w:firstLineChars="200"/>
        <w:jc w:val="left"/>
        <w:textAlignment w:val="auto"/>
        <w:outlineLvl w:val="9"/>
        <w:rPr>
          <w:rFonts w:hint="eastAsia" w:ascii="Times New Roman" w:hAnsi="Times New Roman" w:eastAsia="方正仿宋_GBK" w:cs="Times New Roman"/>
          <w:sz w:val="28"/>
          <w:szCs w:val="28"/>
          <w:lang w:val="en-US" w:eastAsia="zh-CN"/>
        </w:rPr>
      </w:pPr>
      <w:r>
        <w:rPr>
          <w:rFonts w:hint="eastAsia" w:ascii="Times New Roman" w:hAnsi="Times New Roman" w:eastAsia="方正仿宋_GBK" w:cs="Times New Roman"/>
          <w:sz w:val="28"/>
          <w:szCs w:val="28"/>
          <w:lang w:val="en-US" w:eastAsia="zh-CN"/>
        </w:rPr>
        <w:t>根据《河北省自然资源厅办公室关于规范自然资源评价评估有关工作的通知》（〔2024〕71号）和《河北省自然资源厅关于印发&lt;河北省基准地价管理办法&gt;的通知》（冀自然资字〔2025〕29号）等文件要求，为保持自然资源政府公示价格成果的现势性，现将石家庄市栾城区城区、石家庄装备制造产业园土地级别与基准地价全面更新成果予以公布，并就有关事项通知如下：</w:t>
      </w:r>
    </w:p>
    <w:p w14:paraId="6B58A75A">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left="0" w:leftChars="0" w:right="0" w:rightChars="0" w:firstLine="560" w:firstLineChars="200"/>
        <w:jc w:val="left"/>
        <w:textAlignment w:val="auto"/>
        <w:outlineLvl w:val="9"/>
        <w:rPr>
          <w:rFonts w:hint="eastAsia" w:ascii="Times New Roman" w:hAnsi="Times New Roman" w:eastAsia="方正仿宋_GBK" w:cs="Times New Roman"/>
          <w:sz w:val="28"/>
          <w:szCs w:val="28"/>
          <w:lang w:val="en-US" w:eastAsia="zh-CN"/>
        </w:rPr>
      </w:pPr>
      <w:r>
        <w:rPr>
          <w:rFonts w:hint="eastAsia" w:ascii="Times New Roman" w:hAnsi="Times New Roman" w:eastAsia="方正仿宋_GBK" w:cs="Times New Roman"/>
          <w:sz w:val="28"/>
          <w:szCs w:val="28"/>
          <w:lang w:val="en-US" w:eastAsia="zh-CN"/>
        </w:rPr>
        <w:t>本通知自2026年1月4日起施行，施行中的具体问题由石家庄市自然资源和规划局栾城分局负责解释。土地级别和基准地价将根据社会经济社会发展情况及市场需要，适时调整更新。</w:t>
      </w:r>
    </w:p>
    <w:p w14:paraId="115C5467">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left="1120" w:right="0" w:rightChars="0" w:hanging="1120" w:hangingChars="400"/>
        <w:jc w:val="left"/>
        <w:textAlignment w:val="auto"/>
        <w:outlineLvl w:val="9"/>
        <w:rPr>
          <w:rFonts w:hint="eastAsia" w:ascii="Times New Roman" w:hAnsi="Times New Roman" w:eastAsia="方正仿宋_GBK" w:cs="Times New Roman"/>
          <w:sz w:val="28"/>
          <w:szCs w:val="28"/>
          <w:lang w:val="en-US" w:eastAsia="zh-CN"/>
        </w:rPr>
      </w:pPr>
      <w:r>
        <w:rPr>
          <w:rFonts w:hint="eastAsia" w:ascii="Times New Roman" w:hAnsi="Times New Roman" w:eastAsia="方正仿宋_GBK" w:cs="Times New Roman"/>
          <w:sz w:val="28"/>
          <w:szCs w:val="28"/>
          <w:lang w:val="en-US" w:eastAsia="zh-CN"/>
        </w:rPr>
        <w:t>附件：1.石家庄市栾城区城区土地级别与基准地价商服、住宅、工业、公共管理与公共服务、公用设施用地用途土地级别及基准地价图</w:t>
      </w:r>
    </w:p>
    <w:p w14:paraId="27B58932">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left="0" w:leftChars="0" w:right="0" w:rightChars="0" w:firstLine="560" w:firstLineChars="200"/>
        <w:jc w:val="left"/>
        <w:textAlignment w:val="auto"/>
        <w:outlineLvl w:val="9"/>
        <w:rPr>
          <w:rFonts w:hint="eastAsia" w:ascii="Times New Roman" w:hAnsi="Times New Roman" w:eastAsia="方正仿宋_GBK" w:cs="Times New Roman"/>
          <w:sz w:val="28"/>
          <w:szCs w:val="28"/>
          <w:lang w:val="en-US" w:eastAsia="zh-CN"/>
        </w:rPr>
      </w:pPr>
      <w:r>
        <w:rPr>
          <w:rFonts w:hint="eastAsia" w:ascii="Times New Roman" w:hAnsi="Times New Roman" w:eastAsia="方正仿宋_GBK" w:cs="Times New Roman"/>
          <w:sz w:val="28"/>
          <w:szCs w:val="28"/>
          <w:lang w:val="en-US" w:eastAsia="zh-CN"/>
        </w:rPr>
        <w:t xml:space="preserve">  2.石家庄市栾城区城区土地级别与基准地价表</w:t>
      </w:r>
    </w:p>
    <w:p w14:paraId="0BC30289">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left="0" w:leftChars="0" w:right="0" w:rightChars="0" w:firstLine="560" w:firstLineChars="200"/>
        <w:jc w:val="left"/>
        <w:textAlignment w:val="auto"/>
        <w:outlineLvl w:val="9"/>
        <w:rPr>
          <w:rFonts w:hint="eastAsia" w:ascii="Times New Roman" w:hAnsi="Times New Roman" w:eastAsia="方正仿宋_GBK" w:cs="Times New Roman"/>
          <w:sz w:val="28"/>
          <w:szCs w:val="28"/>
          <w:lang w:val="en-US" w:eastAsia="zh-CN"/>
        </w:rPr>
      </w:pPr>
      <w:r>
        <w:rPr>
          <w:rFonts w:hint="eastAsia" w:ascii="Times New Roman" w:hAnsi="Times New Roman" w:eastAsia="方正仿宋_GBK" w:cs="Times New Roman"/>
          <w:sz w:val="28"/>
          <w:szCs w:val="28"/>
          <w:lang w:val="en-US" w:eastAsia="zh-CN"/>
        </w:rPr>
        <w:t xml:space="preserve">  3.石家庄市栾城区城区土地级别与基准地价说明</w:t>
      </w:r>
    </w:p>
    <w:p w14:paraId="168508FC">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left="1158" w:leftChars="399" w:right="0" w:rightChars="0" w:hanging="280" w:hangingChars="100"/>
        <w:jc w:val="left"/>
        <w:textAlignment w:val="auto"/>
        <w:outlineLvl w:val="9"/>
        <w:rPr>
          <w:rFonts w:hint="eastAsia" w:ascii="Times New Roman" w:hAnsi="Times New Roman" w:eastAsia="方正仿宋_GBK" w:cs="Times New Roman"/>
          <w:sz w:val="28"/>
          <w:szCs w:val="28"/>
          <w:lang w:val="en-US" w:eastAsia="zh-CN"/>
        </w:rPr>
      </w:pPr>
      <w:r>
        <w:rPr>
          <w:rFonts w:hint="eastAsia" w:ascii="Times New Roman" w:hAnsi="Times New Roman" w:eastAsia="方正仿宋_GBK" w:cs="Times New Roman"/>
          <w:sz w:val="28"/>
          <w:szCs w:val="28"/>
          <w:lang w:val="en-US" w:eastAsia="zh-CN"/>
        </w:rPr>
        <w:t>4.石家庄装备制造产业园土地级别与基准地价商服、住宅、工业、公共管理与公共服务用途土地级别及基准地价图</w:t>
      </w:r>
    </w:p>
    <w:p w14:paraId="4CCDE1C1">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left="0" w:leftChars="0" w:right="0" w:rightChars="0" w:firstLine="840" w:firstLineChars="300"/>
        <w:jc w:val="left"/>
        <w:textAlignment w:val="auto"/>
        <w:outlineLvl w:val="9"/>
        <w:rPr>
          <w:rFonts w:hint="eastAsia" w:ascii="Times New Roman" w:hAnsi="Times New Roman" w:eastAsia="方正仿宋_GBK" w:cs="Times New Roman"/>
          <w:sz w:val="28"/>
          <w:szCs w:val="28"/>
          <w:lang w:val="en-US" w:eastAsia="zh-CN"/>
        </w:rPr>
      </w:pPr>
      <w:r>
        <w:rPr>
          <w:rFonts w:hint="eastAsia" w:ascii="Times New Roman" w:hAnsi="Times New Roman" w:eastAsia="方正仿宋_GBK" w:cs="Times New Roman"/>
          <w:sz w:val="28"/>
          <w:szCs w:val="28"/>
          <w:lang w:val="en-US" w:eastAsia="zh-CN"/>
        </w:rPr>
        <w:t>5.石家庄装备制造产业园土地级别与基准地价表</w:t>
      </w:r>
    </w:p>
    <w:p w14:paraId="7DA85DEB">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left="0" w:leftChars="0" w:right="0" w:rightChars="0" w:firstLine="560" w:firstLineChars="200"/>
        <w:jc w:val="left"/>
        <w:textAlignment w:val="auto"/>
        <w:outlineLvl w:val="9"/>
        <w:rPr>
          <w:rFonts w:hint="eastAsia" w:ascii="Times New Roman" w:hAnsi="Times New Roman" w:eastAsia="方正仿宋_GBK" w:cs="Times New Roman"/>
          <w:sz w:val="28"/>
          <w:szCs w:val="28"/>
          <w:lang w:val="en-US" w:eastAsia="zh-CN"/>
        </w:rPr>
      </w:pPr>
      <w:r>
        <w:rPr>
          <w:rFonts w:hint="eastAsia" w:ascii="Times New Roman" w:hAnsi="Times New Roman" w:eastAsia="方正仿宋_GBK" w:cs="Times New Roman"/>
          <w:sz w:val="28"/>
          <w:szCs w:val="28"/>
          <w:lang w:val="en-US" w:eastAsia="zh-CN"/>
        </w:rPr>
        <w:t xml:space="preserve">  6.石家庄装备制造产业园土地级别与基准地价说明</w:t>
      </w:r>
    </w:p>
    <w:p w14:paraId="657F4E0A">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leftChars="200" w:right="0" w:rightChars="0"/>
        <w:jc w:val="right"/>
        <w:textAlignment w:val="auto"/>
        <w:outlineLvl w:val="9"/>
        <w:rPr>
          <w:rFonts w:hint="default" w:ascii="Times New Roman" w:hAnsi="Times New Roman" w:eastAsia="方正仿宋_GBK" w:cs="Times New Roman"/>
          <w:sz w:val="32"/>
          <w:szCs w:val="32"/>
          <w:lang w:val="en-US" w:eastAsia="zh-CN"/>
        </w:rPr>
      </w:pPr>
      <w:r>
        <w:rPr>
          <w:rFonts w:hint="eastAsia" w:ascii="Times New Roman" w:hAnsi="Times New Roman" w:eastAsia="方正仿宋_GBK" w:cs="Times New Roman"/>
          <w:sz w:val="32"/>
          <w:szCs w:val="32"/>
          <w:lang w:val="en-US" w:eastAsia="zh-CN"/>
        </w:rPr>
        <w:t>石家庄市自然资源和规划局栾城分局</w:t>
      </w:r>
    </w:p>
    <w:p w14:paraId="5390F228">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leftChars="200" w:right="0" w:rightChars="0"/>
        <w:jc w:val="right"/>
        <w:textAlignment w:val="auto"/>
        <w:outlineLvl w:val="9"/>
        <w:rPr>
          <w:rFonts w:hint="eastAsia" w:ascii="Times New Roman" w:hAnsi="Times New Roman" w:eastAsia="方正仿宋_GBK" w:cs="Times New Roman"/>
          <w:sz w:val="28"/>
          <w:szCs w:val="28"/>
          <w:lang w:val="en-US" w:eastAsia="zh-CN"/>
        </w:rPr>
      </w:pPr>
      <w:r>
        <w:rPr>
          <w:rFonts w:hint="default" w:ascii="Times New Roman" w:hAnsi="Times New Roman" w:eastAsia="方正仿宋_GBK" w:cs="Times New Roman"/>
          <w:sz w:val="32"/>
          <w:szCs w:val="32"/>
          <w:lang w:val="en-US" w:eastAsia="zh-CN"/>
        </w:rPr>
        <w:t xml:space="preserve">                         </w:t>
      </w:r>
      <w:r>
        <w:rPr>
          <w:rFonts w:hint="eastAsia" w:ascii="Times New Roman" w:hAnsi="Times New Roman" w:eastAsia="方正仿宋_GBK" w:cs="Times New Roman"/>
          <w:sz w:val="32"/>
          <w:szCs w:val="32"/>
          <w:lang w:val="en-US" w:eastAsia="zh-CN"/>
        </w:rPr>
        <w:t xml:space="preserve"> 2026</w:t>
      </w:r>
      <w:r>
        <w:rPr>
          <w:rFonts w:hint="default" w:ascii="Times New Roman" w:hAnsi="Times New Roman" w:eastAsia="方正仿宋_GBK" w:cs="Times New Roman"/>
          <w:sz w:val="32"/>
          <w:szCs w:val="32"/>
          <w:lang w:val="en-US" w:eastAsia="zh-CN"/>
        </w:rPr>
        <w:t>年</w:t>
      </w:r>
      <w:r>
        <w:rPr>
          <w:rFonts w:hint="eastAsia" w:ascii="Times New Roman" w:hAnsi="Times New Roman" w:eastAsia="方正仿宋_GBK" w:cs="Times New Roman"/>
          <w:sz w:val="32"/>
          <w:szCs w:val="32"/>
          <w:lang w:val="en-US" w:eastAsia="zh-CN"/>
        </w:rPr>
        <w:t>1</w:t>
      </w:r>
      <w:r>
        <w:rPr>
          <w:rFonts w:hint="default" w:ascii="Times New Roman" w:hAnsi="Times New Roman" w:eastAsia="方正仿宋_GBK" w:cs="Times New Roman"/>
          <w:sz w:val="32"/>
          <w:szCs w:val="32"/>
          <w:lang w:val="en-US" w:eastAsia="zh-CN"/>
        </w:rPr>
        <w:t>月</w:t>
      </w:r>
      <w:r>
        <w:rPr>
          <w:rFonts w:hint="eastAsia" w:ascii="Times New Roman" w:hAnsi="Times New Roman" w:eastAsia="方正仿宋_GBK" w:cs="Times New Roman"/>
          <w:sz w:val="32"/>
          <w:szCs w:val="32"/>
          <w:lang w:val="en-US" w:eastAsia="zh-CN"/>
        </w:rPr>
        <w:t>4</w:t>
      </w:r>
      <w:r>
        <w:rPr>
          <w:rFonts w:hint="default" w:ascii="Times New Roman" w:hAnsi="Times New Roman" w:eastAsia="方正仿宋_GBK" w:cs="Times New Roman"/>
          <w:sz w:val="32"/>
          <w:szCs w:val="32"/>
          <w:lang w:val="en-US" w:eastAsia="zh-CN"/>
        </w:rPr>
        <w:t>日</w:t>
      </w:r>
      <w:bookmarkStart w:id="0" w:name="_Toc71620961"/>
      <w:bookmarkStart w:id="1" w:name="_Toc12368124"/>
    </w:p>
    <w:p w14:paraId="5CB39B74">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right="0" w:rightChars="0"/>
        <w:jc w:val="left"/>
        <w:textAlignment w:val="auto"/>
        <w:outlineLvl w:val="9"/>
        <w:rPr>
          <w:rFonts w:hint="default" w:ascii="Times New Roman" w:hAnsi="Times New Roman" w:eastAsia="方正仿宋_GBK" w:cs="Times New Roman"/>
          <w:sz w:val="28"/>
          <w:szCs w:val="28"/>
          <w:lang w:val="en-US" w:eastAsia="zh-CN"/>
        </w:rPr>
      </w:pPr>
      <w:r>
        <w:rPr>
          <w:rFonts w:hint="eastAsia" w:ascii="Times New Roman" w:hAnsi="Times New Roman" w:eastAsia="方正仿宋_GBK" w:cs="Times New Roman"/>
          <w:sz w:val="28"/>
          <w:szCs w:val="28"/>
          <w:lang w:val="en-US" w:eastAsia="zh-CN"/>
        </w:rPr>
        <w:t>附件1</w:t>
      </w:r>
      <w:r>
        <w:rPr>
          <w:rFonts w:hint="default" w:ascii="Times New Roman" w:hAnsi="Times New Roman" w:eastAsia="方正仿宋_GBK" w:cs="Times New Roman"/>
          <w:sz w:val="28"/>
          <w:szCs w:val="28"/>
          <w:lang w:val="en-US" w:eastAsia="zh-CN"/>
        </w:rPr>
        <w:t xml:space="preserve">   石家庄市栾城区</w:t>
      </w:r>
      <w:r>
        <w:rPr>
          <w:rFonts w:hint="eastAsia" w:ascii="Times New Roman" w:hAnsi="Times New Roman" w:eastAsia="方正仿宋_GBK" w:cs="Times New Roman"/>
          <w:sz w:val="28"/>
          <w:szCs w:val="28"/>
          <w:lang w:val="en-US" w:eastAsia="zh-CN"/>
        </w:rPr>
        <w:t>城区</w:t>
      </w:r>
      <w:r>
        <w:rPr>
          <w:rFonts w:hint="default" w:ascii="Times New Roman" w:hAnsi="Times New Roman" w:eastAsia="方正仿宋_GBK" w:cs="Times New Roman"/>
          <w:sz w:val="28"/>
          <w:szCs w:val="28"/>
          <w:lang w:val="en-US" w:eastAsia="zh-CN"/>
        </w:rPr>
        <w:t>土地级别与基准地价图</w:t>
      </w:r>
      <w:bookmarkEnd w:id="0"/>
      <w:bookmarkEnd w:id="1"/>
    </w:p>
    <w:p w14:paraId="585A1B18">
      <w:pPr>
        <w:pStyle w:val="139"/>
        <w:rPr>
          <w:rFonts w:hint="eastAsia" w:ascii="Times New Roman" w:hAnsi="Times New Roman" w:eastAsia="仿宋" w:cs="Times New Roman"/>
          <w:lang w:eastAsia="zh-CN"/>
        </w:rPr>
      </w:pPr>
      <w:r>
        <w:rPr>
          <w:rFonts w:hint="eastAsia" w:ascii="Times New Roman" w:hAnsi="Times New Roman" w:eastAsia="仿宋" w:cs="Times New Roman"/>
          <w:lang w:eastAsia="zh-CN"/>
        </w:rPr>
        <w:drawing>
          <wp:anchor distT="0" distB="0" distL="114300" distR="114300" simplePos="0" relativeHeight="251661312" behindDoc="0" locked="0" layoutInCell="1" allowOverlap="1">
            <wp:simplePos x="0" y="0"/>
            <wp:positionH relativeFrom="column">
              <wp:posOffset>278765</wp:posOffset>
            </wp:positionH>
            <wp:positionV relativeFrom="page">
              <wp:posOffset>1400810</wp:posOffset>
            </wp:positionV>
            <wp:extent cx="5540375" cy="7832725"/>
            <wp:effectExtent l="0" t="0" r="9525" b="3175"/>
            <wp:wrapTopAndBottom/>
            <wp:docPr id="3" name="图片 3" descr="石家庄市栾城区城区商服用地土地级别与基准地价图"/>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3" descr="石家庄市栾城区城区商服用地土地级别与基准地价图"/>
                    <pic:cNvPicPr>
                      <a:picLocks noChangeAspect="1"/>
                    </pic:cNvPicPr>
                  </pic:nvPicPr>
                  <pic:blipFill>
                    <a:blip r:embed="rId6"/>
                    <a:stretch>
                      <a:fillRect/>
                    </a:stretch>
                  </pic:blipFill>
                  <pic:spPr>
                    <a:xfrm>
                      <a:off x="0" y="0"/>
                      <a:ext cx="5540375" cy="7832725"/>
                    </a:xfrm>
                    <a:prstGeom prst="rect">
                      <a:avLst/>
                    </a:prstGeom>
                  </pic:spPr>
                </pic:pic>
              </a:graphicData>
            </a:graphic>
          </wp:anchor>
        </w:drawing>
      </w:r>
    </w:p>
    <w:p w14:paraId="73F346D6">
      <w:pPr>
        <w:rPr>
          <w:rFonts w:hint="default" w:ascii="Times New Roman" w:hAnsi="Times New Roman" w:cs="Times New Roman"/>
        </w:rPr>
      </w:pPr>
    </w:p>
    <w:p w14:paraId="1FE2F9BA">
      <w:pPr>
        <w:rPr>
          <w:rFonts w:hint="default" w:ascii="Times New Roman" w:hAnsi="Times New Roman" w:cs="Times New Roman"/>
        </w:rPr>
      </w:pPr>
    </w:p>
    <w:p w14:paraId="25E03017">
      <w:pPr>
        <w:rPr>
          <w:rFonts w:hint="eastAsia" w:ascii="Times New Roman" w:hAnsi="Times New Roman" w:eastAsia="仿宋_GB2312" w:cs="Times New Roman"/>
          <w:lang w:eastAsia="zh-CN"/>
        </w:rPr>
      </w:pPr>
      <w:r>
        <w:rPr>
          <w:rFonts w:hint="eastAsia" w:ascii="Times New Roman" w:hAnsi="Times New Roman" w:eastAsia="仿宋_GB2312" w:cs="Times New Roman"/>
          <w:lang w:eastAsia="zh-CN"/>
        </w:rPr>
        <w:drawing>
          <wp:anchor distT="0" distB="0" distL="114300" distR="114300" simplePos="0" relativeHeight="251662336" behindDoc="0" locked="0" layoutInCell="1" allowOverlap="1">
            <wp:simplePos x="0" y="0"/>
            <wp:positionH relativeFrom="column">
              <wp:posOffset>-5080</wp:posOffset>
            </wp:positionH>
            <wp:positionV relativeFrom="paragraph">
              <wp:posOffset>236220</wp:posOffset>
            </wp:positionV>
            <wp:extent cx="5540375" cy="7832725"/>
            <wp:effectExtent l="0" t="0" r="9525" b="3175"/>
            <wp:wrapTopAndBottom/>
            <wp:docPr id="4" name="图片 4" descr="石家庄市栾城区城区住宅用地土地级别与基准地价图"/>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石家庄市栾城区城区住宅用地土地级别与基准地价图"/>
                    <pic:cNvPicPr>
                      <a:picLocks noChangeAspect="1"/>
                    </pic:cNvPicPr>
                  </pic:nvPicPr>
                  <pic:blipFill>
                    <a:blip r:embed="rId7"/>
                    <a:stretch>
                      <a:fillRect/>
                    </a:stretch>
                  </pic:blipFill>
                  <pic:spPr>
                    <a:xfrm>
                      <a:off x="0" y="0"/>
                      <a:ext cx="5540375" cy="7832725"/>
                    </a:xfrm>
                    <a:prstGeom prst="rect">
                      <a:avLst/>
                    </a:prstGeom>
                  </pic:spPr>
                </pic:pic>
              </a:graphicData>
            </a:graphic>
          </wp:anchor>
        </w:drawing>
      </w:r>
    </w:p>
    <w:p w14:paraId="7E673AAC">
      <w:pPr>
        <w:rPr>
          <w:rFonts w:hint="eastAsia" w:ascii="Times New Roman" w:hAnsi="Times New Roman" w:eastAsia="宋体" w:cs="Times New Roman"/>
          <w:lang w:eastAsia="zh-CN"/>
        </w:rPr>
      </w:pPr>
      <w:r>
        <w:rPr>
          <w:rFonts w:hint="eastAsia" w:ascii="Times New Roman" w:hAnsi="Times New Roman" w:eastAsia="宋体" w:cs="Times New Roman"/>
          <w:lang w:eastAsia="zh-CN"/>
        </w:rPr>
        <w:drawing>
          <wp:inline distT="0" distB="0" distL="114300" distR="114300">
            <wp:extent cx="5600700" cy="7918450"/>
            <wp:effectExtent l="0" t="0" r="0" b="6350"/>
            <wp:docPr id="9" name="图片 25" descr="石家庄市栾城区城区工业用地土地级别与基准地价图"/>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图片 25" descr="石家庄市栾城区城区工业用地土地级别与基准地价图"/>
                    <pic:cNvPicPr>
                      <a:picLocks noChangeAspect="1"/>
                    </pic:cNvPicPr>
                  </pic:nvPicPr>
                  <pic:blipFill>
                    <a:blip r:embed="rId8"/>
                    <a:stretch>
                      <a:fillRect/>
                    </a:stretch>
                  </pic:blipFill>
                  <pic:spPr>
                    <a:xfrm>
                      <a:off x="0" y="0"/>
                      <a:ext cx="5600700" cy="7918450"/>
                    </a:xfrm>
                    <a:prstGeom prst="rect">
                      <a:avLst/>
                    </a:prstGeom>
                    <a:noFill/>
                    <a:ln>
                      <a:noFill/>
                    </a:ln>
                  </pic:spPr>
                </pic:pic>
              </a:graphicData>
            </a:graphic>
          </wp:inline>
        </w:drawing>
      </w:r>
    </w:p>
    <w:p w14:paraId="6EAD4985">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right="0" w:rightChars="0"/>
        <w:jc w:val="left"/>
        <w:textAlignment w:val="auto"/>
        <w:outlineLvl w:val="9"/>
        <w:rPr>
          <w:rFonts w:hint="default" w:ascii="Times New Roman" w:hAnsi="Times New Roman" w:eastAsia="宋体" w:cs="Times New Roman"/>
          <w:szCs w:val="28"/>
        </w:rPr>
      </w:pPr>
      <w:bookmarkStart w:id="2" w:name="_Toc12368125"/>
    </w:p>
    <w:p w14:paraId="731E1975">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right="0" w:rightChars="0"/>
        <w:jc w:val="left"/>
        <w:textAlignment w:val="auto"/>
        <w:outlineLvl w:val="9"/>
        <w:rPr>
          <w:rFonts w:hint="default" w:ascii="Times New Roman" w:hAnsi="Times New Roman" w:eastAsia="宋体" w:cs="Times New Roman"/>
          <w:szCs w:val="28"/>
        </w:rPr>
      </w:pPr>
      <w:r>
        <w:rPr>
          <w:rFonts w:hint="eastAsia" w:ascii="Times New Roman" w:hAnsi="Times New Roman" w:eastAsia="方正仿宋_GBK" w:cs="Times New Roman"/>
          <w:sz w:val="28"/>
          <w:szCs w:val="28"/>
          <w:lang w:val="en-US" w:eastAsia="zh-CN"/>
        </w:rPr>
        <w:drawing>
          <wp:anchor distT="0" distB="0" distL="114300" distR="114300" simplePos="0" relativeHeight="251659264" behindDoc="0" locked="0" layoutInCell="1" allowOverlap="1">
            <wp:simplePos x="0" y="0"/>
            <wp:positionH relativeFrom="column">
              <wp:posOffset>120015</wp:posOffset>
            </wp:positionH>
            <wp:positionV relativeFrom="paragraph">
              <wp:posOffset>-59055</wp:posOffset>
            </wp:positionV>
            <wp:extent cx="5540375" cy="7832725"/>
            <wp:effectExtent l="0" t="0" r="9525" b="3175"/>
            <wp:wrapTopAndBottom/>
            <wp:docPr id="1" name="图片 1" descr="石家庄市栾城区城区公共管理与公共服务用地土地级别与基准地价图"/>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石家庄市栾城区城区公共管理与公共服务用地土地级别与基准地价图"/>
                    <pic:cNvPicPr>
                      <a:picLocks noChangeAspect="1"/>
                    </pic:cNvPicPr>
                  </pic:nvPicPr>
                  <pic:blipFill>
                    <a:blip r:embed="rId9"/>
                    <a:stretch>
                      <a:fillRect/>
                    </a:stretch>
                  </pic:blipFill>
                  <pic:spPr>
                    <a:xfrm>
                      <a:off x="0" y="0"/>
                      <a:ext cx="5540375" cy="7832725"/>
                    </a:xfrm>
                    <a:prstGeom prst="rect">
                      <a:avLst/>
                    </a:prstGeom>
                  </pic:spPr>
                </pic:pic>
              </a:graphicData>
            </a:graphic>
          </wp:anchor>
        </w:drawing>
      </w:r>
    </w:p>
    <w:p w14:paraId="7CDA7D27">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right="0" w:rightChars="0"/>
        <w:jc w:val="left"/>
        <w:textAlignment w:val="auto"/>
        <w:outlineLvl w:val="9"/>
        <w:rPr>
          <w:rFonts w:hint="default" w:ascii="Times New Roman" w:hAnsi="Times New Roman" w:eastAsia="宋体" w:cs="Times New Roman"/>
          <w:szCs w:val="28"/>
        </w:rPr>
      </w:pPr>
    </w:p>
    <w:p w14:paraId="5F4A1662">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right="0" w:rightChars="0"/>
        <w:jc w:val="left"/>
        <w:textAlignment w:val="auto"/>
        <w:outlineLvl w:val="9"/>
        <w:rPr>
          <w:rFonts w:hint="default" w:ascii="Times New Roman" w:hAnsi="Times New Roman" w:eastAsia="宋体" w:cs="Times New Roman"/>
          <w:szCs w:val="28"/>
        </w:rPr>
      </w:pPr>
      <w:r>
        <w:rPr>
          <w:rFonts w:hint="eastAsia" w:ascii="Times New Roman" w:hAnsi="Times New Roman" w:eastAsia="仿宋" w:cs="Times New Roman"/>
          <w:lang w:eastAsia="zh-CN"/>
        </w:rPr>
        <w:drawing>
          <wp:anchor distT="0" distB="0" distL="114300" distR="114300" simplePos="0" relativeHeight="251660288" behindDoc="0" locked="0" layoutInCell="1" allowOverlap="1">
            <wp:simplePos x="0" y="0"/>
            <wp:positionH relativeFrom="column">
              <wp:posOffset>-26035</wp:posOffset>
            </wp:positionH>
            <wp:positionV relativeFrom="paragraph">
              <wp:posOffset>-285750</wp:posOffset>
            </wp:positionV>
            <wp:extent cx="5820410" cy="8228965"/>
            <wp:effectExtent l="0" t="0" r="8890" b="635"/>
            <wp:wrapTopAndBottom/>
            <wp:docPr id="2" name="图片 2" descr="石家庄市栾城区城区公用设施用地土地级别与基准地价图"/>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descr="石家庄市栾城区城区公用设施用地土地级别与基准地价图"/>
                    <pic:cNvPicPr>
                      <a:picLocks noChangeAspect="1"/>
                    </pic:cNvPicPr>
                  </pic:nvPicPr>
                  <pic:blipFill>
                    <a:blip r:embed="rId10"/>
                    <a:stretch>
                      <a:fillRect/>
                    </a:stretch>
                  </pic:blipFill>
                  <pic:spPr>
                    <a:xfrm>
                      <a:off x="0" y="0"/>
                      <a:ext cx="5820410" cy="8228965"/>
                    </a:xfrm>
                    <a:prstGeom prst="rect">
                      <a:avLst/>
                    </a:prstGeom>
                  </pic:spPr>
                </pic:pic>
              </a:graphicData>
            </a:graphic>
          </wp:anchor>
        </w:drawing>
      </w:r>
    </w:p>
    <w:p w14:paraId="45D6DAA4">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right="0" w:rightChars="0"/>
        <w:jc w:val="left"/>
        <w:textAlignment w:val="auto"/>
        <w:outlineLvl w:val="9"/>
        <w:rPr>
          <w:rFonts w:hint="default" w:ascii="Times New Roman" w:hAnsi="Times New Roman" w:eastAsia="宋体" w:cs="Times New Roman"/>
          <w:szCs w:val="28"/>
        </w:rPr>
      </w:pPr>
    </w:p>
    <w:p w14:paraId="6CA563C4">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right="0" w:rightChars="0"/>
        <w:jc w:val="left"/>
        <w:textAlignment w:val="auto"/>
        <w:outlineLvl w:val="9"/>
        <w:rPr>
          <w:rFonts w:hint="default" w:ascii="Times New Roman" w:hAnsi="Times New Roman" w:eastAsia="宋体" w:cs="Times New Roman"/>
          <w:sz w:val="28"/>
          <w:szCs w:val="28"/>
        </w:rPr>
      </w:pPr>
      <w:r>
        <w:rPr>
          <w:rFonts w:hint="default" w:ascii="Times New Roman" w:hAnsi="Times New Roman" w:eastAsia="宋体" w:cs="Times New Roman"/>
          <w:szCs w:val="28"/>
        </w:rPr>
        <w:br w:type="page"/>
      </w:r>
      <w:bookmarkStart w:id="3" w:name="_Toc71620962"/>
      <w:r>
        <w:rPr>
          <w:rFonts w:hint="default" w:ascii="Times New Roman" w:hAnsi="Times New Roman" w:eastAsia="方正仿宋_GBK" w:cs="Times New Roman"/>
          <w:sz w:val="28"/>
          <w:szCs w:val="28"/>
          <w:lang w:val="en-US" w:eastAsia="zh-CN"/>
        </w:rPr>
        <w:t>附件2</w:t>
      </w:r>
      <w:r>
        <w:rPr>
          <w:rFonts w:hint="eastAsia" w:ascii="Times New Roman" w:hAnsi="Times New Roman" w:eastAsia="方正仿宋_GBK" w:cs="Times New Roman"/>
          <w:sz w:val="28"/>
          <w:szCs w:val="28"/>
          <w:lang w:val="en-US" w:eastAsia="zh-CN"/>
        </w:rPr>
        <w:t xml:space="preserve">   </w:t>
      </w:r>
      <w:bookmarkEnd w:id="2"/>
      <w:bookmarkEnd w:id="3"/>
      <w:bookmarkStart w:id="4" w:name="_Toc12368126"/>
      <w:r>
        <w:rPr>
          <w:rFonts w:hint="default" w:ascii="Times New Roman" w:hAnsi="Times New Roman" w:eastAsia="方正仿宋_GBK" w:cs="Times New Roman"/>
          <w:sz w:val="28"/>
          <w:szCs w:val="28"/>
          <w:lang w:val="en-US" w:eastAsia="zh-CN"/>
        </w:rPr>
        <w:t>石家庄市栾城区</w:t>
      </w:r>
      <w:r>
        <w:rPr>
          <w:rFonts w:hint="eastAsia" w:ascii="Times New Roman" w:hAnsi="Times New Roman" w:eastAsia="方正仿宋_GBK" w:cs="Times New Roman"/>
          <w:sz w:val="28"/>
          <w:szCs w:val="28"/>
          <w:lang w:val="en-US" w:eastAsia="zh-CN"/>
        </w:rPr>
        <w:t>城区</w:t>
      </w:r>
      <w:r>
        <w:rPr>
          <w:rFonts w:hint="default" w:ascii="Times New Roman" w:hAnsi="Times New Roman" w:eastAsia="方正仿宋_GBK" w:cs="Times New Roman"/>
          <w:sz w:val="28"/>
          <w:szCs w:val="28"/>
          <w:lang w:val="en-US" w:eastAsia="zh-CN"/>
        </w:rPr>
        <w:t>土地级别与基准地价</w:t>
      </w:r>
      <w:r>
        <w:rPr>
          <w:rFonts w:hint="eastAsia" w:ascii="Times New Roman" w:hAnsi="Times New Roman" w:eastAsia="方正仿宋_GBK" w:cs="Times New Roman"/>
          <w:sz w:val="28"/>
          <w:szCs w:val="28"/>
          <w:lang w:val="en-US" w:eastAsia="zh-CN"/>
        </w:rPr>
        <w:t>表</w:t>
      </w:r>
    </w:p>
    <w:bookmarkEnd w:id="4"/>
    <w:p w14:paraId="6A84EB37">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right="0" w:rightChars="0"/>
        <w:jc w:val="center"/>
        <w:textAlignment w:val="auto"/>
        <w:outlineLvl w:val="9"/>
        <w:rPr>
          <w:rFonts w:hint="default" w:ascii="Times New Roman" w:hAnsi="Times New Roman" w:eastAsia="方正仿宋_GBK" w:cs="Times New Roman"/>
          <w:sz w:val="24"/>
          <w:szCs w:val="24"/>
          <w:lang w:val="en-US" w:eastAsia="zh-CN"/>
        </w:rPr>
      </w:pPr>
      <w:r>
        <w:rPr>
          <w:rFonts w:hint="default" w:ascii="Times New Roman" w:hAnsi="Times New Roman" w:eastAsia="方正仿宋_GBK" w:cs="Times New Roman"/>
          <w:sz w:val="24"/>
          <w:szCs w:val="24"/>
          <w:lang w:val="en-US" w:eastAsia="zh-CN"/>
        </w:rPr>
        <w:t>石家庄市栾城区</w:t>
      </w:r>
      <w:r>
        <w:rPr>
          <w:rFonts w:hint="eastAsia" w:ascii="Times New Roman" w:hAnsi="Times New Roman" w:eastAsia="方正仿宋_GBK" w:cs="Times New Roman"/>
          <w:sz w:val="24"/>
          <w:szCs w:val="24"/>
          <w:lang w:val="en-US" w:eastAsia="zh-CN"/>
        </w:rPr>
        <w:t>城区</w:t>
      </w:r>
      <w:r>
        <w:rPr>
          <w:rFonts w:hint="default" w:ascii="Times New Roman" w:hAnsi="Times New Roman" w:eastAsia="方正仿宋_GBK" w:cs="Times New Roman"/>
          <w:sz w:val="24"/>
          <w:szCs w:val="24"/>
          <w:lang w:val="en-US" w:eastAsia="zh-CN"/>
        </w:rPr>
        <w:t>土地级别与基准地价表</w:t>
      </w:r>
    </w:p>
    <w:p w14:paraId="4040B93C">
      <w:pPr>
        <w:spacing w:line="240" w:lineRule="auto"/>
        <w:ind w:firstLine="360"/>
        <w:jc w:val="right"/>
        <w:rPr>
          <w:rStyle w:val="30"/>
          <w:rFonts w:hint="default" w:ascii="Times New Roman" w:hAnsi="Times New Roman" w:cs="Times New Roman"/>
        </w:rPr>
      </w:pPr>
      <w:r>
        <w:rPr>
          <w:rStyle w:val="30"/>
          <w:rFonts w:hint="default" w:ascii="Times New Roman" w:hAnsi="Times New Roman" w:cs="Times New Roman"/>
        </w:rPr>
        <w:t>单位：元/㎡；万元/亩</w:t>
      </w:r>
    </w:p>
    <w:tbl>
      <w:tblPr>
        <w:tblStyle w:val="25"/>
        <w:tblW w:w="5285" w:type="pct"/>
        <w:tblInd w:w="0" w:type="dxa"/>
        <w:tblLayout w:type="autofit"/>
        <w:tblCellMar>
          <w:top w:w="0" w:type="dxa"/>
          <w:left w:w="0" w:type="dxa"/>
          <w:bottom w:w="0" w:type="dxa"/>
          <w:right w:w="0" w:type="dxa"/>
        </w:tblCellMar>
      </w:tblPr>
      <w:tblGrid>
        <w:gridCol w:w="767"/>
        <w:gridCol w:w="792"/>
        <w:gridCol w:w="1287"/>
        <w:gridCol w:w="1584"/>
        <w:gridCol w:w="1584"/>
        <w:gridCol w:w="1578"/>
        <w:gridCol w:w="1676"/>
      </w:tblGrid>
      <w:tr w14:paraId="660616CF">
        <w:tblPrEx>
          <w:tblCellMar>
            <w:top w:w="0" w:type="dxa"/>
            <w:left w:w="0" w:type="dxa"/>
            <w:bottom w:w="0" w:type="dxa"/>
            <w:right w:w="0" w:type="dxa"/>
          </w:tblCellMar>
        </w:tblPrEx>
        <w:trPr>
          <w:trHeight w:val="1085" w:hRule="atLeast"/>
        </w:trPr>
        <w:tc>
          <w:tcPr>
            <w:tcW w:w="1535" w:type="pct"/>
            <w:gridSpan w:val="3"/>
            <w:tcBorders>
              <w:top w:val="single" w:color="auto" w:sz="4" w:space="0"/>
              <w:left w:val="single" w:color="auto" w:sz="4" w:space="0"/>
              <w:bottom w:val="single" w:color="auto" w:sz="4" w:space="0"/>
              <w:right w:val="single" w:color="auto" w:sz="4" w:space="0"/>
            </w:tcBorders>
            <w:noWrap w:val="0"/>
            <w:vAlign w:val="center"/>
          </w:tcPr>
          <w:p w14:paraId="32247CDB">
            <w:pPr>
              <w:widowControl/>
              <w:autoSpaceDE/>
              <w:autoSpaceDN/>
              <w:jc w:val="center"/>
              <w:rPr>
                <w:rFonts w:hAnsi="宋体" w:cs="宋体"/>
                <w:color w:val="auto"/>
                <w:sz w:val="24"/>
                <w:szCs w:val="24"/>
                <w:lang w:eastAsia="zh-CN"/>
              </w:rPr>
            </w:pPr>
            <w:r>
              <w:rPr>
                <w:rFonts w:hint="eastAsia" w:hAnsi="宋体" w:cs="宋体"/>
                <w:color w:val="auto"/>
                <w:sz w:val="24"/>
                <w:szCs w:val="24"/>
                <w:lang w:eastAsia="zh-CN"/>
              </w:rPr>
              <w:t>土地级别</w:t>
            </w:r>
          </w:p>
        </w:tc>
        <w:tc>
          <w:tcPr>
            <w:tcW w:w="854" w:type="pct"/>
            <w:tcBorders>
              <w:top w:val="single" w:color="auto" w:sz="4" w:space="0"/>
              <w:left w:val="nil"/>
              <w:bottom w:val="single" w:color="auto" w:sz="4" w:space="0"/>
              <w:right w:val="single" w:color="auto" w:sz="4" w:space="0"/>
            </w:tcBorders>
            <w:noWrap w:val="0"/>
            <w:vAlign w:val="center"/>
          </w:tcPr>
          <w:p w14:paraId="75431A64">
            <w:pPr>
              <w:widowControl/>
              <w:autoSpaceDE/>
              <w:autoSpaceDN/>
              <w:jc w:val="center"/>
              <w:rPr>
                <w:rFonts w:hAnsi="宋体" w:cs="宋体"/>
                <w:color w:val="auto"/>
                <w:sz w:val="24"/>
                <w:szCs w:val="24"/>
                <w:lang w:eastAsia="zh-CN"/>
              </w:rPr>
            </w:pPr>
            <w:r>
              <w:rPr>
                <w:rFonts w:hint="eastAsia" w:hAnsi="宋体" w:cs="宋体"/>
                <w:color w:val="auto"/>
                <w:sz w:val="24"/>
                <w:szCs w:val="24"/>
                <w:lang w:eastAsia="zh-CN"/>
              </w:rPr>
              <w:t>I</w:t>
            </w:r>
          </w:p>
        </w:tc>
        <w:tc>
          <w:tcPr>
            <w:tcW w:w="854" w:type="pct"/>
            <w:tcBorders>
              <w:top w:val="single" w:color="auto" w:sz="4" w:space="0"/>
              <w:left w:val="nil"/>
              <w:bottom w:val="single" w:color="auto" w:sz="4" w:space="0"/>
              <w:right w:val="single" w:color="auto" w:sz="4" w:space="0"/>
            </w:tcBorders>
            <w:noWrap w:val="0"/>
            <w:vAlign w:val="center"/>
          </w:tcPr>
          <w:p w14:paraId="42A0AF12">
            <w:pPr>
              <w:widowControl/>
              <w:autoSpaceDE/>
              <w:autoSpaceDN/>
              <w:jc w:val="center"/>
              <w:rPr>
                <w:rFonts w:hAnsi="宋体" w:cs="宋体"/>
                <w:color w:val="auto"/>
                <w:sz w:val="24"/>
                <w:szCs w:val="24"/>
                <w:lang w:eastAsia="zh-CN"/>
              </w:rPr>
            </w:pPr>
            <w:r>
              <w:rPr>
                <w:rFonts w:hint="eastAsia" w:hAnsi="宋体" w:cs="宋体"/>
                <w:color w:val="auto"/>
                <w:sz w:val="24"/>
                <w:szCs w:val="24"/>
                <w:lang w:eastAsia="zh-CN"/>
              </w:rPr>
              <w:t>Ⅱ</w:t>
            </w:r>
          </w:p>
        </w:tc>
        <w:tc>
          <w:tcPr>
            <w:tcW w:w="851" w:type="pct"/>
            <w:tcBorders>
              <w:top w:val="single" w:color="auto" w:sz="4" w:space="0"/>
              <w:left w:val="nil"/>
              <w:bottom w:val="single" w:color="auto" w:sz="4" w:space="0"/>
              <w:right w:val="single" w:color="auto" w:sz="4" w:space="0"/>
            </w:tcBorders>
            <w:noWrap w:val="0"/>
            <w:vAlign w:val="center"/>
          </w:tcPr>
          <w:p w14:paraId="2DD8E32C">
            <w:pPr>
              <w:widowControl/>
              <w:autoSpaceDE/>
              <w:autoSpaceDN/>
              <w:jc w:val="center"/>
              <w:rPr>
                <w:rFonts w:hAnsi="宋体" w:cs="宋体"/>
                <w:color w:val="auto"/>
                <w:sz w:val="24"/>
                <w:szCs w:val="24"/>
                <w:lang w:eastAsia="zh-CN"/>
              </w:rPr>
            </w:pPr>
            <w:r>
              <w:rPr>
                <w:rFonts w:hint="eastAsia" w:hAnsi="宋体" w:cs="宋体"/>
                <w:color w:val="auto"/>
                <w:sz w:val="24"/>
                <w:szCs w:val="24"/>
                <w:lang w:eastAsia="zh-CN"/>
              </w:rPr>
              <w:t>Ⅲ</w:t>
            </w:r>
          </w:p>
        </w:tc>
        <w:tc>
          <w:tcPr>
            <w:tcW w:w="904" w:type="pct"/>
            <w:tcBorders>
              <w:top w:val="single" w:color="auto" w:sz="4" w:space="0"/>
              <w:left w:val="nil"/>
              <w:bottom w:val="single" w:color="auto" w:sz="4" w:space="0"/>
              <w:right w:val="single" w:color="auto" w:sz="4" w:space="0"/>
            </w:tcBorders>
            <w:noWrap w:val="0"/>
            <w:vAlign w:val="center"/>
          </w:tcPr>
          <w:p w14:paraId="2B237071">
            <w:pPr>
              <w:widowControl/>
              <w:autoSpaceDE/>
              <w:autoSpaceDN/>
              <w:jc w:val="center"/>
              <w:rPr>
                <w:rFonts w:hAnsi="宋体" w:cs="宋体"/>
                <w:color w:val="auto"/>
                <w:sz w:val="24"/>
                <w:szCs w:val="24"/>
                <w:lang w:eastAsia="zh-CN"/>
              </w:rPr>
            </w:pPr>
            <w:r>
              <w:rPr>
                <w:rFonts w:hint="eastAsia" w:hAnsi="宋体" w:cs="宋体"/>
                <w:color w:val="auto"/>
                <w:sz w:val="24"/>
                <w:szCs w:val="24"/>
                <w:lang w:eastAsia="zh-CN"/>
              </w:rPr>
              <w:t>Ⅳ</w:t>
            </w:r>
          </w:p>
        </w:tc>
      </w:tr>
      <w:tr w14:paraId="1A7BB60C">
        <w:tblPrEx>
          <w:tblCellMar>
            <w:top w:w="0" w:type="dxa"/>
            <w:left w:w="0" w:type="dxa"/>
            <w:bottom w:w="0" w:type="dxa"/>
            <w:right w:w="0" w:type="dxa"/>
          </w:tblCellMar>
        </w:tblPrEx>
        <w:trPr>
          <w:trHeight w:val="1085" w:hRule="atLeast"/>
        </w:trPr>
        <w:tc>
          <w:tcPr>
            <w:tcW w:w="414" w:type="pct"/>
            <w:vMerge w:val="restart"/>
            <w:tcBorders>
              <w:top w:val="nil"/>
              <w:left w:val="single" w:color="auto" w:sz="4" w:space="0"/>
              <w:bottom w:val="single" w:color="000000" w:sz="4" w:space="0"/>
              <w:right w:val="single" w:color="auto" w:sz="4" w:space="0"/>
            </w:tcBorders>
            <w:noWrap w:val="0"/>
            <w:vAlign w:val="center"/>
          </w:tcPr>
          <w:p w14:paraId="4CA6A254">
            <w:pPr>
              <w:widowControl/>
              <w:autoSpaceDE/>
              <w:autoSpaceDN/>
              <w:jc w:val="center"/>
              <w:rPr>
                <w:rFonts w:hint="eastAsia" w:hAnsi="宋体" w:cs="宋体"/>
                <w:color w:val="auto"/>
                <w:sz w:val="24"/>
                <w:szCs w:val="24"/>
                <w:lang w:eastAsia="zh-CN"/>
              </w:rPr>
            </w:pPr>
            <w:r>
              <w:rPr>
                <w:rFonts w:hint="eastAsia" w:hAnsi="宋体" w:cs="宋体"/>
                <w:color w:val="auto"/>
                <w:sz w:val="24"/>
                <w:szCs w:val="24"/>
                <w:lang w:eastAsia="zh-CN"/>
              </w:rPr>
              <w:t>商服</w:t>
            </w:r>
          </w:p>
          <w:p w14:paraId="0BCE0F1F">
            <w:pPr>
              <w:widowControl/>
              <w:autoSpaceDE/>
              <w:autoSpaceDN/>
              <w:jc w:val="center"/>
              <w:rPr>
                <w:rFonts w:hAnsi="宋体" w:cs="宋体"/>
                <w:color w:val="auto"/>
                <w:sz w:val="24"/>
                <w:szCs w:val="24"/>
                <w:lang w:eastAsia="zh-CN"/>
              </w:rPr>
            </w:pPr>
            <w:r>
              <w:rPr>
                <w:rFonts w:hint="eastAsia" w:hAnsi="宋体" w:cs="宋体"/>
                <w:color w:val="auto"/>
                <w:sz w:val="24"/>
                <w:szCs w:val="24"/>
                <w:lang w:eastAsia="zh-CN"/>
              </w:rPr>
              <w:t>用地</w:t>
            </w:r>
          </w:p>
        </w:tc>
        <w:tc>
          <w:tcPr>
            <w:tcW w:w="427" w:type="pct"/>
            <w:vMerge w:val="restart"/>
            <w:tcBorders>
              <w:top w:val="nil"/>
              <w:left w:val="single" w:color="auto" w:sz="4" w:space="0"/>
              <w:bottom w:val="single" w:color="auto" w:sz="4" w:space="0"/>
              <w:right w:val="single" w:color="auto" w:sz="4" w:space="0"/>
            </w:tcBorders>
            <w:noWrap w:val="0"/>
            <w:vAlign w:val="center"/>
          </w:tcPr>
          <w:p w14:paraId="277478EE">
            <w:pPr>
              <w:widowControl/>
              <w:autoSpaceDE/>
              <w:autoSpaceDN/>
              <w:jc w:val="center"/>
              <w:rPr>
                <w:rFonts w:hint="eastAsia" w:hAnsi="宋体" w:cs="宋体"/>
                <w:color w:val="auto"/>
                <w:sz w:val="24"/>
                <w:szCs w:val="24"/>
                <w:lang w:eastAsia="zh-CN"/>
              </w:rPr>
            </w:pPr>
            <w:r>
              <w:rPr>
                <w:rFonts w:hint="eastAsia" w:hAnsi="宋体" w:cs="宋体"/>
                <w:color w:val="auto"/>
                <w:sz w:val="24"/>
                <w:szCs w:val="24"/>
                <w:lang w:eastAsia="zh-CN"/>
              </w:rPr>
              <w:t>基准</w:t>
            </w:r>
          </w:p>
          <w:p w14:paraId="6794AF12">
            <w:pPr>
              <w:widowControl/>
              <w:autoSpaceDE/>
              <w:autoSpaceDN/>
              <w:jc w:val="center"/>
              <w:rPr>
                <w:rFonts w:hAnsi="宋体" w:cs="宋体"/>
                <w:color w:val="auto"/>
                <w:sz w:val="24"/>
                <w:szCs w:val="24"/>
                <w:lang w:eastAsia="zh-CN"/>
              </w:rPr>
            </w:pPr>
            <w:r>
              <w:rPr>
                <w:rFonts w:hint="eastAsia" w:hAnsi="宋体" w:cs="宋体"/>
                <w:color w:val="auto"/>
                <w:sz w:val="24"/>
                <w:szCs w:val="24"/>
                <w:lang w:eastAsia="zh-CN"/>
              </w:rPr>
              <w:t>地价</w:t>
            </w:r>
          </w:p>
        </w:tc>
        <w:tc>
          <w:tcPr>
            <w:tcW w:w="692" w:type="pct"/>
            <w:tcBorders>
              <w:top w:val="nil"/>
              <w:left w:val="nil"/>
              <w:bottom w:val="single" w:color="auto" w:sz="4" w:space="0"/>
              <w:right w:val="single" w:color="auto" w:sz="4" w:space="0"/>
            </w:tcBorders>
            <w:noWrap w:val="0"/>
            <w:vAlign w:val="center"/>
          </w:tcPr>
          <w:p w14:paraId="3A148F06">
            <w:pPr>
              <w:widowControl/>
              <w:autoSpaceDE/>
              <w:autoSpaceDN/>
              <w:jc w:val="center"/>
              <w:rPr>
                <w:rFonts w:hAnsi="宋体" w:cs="宋体"/>
                <w:color w:val="auto"/>
                <w:sz w:val="24"/>
                <w:szCs w:val="24"/>
                <w:lang w:eastAsia="zh-CN"/>
              </w:rPr>
            </w:pPr>
            <w:r>
              <w:rPr>
                <w:rFonts w:hint="eastAsia" w:hAnsi="宋体" w:cs="宋体"/>
                <w:color w:val="auto"/>
                <w:sz w:val="24"/>
                <w:szCs w:val="24"/>
                <w:lang w:eastAsia="zh-CN"/>
              </w:rPr>
              <w:t>元/m</w:t>
            </w:r>
            <w:r>
              <w:rPr>
                <w:rFonts w:hint="eastAsia" w:hAnsi="宋体" w:cs="宋体"/>
                <w:color w:val="auto"/>
                <w:sz w:val="24"/>
                <w:szCs w:val="24"/>
                <w:vertAlign w:val="superscript"/>
                <w:lang w:eastAsia="zh-CN"/>
              </w:rPr>
              <w:t>2</w:t>
            </w:r>
          </w:p>
        </w:tc>
        <w:tc>
          <w:tcPr>
            <w:tcW w:w="854" w:type="pct"/>
            <w:tcBorders>
              <w:top w:val="nil"/>
              <w:left w:val="nil"/>
              <w:bottom w:val="single" w:color="auto" w:sz="4" w:space="0"/>
              <w:right w:val="single" w:color="auto" w:sz="4" w:space="0"/>
            </w:tcBorders>
            <w:noWrap w:val="0"/>
            <w:vAlign w:val="center"/>
          </w:tcPr>
          <w:p w14:paraId="36517DAE">
            <w:pPr>
              <w:widowControl/>
              <w:autoSpaceDE/>
              <w:autoSpaceDN/>
              <w:jc w:val="center"/>
              <w:rPr>
                <w:rFonts w:hint="default" w:ascii="Times New Roman" w:hAnsi="Times New Roman" w:cs="Times New Roman"/>
                <w:color w:val="auto"/>
                <w:sz w:val="24"/>
                <w:szCs w:val="24"/>
                <w:lang w:val="en-US" w:eastAsia="zh-CN"/>
              </w:rPr>
            </w:pPr>
            <w:r>
              <w:rPr>
                <w:rFonts w:hint="eastAsia" w:ascii="Times New Roman" w:hAnsi="Times New Roman" w:cs="Times New Roman"/>
                <w:color w:val="auto"/>
                <w:sz w:val="24"/>
                <w:szCs w:val="24"/>
                <w:lang w:val="en-US" w:eastAsia="zh-CN"/>
              </w:rPr>
              <w:t>1500</w:t>
            </w:r>
          </w:p>
        </w:tc>
        <w:tc>
          <w:tcPr>
            <w:tcW w:w="854" w:type="pct"/>
            <w:tcBorders>
              <w:top w:val="nil"/>
              <w:left w:val="nil"/>
              <w:bottom w:val="single" w:color="auto" w:sz="4" w:space="0"/>
              <w:right w:val="single" w:color="auto" w:sz="4" w:space="0"/>
            </w:tcBorders>
            <w:noWrap w:val="0"/>
            <w:vAlign w:val="center"/>
          </w:tcPr>
          <w:p w14:paraId="27E8E2AC">
            <w:pPr>
              <w:widowControl/>
              <w:autoSpaceDE/>
              <w:autoSpaceDN/>
              <w:jc w:val="center"/>
              <w:rPr>
                <w:rFonts w:ascii="Times New Roman" w:hAnsi="Times New Roman" w:cs="Times New Roman"/>
                <w:color w:val="auto"/>
                <w:sz w:val="24"/>
                <w:szCs w:val="24"/>
                <w:lang w:eastAsia="zh-CN"/>
              </w:rPr>
            </w:pPr>
            <w:r>
              <w:rPr>
                <w:rFonts w:ascii="Times New Roman" w:hAnsi="Times New Roman" w:cs="Times New Roman"/>
                <w:color w:val="auto"/>
                <w:sz w:val="24"/>
                <w:szCs w:val="24"/>
                <w:lang w:eastAsia="zh-CN"/>
              </w:rPr>
              <w:t>1350</w:t>
            </w:r>
          </w:p>
        </w:tc>
        <w:tc>
          <w:tcPr>
            <w:tcW w:w="851" w:type="pct"/>
            <w:tcBorders>
              <w:top w:val="nil"/>
              <w:left w:val="nil"/>
              <w:bottom w:val="single" w:color="auto" w:sz="4" w:space="0"/>
              <w:right w:val="single" w:color="auto" w:sz="4" w:space="0"/>
            </w:tcBorders>
            <w:noWrap w:val="0"/>
            <w:vAlign w:val="center"/>
          </w:tcPr>
          <w:p w14:paraId="042FB54A">
            <w:pPr>
              <w:widowControl/>
              <w:autoSpaceDE/>
              <w:autoSpaceDN/>
              <w:jc w:val="center"/>
              <w:rPr>
                <w:rFonts w:ascii="Times New Roman" w:hAnsi="Times New Roman" w:cs="Times New Roman"/>
                <w:color w:val="auto"/>
                <w:sz w:val="24"/>
                <w:szCs w:val="24"/>
                <w:lang w:eastAsia="zh-CN"/>
              </w:rPr>
            </w:pPr>
            <w:r>
              <w:rPr>
                <w:rFonts w:ascii="Times New Roman" w:hAnsi="Times New Roman" w:cs="Times New Roman"/>
                <w:color w:val="auto"/>
                <w:sz w:val="24"/>
                <w:szCs w:val="24"/>
                <w:lang w:eastAsia="zh-CN"/>
              </w:rPr>
              <w:t>1050</w:t>
            </w:r>
          </w:p>
        </w:tc>
        <w:tc>
          <w:tcPr>
            <w:tcW w:w="904" w:type="pct"/>
            <w:tcBorders>
              <w:top w:val="nil"/>
              <w:left w:val="nil"/>
              <w:bottom w:val="single" w:color="auto" w:sz="4" w:space="0"/>
              <w:right w:val="single" w:color="auto" w:sz="4" w:space="0"/>
            </w:tcBorders>
            <w:noWrap w:val="0"/>
            <w:vAlign w:val="center"/>
          </w:tcPr>
          <w:p w14:paraId="13092FC6">
            <w:pPr>
              <w:widowControl/>
              <w:autoSpaceDE/>
              <w:autoSpaceDN/>
              <w:jc w:val="center"/>
              <w:rPr>
                <w:rFonts w:ascii="Times New Roman" w:hAnsi="Times New Roman" w:cs="Times New Roman"/>
                <w:color w:val="auto"/>
                <w:sz w:val="24"/>
                <w:szCs w:val="24"/>
                <w:lang w:eastAsia="zh-CN"/>
              </w:rPr>
            </w:pPr>
            <w:r>
              <w:rPr>
                <w:rFonts w:ascii="Times New Roman" w:hAnsi="Times New Roman" w:cs="Times New Roman"/>
                <w:color w:val="auto"/>
                <w:sz w:val="24"/>
                <w:szCs w:val="24"/>
                <w:lang w:eastAsia="zh-CN"/>
              </w:rPr>
              <w:t>900</w:t>
            </w:r>
          </w:p>
        </w:tc>
      </w:tr>
      <w:tr w14:paraId="17F2A5C7">
        <w:tblPrEx>
          <w:tblCellMar>
            <w:top w:w="0" w:type="dxa"/>
            <w:left w:w="0" w:type="dxa"/>
            <w:bottom w:w="0" w:type="dxa"/>
            <w:right w:w="0" w:type="dxa"/>
          </w:tblCellMar>
        </w:tblPrEx>
        <w:trPr>
          <w:trHeight w:val="1085" w:hRule="atLeast"/>
        </w:trPr>
        <w:tc>
          <w:tcPr>
            <w:tcW w:w="414" w:type="pct"/>
            <w:vMerge w:val="continue"/>
            <w:tcBorders>
              <w:top w:val="nil"/>
              <w:left w:val="single" w:color="auto" w:sz="4" w:space="0"/>
              <w:bottom w:val="single" w:color="000000" w:sz="4" w:space="0"/>
              <w:right w:val="single" w:color="auto" w:sz="4" w:space="0"/>
            </w:tcBorders>
            <w:noWrap w:val="0"/>
            <w:vAlign w:val="center"/>
          </w:tcPr>
          <w:p w14:paraId="014A7E1F">
            <w:pPr>
              <w:widowControl/>
              <w:autoSpaceDE/>
              <w:autoSpaceDN/>
              <w:rPr>
                <w:rFonts w:hAnsi="宋体" w:cs="宋体"/>
                <w:color w:val="auto"/>
                <w:sz w:val="24"/>
                <w:szCs w:val="24"/>
                <w:lang w:eastAsia="zh-CN"/>
              </w:rPr>
            </w:pPr>
          </w:p>
        </w:tc>
        <w:tc>
          <w:tcPr>
            <w:tcW w:w="427" w:type="pct"/>
            <w:vMerge w:val="continue"/>
            <w:tcBorders>
              <w:top w:val="nil"/>
              <w:left w:val="single" w:color="auto" w:sz="4" w:space="0"/>
              <w:bottom w:val="single" w:color="auto" w:sz="4" w:space="0"/>
              <w:right w:val="single" w:color="auto" w:sz="4" w:space="0"/>
            </w:tcBorders>
            <w:noWrap w:val="0"/>
            <w:vAlign w:val="center"/>
          </w:tcPr>
          <w:p w14:paraId="30349FEB">
            <w:pPr>
              <w:widowControl/>
              <w:autoSpaceDE/>
              <w:autoSpaceDN/>
              <w:rPr>
                <w:rFonts w:hAnsi="宋体" w:cs="宋体"/>
                <w:color w:val="auto"/>
                <w:sz w:val="24"/>
                <w:szCs w:val="24"/>
                <w:lang w:eastAsia="zh-CN"/>
              </w:rPr>
            </w:pPr>
          </w:p>
        </w:tc>
        <w:tc>
          <w:tcPr>
            <w:tcW w:w="692" w:type="pct"/>
            <w:tcBorders>
              <w:top w:val="nil"/>
              <w:left w:val="nil"/>
              <w:bottom w:val="single" w:color="auto" w:sz="4" w:space="0"/>
              <w:right w:val="single" w:color="auto" w:sz="4" w:space="0"/>
            </w:tcBorders>
            <w:noWrap w:val="0"/>
            <w:vAlign w:val="center"/>
          </w:tcPr>
          <w:p w14:paraId="057068DD">
            <w:pPr>
              <w:widowControl/>
              <w:autoSpaceDE/>
              <w:autoSpaceDN/>
              <w:jc w:val="center"/>
              <w:rPr>
                <w:rFonts w:hAnsi="宋体" w:cs="宋体"/>
                <w:color w:val="auto"/>
                <w:sz w:val="24"/>
                <w:szCs w:val="24"/>
                <w:lang w:eastAsia="zh-CN"/>
              </w:rPr>
            </w:pPr>
            <w:r>
              <w:rPr>
                <w:rFonts w:hint="eastAsia" w:hAnsi="宋体" w:cs="宋体"/>
                <w:color w:val="auto"/>
                <w:sz w:val="24"/>
                <w:szCs w:val="24"/>
                <w:lang w:eastAsia="zh-CN"/>
              </w:rPr>
              <w:t>万元/亩</w:t>
            </w:r>
          </w:p>
        </w:tc>
        <w:tc>
          <w:tcPr>
            <w:tcW w:w="854" w:type="pct"/>
            <w:tcBorders>
              <w:top w:val="nil"/>
              <w:left w:val="nil"/>
              <w:bottom w:val="single" w:color="auto" w:sz="4" w:space="0"/>
              <w:right w:val="single" w:color="auto" w:sz="4" w:space="0"/>
            </w:tcBorders>
            <w:noWrap w:val="0"/>
            <w:vAlign w:val="center"/>
          </w:tcPr>
          <w:p w14:paraId="3378524D">
            <w:pPr>
              <w:widowControl/>
              <w:autoSpaceDE/>
              <w:autoSpaceDN/>
              <w:jc w:val="center"/>
              <w:rPr>
                <w:rFonts w:hint="default" w:ascii="Times New Roman" w:hAnsi="Times New Roman" w:cs="Times New Roman"/>
                <w:color w:val="auto"/>
                <w:sz w:val="24"/>
                <w:szCs w:val="24"/>
                <w:lang w:val="en-US" w:eastAsia="zh-CN"/>
              </w:rPr>
            </w:pPr>
            <w:r>
              <w:rPr>
                <w:rFonts w:ascii="Times New Roman" w:hAnsi="Times New Roman" w:cs="Times New Roman"/>
                <w:color w:val="auto"/>
                <w:sz w:val="24"/>
                <w:szCs w:val="24"/>
                <w:lang w:eastAsia="zh-CN"/>
              </w:rPr>
              <w:t>1</w:t>
            </w:r>
            <w:r>
              <w:rPr>
                <w:rFonts w:hint="eastAsia" w:ascii="Times New Roman" w:hAnsi="Times New Roman" w:cs="Times New Roman"/>
                <w:color w:val="auto"/>
                <w:sz w:val="24"/>
                <w:szCs w:val="24"/>
                <w:lang w:val="en-US" w:eastAsia="zh-CN"/>
              </w:rPr>
              <w:t>00</w:t>
            </w:r>
          </w:p>
        </w:tc>
        <w:tc>
          <w:tcPr>
            <w:tcW w:w="854" w:type="pct"/>
            <w:tcBorders>
              <w:top w:val="nil"/>
              <w:left w:val="nil"/>
              <w:bottom w:val="single" w:color="auto" w:sz="4" w:space="0"/>
              <w:right w:val="single" w:color="auto" w:sz="4" w:space="0"/>
            </w:tcBorders>
            <w:noWrap w:val="0"/>
            <w:vAlign w:val="center"/>
          </w:tcPr>
          <w:p w14:paraId="180425C2">
            <w:pPr>
              <w:widowControl/>
              <w:autoSpaceDE/>
              <w:autoSpaceDN/>
              <w:jc w:val="center"/>
              <w:rPr>
                <w:rFonts w:ascii="Times New Roman" w:hAnsi="Times New Roman" w:cs="Times New Roman"/>
                <w:color w:val="auto"/>
                <w:sz w:val="24"/>
                <w:szCs w:val="24"/>
                <w:lang w:eastAsia="zh-CN"/>
              </w:rPr>
            </w:pPr>
            <w:r>
              <w:rPr>
                <w:rFonts w:ascii="Times New Roman" w:hAnsi="Times New Roman" w:cs="Times New Roman"/>
                <w:color w:val="auto"/>
                <w:sz w:val="24"/>
                <w:szCs w:val="24"/>
                <w:lang w:eastAsia="zh-CN"/>
              </w:rPr>
              <w:t>90</w:t>
            </w:r>
          </w:p>
        </w:tc>
        <w:tc>
          <w:tcPr>
            <w:tcW w:w="851" w:type="pct"/>
            <w:tcBorders>
              <w:top w:val="nil"/>
              <w:left w:val="nil"/>
              <w:bottom w:val="single" w:color="auto" w:sz="4" w:space="0"/>
              <w:right w:val="single" w:color="auto" w:sz="4" w:space="0"/>
            </w:tcBorders>
            <w:noWrap w:val="0"/>
            <w:vAlign w:val="center"/>
          </w:tcPr>
          <w:p w14:paraId="1664A925">
            <w:pPr>
              <w:widowControl/>
              <w:autoSpaceDE/>
              <w:autoSpaceDN/>
              <w:jc w:val="center"/>
              <w:rPr>
                <w:rFonts w:ascii="Times New Roman" w:hAnsi="Times New Roman" w:cs="Times New Roman"/>
                <w:color w:val="auto"/>
                <w:sz w:val="24"/>
                <w:szCs w:val="24"/>
                <w:lang w:eastAsia="zh-CN"/>
              </w:rPr>
            </w:pPr>
            <w:r>
              <w:rPr>
                <w:rFonts w:ascii="Times New Roman" w:hAnsi="Times New Roman" w:cs="Times New Roman"/>
                <w:color w:val="auto"/>
                <w:sz w:val="24"/>
                <w:szCs w:val="24"/>
                <w:lang w:eastAsia="zh-CN"/>
              </w:rPr>
              <w:t>70</w:t>
            </w:r>
          </w:p>
        </w:tc>
        <w:tc>
          <w:tcPr>
            <w:tcW w:w="904" w:type="pct"/>
            <w:tcBorders>
              <w:top w:val="nil"/>
              <w:left w:val="nil"/>
              <w:bottom w:val="single" w:color="auto" w:sz="4" w:space="0"/>
              <w:right w:val="single" w:color="auto" w:sz="4" w:space="0"/>
            </w:tcBorders>
            <w:noWrap w:val="0"/>
            <w:vAlign w:val="center"/>
          </w:tcPr>
          <w:p w14:paraId="432DDAE7">
            <w:pPr>
              <w:widowControl/>
              <w:autoSpaceDE/>
              <w:autoSpaceDN/>
              <w:jc w:val="center"/>
              <w:rPr>
                <w:rFonts w:ascii="Times New Roman" w:hAnsi="Times New Roman" w:cs="Times New Roman"/>
                <w:color w:val="auto"/>
                <w:sz w:val="24"/>
                <w:szCs w:val="24"/>
                <w:lang w:eastAsia="zh-CN"/>
              </w:rPr>
            </w:pPr>
            <w:r>
              <w:rPr>
                <w:rFonts w:ascii="Times New Roman" w:hAnsi="Times New Roman" w:cs="Times New Roman"/>
                <w:color w:val="auto"/>
                <w:sz w:val="24"/>
                <w:szCs w:val="24"/>
                <w:lang w:eastAsia="zh-CN"/>
              </w:rPr>
              <w:t>60</w:t>
            </w:r>
          </w:p>
        </w:tc>
      </w:tr>
      <w:tr w14:paraId="429D4BB8">
        <w:tblPrEx>
          <w:tblCellMar>
            <w:top w:w="0" w:type="dxa"/>
            <w:left w:w="0" w:type="dxa"/>
            <w:bottom w:w="0" w:type="dxa"/>
            <w:right w:w="0" w:type="dxa"/>
          </w:tblCellMar>
        </w:tblPrEx>
        <w:trPr>
          <w:trHeight w:val="1085" w:hRule="atLeast"/>
        </w:trPr>
        <w:tc>
          <w:tcPr>
            <w:tcW w:w="414" w:type="pct"/>
            <w:vMerge w:val="restart"/>
            <w:tcBorders>
              <w:top w:val="nil"/>
              <w:left w:val="single" w:color="auto" w:sz="4" w:space="0"/>
              <w:bottom w:val="single" w:color="000000" w:sz="4" w:space="0"/>
              <w:right w:val="single" w:color="auto" w:sz="4" w:space="0"/>
            </w:tcBorders>
            <w:noWrap w:val="0"/>
            <w:vAlign w:val="center"/>
          </w:tcPr>
          <w:p w14:paraId="5F521162">
            <w:pPr>
              <w:widowControl/>
              <w:autoSpaceDE/>
              <w:autoSpaceDN/>
              <w:jc w:val="center"/>
              <w:rPr>
                <w:rFonts w:hint="eastAsia" w:hAnsi="宋体" w:cs="宋体"/>
                <w:color w:val="auto"/>
                <w:sz w:val="24"/>
                <w:szCs w:val="24"/>
                <w:lang w:eastAsia="zh-CN"/>
              </w:rPr>
            </w:pPr>
            <w:r>
              <w:rPr>
                <w:rFonts w:hint="eastAsia" w:hAnsi="宋体" w:cs="宋体"/>
                <w:color w:val="auto"/>
                <w:sz w:val="24"/>
                <w:szCs w:val="24"/>
                <w:lang w:eastAsia="zh-CN"/>
              </w:rPr>
              <w:t>住宅</w:t>
            </w:r>
          </w:p>
          <w:p w14:paraId="7E146FB3">
            <w:pPr>
              <w:widowControl/>
              <w:autoSpaceDE/>
              <w:autoSpaceDN/>
              <w:jc w:val="center"/>
              <w:rPr>
                <w:rFonts w:hAnsi="宋体" w:cs="宋体"/>
                <w:color w:val="auto"/>
                <w:sz w:val="24"/>
                <w:szCs w:val="24"/>
                <w:lang w:eastAsia="zh-CN"/>
              </w:rPr>
            </w:pPr>
            <w:r>
              <w:rPr>
                <w:rFonts w:hint="eastAsia" w:hAnsi="宋体" w:cs="宋体"/>
                <w:color w:val="auto"/>
                <w:sz w:val="24"/>
                <w:szCs w:val="24"/>
                <w:lang w:eastAsia="zh-CN"/>
              </w:rPr>
              <w:t>用地</w:t>
            </w:r>
          </w:p>
        </w:tc>
        <w:tc>
          <w:tcPr>
            <w:tcW w:w="427" w:type="pct"/>
            <w:vMerge w:val="restart"/>
            <w:tcBorders>
              <w:top w:val="nil"/>
              <w:left w:val="single" w:color="auto" w:sz="4" w:space="0"/>
              <w:bottom w:val="single" w:color="auto" w:sz="4" w:space="0"/>
              <w:right w:val="single" w:color="auto" w:sz="4" w:space="0"/>
            </w:tcBorders>
            <w:noWrap w:val="0"/>
            <w:vAlign w:val="center"/>
          </w:tcPr>
          <w:p w14:paraId="6A359E16">
            <w:pPr>
              <w:widowControl/>
              <w:autoSpaceDE/>
              <w:autoSpaceDN/>
              <w:jc w:val="center"/>
              <w:rPr>
                <w:rFonts w:hint="eastAsia" w:hAnsi="宋体" w:cs="宋体"/>
                <w:color w:val="auto"/>
                <w:sz w:val="24"/>
                <w:szCs w:val="24"/>
                <w:lang w:eastAsia="zh-CN"/>
              </w:rPr>
            </w:pPr>
            <w:r>
              <w:rPr>
                <w:rFonts w:hint="eastAsia" w:hAnsi="宋体" w:cs="宋体"/>
                <w:color w:val="auto"/>
                <w:sz w:val="24"/>
                <w:szCs w:val="24"/>
                <w:lang w:eastAsia="zh-CN"/>
              </w:rPr>
              <w:t>基准</w:t>
            </w:r>
          </w:p>
          <w:p w14:paraId="1BF73AE0">
            <w:pPr>
              <w:widowControl/>
              <w:autoSpaceDE/>
              <w:autoSpaceDN/>
              <w:jc w:val="center"/>
              <w:rPr>
                <w:rFonts w:hAnsi="宋体" w:cs="宋体"/>
                <w:color w:val="auto"/>
                <w:sz w:val="24"/>
                <w:szCs w:val="24"/>
                <w:lang w:eastAsia="zh-CN"/>
              </w:rPr>
            </w:pPr>
            <w:r>
              <w:rPr>
                <w:rFonts w:hint="eastAsia" w:hAnsi="宋体" w:cs="宋体"/>
                <w:color w:val="auto"/>
                <w:sz w:val="24"/>
                <w:szCs w:val="24"/>
                <w:lang w:eastAsia="zh-CN"/>
              </w:rPr>
              <w:t>地价</w:t>
            </w:r>
          </w:p>
        </w:tc>
        <w:tc>
          <w:tcPr>
            <w:tcW w:w="692" w:type="pct"/>
            <w:tcBorders>
              <w:top w:val="nil"/>
              <w:left w:val="nil"/>
              <w:bottom w:val="single" w:color="auto" w:sz="4" w:space="0"/>
              <w:right w:val="single" w:color="auto" w:sz="4" w:space="0"/>
            </w:tcBorders>
            <w:noWrap w:val="0"/>
            <w:vAlign w:val="center"/>
          </w:tcPr>
          <w:p w14:paraId="4F9DF4FF">
            <w:pPr>
              <w:widowControl/>
              <w:autoSpaceDE/>
              <w:autoSpaceDN/>
              <w:jc w:val="center"/>
              <w:rPr>
                <w:rFonts w:hAnsi="宋体" w:cs="宋体"/>
                <w:color w:val="auto"/>
                <w:sz w:val="24"/>
                <w:szCs w:val="24"/>
                <w:lang w:eastAsia="zh-CN"/>
              </w:rPr>
            </w:pPr>
            <w:r>
              <w:rPr>
                <w:rFonts w:hint="eastAsia" w:hAnsi="宋体" w:cs="宋体"/>
                <w:color w:val="auto"/>
                <w:sz w:val="24"/>
                <w:szCs w:val="24"/>
                <w:lang w:eastAsia="zh-CN"/>
              </w:rPr>
              <w:t>元/m</w:t>
            </w:r>
            <w:r>
              <w:rPr>
                <w:rFonts w:hint="eastAsia" w:hAnsi="宋体" w:cs="宋体"/>
                <w:color w:val="auto"/>
                <w:sz w:val="24"/>
                <w:szCs w:val="24"/>
                <w:vertAlign w:val="superscript"/>
                <w:lang w:eastAsia="zh-CN"/>
              </w:rPr>
              <w:t>2</w:t>
            </w:r>
          </w:p>
        </w:tc>
        <w:tc>
          <w:tcPr>
            <w:tcW w:w="854" w:type="pct"/>
            <w:tcBorders>
              <w:top w:val="nil"/>
              <w:left w:val="nil"/>
              <w:bottom w:val="single" w:color="auto" w:sz="4" w:space="0"/>
              <w:right w:val="single" w:color="auto" w:sz="4" w:space="0"/>
            </w:tcBorders>
            <w:noWrap w:val="0"/>
            <w:vAlign w:val="center"/>
          </w:tcPr>
          <w:p w14:paraId="093933F3">
            <w:pPr>
              <w:widowControl/>
              <w:autoSpaceDE/>
              <w:autoSpaceDN/>
              <w:jc w:val="center"/>
              <w:rPr>
                <w:rFonts w:hint="default" w:ascii="Times New Roman" w:hAnsi="Times New Roman" w:cs="Times New Roman"/>
                <w:color w:val="auto"/>
                <w:sz w:val="24"/>
                <w:szCs w:val="24"/>
                <w:lang w:val="en-US" w:eastAsia="zh-CN"/>
              </w:rPr>
            </w:pPr>
            <w:r>
              <w:rPr>
                <w:rFonts w:ascii="Times New Roman" w:hAnsi="Times New Roman" w:cs="Times New Roman"/>
                <w:color w:val="auto"/>
                <w:sz w:val="24"/>
                <w:szCs w:val="24"/>
                <w:lang w:eastAsia="zh-CN"/>
              </w:rPr>
              <w:t>2</w:t>
            </w:r>
            <w:r>
              <w:rPr>
                <w:rFonts w:hint="eastAsia" w:ascii="Times New Roman" w:hAnsi="Times New Roman" w:cs="Times New Roman"/>
                <w:color w:val="auto"/>
                <w:sz w:val="24"/>
                <w:szCs w:val="24"/>
                <w:lang w:val="en-US" w:eastAsia="zh-CN"/>
              </w:rPr>
              <w:t>805</w:t>
            </w:r>
          </w:p>
        </w:tc>
        <w:tc>
          <w:tcPr>
            <w:tcW w:w="854" w:type="pct"/>
            <w:tcBorders>
              <w:top w:val="nil"/>
              <w:left w:val="nil"/>
              <w:bottom w:val="single" w:color="auto" w:sz="4" w:space="0"/>
              <w:right w:val="single" w:color="auto" w:sz="4" w:space="0"/>
            </w:tcBorders>
            <w:noWrap w:val="0"/>
            <w:vAlign w:val="center"/>
          </w:tcPr>
          <w:p w14:paraId="2580B9FA">
            <w:pPr>
              <w:widowControl/>
              <w:autoSpaceDE/>
              <w:autoSpaceDN/>
              <w:jc w:val="center"/>
              <w:rPr>
                <w:rFonts w:hint="default" w:ascii="Times New Roman" w:hAnsi="Times New Roman" w:cs="Times New Roman"/>
                <w:color w:val="auto"/>
                <w:sz w:val="24"/>
                <w:szCs w:val="24"/>
                <w:lang w:val="en-US" w:eastAsia="zh-CN"/>
              </w:rPr>
            </w:pPr>
            <w:r>
              <w:rPr>
                <w:rFonts w:hint="eastAsia" w:ascii="Times New Roman" w:hAnsi="Times New Roman" w:cs="Times New Roman"/>
                <w:color w:val="auto"/>
                <w:sz w:val="24"/>
                <w:szCs w:val="24"/>
                <w:lang w:val="en-US" w:eastAsia="zh-CN"/>
              </w:rPr>
              <w:t>2460</w:t>
            </w:r>
          </w:p>
        </w:tc>
        <w:tc>
          <w:tcPr>
            <w:tcW w:w="851" w:type="pct"/>
            <w:tcBorders>
              <w:top w:val="nil"/>
              <w:left w:val="nil"/>
              <w:bottom w:val="single" w:color="auto" w:sz="4" w:space="0"/>
              <w:right w:val="single" w:color="auto" w:sz="4" w:space="0"/>
            </w:tcBorders>
            <w:noWrap w:val="0"/>
            <w:vAlign w:val="center"/>
          </w:tcPr>
          <w:p w14:paraId="3842100A">
            <w:pPr>
              <w:widowControl/>
              <w:autoSpaceDE/>
              <w:autoSpaceDN/>
              <w:jc w:val="center"/>
              <w:rPr>
                <w:rFonts w:hint="default" w:ascii="Times New Roman" w:hAnsi="Times New Roman" w:cs="Times New Roman"/>
                <w:color w:val="auto"/>
                <w:sz w:val="24"/>
                <w:szCs w:val="24"/>
                <w:lang w:val="en-US" w:eastAsia="zh-CN"/>
              </w:rPr>
            </w:pPr>
            <w:r>
              <w:rPr>
                <w:rFonts w:hint="eastAsia" w:ascii="Times New Roman" w:hAnsi="Times New Roman" w:cs="Times New Roman"/>
                <w:color w:val="auto"/>
                <w:sz w:val="24"/>
                <w:szCs w:val="24"/>
                <w:lang w:val="en-US" w:eastAsia="zh-CN"/>
              </w:rPr>
              <w:t>2145</w:t>
            </w:r>
          </w:p>
        </w:tc>
        <w:tc>
          <w:tcPr>
            <w:tcW w:w="904" w:type="pct"/>
            <w:tcBorders>
              <w:top w:val="nil"/>
              <w:left w:val="nil"/>
              <w:bottom w:val="single" w:color="auto" w:sz="4" w:space="0"/>
              <w:right w:val="single" w:color="auto" w:sz="4" w:space="0"/>
            </w:tcBorders>
            <w:noWrap w:val="0"/>
            <w:vAlign w:val="center"/>
          </w:tcPr>
          <w:p w14:paraId="5CAB0DF9">
            <w:pPr>
              <w:widowControl/>
              <w:autoSpaceDE/>
              <w:autoSpaceDN/>
              <w:jc w:val="center"/>
              <w:rPr>
                <w:rFonts w:hint="default" w:ascii="Times New Roman" w:hAnsi="Times New Roman" w:cs="Times New Roman"/>
                <w:color w:val="auto"/>
                <w:sz w:val="24"/>
                <w:szCs w:val="24"/>
                <w:lang w:val="en-US" w:eastAsia="zh-CN"/>
              </w:rPr>
            </w:pPr>
            <w:r>
              <w:rPr>
                <w:rFonts w:hint="eastAsia" w:ascii="Times New Roman" w:hAnsi="Times New Roman" w:cs="Times New Roman"/>
                <w:color w:val="auto"/>
                <w:sz w:val="24"/>
                <w:szCs w:val="24"/>
                <w:lang w:val="en-US" w:eastAsia="zh-CN"/>
              </w:rPr>
              <w:t>1845</w:t>
            </w:r>
          </w:p>
        </w:tc>
      </w:tr>
      <w:tr w14:paraId="42989313">
        <w:tblPrEx>
          <w:tblCellMar>
            <w:top w:w="0" w:type="dxa"/>
            <w:left w:w="0" w:type="dxa"/>
            <w:bottom w:w="0" w:type="dxa"/>
            <w:right w:w="0" w:type="dxa"/>
          </w:tblCellMar>
        </w:tblPrEx>
        <w:trPr>
          <w:trHeight w:val="1085" w:hRule="atLeast"/>
        </w:trPr>
        <w:tc>
          <w:tcPr>
            <w:tcW w:w="414" w:type="pct"/>
            <w:vMerge w:val="continue"/>
            <w:tcBorders>
              <w:top w:val="nil"/>
              <w:left w:val="single" w:color="auto" w:sz="4" w:space="0"/>
              <w:bottom w:val="single" w:color="000000" w:sz="4" w:space="0"/>
              <w:right w:val="single" w:color="auto" w:sz="4" w:space="0"/>
            </w:tcBorders>
            <w:noWrap w:val="0"/>
            <w:vAlign w:val="center"/>
          </w:tcPr>
          <w:p w14:paraId="59D6466A">
            <w:pPr>
              <w:widowControl/>
              <w:autoSpaceDE/>
              <w:autoSpaceDN/>
              <w:rPr>
                <w:rFonts w:hAnsi="宋体" w:cs="宋体"/>
                <w:color w:val="auto"/>
                <w:sz w:val="24"/>
                <w:szCs w:val="24"/>
                <w:lang w:eastAsia="zh-CN"/>
              </w:rPr>
            </w:pPr>
          </w:p>
        </w:tc>
        <w:tc>
          <w:tcPr>
            <w:tcW w:w="427" w:type="pct"/>
            <w:vMerge w:val="continue"/>
            <w:tcBorders>
              <w:top w:val="nil"/>
              <w:left w:val="single" w:color="auto" w:sz="4" w:space="0"/>
              <w:bottom w:val="single" w:color="auto" w:sz="4" w:space="0"/>
              <w:right w:val="single" w:color="auto" w:sz="4" w:space="0"/>
            </w:tcBorders>
            <w:noWrap w:val="0"/>
            <w:vAlign w:val="center"/>
          </w:tcPr>
          <w:p w14:paraId="55E7B901">
            <w:pPr>
              <w:widowControl/>
              <w:autoSpaceDE/>
              <w:autoSpaceDN/>
              <w:rPr>
                <w:rFonts w:hAnsi="宋体" w:cs="宋体"/>
                <w:color w:val="auto"/>
                <w:sz w:val="24"/>
                <w:szCs w:val="24"/>
                <w:lang w:eastAsia="zh-CN"/>
              </w:rPr>
            </w:pPr>
          </w:p>
        </w:tc>
        <w:tc>
          <w:tcPr>
            <w:tcW w:w="692" w:type="pct"/>
            <w:tcBorders>
              <w:top w:val="nil"/>
              <w:left w:val="nil"/>
              <w:bottom w:val="single" w:color="auto" w:sz="4" w:space="0"/>
              <w:right w:val="single" w:color="auto" w:sz="4" w:space="0"/>
            </w:tcBorders>
            <w:noWrap w:val="0"/>
            <w:vAlign w:val="center"/>
          </w:tcPr>
          <w:p w14:paraId="31EE1AC4">
            <w:pPr>
              <w:widowControl/>
              <w:autoSpaceDE/>
              <w:autoSpaceDN/>
              <w:jc w:val="center"/>
              <w:rPr>
                <w:rFonts w:hAnsi="宋体" w:cs="宋体"/>
                <w:color w:val="auto"/>
                <w:sz w:val="24"/>
                <w:szCs w:val="24"/>
                <w:lang w:eastAsia="zh-CN"/>
              </w:rPr>
            </w:pPr>
            <w:r>
              <w:rPr>
                <w:rFonts w:hint="eastAsia" w:hAnsi="宋体" w:cs="宋体"/>
                <w:color w:val="auto"/>
                <w:sz w:val="24"/>
                <w:szCs w:val="24"/>
                <w:lang w:eastAsia="zh-CN"/>
              </w:rPr>
              <w:t>万元/亩</w:t>
            </w:r>
          </w:p>
        </w:tc>
        <w:tc>
          <w:tcPr>
            <w:tcW w:w="854" w:type="pct"/>
            <w:tcBorders>
              <w:top w:val="nil"/>
              <w:left w:val="nil"/>
              <w:bottom w:val="single" w:color="auto" w:sz="4" w:space="0"/>
              <w:right w:val="single" w:color="auto" w:sz="4" w:space="0"/>
            </w:tcBorders>
            <w:noWrap w:val="0"/>
            <w:vAlign w:val="center"/>
          </w:tcPr>
          <w:p w14:paraId="60A75992">
            <w:pPr>
              <w:widowControl/>
              <w:autoSpaceDE/>
              <w:autoSpaceDN/>
              <w:jc w:val="center"/>
              <w:rPr>
                <w:rFonts w:hint="default" w:ascii="Times New Roman" w:hAnsi="Times New Roman" w:cs="Times New Roman"/>
                <w:color w:val="auto"/>
                <w:sz w:val="24"/>
                <w:szCs w:val="24"/>
                <w:lang w:val="en-US" w:eastAsia="zh-CN"/>
              </w:rPr>
            </w:pPr>
            <w:r>
              <w:rPr>
                <w:rFonts w:hint="eastAsia" w:ascii="Times New Roman" w:hAnsi="Times New Roman" w:cs="Times New Roman"/>
                <w:color w:val="auto"/>
                <w:sz w:val="24"/>
                <w:szCs w:val="24"/>
                <w:lang w:val="en-US" w:eastAsia="zh-CN"/>
              </w:rPr>
              <w:t>187</w:t>
            </w:r>
          </w:p>
        </w:tc>
        <w:tc>
          <w:tcPr>
            <w:tcW w:w="854" w:type="pct"/>
            <w:tcBorders>
              <w:top w:val="nil"/>
              <w:left w:val="nil"/>
              <w:bottom w:val="single" w:color="auto" w:sz="4" w:space="0"/>
              <w:right w:val="single" w:color="auto" w:sz="4" w:space="0"/>
            </w:tcBorders>
            <w:noWrap w:val="0"/>
            <w:vAlign w:val="center"/>
          </w:tcPr>
          <w:p w14:paraId="6F17FFDB">
            <w:pPr>
              <w:widowControl/>
              <w:autoSpaceDE/>
              <w:autoSpaceDN/>
              <w:jc w:val="center"/>
              <w:rPr>
                <w:rFonts w:hint="default" w:ascii="Times New Roman" w:hAnsi="Times New Roman" w:cs="Times New Roman"/>
                <w:color w:val="auto"/>
                <w:sz w:val="24"/>
                <w:szCs w:val="24"/>
                <w:lang w:val="en-US" w:eastAsia="zh-CN"/>
              </w:rPr>
            </w:pPr>
            <w:r>
              <w:rPr>
                <w:rFonts w:hint="eastAsia" w:ascii="Times New Roman" w:hAnsi="Times New Roman" w:cs="Times New Roman"/>
                <w:color w:val="auto"/>
                <w:sz w:val="24"/>
                <w:szCs w:val="24"/>
                <w:lang w:val="en-US" w:eastAsia="zh-CN"/>
              </w:rPr>
              <w:t>164</w:t>
            </w:r>
          </w:p>
        </w:tc>
        <w:tc>
          <w:tcPr>
            <w:tcW w:w="851" w:type="pct"/>
            <w:tcBorders>
              <w:top w:val="nil"/>
              <w:left w:val="nil"/>
              <w:bottom w:val="single" w:color="auto" w:sz="4" w:space="0"/>
              <w:right w:val="single" w:color="auto" w:sz="4" w:space="0"/>
            </w:tcBorders>
            <w:noWrap w:val="0"/>
            <w:vAlign w:val="center"/>
          </w:tcPr>
          <w:p w14:paraId="007C4300">
            <w:pPr>
              <w:widowControl/>
              <w:autoSpaceDE/>
              <w:autoSpaceDN/>
              <w:jc w:val="center"/>
              <w:rPr>
                <w:rFonts w:hint="default" w:ascii="Times New Roman" w:hAnsi="Times New Roman" w:cs="Times New Roman"/>
                <w:color w:val="auto"/>
                <w:sz w:val="24"/>
                <w:szCs w:val="24"/>
                <w:lang w:val="en-US" w:eastAsia="zh-CN"/>
              </w:rPr>
            </w:pPr>
            <w:r>
              <w:rPr>
                <w:rFonts w:hint="eastAsia" w:ascii="Times New Roman" w:hAnsi="Times New Roman" w:cs="Times New Roman"/>
                <w:color w:val="auto"/>
                <w:sz w:val="24"/>
                <w:szCs w:val="24"/>
                <w:lang w:val="en-US" w:eastAsia="zh-CN"/>
              </w:rPr>
              <w:t>143</w:t>
            </w:r>
          </w:p>
        </w:tc>
        <w:tc>
          <w:tcPr>
            <w:tcW w:w="904" w:type="pct"/>
            <w:tcBorders>
              <w:top w:val="nil"/>
              <w:left w:val="nil"/>
              <w:bottom w:val="single" w:color="auto" w:sz="4" w:space="0"/>
              <w:right w:val="single" w:color="auto" w:sz="4" w:space="0"/>
            </w:tcBorders>
            <w:noWrap w:val="0"/>
            <w:vAlign w:val="center"/>
          </w:tcPr>
          <w:p w14:paraId="0A42CFB2">
            <w:pPr>
              <w:widowControl/>
              <w:autoSpaceDE/>
              <w:autoSpaceDN/>
              <w:jc w:val="center"/>
              <w:rPr>
                <w:rFonts w:hint="default" w:ascii="Times New Roman" w:hAnsi="Times New Roman" w:cs="Times New Roman"/>
                <w:color w:val="auto"/>
                <w:sz w:val="24"/>
                <w:szCs w:val="24"/>
                <w:lang w:val="en-US" w:eastAsia="zh-CN"/>
              </w:rPr>
            </w:pPr>
            <w:r>
              <w:rPr>
                <w:rFonts w:hint="eastAsia" w:ascii="Times New Roman" w:hAnsi="Times New Roman" w:cs="Times New Roman"/>
                <w:color w:val="auto"/>
                <w:sz w:val="24"/>
                <w:szCs w:val="24"/>
                <w:lang w:val="en-US" w:eastAsia="zh-CN"/>
              </w:rPr>
              <w:t>123</w:t>
            </w:r>
          </w:p>
        </w:tc>
      </w:tr>
      <w:tr w14:paraId="6E6B0D00">
        <w:tblPrEx>
          <w:tblCellMar>
            <w:top w:w="0" w:type="dxa"/>
            <w:left w:w="0" w:type="dxa"/>
            <w:bottom w:w="0" w:type="dxa"/>
            <w:right w:w="0" w:type="dxa"/>
          </w:tblCellMar>
        </w:tblPrEx>
        <w:trPr>
          <w:trHeight w:val="1085" w:hRule="atLeast"/>
        </w:trPr>
        <w:tc>
          <w:tcPr>
            <w:tcW w:w="414" w:type="pct"/>
            <w:vMerge w:val="restart"/>
            <w:tcBorders>
              <w:top w:val="nil"/>
              <w:left w:val="single" w:color="auto" w:sz="4" w:space="0"/>
              <w:bottom w:val="single" w:color="000000" w:sz="4" w:space="0"/>
              <w:right w:val="single" w:color="auto" w:sz="4" w:space="0"/>
            </w:tcBorders>
            <w:noWrap w:val="0"/>
            <w:vAlign w:val="center"/>
          </w:tcPr>
          <w:p w14:paraId="39B5F300">
            <w:pPr>
              <w:widowControl/>
              <w:autoSpaceDE/>
              <w:autoSpaceDN/>
              <w:jc w:val="center"/>
              <w:rPr>
                <w:rFonts w:hint="eastAsia" w:hAnsi="宋体" w:cs="宋体"/>
                <w:color w:val="auto"/>
                <w:sz w:val="24"/>
                <w:szCs w:val="24"/>
                <w:lang w:eastAsia="zh-CN"/>
              </w:rPr>
            </w:pPr>
            <w:r>
              <w:rPr>
                <w:rFonts w:hint="eastAsia" w:hAnsi="宋体" w:cs="宋体"/>
                <w:color w:val="auto"/>
                <w:sz w:val="24"/>
                <w:szCs w:val="24"/>
                <w:lang w:eastAsia="zh-CN"/>
              </w:rPr>
              <w:t>工业</w:t>
            </w:r>
          </w:p>
          <w:p w14:paraId="59ABE542">
            <w:pPr>
              <w:widowControl/>
              <w:autoSpaceDE/>
              <w:autoSpaceDN/>
              <w:jc w:val="center"/>
              <w:rPr>
                <w:rFonts w:hAnsi="宋体" w:cs="宋体"/>
                <w:color w:val="auto"/>
                <w:sz w:val="24"/>
                <w:szCs w:val="24"/>
                <w:lang w:eastAsia="zh-CN"/>
              </w:rPr>
            </w:pPr>
            <w:r>
              <w:rPr>
                <w:rFonts w:hint="eastAsia" w:hAnsi="宋体" w:cs="宋体"/>
                <w:color w:val="auto"/>
                <w:sz w:val="24"/>
                <w:szCs w:val="24"/>
                <w:lang w:eastAsia="zh-CN"/>
              </w:rPr>
              <w:t>用地</w:t>
            </w:r>
          </w:p>
        </w:tc>
        <w:tc>
          <w:tcPr>
            <w:tcW w:w="427" w:type="pct"/>
            <w:vMerge w:val="restart"/>
            <w:tcBorders>
              <w:top w:val="nil"/>
              <w:left w:val="single" w:color="auto" w:sz="4" w:space="0"/>
              <w:bottom w:val="single" w:color="auto" w:sz="4" w:space="0"/>
              <w:right w:val="single" w:color="auto" w:sz="4" w:space="0"/>
            </w:tcBorders>
            <w:noWrap w:val="0"/>
            <w:vAlign w:val="center"/>
          </w:tcPr>
          <w:p w14:paraId="53CE10E5">
            <w:pPr>
              <w:widowControl/>
              <w:autoSpaceDE/>
              <w:autoSpaceDN/>
              <w:jc w:val="center"/>
              <w:rPr>
                <w:rFonts w:hint="eastAsia" w:hAnsi="宋体" w:cs="宋体"/>
                <w:color w:val="auto"/>
                <w:sz w:val="24"/>
                <w:szCs w:val="24"/>
                <w:lang w:eastAsia="zh-CN"/>
              </w:rPr>
            </w:pPr>
            <w:r>
              <w:rPr>
                <w:rFonts w:hint="eastAsia" w:hAnsi="宋体" w:cs="宋体"/>
                <w:color w:val="auto"/>
                <w:sz w:val="24"/>
                <w:szCs w:val="24"/>
                <w:lang w:eastAsia="zh-CN"/>
              </w:rPr>
              <w:t>基准</w:t>
            </w:r>
          </w:p>
          <w:p w14:paraId="7BF17D63">
            <w:pPr>
              <w:widowControl/>
              <w:autoSpaceDE/>
              <w:autoSpaceDN/>
              <w:jc w:val="center"/>
              <w:rPr>
                <w:rFonts w:hAnsi="宋体" w:cs="宋体"/>
                <w:color w:val="auto"/>
                <w:sz w:val="24"/>
                <w:szCs w:val="24"/>
                <w:lang w:eastAsia="zh-CN"/>
              </w:rPr>
            </w:pPr>
            <w:r>
              <w:rPr>
                <w:rFonts w:hint="eastAsia" w:hAnsi="宋体" w:cs="宋体"/>
                <w:color w:val="auto"/>
                <w:sz w:val="24"/>
                <w:szCs w:val="24"/>
                <w:lang w:eastAsia="zh-CN"/>
              </w:rPr>
              <w:t>地价</w:t>
            </w:r>
          </w:p>
        </w:tc>
        <w:tc>
          <w:tcPr>
            <w:tcW w:w="692" w:type="pct"/>
            <w:tcBorders>
              <w:top w:val="nil"/>
              <w:left w:val="nil"/>
              <w:bottom w:val="single" w:color="auto" w:sz="4" w:space="0"/>
              <w:right w:val="single" w:color="auto" w:sz="4" w:space="0"/>
            </w:tcBorders>
            <w:noWrap w:val="0"/>
            <w:vAlign w:val="center"/>
          </w:tcPr>
          <w:p w14:paraId="419E194A">
            <w:pPr>
              <w:widowControl/>
              <w:autoSpaceDE/>
              <w:autoSpaceDN/>
              <w:jc w:val="center"/>
              <w:rPr>
                <w:rFonts w:hAnsi="宋体" w:cs="宋体"/>
                <w:color w:val="auto"/>
                <w:sz w:val="24"/>
                <w:szCs w:val="24"/>
                <w:lang w:eastAsia="zh-CN"/>
              </w:rPr>
            </w:pPr>
            <w:r>
              <w:rPr>
                <w:rFonts w:hint="eastAsia" w:hAnsi="宋体" w:cs="宋体"/>
                <w:color w:val="auto"/>
                <w:sz w:val="24"/>
                <w:szCs w:val="24"/>
                <w:lang w:eastAsia="zh-CN"/>
              </w:rPr>
              <w:t>元/m</w:t>
            </w:r>
            <w:r>
              <w:rPr>
                <w:rFonts w:hint="eastAsia" w:hAnsi="宋体" w:cs="宋体"/>
                <w:color w:val="auto"/>
                <w:sz w:val="24"/>
                <w:szCs w:val="24"/>
                <w:vertAlign w:val="superscript"/>
                <w:lang w:eastAsia="zh-CN"/>
              </w:rPr>
              <w:t>2</w:t>
            </w:r>
          </w:p>
        </w:tc>
        <w:tc>
          <w:tcPr>
            <w:tcW w:w="854" w:type="pct"/>
            <w:tcBorders>
              <w:top w:val="nil"/>
              <w:left w:val="nil"/>
              <w:bottom w:val="single" w:color="auto" w:sz="4" w:space="0"/>
              <w:right w:val="single" w:color="auto" w:sz="4" w:space="0"/>
            </w:tcBorders>
            <w:noWrap w:val="0"/>
            <w:vAlign w:val="center"/>
          </w:tcPr>
          <w:p w14:paraId="51037EE1">
            <w:pPr>
              <w:widowControl/>
              <w:autoSpaceDE/>
              <w:autoSpaceDN/>
              <w:jc w:val="center"/>
              <w:rPr>
                <w:rFonts w:ascii="Times New Roman" w:hAnsi="Times New Roman" w:cs="Times New Roman"/>
                <w:color w:val="auto"/>
                <w:sz w:val="24"/>
                <w:szCs w:val="24"/>
                <w:lang w:eastAsia="zh-CN"/>
              </w:rPr>
            </w:pPr>
            <w:r>
              <w:rPr>
                <w:rFonts w:ascii="Times New Roman" w:hAnsi="Times New Roman" w:cs="Times New Roman"/>
                <w:color w:val="auto"/>
                <w:sz w:val="24"/>
                <w:szCs w:val="24"/>
                <w:lang w:eastAsia="zh-CN"/>
              </w:rPr>
              <w:t>660</w:t>
            </w:r>
          </w:p>
        </w:tc>
        <w:tc>
          <w:tcPr>
            <w:tcW w:w="854" w:type="pct"/>
            <w:tcBorders>
              <w:top w:val="nil"/>
              <w:left w:val="nil"/>
              <w:bottom w:val="single" w:color="auto" w:sz="4" w:space="0"/>
              <w:right w:val="single" w:color="auto" w:sz="4" w:space="0"/>
            </w:tcBorders>
            <w:noWrap w:val="0"/>
            <w:vAlign w:val="center"/>
          </w:tcPr>
          <w:p w14:paraId="560B5E24">
            <w:pPr>
              <w:widowControl/>
              <w:autoSpaceDE/>
              <w:autoSpaceDN/>
              <w:jc w:val="center"/>
              <w:rPr>
                <w:rFonts w:ascii="Times New Roman" w:hAnsi="Times New Roman" w:cs="Times New Roman"/>
                <w:color w:val="auto"/>
                <w:sz w:val="24"/>
                <w:szCs w:val="24"/>
                <w:lang w:eastAsia="zh-CN"/>
              </w:rPr>
            </w:pPr>
            <w:r>
              <w:rPr>
                <w:rFonts w:ascii="Times New Roman" w:hAnsi="Times New Roman" w:cs="Times New Roman"/>
                <w:color w:val="auto"/>
                <w:sz w:val="24"/>
                <w:szCs w:val="24"/>
                <w:lang w:eastAsia="zh-CN"/>
              </w:rPr>
              <w:t>555</w:t>
            </w:r>
          </w:p>
        </w:tc>
        <w:tc>
          <w:tcPr>
            <w:tcW w:w="851" w:type="pct"/>
            <w:tcBorders>
              <w:top w:val="nil"/>
              <w:left w:val="nil"/>
              <w:bottom w:val="single" w:color="auto" w:sz="4" w:space="0"/>
              <w:right w:val="single" w:color="auto" w:sz="4" w:space="0"/>
            </w:tcBorders>
            <w:noWrap w:val="0"/>
            <w:vAlign w:val="center"/>
          </w:tcPr>
          <w:p w14:paraId="41E31B64">
            <w:pPr>
              <w:widowControl/>
              <w:autoSpaceDE/>
              <w:autoSpaceDN/>
              <w:jc w:val="center"/>
              <w:rPr>
                <w:rFonts w:ascii="Times New Roman" w:hAnsi="Times New Roman" w:cs="Times New Roman"/>
                <w:color w:val="auto"/>
                <w:sz w:val="24"/>
                <w:szCs w:val="24"/>
                <w:lang w:eastAsia="zh-CN"/>
              </w:rPr>
            </w:pPr>
            <w:r>
              <w:rPr>
                <w:rFonts w:ascii="Times New Roman" w:hAnsi="Times New Roman" w:cs="Times New Roman"/>
                <w:color w:val="auto"/>
                <w:sz w:val="24"/>
                <w:szCs w:val="24"/>
                <w:lang w:eastAsia="zh-CN"/>
              </w:rPr>
              <w:t>450</w:t>
            </w:r>
          </w:p>
        </w:tc>
        <w:tc>
          <w:tcPr>
            <w:tcW w:w="904" w:type="pct"/>
            <w:tcBorders>
              <w:top w:val="nil"/>
              <w:left w:val="nil"/>
              <w:bottom w:val="single" w:color="auto" w:sz="4" w:space="0"/>
              <w:right w:val="single" w:color="auto" w:sz="4" w:space="0"/>
            </w:tcBorders>
            <w:noWrap w:val="0"/>
            <w:vAlign w:val="center"/>
          </w:tcPr>
          <w:p w14:paraId="3D9E26CD">
            <w:pPr>
              <w:widowControl/>
              <w:autoSpaceDE/>
              <w:autoSpaceDN/>
              <w:jc w:val="center"/>
              <w:rPr>
                <w:rFonts w:ascii="Times New Roman" w:hAnsi="Times New Roman" w:cs="Times New Roman"/>
                <w:color w:val="auto"/>
                <w:sz w:val="24"/>
                <w:szCs w:val="24"/>
                <w:lang w:eastAsia="zh-CN"/>
              </w:rPr>
            </w:pPr>
            <w:r>
              <w:rPr>
                <w:rFonts w:ascii="Times New Roman" w:hAnsi="Times New Roman" w:cs="Times New Roman"/>
                <w:color w:val="auto"/>
                <w:sz w:val="24"/>
                <w:szCs w:val="24"/>
                <w:lang w:eastAsia="zh-CN"/>
              </w:rPr>
              <w:t>375</w:t>
            </w:r>
          </w:p>
        </w:tc>
      </w:tr>
      <w:tr w14:paraId="330F9A1E">
        <w:tblPrEx>
          <w:tblCellMar>
            <w:top w:w="0" w:type="dxa"/>
            <w:left w:w="0" w:type="dxa"/>
            <w:bottom w:w="0" w:type="dxa"/>
            <w:right w:w="0" w:type="dxa"/>
          </w:tblCellMar>
        </w:tblPrEx>
        <w:trPr>
          <w:trHeight w:val="1085" w:hRule="atLeast"/>
        </w:trPr>
        <w:tc>
          <w:tcPr>
            <w:tcW w:w="414" w:type="pct"/>
            <w:vMerge w:val="continue"/>
            <w:tcBorders>
              <w:top w:val="nil"/>
              <w:left w:val="single" w:color="auto" w:sz="4" w:space="0"/>
              <w:bottom w:val="single" w:color="000000" w:sz="4" w:space="0"/>
              <w:right w:val="single" w:color="auto" w:sz="4" w:space="0"/>
            </w:tcBorders>
            <w:noWrap w:val="0"/>
            <w:vAlign w:val="center"/>
          </w:tcPr>
          <w:p w14:paraId="2C00A53C">
            <w:pPr>
              <w:widowControl/>
              <w:autoSpaceDE/>
              <w:autoSpaceDN/>
              <w:rPr>
                <w:rFonts w:hAnsi="宋体" w:cs="宋体"/>
                <w:color w:val="auto"/>
                <w:sz w:val="24"/>
                <w:szCs w:val="24"/>
                <w:lang w:eastAsia="zh-CN"/>
              </w:rPr>
            </w:pPr>
          </w:p>
        </w:tc>
        <w:tc>
          <w:tcPr>
            <w:tcW w:w="427" w:type="pct"/>
            <w:vMerge w:val="continue"/>
            <w:tcBorders>
              <w:top w:val="nil"/>
              <w:left w:val="single" w:color="auto" w:sz="4" w:space="0"/>
              <w:bottom w:val="single" w:color="auto" w:sz="4" w:space="0"/>
              <w:right w:val="single" w:color="auto" w:sz="4" w:space="0"/>
            </w:tcBorders>
            <w:noWrap w:val="0"/>
            <w:vAlign w:val="center"/>
          </w:tcPr>
          <w:p w14:paraId="11763660">
            <w:pPr>
              <w:widowControl/>
              <w:autoSpaceDE/>
              <w:autoSpaceDN/>
              <w:rPr>
                <w:rFonts w:hAnsi="宋体" w:cs="宋体"/>
                <w:color w:val="auto"/>
                <w:sz w:val="24"/>
                <w:szCs w:val="24"/>
                <w:lang w:eastAsia="zh-CN"/>
              </w:rPr>
            </w:pPr>
          </w:p>
        </w:tc>
        <w:tc>
          <w:tcPr>
            <w:tcW w:w="692" w:type="pct"/>
            <w:tcBorders>
              <w:top w:val="nil"/>
              <w:left w:val="nil"/>
              <w:bottom w:val="single" w:color="auto" w:sz="4" w:space="0"/>
              <w:right w:val="single" w:color="auto" w:sz="4" w:space="0"/>
            </w:tcBorders>
            <w:noWrap w:val="0"/>
            <w:vAlign w:val="center"/>
          </w:tcPr>
          <w:p w14:paraId="01D0021B">
            <w:pPr>
              <w:widowControl/>
              <w:autoSpaceDE/>
              <w:autoSpaceDN/>
              <w:jc w:val="center"/>
              <w:rPr>
                <w:rFonts w:hAnsi="宋体" w:cs="宋体"/>
                <w:color w:val="auto"/>
                <w:sz w:val="24"/>
                <w:szCs w:val="24"/>
                <w:lang w:eastAsia="zh-CN"/>
              </w:rPr>
            </w:pPr>
            <w:r>
              <w:rPr>
                <w:rFonts w:hint="eastAsia" w:hAnsi="宋体" w:cs="宋体"/>
                <w:color w:val="auto"/>
                <w:sz w:val="24"/>
                <w:szCs w:val="24"/>
                <w:lang w:eastAsia="zh-CN"/>
              </w:rPr>
              <w:t>万元/亩</w:t>
            </w:r>
          </w:p>
        </w:tc>
        <w:tc>
          <w:tcPr>
            <w:tcW w:w="854" w:type="pct"/>
            <w:tcBorders>
              <w:top w:val="nil"/>
              <w:left w:val="nil"/>
              <w:bottom w:val="single" w:color="auto" w:sz="4" w:space="0"/>
              <w:right w:val="single" w:color="auto" w:sz="4" w:space="0"/>
            </w:tcBorders>
            <w:noWrap w:val="0"/>
            <w:vAlign w:val="center"/>
          </w:tcPr>
          <w:p w14:paraId="1693E810">
            <w:pPr>
              <w:widowControl/>
              <w:autoSpaceDE/>
              <w:autoSpaceDN/>
              <w:jc w:val="center"/>
              <w:rPr>
                <w:rFonts w:ascii="Times New Roman" w:hAnsi="Times New Roman" w:cs="Times New Roman"/>
                <w:color w:val="auto"/>
                <w:sz w:val="24"/>
                <w:szCs w:val="24"/>
                <w:lang w:eastAsia="zh-CN"/>
              </w:rPr>
            </w:pPr>
            <w:r>
              <w:rPr>
                <w:rFonts w:ascii="Times New Roman" w:hAnsi="Times New Roman" w:cs="Times New Roman"/>
                <w:color w:val="auto"/>
                <w:sz w:val="24"/>
                <w:szCs w:val="24"/>
                <w:lang w:eastAsia="zh-CN"/>
              </w:rPr>
              <w:t>44</w:t>
            </w:r>
          </w:p>
        </w:tc>
        <w:tc>
          <w:tcPr>
            <w:tcW w:w="854" w:type="pct"/>
            <w:tcBorders>
              <w:top w:val="nil"/>
              <w:left w:val="nil"/>
              <w:bottom w:val="single" w:color="auto" w:sz="4" w:space="0"/>
              <w:right w:val="single" w:color="auto" w:sz="4" w:space="0"/>
            </w:tcBorders>
            <w:noWrap w:val="0"/>
            <w:vAlign w:val="center"/>
          </w:tcPr>
          <w:p w14:paraId="08C6CDD9">
            <w:pPr>
              <w:widowControl/>
              <w:autoSpaceDE/>
              <w:autoSpaceDN/>
              <w:jc w:val="center"/>
              <w:rPr>
                <w:rFonts w:ascii="Times New Roman" w:hAnsi="Times New Roman" w:cs="Times New Roman"/>
                <w:color w:val="auto"/>
                <w:sz w:val="24"/>
                <w:szCs w:val="24"/>
                <w:lang w:eastAsia="zh-CN"/>
              </w:rPr>
            </w:pPr>
            <w:r>
              <w:rPr>
                <w:rFonts w:ascii="Times New Roman" w:hAnsi="Times New Roman" w:cs="Times New Roman"/>
                <w:color w:val="auto"/>
                <w:sz w:val="24"/>
                <w:szCs w:val="24"/>
                <w:lang w:eastAsia="zh-CN"/>
              </w:rPr>
              <w:t>37</w:t>
            </w:r>
          </w:p>
        </w:tc>
        <w:tc>
          <w:tcPr>
            <w:tcW w:w="851" w:type="pct"/>
            <w:tcBorders>
              <w:top w:val="nil"/>
              <w:left w:val="nil"/>
              <w:bottom w:val="single" w:color="auto" w:sz="4" w:space="0"/>
              <w:right w:val="single" w:color="auto" w:sz="4" w:space="0"/>
            </w:tcBorders>
            <w:noWrap w:val="0"/>
            <w:vAlign w:val="center"/>
          </w:tcPr>
          <w:p w14:paraId="69714EC8">
            <w:pPr>
              <w:widowControl/>
              <w:autoSpaceDE/>
              <w:autoSpaceDN/>
              <w:jc w:val="center"/>
              <w:rPr>
                <w:rFonts w:ascii="Times New Roman" w:hAnsi="Times New Roman" w:cs="Times New Roman"/>
                <w:color w:val="auto"/>
                <w:sz w:val="24"/>
                <w:szCs w:val="24"/>
                <w:lang w:eastAsia="zh-CN"/>
              </w:rPr>
            </w:pPr>
            <w:r>
              <w:rPr>
                <w:rFonts w:ascii="Times New Roman" w:hAnsi="Times New Roman" w:cs="Times New Roman"/>
                <w:color w:val="auto"/>
                <w:sz w:val="24"/>
                <w:szCs w:val="24"/>
                <w:lang w:eastAsia="zh-CN"/>
              </w:rPr>
              <w:t>30</w:t>
            </w:r>
          </w:p>
        </w:tc>
        <w:tc>
          <w:tcPr>
            <w:tcW w:w="904" w:type="pct"/>
            <w:tcBorders>
              <w:top w:val="nil"/>
              <w:left w:val="nil"/>
              <w:bottom w:val="single" w:color="auto" w:sz="4" w:space="0"/>
              <w:right w:val="single" w:color="auto" w:sz="4" w:space="0"/>
            </w:tcBorders>
            <w:noWrap w:val="0"/>
            <w:vAlign w:val="center"/>
          </w:tcPr>
          <w:p w14:paraId="3837077F">
            <w:pPr>
              <w:widowControl/>
              <w:autoSpaceDE/>
              <w:autoSpaceDN/>
              <w:jc w:val="center"/>
              <w:rPr>
                <w:rFonts w:ascii="Times New Roman" w:hAnsi="Times New Roman" w:cs="Times New Roman"/>
                <w:color w:val="auto"/>
                <w:sz w:val="24"/>
                <w:szCs w:val="24"/>
                <w:lang w:eastAsia="zh-CN"/>
              </w:rPr>
            </w:pPr>
            <w:r>
              <w:rPr>
                <w:rFonts w:ascii="Times New Roman" w:hAnsi="Times New Roman" w:cs="Times New Roman"/>
                <w:color w:val="auto"/>
                <w:sz w:val="24"/>
                <w:szCs w:val="24"/>
                <w:lang w:eastAsia="zh-CN"/>
              </w:rPr>
              <w:t>25</w:t>
            </w:r>
          </w:p>
        </w:tc>
      </w:tr>
      <w:tr w14:paraId="215386CB">
        <w:tblPrEx>
          <w:tblCellMar>
            <w:top w:w="0" w:type="dxa"/>
            <w:left w:w="0" w:type="dxa"/>
            <w:bottom w:w="0" w:type="dxa"/>
            <w:right w:w="0" w:type="dxa"/>
          </w:tblCellMar>
        </w:tblPrEx>
        <w:trPr>
          <w:trHeight w:val="1085" w:hRule="atLeast"/>
        </w:trPr>
        <w:tc>
          <w:tcPr>
            <w:tcW w:w="414" w:type="pct"/>
            <w:vMerge w:val="restart"/>
            <w:tcBorders>
              <w:top w:val="nil"/>
              <w:left w:val="single" w:color="auto" w:sz="4" w:space="0"/>
              <w:bottom w:val="single" w:color="000000" w:sz="4" w:space="0"/>
              <w:right w:val="single" w:color="auto" w:sz="4" w:space="0"/>
            </w:tcBorders>
            <w:noWrap w:val="0"/>
            <w:vAlign w:val="center"/>
          </w:tcPr>
          <w:p w14:paraId="3E0C7B8F">
            <w:pPr>
              <w:widowControl/>
              <w:autoSpaceDE/>
              <w:autoSpaceDN/>
              <w:jc w:val="center"/>
              <w:rPr>
                <w:rFonts w:hAnsi="宋体" w:cs="宋体"/>
                <w:color w:val="auto"/>
                <w:sz w:val="24"/>
                <w:szCs w:val="24"/>
                <w:lang w:eastAsia="zh-CN"/>
              </w:rPr>
            </w:pPr>
            <w:r>
              <w:rPr>
                <w:rFonts w:hint="eastAsia" w:hAnsi="宋体" w:cs="宋体"/>
                <w:color w:val="auto"/>
                <w:sz w:val="24"/>
                <w:szCs w:val="24"/>
                <w:lang w:eastAsia="zh-CN"/>
              </w:rPr>
              <w:t>公共管理与公共服务用地</w:t>
            </w:r>
          </w:p>
        </w:tc>
        <w:tc>
          <w:tcPr>
            <w:tcW w:w="427" w:type="pct"/>
            <w:vMerge w:val="restart"/>
            <w:tcBorders>
              <w:top w:val="nil"/>
              <w:left w:val="single" w:color="auto" w:sz="4" w:space="0"/>
              <w:bottom w:val="single" w:color="auto" w:sz="4" w:space="0"/>
              <w:right w:val="single" w:color="auto" w:sz="4" w:space="0"/>
            </w:tcBorders>
            <w:noWrap w:val="0"/>
            <w:vAlign w:val="center"/>
          </w:tcPr>
          <w:p w14:paraId="53631E22">
            <w:pPr>
              <w:widowControl/>
              <w:autoSpaceDE/>
              <w:autoSpaceDN/>
              <w:jc w:val="center"/>
              <w:rPr>
                <w:rFonts w:hint="eastAsia" w:hAnsi="宋体" w:cs="宋体"/>
                <w:color w:val="auto"/>
                <w:sz w:val="24"/>
                <w:szCs w:val="24"/>
                <w:lang w:eastAsia="zh-CN"/>
              </w:rPr>
            </w:pPr>
            <w:r>
              <w:rPr>
                <w:rFonts w:hint="eastAsia" w:hAnsi="宋体" w:cs="宋体"/>
                <w:color w:val="auto"/>
                <w:sz w:val="24"/>
                <w:szCs w:val="24"/>
                <w:lang w:eastAsia="zh-CN"/>
              </w:rPr>
              <w:t>基准</w:t>
            </w:r>
          </w:p>
          <w:p w14:paraId="1B666529">
            <w:pPr>
              <w:widowControl/>
              <w:autoSpaceDE/>
              <w:autoSpaceDN/>
              <w:jc w:val="center"/>
              <w:rPr>
                <w:rFonts w:hAnsi="宋体" w:cs="宋体"/>
                <w:color w:val="auto"/>
                <w:sz w:val="24"/>
                <w:szCs w:val="24"/>
                <w:lang w:eastAsia="zh-CN"/>
              </w:rPr>
            </w:pPr>
            <w:r>
              <w:rPr>
                <w:rFonts w:hint="eastAsia" w:hAnsi="宋体" w:cs="宋体"/>
                <w:color w:val="auto"/>
                <w:sz w:val="24"/>
                <w:szCs w:val="24"/>
                <w:lang w:eastAsia="zh-CN"/>
              </w:rPr>
              <w:t>地价</w:t>
            </w:r>
          </w:p>
        </w:tc>
        <w:tc>
          <w:tcPr>
            <w:tcW w:w="692" w:type="pct"/>
            <w:tcBorders>
              <w:top w:val="nil"/>
              <w:left w:val="nil"/>
              <w:bottom w:val="single" w:color="auto" w:sz="4" w:space="0"/>
              <w:right w:val="single" w:color="auto" w:sz="4" w:space="0"/>
            </w:tcBorders>
            <w:noWrap w:val="0"/>
            <w:vAlign w:val="center"/>
          </w:tcPr>
          <w:p w14:paraId="665B1528">
            <w:pPr>
              <w:widowControl/>
              <w:autoSpaceDE/>
              <w:autoSpaceDN/>
              <w:jc w:val="center"/>
              <w:rPr>
                <w:rFonts w:hAnsi="宋体" w:cs="宋体"/>
                <w:color w:val="auto"/>
                <w:sz w:val="24"/>
                <w:szCs w:val="24"/>
                <w:lang w:eastAsia="zh-CN"/>
              </w:rPr>
            </w:pPr>
            <w:r>
              <w:rPr>
                <w:rFonts w:hint="eastAsia" w:hAnsi="宋体" w:cs="宋体"/>
                <w:color w:val="auto"/>
                <w:sz w:val="24"/>
                <w:szCs w:val="24"/>
                <w:lang w:eastAsia="zh-CN"/>
              </w:rPr>
              <w:t>元/m</w:t>
            </w:r>
            <w:r>
              <w:rPr>
                <w:rFonts w:hint="eastAsia" w:hAnsi="宋体" w:cs="宋体"/>
                <w:color w:val="auto"/>
                <w:sz w:val="24"/>
                <w:szCs w:val="24"/>
                <w:vertAlign w:val="superscript"/>
                <w:lang w:eastAsia="zh-CN"/>
              </w:rPr>
              <w:t>2</w:t>
            </w:r>
          </w:p>
        </w:tc>
        <w:tc>
          <w:tcPr>
            <w:tcW w:w="854" w:type="pct"/>
            <w:tcBorders>
              <w:top w:val="nil"/>
              <w:left w:val="nil"/>
              <w:bottom w:val="single" w:color="auto" w:sz="4" w:space="0"/>
              <w:right w:val="single" w:color="auto" w:sz="4" w:space="0"/>
            </w:tcBorders>
            <w:noWrap w:val="0"/>
            <w:vAlign w:val="center"/>
          </w:tcPr>
          <w:p w14:paraId="62261A8A">
            <w:pPr>
              <w:widowControl/>
              <w:autoSpaceDE/>
              <w:autoSpaceDN/>
              <w:jc w:val="center"/>
              <w:rPr>
                <w:rFonts w:ascii="Times New Roman" w:hAnsi="Times New Roman" w:cs="Times New Roman"/>
                <w:color w:val="auto"/>
                <w:sz w:val="24"/>
                <w:szCs w:val="24"/>
                <w:lang w:eastAsia="zh-CN"/>
              </w:rPr>
            </w:pPr>
            <w:r>
              <w:rPr>
                <w:rFonts w:ascii="Times New Roman" w:hAnsi="Times New Roman" w:cs="Times New Roman"/>
                <w:color w:val="auto"/>
                <w:sz w:val="24"/>
                <w:szCs w:val="24"/>
                <w:lang w:eastAsia="zh-CN"/>
              </w:rPr>
              <w:t>675</w:t>
            </w:r>
          </w:p>
        </w:tc>
        <w:tc>
          <w:tcPr>
            <w:tcW w:w="854" w:type="pct"/>
            <w:tcBorders>
              <w:top w:val="nil"/>
              <w:left w:val="nil"/>
              <w:bottom w:val="single" w:color="auto" w:sz="4" w:space="0"/>
              <w:right w:val="single" w:color="auto" w:sz="4" w:space="0"/>
            </w:tcBorders>
            <w:noWrap w:val="0"/>
            <w:vAlign w:val="center"/>
          </w:tcPr>
          <w:p w14:paraId="1FB0335F">
            <w:pPr>
              <w:widowControl/>
              <w:autoSpaceDE/>
              <w:autoSpaceDN/>
              <w:jc w:val="center"/>
              <w:rPr>
                <w:rFonts w:ascii="Times New Roman" w:hAnsi="Times New Roman" w:cs="Times New Roman"/>
                <w:color w:val="auto"/>
                <w:sz w:val="24"/>
                <w:szCs w:val="24"/>
                <w:lang w:eastAsia="zh-CN"/>
              </w:rPr>
            </w:pPr>
            <w:r>
              <w:rPr>
                <w:rFonts w:ascii="Times New Roman" w:hAnsi="Times New Roman" w:cs="Times New Roman"/>
                <w:color w:val="auto"/>
                <w:sz w:val="24"/>
                <w:szCs w:val="24"/>
                <w:lang w:eastAsia="zh-CN"/>
              </w:rPr>
              <w:t>600</w:t>
            </w:r>
          </w:p>
        </w:tc>
        <w:tc>
          <w:tcPr>
            <w:tcW w:w="851" w:type="pct"/>
            <w:tcBorders>
              <w:top w:val="nil"/>
              <w:left w:val="nil"/>
              <w:bottom w:val="single" w:color="auto" w:sz="4" w:space="0"/>
              <w:right w:val="single" w:color="auto" w:sz="4" w:space="0"/>
            </w:tcBorders>
            <w:noWrap w:val="0"/>
            <w:vAlign w:val="center"/>
          </w:tcPr>
          <w:p w14:paraId="782E6F43">
            <w:pPr>
              <w:widowControl/>
              <w:autoSpaceDE/>
              <w:autoSpaceDN/>
              <w:jc w:val="center"/>
              <w:rPr>
                <w:rFonts w:ascii="Times New Roman" w:hAnsi="Times New Roman" w:cs="Times New Roman"/>
                <w:color w:val="auto"/>
                <w:sz w:val="24"/>
                <w:szCs w:val="24"/>
                <w:lang w:eastAsia="zh-CN"/>
              </w:rPr>
            </w:pPr>
            <w:r>
              <w:rPr>
                <w:rFonts w:ascii="Times New Roman" w:hAnsi="Times New Roman" w:cs="Times New Roman"/>
                <w:color w:val="auto"/>
                <w:sz w:val="24"/>
                <w:szCs w:val="24"/>
                <w:lang w:eastAsia="zh-CN"/>
              </w:rPr>
              <w:t>525</w:t>
            </w:r>
          </w:p>
        </w:tc>
        <w:tc>
          <w:tcPr>
            <w:tcW w:w="904" w:type="pct"/>
            <w:tcBorders>
              <w:top w:val="nil"/>
              <w:left w:val="nil"/>
              <w:bottom w:val="single" w:color="auto" w:sz="4" w:space="0"/>
              <w:right w:val="single" w:color="auto" w:sz="4" w:space="0"/>
            </w:tcBorders>
            <w:noWrap w:val="0"/>
            <w:vAlign w:val="center"/>
          </w:tcPr>
          <w:p w14:paraId="55C3CA58">
            <w:pPr>
              <w:widowControl/>
              <w:autoSpaceDE/>
              <w:autoSpaceDN/>
              <w:jc w:val="center"/>
              <w:rPr>
                <w:rFonts w:ascii="Times New Roman" w:hAnsi="Times New Roman" w:cs="Times New Roman"/>
                <w:color w:val="auto"/>
                <w:sz w:val="24"/>
                <w:szCs w:val="24"/>
                <w:lang w:eastAsia="zh-CN"/>
              </w:rPr>
            </w:pPr>
            <w:r>
              <w:rPr>
                <w:rFonts w:ascii="Times New Roman" w:hAnsi="Times New Roman" w:cs="Times New Roman"/>
                <w:color w:val="auto"/>
                <w:sz w:val="24"/>
                <w:szCs w:val="24"/>
                <w:lang w:eastAsia="zh-CN"/>
              </w:rPr>
              <w:t>450</w:t>
            </w:r>
          </w:p>
        </w:tc>
      </w:tr>
      <w:tr w14:paraId="51272856">
        <w:tblPrEx>
          <w:tblCellMar>
            <w:top w:w="0" w:type="dxa"/>
            <w:left w:w="0" w:type="dxa"/>
            <w:bottom w:w="0" w:type="dxa"/>
            <w:right w:w="0" w:type="dxa"/>
          </w:tblCellMar>
        </w:tblPrEx>
        <w:trPr>
          <w:trHeight w:val="1288" w:hRule="atLeast"/>
        </w:trPr>
        <w:tc>
          <w:tcPr>
            <w:tcW w:w="414" w:type="pct"/>
            <w:vMerge w:val="continue"/>
            <w:tcBorders>
              <w:top w:val="nil"/>
              <w:left w:val="single" w:color="auto" w:sz="4" w:space="0"/>
              <w:bottom w:val="single" w:color="000000" w:sz="4" w:space="0"/>
              <w:right w:val="single" w:color="auto" w:sz="4" w:space="0"/>
            </w:tcBorders>
            <w:noWrap w:val="0"/>
            <w:vAlign w:val="center"/>
          </w:tcPr>
          <w:p w14:paraId="4E85B98C">
            <w:pPr>
              <w:widowControl/>
              <w:autoSpaceDE/>
              <w:autoSpaceDN/>
              <w:rPr>
                <w:rFonts w:hAnsi="宋体" w:cs="宋体"/>
                <w:color w:val="auto"/>
                <w:sz w:val="24"/>
                <w:szCs w:val="24"/>
                <w:lang w:eastAsia="zh-CN"/>
              </w:rPr>
            </w:pPr>
          </w:p>
        </w:tc>
        <w:tc>
          <w:tcPr>
            <w:tcW w:w="427" w:type="pct"/>
            <w:vMerge w:val="continue"/>
            <w:tcBorders>
              <w:top w:val="nil"/>
              <w:left w:val="single" w:color="auto" w:sz="4" w:space="0"/>
              <w:bottom w:val="single" w:color="auto" w:sz="4" w:space="0"/>
              <w:right w:val="single" w:color="auto" w:sz="4" w:space="0"/>
            </w:tcBorders>
            <w:noWrap w:val="0"/>
            <w:vAlign w:val="center"/>
          </w:tcPr>
          <w:p w14:paraId="2CA73CCF">
            <w:pPr>
              <w:widowControl/>
              <w:autoSpaceDE/>
              <w:autoSpaceDN/>
              <w:rPr>
                <w:rFonts w:hAnsi="宋体" w:cs="宋体"/>
                <w:color w:val="auto"/>
                <w:sz w:val="24"/>
                <w:szCs w:val="24"/>
                <w:lang w:eastAsia="zh-CN"/>
              </w:rPr>
            </w:pPr>
          </w:p>
        </w:tc>
        <w:tc>
          <w:tcPr>
            <w:tcW w:w="692" w:type="pct"/>
            <w:tcBorders>
              <w:top w:val="nil"/>
              <w:left w:val="nil"/>
              <w:bottom w:val="single" w:color="auto" w:sz="4" w:space="0"/>
              <w:right w:val="single" w:color="auto" w:sz="4" w:space="0"/>
            </w:tcBorders>
            <w:noWrap w:val="0"/>
            <w:vAlign w:val="center"/>
          </w:tcPr>
          <w:p w14:paraId="19CF58AD">
            <w:pPr>
              <w:widowControl/>
              <w:autoSpaceDE/>
              <w:autoSpaceDN/>
              <w:jc w:val="center"/>
              <w:rPr>
                <w:rFonts w:hAnsi="宋体" w:cs="宋体"/>
                <w:color w:val="auto"/>
                <w:sz w:val="24"/>
                <w:szCs w:val="24"/>
                <w:lang w:eastAsia="zh-CN"/>
              </w:rPr>
            </w:pPr>
            <w:r>
              <w:rPr>
                <w:rFonts w:hint="eastAsia" w:hAnsi="宋体" w:cs="宋体"/>
                <w:color w:val="auto"/>
                <w:sz w:val="24"/>
                <w:szCs w:val="24"/>
                <w:lang w:eastAsia="zh-CN"/>
              </w:rPr>
              <w:t>万元/亩</w:t>
            </w:r>
          </w:p>
        </w:tc>
        <w:tc>
          <w:tcPr>
            <w:tcW w:w="854" w:type="pct"/>
            <w:tcBorders>
              <w:top w:val="nil"/>
              <w:left w:val="nil"/>
              <w:bottom w:val="single" w:color="auto" w:sz="4" w:space="0"/>
              <w:right w:val="single" w:color="auto" w:sz="4" w:space="0"/>
            </w:tcBorders>
            <w:noWrap w:val="0"/>
            <w:vAlign w:val="center"/>
          </w:tcPr>
          <w:p w14:paraId="6B5ACBA5">
            <w:pPr>
              <w:widowControl/>
              <w:autoSpaceDE/>
              <w:autoSpaceDN/>
              <w:jc w:val="center"/>
              <w:rPr>
                <w:rFonts w:ascii="Times New Roman" w:hAnsi="Times New Roman" w:cs="Times New Roman"/>
                <w:color w:val="auto"/>
                <w:sz w:val="24"/>
                <w:szCs w:val="24"/>
                <w:lang w:eastAsia="zh-CN"/>
              </w:rPr>
            </w:pPr>
            <w:r>
              <w:rPr>
                <w:rFonts w:ascii="Times New Roman" w:hAnsi="Times New Roman" w:cs="Times New Roman"/>
                <w:color w:val="auto"/>
                <w:sz w:val="24"/>
                <w:szCs w:val="24"/>
                <w:lang w:eastAsia="zh-CN"/>
              </w:rPr>
              <w:t>45</w:t>
            </w:r>
          </w:p>
        </w:tc>
        <w:tc>
          <w:tcPr>
            <w:tcW w:w="854" w:type="pct"/>
            <w:tcBorders>
              <w:top w:val="nil"/>
              <w:left w:val="nil"/>
              <w:bottom w:val="single" w:color="auto" w:sz="4" w:space="0"/>
              <w:right w:val="single" w:color="auto" w:sz="4" w:space="0"/>
            </w:tcBorders>
            <w:noWrap w:val="0"/>
            <w:vAlign w:val="center"/>
          </w:tcPr>
          <w:p w14:paraId="001FF5EC">
            <w:pPr>
              <w:widowControl/>
              <w:autoSpaceDE/>
              <w:autoSpaceDN/>
              <w:jc w:val="center"/>
              <w:rPr>
                <w:rFonts w:ascii="Times New Roman" w:hAnsi="Times New Roman" w:cs="Times New Roman"/>
                <w:color w:val="auto"/>
                <w:sz w:val="24"/>
                <w:szCs w:val="24"/>
                <w:lang w:eastAsia="zh-CN"/>
              </w:rPr>
            </w:pPr>
            <w:r>
              <w:rPr>
                <w:rFonts w:ascii="Times New Roman" w:hAnsi="Times New Roman" w:cs="Times New Roman"/>
                <w:color w:val="auto"/>
                <w:sz w:val="24"/>
                <w:szCs w:val="24"/>
                <w:lang w:eastAsia="zh-CN"/>
              </w:rPr>
              <w:t>40</w:t>
            </w:r>
          </w:p>
        </w:tc>
        <w:tc>
          <w:tcPr>
            <w:tcW w:w="851" w:type="pct"/>
            <w:tcBorders>
              <w:top w:val="nil"/>
              <w:left w:val="nil"/>
              <w:bottom w:val="single" w:color="auto" w:sz="4" w:space="0"/>
              <w:right w:val="single" w:color="auto" w:sz="4" w:space="0"/>
            </w:tcBorders>
            <w:noWrap w:val="0"/>
            <w:vAlign w:val="center"/>
          </w:tcPr>
          <w:p w14:paraId="5CE27786">
            <w:pPr>
              <w:widowControl/>
              <w:autoSpaceDE/>
              <w:autoSpaceDN/>
              <w:jc w:val="center"/>
              <w:rPr>
                <w:rFonts w:ascii="Times New Roman" w:hAnsi="Times New Roman" w:cs="Times New Roman"/>
                <w:color w:val="auto"/>
                <w:sz w:val="24"/>
                <w:szCs w:val="24"/>
                <w:lang w:eastAsia="zh-CN"/>
              </w:rPr>
            </w:pPr>
            <w:r>
              <w:rPr>
                <w:rFonts w:ascii="Times New Roman" w:hAnsi="Times New Roman" w:cs="Times New Roman"/>
                <w:color w:val="auto"/>
                <w:sz w:val="24"/>
                <w:szCs w:val="24"/>
                <w:lang w:eastAsia="zh-CN"/>
              </w:rPr>
              <w:t>35</w:t>
            </w:r>
          </w:p>
        </w:tc>
        <w:tc>
          <w:tcPr>
            <w:tcW w:w="904" w:type="pct"/>
            <w:tcBorders>
              <w:top w:val="nil"/>
              <w:left w:val="nil"/>
              <w:bottom w:val="single" w:color="auto" w:sz="4" w:space="0"/>
              <w:right w:val="single" w:color="auto" w:sz="4" w:space="0"/>
            </w:tcBorders>
            <w:noWrap w:val="0"/>
            <w:vAlign w:val="center"/>
          </w:tcPr>
          <w:p w14:paraId="01E9E066">
            <w:pPr>
              <w:widowControl/>
              <w:autoSpaceDE/>
              <w:autoSpaceDN/>
              <w:jc w:val="center"/>
              <w:rPr>
                <w:rFonts w:ascii="Times New Roman" w:hAnsi="Times New Roman" w:cs="Times New Roman"/>
                <w:color w:val="auto"/>
                <w:sz w:val="24"/>
                <w:szCs w:val="24"/>
                <w:lang w:eastAsia="zh-CN"/>
              </w:rPr>
            </w:pPr>
            <w:r>
              <w:rPr>
                <w:rFonts w:ascii="Times New Roman" w:hAnsi="Times New Roman" w:cs="Times New Roman"/>
                <w:color w:val="auto"/>
                <w:sz w:val="24"/>
                <w:szCs w:val="24"/>
                <w:lang w:eastAsia="zh-CN"/>
              </w:rPr>
              <w:t>30</w:t>
            </w:r>
          </w:p>
        </w:tc>
      </w:tr>
      <w:tr w14:paraId="65F4C464">
        <w:tblPrEx>
          <w:tblCellMar>
            <w:top w:w="0" w:type="dxa"/>
            <w:left w:w="0" w:type="dxa"/>
            <w:bottom w:w="0" w:type="dxa"/>
            <w:right w:w="0" w:type="dxa"/>
          </w:tblCellMar>
        </w:tblPrEx>
        <w:trPr>
          <w:trHeight w:val="1085" w:hRule="atLeast"/>
        </w:trPr>
        <w:tc>
          <w:tcPr>
            <w:tcW w:w="414" w:type="pct"/>
            <w:vMerge w:val="restart"/>
            <w:tcBorders>
              <w:top w:val="nil"/>
              <w:left w:val="single" w:color="auto" w:sz="4" w:space="0"/>
              <w:bottom w:val="single" w:color="000000" w:sz="4" w:space="0"/>
              <w:right w:val="single" w:color="auto" w:sz="4" w:space="0"/>
            </w:tcBorders>
            <w:noWrap w:val="0"/>
            <w:vAlign w:val="center"/>
          </w:tcPr>
          <w:p w14:paraId="20DE4EED">
            <w:pPr>
              <w:widowControl/>
              <w:autoSpaceDE/>
              <w:autoSpaceDN/>
              <w:jc w:val="center"/>
              <w:rPr>
                <w:rFonts w:hAnsi="宋体" w:cs="宋体"/>
                <w:color w:val="auto"/>
                <w:sz w:val="24"/>
                <w:szCs w:val="24"/>
                <w:lang w:eastAsia="zh-CN"/>
              </w:rPr>
            </w:pPr>
            <w:r>
              <w:rPr>
                <w:rFonts w:hint="eastAsia" w:hAnsi="宋体" w:cs="宋体"/>
                <w:color w:val="auto"/>
                <w:sz w:val="24"/>
                <w:szCs w:val="24"/>
                <w:lang w:eastAsia="zh-CN"/>
              </w:rPr>
              <w:t>公用设施用地</w:t>
            </w:r>
          </w:p>
        </w:tc>
        <w:tc>
          <w:tcPr>
            <w:tcW w:w="427" w:type="pct"/>
            <w:vMerge w:val="restart"/>
            <w:tcBorders>
              <w:top w:val="nil"/>
              <w:left w:val="single" w:color="auto" w:sz="4" w:space="0"/>
              <w:bottom w:val="single" w:color="auto" w:sz="4" w:space="0"/>
              <w:right w:val="single" w:color="auto" w:sz="4" w:space="0"/>
            </w:tcBorders>
            <w:noWrap w:val="0"/>
            <w:vAlign w:val="center"/>
          </w:tcPr>
          <w:p w14:paraId="62882A31">
            <w:pPr>
              <w:widowControl/>
              <w:autoSpaceDE/>
              <w:autoSpaceDN/>
              <w:jc w:val="center"/>
              <w:rPr>
                <w:rFonts w:hint="eastAsia" w:hAnsi="宋体" w:cs="宋体"/>
                <w:color w:val="auto"/>
                <w:sz w:val="24"/>
                <w:szCs w:val="24"/>
                <w:lang w:eastAsia="zh-CN"/>
              </w:rPr>
            </w:pPr>
            <w:r>
              <w:rPr>
                <w:rFonts w:hint="eastAsia" w:hAnsi="宋体" w:cs="宋体"/>
                <w:color w:val="auto"/>
                <w:sz w:val="24"/>
                <w:szCs w:val="24"/>
                <w:lang w:eastAsia="zh-CN"/>
              </w:rPr>
              <w:t>基准</w:t>
            </w:r>
          </w:p>
          <w:p w14:paraId="02C19399">
            <w:pPr>
              <w:widowControl/>
              <w:autoSpaceDE/>
              <w:autoSpaceDN/>
              <w:jc w:val="center"/>
              <w:rPr>
                <w:rFonts w:hAnsi="宋体" w:cs="宋体"/>
                <w:color w:val="auto"/>
                <w:sz w:val="24"/>
                <w:szCs w:val="24"/>
                <w:lang w:eastAsia="zh-CN"/>
              </w:rPr>
            </w:pPr>
            <w:r>
              <w:rPr>
                <w:rFonts w:hint="eastAsia" w:hAnsi="宋体" w:cs="宋体"/>
                <w:color w:val="auto"/>
                <w:sz w:val="24"/>
                <w:szCs w:val="24"/>
                <w:lang w:eastAsia="zh-CN"/>
              </w:rPr>
              <w:t>地价</w:t>
            </w:r>
          </w:p>
        </w:tc>
        <w:tc>
          <w:tcPr>
            <w:tcW w:w="692" w:type="pct"/>
            <w:tcBorders>
              <w:top w:val="nil"/>
              <w:left w:val="nil"/>
              <w:bottom w:val="single" w:color="auto" w:sz="4" w:space="0"/>
              <w:right w:val="single" w:color="auto" w:sz="4" w:space="0"/>
            </w:tcBorders>
            <w:noWrap w:val="0"/>
            <w:vAlign w:val="center"/>
          </w:tcPr>
          <w:p w14:paraId="2CC0228D">
            <w:pPr>
              <w:widowControl/>
              <w:autoSpaceDE/>
              <w:autoSpaceDN/>
              <w:jc w:val="center"/>
              <w:rPr>
                <w:rFonts w:hAnsi="宋体" w:cs="宋体"/>
                <w:color w:val="auto"/>
                <w:sz w:val="24"/>
                <w:szCs w:val="24"/>
                <w:lang w:eastAsia="zh-CN"/>
              </w:rPr>
            </w:pPr>
            <w:r>
              <w:rPr>
                <w:rFonts w:hint="eastAsia" w:hAnsi="宋体" w:cs="宋体"/>
                <w:color w:val="auto"/>
                <w:sz w:val="24"/>
                <w:szCs w:val="24"/>
                <w:lang w:eastAsia="zh-CN"/>
              </w:rPr>
              <w:t>元/m</w:t>
            </w:r>
            <w:r>
              <w:rPr>
                <w:rFonts w:hint="eastAsia" w:hAnsi="宋体" w:cs="宋体"/>
                <w:color w:val="auto"/>
                <w:sz w:val="24"/>
                <w:szCs w:val="24"/>
                <w:vertAlign w:val="superscript"/>
                <w:lang w:eastAsia="zh-CN"/>
              </w:rPr>
              <w:t>2</w:t>
            </w:r>
          </w:p>
        </w:tc>
        <w:tc>
          <w:tcPr>
            <w:tcW w:w="854" w:type="pct"/>
            <w:tcBorders>
              <w:top w:val="nil"/>
              <w:left w:val="nil"/>
              <w:bottom w:val="single" w:color="auto" w:sz="4" w:space="0"/>
              <w:right w:val="single" w:color="auto" w:sz="4" w:space="0"/>
            </w:tcBorders>
            <w:noWrap w:val="0"/>
            <w:vAlign w:val="center"/>
          </w:tcPr>
          <w:p w14:paraId="1ECAE5F4">
            <w:pPr>
              <w:widowControl/>
              <w:autoSpaceDE/>
              <w:autoSpaceDN/>
              <w:jc w:val="center"/>
              <w:rPr>
                <w:rFonts w:ascii="Times New Roman" w:hAnsi="Times New Roman" w:cs="Times New Roman"/>
                <w:color w:val="auto"/>
                <w:sz w:val="24"/>
                <w:szCs w:val="24"/>
                <w:lang w:eastAsia="zh-CN"/>
              </w:rPr>
            </w:pPr>
            <w:r>
              <w:rPr>
                <w:rFonts w:ascii="Times New Roman" w:hAnsi="Times New Roman" w:cs="Times New Roman"/>
                <w:color w:val="auto"/>
                <w:sz w:val="24"/>
                <w:szCs w:val="24"/>
                <w:lang w:eastAsia="zh-CN"/>
              </w:rPr>
              <w:t>435</w:t>
            </w:r>
          </w:p>
        </w:tc>
        <w:tc>
          <w:tcPr>
            <w:tcW w:w="854" w:type="pct"/>
            <w:tcBorders>
              <w:top w:val="nil"/>
              <w:left w:val="nil"/>
              <w:bottom w:val="single" w:color="auto" w:sz="4" w:space="0"/>
              <w:right w:val="single" w:color="auto" w:sz="4" w:space="0"/>
            </w:tcBorders>
            <w:noWrap w:val="0"/>
            <w:vAlign w:val="center"/>
          </w:tcPr>
          <w:p w14:paraId="1C3ED067">
            <w:pPr>
              <w:widowControl/>
              <w:autoSpaceDE/>
              <w:autoSpaceDN/>
              <w:jc w:val="center"/>
              <w:rPr>
                <w:rFonts w:ascii="Times New Roman" w:hAnsi="Times New Roman" w:cs="Times New Roman"/>
                <w:color w:val="auto"/>
                <w:sz w:val="24"/>
                <w:szCs w:val="24"/>
                <w:lang w:eastAsia="zh-CN"/>
              </w:rPr>
            </w:pPr>
            <w:r>
              <w:rPr>
                <w:rFonts w:ascii="Times New Roman" w:hAnsi="Times New Roman" w:cs="Times New Roman"/>
                <w:color w:val="auto"/>
                <w:sz w:val="24"/>
                <w:szCs w:val="24"/>
                <w:lang w:eastAsia="zh-CN"/>
              </w:rPr>
              <w:t>390</w:t>
            </w:r>
          </w:p>
        </w:tc>
        <w:tc>
          <w:tcPr>
            <w:tcW w:w="851" w:type="pct"/>
            <w:tcBorders>
              <w:top w:val="nil"/>
              <w:left w:val="nil"/>
              <w:bottom w:val="single" w:color="auto" w:sz="4" w:space="0"/>
              <w:right w:val="single" w:color="auto" w:sz="4" w:space="0"/>
            </w:tcBorders>
            <w:noWrap w:val="0"/>
            <w:vAlign w:val="center"/>
          </w:tcPr>
          <w:p w14:paraId="4F6BF085">
            <w:pPr>
              <w:widowControl/>
              <w:autoSpaceDE/>
              <w:autoSpaceDN/>
              <w:jc w:val="center"/>
              <w:rPr>
                <w:rFonts w:ascii="Times New Roman" w:hAnsi="Times New Roman" w:cs="Times New Roman"/>
                <w:color w:val="auto"/>
                <w:sz w:val="24"/>
                <w:szCs w:val="24"/>
                <w:lang w:eastAsia="zh-CN"/>
              </w:rPr>
            </w:pPr>
            <w:r>
              <w:rPr>
                <w:rFonts w:ascii="Times New Roman" w:hAnsi="Times New Roman" w:cs="Times New Roman"/>
                <w:color w:val="auto"/>
                <w:sz w:val="24"/>
                <w:szCs w:val="24"/>
                <w:lang w:eastAsia="zh-CN"/>
              </w:rPr>
              <w:t>345</w:t>
            </w:r>
          </w:p>
        </w:tc>
        <w:tc>
          <w:tcPr>
            <w:tcW w:w="904" w:type="pct"/>
            <w:tcBorders>
              <w:top w:val="nil"/>
              <w:left w:val="nil"/>
              <w:bottom w:val="single" w:color="auto" w:sz="4" w:space="0"/>
              <w:right w:val="single" w:color="auto" w:sz="4" w:space="0"/>
            </w:tcBorders>
            <w:noWrap w:val="0"/>
            <w:vAlign w:val="center"/>
          </w:tcPr>
          <w:p w14:paraId="707CAD59">
            <w:pPr>
              <w:widowControl/>
              <w:autoSpaceDE/>
              <w:autoSpaceDN/>
              <w:jc w:val="center"/>
              <w:rPr>
                <w:rFonts w:ascii="Times New Roman" w:hAnsi="Times New Roman" w:cs="Times New Roman"/>
                <w:color w:val="auto"/>
                <w:sz w:val="24"/>
                <w:szCs w:val="24"/>
                <w:lang w:eastAsia="zh-CN"/>
              </w:rPr>
            </w:pPr>
            <w:r>
              <w:rPr>
                <w:rFonts w:ascii="Times New Roman" w:hAnsi="Times New Roman" w:cs="Times New Roman"/>
                <w:color w:val="auto"/>
                <w:sz w:val="24"/>
                <w:szCs w:val="24"/>
                <w:lang w:eastAsia="zh-CN"/>
              </w:rPr>
              <w:t>285</w:t>
            </w:r>
          </w:p>
        </w:tc>
      </w:tr>
      <w:tr w14:paraId="22971B95">
        <w:tblPrEx>
          <w:tblCellMar>
            <w:top w:w="0" w:type="dxa"/>
            <w:left w:w="0" w:type="dxa"/>
            <w:bottom w:w="0" w:type="dxa"/>
            <w:right w:w="0" w:type="dxa"/>
          </w:tblCellMar>
        </w:tblPrEx>
        <w:trPr>
          <w:trHeight w:val="1102" w:hRule="atLeast"/>
        </w:trPr>
        <w:tc>
          <w:tcPr>
            <w:tcW w:w="414" w:type="pct"/>
            <w:vMerge w:val="continue"/>
            <w:tcBorders>
              <w:top w:val="nil"/>
              <w:left w:val="single" w:color="auto" w:sz="4" w:space="0"/>
              <w:bottom w:val="single" w:color="000000" w:sz="4" w:space="0"/>
              <w:right w:val="single" w:color="auto" w:sz="4" w:space="0"/>
            </w:tcBorders>
            <w:noWrap w:val="0"/>
            <w:vAlign w:val="center"/>
          </w:tcPr>
          <w:p w14:paraId="2375619A">
            <w:pPr>
              <w:widowControl/>
              <w:autoSpaceDE/>
              <w:autoSpaceDN/>
              <w:rPr>
                <w:rFonts w:hAnsi="宋体" w:cs="宋体"/>
                <w:color w:val="auto"/>
                <w:sz w:val="24"/>
                <w:szCs w:val="24"/>
                <w:lang w:eastAsia="zh-CN"/>
              </w:rPr>
            </w:pPr>
          </w:p>
        </w:tc>
        <w:tc>
          <w:tcPr>
            <w:tcW w:w="427" w:type="pct"/>
            <w:vMerge w:val="continue"/>
            <w:tcBorders>
              <w:top w:val="nil"/>
              <w:left w:val="single" w:color="auto" w:sz="4" w:space="0"/>
              <w:bottom w:val="single" w:color="auto" w:sz="4" w:space="0"/>
              <w:right w:val="single" w:color="auto" w:sz="4" w:space="0"/>
            </w:tcBorders>
            <w:noWrap w:val="0"/>
            <w:vAlign w:val="center"/>
          </w:tcPr>
          <w:p w14:paraId="100B682E">
            <w:pPr>
              <w:widowControl/>
              <w:autoSpaceDE/>
              <w:autoSpaceDN/>
              <w:rPr>
                <w:rFonts w:hAnsi="宋体" w:cs="宋体"/>
                <w:color w:val="auto"/>
                <w:sz w:val="24"/>
                <w:szCs w:val="24"/>
                <w:lang w:eastAsia="zh-CN"/>
              </w:rPr>
            </w:pPr>
          </w:p>
        </w:tc>
        <w:tc>
          <w:tcPr>
            <w:tcW w:w="692" w:type="pct"/>
            <w:tcBorders>
              <w:top w:val="nil"/>
              <w:left w:val="nil"/>
              <w:bottom w:val="single" w:color="auto" w:sz="4" w:space="0"/>
              <w:right w:val="single" w:color="auto" w:sz="4" w:space="0"/>
            </w:tcBorders>
            <w:noWrap w:val="0"/>
            <w:vAlign w:val="center"/>
          </w:tcPr>
          <w:p w14:paraId="28612FF1">
            <w:pPr>
              <w:widowControl/>
              <w:autoSpaceDE/>
              <w:autoSpaceDN/>
              <w:jc w:val="center"/>
              <w:rPr>
                <w:rFonts w:hAnsi="宋体" w:cs="宋体"/>
                <w:color w:val="auto"/>
                <w:sz w:val="24"/>
                <w:szCs w:val="24"/>
                <w:lang w:eastAsia="zh-CN"/>
              </w:rPr>
            </w:pPr>
            <w:r>
              <w:rPr>
                <w:rFonts w:hint="eastAsia" w:hAnsi="宋体" w:cs="宋体"/>
                <w:color w:val="auto"/>
                <w:sz w:val="24"/>
                <w:szCs w:val="24"/>
                <w:lang w:eastAsia="zh-CN"/>
              </w:rPr>
              <w:t>万元/亩</w:t>
            </w:r>
          </w:p>
        </w:tc>
        <w:tc>
          <w:tcPr>
            <w:tcW w:w="854" w:type="pct"/>
            <w:tcBorders>
              <w:top w:val="nil"/>
              <w:left w:val="nil"/>
              <w:bottom w:val="single" w:color="auto" w:sz="4" w:space="0"/>
              <w:right w:val="single" w:color="auto" w:sz="4" w:space="0"/>
            </w:tcBorders>
            <w:noWrap w:val="0"/>
            <w:vAlign w:val="center"/>
          </w:tcPr>
          <w:p w14:paraId="3868B700">
            <w:pPr>
              <w:widowControl/>
              <w:autoSpaceDE/>
              <w:autoSpaceDN/>
              <w:jc w:val="center"/>
              <w:rPr>
                <w:rFonts w:ascii="Times New Roman" w:hAnsi="Times New Roman" w:cs="Times New Roman"/>
                <w:color w:val="auto"/>
                <w:sz w:val="24"/>
                <w:szCs w:val="24"/>
                <w:lang w:eastAsia="zh-CN"/>
              </w:rPr>
            </w:pPr>
            <w:r>
              <w:rPr>
                <w:rFonts w:ascii="Times New Roman" w:hAnsi="Times New Roman" w:cs="Times New Roman"/>
                <w:color w:val="auto"/>
                <w:sz w:val="24"/>
                <w:szCs w:val="24"/>
                <w:lang w:eastAsia="zh-CN"/>
              </w:rPr>
              <w:t>29</w:t>
            </w:r>
          </w:p>
        </w:tc>
        <w:tc>
          <w:tcPr>
            <w:tcW w:w="854" w:type="pct"/>
            <w:tcBorders>
              <w:top w:val="nil"/>
              <w:left w:val="nil"/>
              <w:bottom w:val="single" w:color="auto" w:sz="4" w:space="0"/>
              <w:right w:val="single" w:color="auto" w:sz="4" w:space="0"/>
            </w:tcBorders>
            <w:noWrap w:val="0"/>
            <w:vAlign w:val="center"/>
          </w:tcPr>
          <w:p w14:paraId="7F6BD7B9">
            <w:pPr>
              <w:widowControl/>
              <w:autoSpaceDE/>
              <w:autoSpaceDN/>
              <w:jc w:val="center"/>
              <w:rPr>
                <w:rFonts w:ascii="Times New Roman" w:hAnsi="Times New Roman" w:cs="Times New Roman"/>
                <w:color w:val="auto"/>
                <w:sz w:val="24"/>
                <w:szCs w:val="24"/>
                <w:lang w:eastAsia="zh-CN"/>
              </w:rPr>
            </w:pPr>
            <w:r>
              <w:rPr>
                <w:rFonts w:ascii="Times New Roman" w:hAnsi="Times New Roman" w:cs="Times New Roman"/>
                <w:color w:val="auto"/>
                <w:sz w:val="24"/>
                <w:szCs w:val="24"/>
                <w:lang w:eastAsia="zh-CN"/>
              </w:rPr>
              <w:t>26</w:t>
            </w:r>
          </w:p>
        </w:tc>
        <w:tc>
          <w:tcPr>
            <w:tcW w:w="851" w:type="pct"/>
            <w:tcBorders>
              <w:top w:val="nil"/>
              <w:left w:val="nil"/>
              <w:bottom w:val="single" w:color="auto" w:sz="4" w:space="0"/>
              <w:right w:val="single" w:color="auto" w:sz="4" w:space="0"/>
            </w:tcBorders>
            <w:noWrap w:val="0"/>
            <w:vAlign w:val="center"/>
          </w:tcPr>
          <w:p w14:paraId="74A091F5">
            <w:pPr>
              <w:widowControl/>
              <w:autoSpaceDE/>
              <w:autoSpaceDN/>
              <w:jc w:val="center"/>
              <w:rPr>
                <w:rFonts w:ascii="Times New Roman" w:hAnsi="Times New Roman" w:cs="Times New Roman"/>
                <w:color w:val="auto"/>
                <w:sz w:val="24"/>
                <w:szCs w:val="24"/>
                <w:lang w:eastAsia="zh-CN"/>
              </w:rPr>
            </w:pPr>
            <w:r>
              <w:rPr>
                <w:rFonts w:ascii="Times New Roman" w:hAnsi="Times New Roman" w:cs="Times New Roman"/>
                <w:color w:val="auto"/>
                <w:sz w:val="24"/>
                <w:szCs w:val="24"/>
                <w:lang w:eastAsia="zh-CN"/>
              </w:rPr>
              <w:t>23</w:t>
            </w:r>
          </w:p>
        </w:tc>
        <w:tc>
          <w:tcPr>
            <w:tcW w:w="904" w:type="pct"/>
            <w:tcBorders>
              <w:top w:val="nil"/>
              <w:left w:val="nil"/>
              <w:bottom w:val="single" w:color="auto" w:sz="4" w:space="0"/>
              <w:right w:val="single" w:color="auto" w:sz="4" w:space="0"/>
            </w:tcBorders>
            <w:noWrap w:val="0"/>
            <w:vAlign w:val="center"/>
          </w:tcPr>
          <w:p w14:paraId="7CEC4556">
            <w:pPr>
              <w:widowControl/>
              <w:autoSpaceDE/>
              <w:autoSpaceDN/>
              <w:jc w:val="center"/>
              <w:rPr>
                <w:rFonts w:ascii="Times New Roman" w:hAnsi="Times New Roman" w:cs="Times New Roman"/>
                <w:color w:val="auto"/>
                <w:sz w:val="24"/>
                <w:szCs w:val="24"/>
                <w:lang w:eastAsia="zh-CN"/>
              </w:rPr>
            </w:pPr>
            <w:r>
              <w:rPr>
                <w:rFonts w:ascii="Times New Roman" w:hAnsi="Times New Roman" w:cs="Times New Roman"/>
                <w:color w:val="auto"/>
                <w:sz w:val="24"/>
                <w:szCs w:val="24"/>
                <w:lang w:eastAsia="zh-CN"/>
              </w:rPr>
              <w:t>19</w:t>
            </w:r>
          </w:p>
        </w:tc>
      </w:tr>
    </w:tbl>
    <w:p w14:paraId="7EDBA170">
      <w:pPr>
        <w:spacing w:line="240" w:lineRule="auto"/>
        <w:ind w:firstLine="360"/>
        <w:jc w:val="right"/>
        <w:rPr>
          <w:rStyle w:val="30"/>
          <w:rFonts w:hint="default" w:ascii="Times New Roman" w:hAnsi="Times New Roman" w:cs="Times New Roman"/>
        </w:rPr>
      </w:pPr>
    </w:p>
    <w:p w14:paraId="5D2E5FF7">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right="0" w:rightChars="0"/>
        <w:jc w:val="left"/>
        <w:textAlignment w:val="auto"/>
        <w:outlineLvl w:val="9"/>
        <w:rPr>
          <w:rFonts w:hint="eastAsia" w:ascii="Times New Roman" w:hAnsi="Times New Roman" w:eastAsia="宋体" w:cs="Times New Roman"/>
          <w:sz w:val="28"/>
          <w:szCs w:val="28"/>
          <w:lang w:val="en-US" w:eastAsia="zh-CN"/>
        </w:rPr>
      </w:pPr>
      <w:bookmarkStart w:id="5" w:name="_Toc12368127"/>
      <w:r>
        <w:rPr>
          <w:rFonts w:hint="default" w:ascii="Times New Roman" w:hAnsi="Times New Roman" w:eastAsia="宋体" w:cs="Times New Roman"/>
          <w:sz w:val="28"/>
          <w:szCs w:val="28"/>
        </w:rPr>
        <w:br w:type="page"/>
      </w:r>
      <w:bookmarkStart w:id="6" w:name="_Toc71620964"/>
      <w:r>
        <w:rPr>
          <w:rFonts w:hint="eastAsia" w:ascii="Times New Roman" w:hAnsi="Times New Roman" w:eastAsia="方正仿宋_GBK" w:cs="Times New Roman"/>
          <w:sz w:val="28"/>
          <w:szCs w:val="28"/>
          <w:lang w:val="en-US" w:eastAsia="zh-CN"/>
        </w:rPr>
        <w:t xml:space="preserve">附件3 </w:t>
      </w:r>
      <w:r>
        <w:rPr>
          <w:rFonts w:hint="default" w:ascii="Times New Roman" w:hAnsi="Times New Roman" w:eastAsia="方正仿宋_GBK" w:cs="Times New Roman"/>
          <w:sz w:val="28"/>
          <w:szCs w:val="28"/>
          <w:lang w:val="en-US" w:eastAsia="zh-CN"/>
        </w:rPr>
        <w:t xml:space="preserve">     石家庄市栾城区</w:t>
      </w:r>
      <w:r>
        <w:rPr>
          <w:rFonts w:hint="eastAsia" w:ascii="Times New Roman" w:hAnsi="Times New Roman" w:eastAsia="方正仿宋_GBK" w:cs="Times New Roman"/>
          <w:sz w:val="28"/>
          <w:szCs w:val="28"/>
          <w:lang w:val="en-US" w:eastAsia="zh-CN"/>
        </w:rPr>
        <w:t>城区</w:t>
      </w:r>
      <w:r>
        <w:rPr>
          <w:rFonts w:hint="default" w:ascii="Times New Roman" w:hAnsi="Times New Roman" w:eastAsia="方正仿宋_GBK" w:cs="Times New Roman"/>
          <w:sz w:val="28"/>
          <w:szCs w:val="28"/>
          <w:lang w:val="en-US" w:eastAsia="zh-CN"/>
        </w:rPr>
        <w:t>土地级别与基准地价修正体系</w:t>
      </w:r>
      <w:bookmarkEnd w:id="5"/>
      <w:bookmarkEnd w:id="6"/>
      <w:r>
        <w:rPr>
          <w:rFonts w:hint="eastAsia" w:ascii="Times New Roman" w:hAnsi="Times New Roman" w:eastAsia="方正仿宋_GBK" w:cs="Times New Roman"/>
          <w:sz w:val="28"/>
          <w:szCs w:val="28"/>
          <w:lang w:val="en-US" w:eastAsia="zh-CN"/>
        </w:rPr>
        <w:t>说明</w:t>
      </w:r>
    </w:p>
    <w:p w14:paraId="2672A261">
      <w:pPr>
        <w:spacing w:before="240" w:beforeLines="100" w:after="120" w:afterLines="50" w:line="360" w:lineRule="auto"/>
        <w:ind w:firstLine="562"/>
        <w:rPr>
          <w:rFonts w:hint="default" w:ascii="Times New Roman" w:hAnsi="Times New Roman" w:cs="Times New Roman"/>
          <w:b/>
          <w:sz w:val="28"/>
          <w:szCs w:val="28"/>
        </w:rPr>
      </w:pPr>
      <w:r>
        <w:rPr>
          <w:rFonts w:hint="default" w:ascii="Times New Roman" w:hAnsi="Times New Roman" w:cs="Times New Roman"/>
          <w:b/>
          <w:sz w:val="28"/>
          <w:szCs w:val="28"/>
        </w:rPr>
        <w:t>一、适用范围</w:t>
      </w:r>
    </w:p>
    <w:p w14:paraId="6BC1C81F">
      <w:pPr>
        <w:pStyle w:val="33"/>
        <w:ind w:firstLine="560"/>
        <w:rPr>
          <w:rFonts w:hAnsi="Times New Roman" w:cs="Times New Roman"/>
          <w:color w:val="auto"/>
        </w:rPr>
      </w:pPr>
      <w:bookmarkStart w:id="7" w:name="_Hlk69826124"/>
      <w:r>
        <w:rPr>
          <w:rFonts w:hint="default" w:ascii="Times New Roman" w:hAnsi="Times New Roman" w:cs="Times New Roman"/>
        </w:rPr>
        <w:t>本次公布的</w:t>
      </w:r>
      <w:bookmarkEnd w:id="7"/>
      <w:r>
        <w:rPr>
          <w:rFonts w:hAnsi="Times New Roman" w:cs="Times New Roman"/>
          <w:color w:val="auto"/>
        </w:rPr>
        <w:t>定级总面积为4164.35公顷，具体边界为：东至柴武大街，南至榆林村村北、柴武大街，西至复兴大街，北至乏马村村北，完整覆盖规划确定的城镇建设用地范围，同时严格衔接“三区三线”管控要求，无超规划、超管控范围的情况。</w:t>
      </w:r>
    </w:p>
    <w:p w14:paraId="33A3199E">
      <w:pPr>
        <w:spacing w:before="240" w:beforeLines="100" w:after="120" w:afterLines="50" w:line="360" w:lineRule="auto"/>
        <w:ind w:firstLine="562"/>
        <w:rPr>
          <w:rFonts w:hint="default" w:ascii="Times New Roman" w:hAnsi="Times New Roman" w:eastAsia="宋体" w:cs="Times New Roman"/>
          <w:b/>
          <w:sz w:val="28"/>
          <w:szCs w:val="28"/>
        </w:rPr>
      </w:pPr>
      <w:r>
        <w:rPr>
          <w:rFonts w:hint="default" w:ascii="Times New Roman" w:hAnsi="Times New Roman" w:eastAsia="宋体" w:cs="Times New Roman"/>
          <w:b/>
          <w:sz w:val="28"/>
          <w:szCs w:val="28"/>
        </w:rPr>
        <w:t>二、基准地价内涵</w:t>
      </w:r>
    </w:p>
    <w:p w14:paraId="2C7B1560">
      <w:pPr>
        <w:pStyle w:val="33"/>
        <w:spacing w:before="0" w:after="0"/>
        <w:ind w:firstLine="560"/>
        <w:rPr>
          <w:rFonts w:hAnsi="Times New Roman" w:cs="Times New Roman"/>
          <w:color w:val="auto"/>
        </w:rPr>
      </w:pPr>
      <w:r>
        <w:rPr>
          <w:rFonts w:hint="eastAsia" w:hAnsi="Times New Roman" w:cs="Times New Roman"/>
          <w:color w:val="auto"/>
          <w:lang w:val="en-US" w:eastAsia="zh-CN"/>
        </w:rPr>
        <w:t>1.</w:t>
      </w:r>
      <w:r>
        <w:rPr>
          <w:rFonts w:hAnsi="Times New Roman" w:cs="Times New Roman"/>
          <w:color w:val="auto"/>
        </w:rPr>
        <w:t>本次更新后的土地级别与基准地价为石家庄市栾城区城区范围内，按用途分级别</w:t>
      </w:r>
      <w:r>
        <w:rPr>
          <w:rFonts w:hAnsi="Times New Roman" w:cs="Times New Roman"/>
          <w:color w:val="auto"/>
          <w:spacing w:val="-3"/>
        </w:rPr>
        <w:t>在以下设定条件下的国有建设用地使用权平均价格：</w:t>
      </w:r>
    </w:p>
    <w:p w14:paraId="468250A2">
      <w:pPr>
        <w:pStyle w:val="33"/>
        <w:ind w:firstLine="560"/>
        <w:rPr>
          <w:rFonts w:hAnsi="Times New Roman" w:cs="Times New Roman"/>
          <w:color w:val="auto"/>
        </w:rPr>
      </w:pPr>
      <w:bookmarkStart w:id="8" w:name="_bookmark17"/>
      <w:bookmarkEnd w:id="8"/>
      <w:bookmarkStart w:id="9" w:name="（四）基准地价评估过程"/>
      <w:bookmarkEnd w:id="9"/>
      <w:r>
        <w:rPr>
          <w:rFonts w:hAnsi="Times New Roman" w:cs="Times New Roman"/>
          <w:color w:val="auto"/>
        </w:rPr>
        <w:t>（</w:t>
      </w:r>
      <w:r>
        <w:rPr>
          <w:rFonts w:hAnsi="Times New Roman" w:cs="Times New Roman"/>
          <w:color w:val="auto"/>
          <w:lang w:val="en-US"/>
        </w:rPr>
        <w:t>1</w:t>
      </w:r>
      <w:r>
        <w:rPr>
          <w:rFonts w:hAnsi="Times New Roman" w:cs="Times New Roman"/>
          <w:color w:val="auto"/>
        </w:rPr>
        <w:t>）</w:t>
      </w:r>
      <w:r>
        <w:rPr>
          <w:rFonts w:hAnsi="Times New Roman" w:cs="Times New Roman"/>
          <w:color w:val="auto"/>
          <w:lang w:val="en-US"/>
        </w:rPr>
        <w:t>基准地价评估</w:t>
      </w:r>
      <w:r>
        <w:rPr>
          <w:rFonts w:hAnsi="Times New Roman" w:cs="Times New Roman"/>
          <w:color w:val="auto"/>
        </w:rPr>
        <w:t>期日为2025年1月1日；</w:t>
      </w:r>
    </w:p>
    <w:p w14:paraId="59716844">
      <w:pPr>
        <w:pStyle w:val="33"/>
        <w:ind w:firstLine="560"/>
        <w:rPr>
          <w:rFonts w:hAnsi="Times New Roman" w:cs="Times New Roman"/>
          <w:color w:val="auto"/>
        </w:rPr>
      </w:pPr>
      <w:r>
        <w:rPr>
          <w:rFonts w:hAnsi="Times New Roman" w:cs="Times New Roman"/>
          <w:color w:val="auto"/>
        </w:rPr>
        <w:t>（</w:t>
      </w:r>
      <w:r>
        <w:rPr>
          <w:rFonts w:hAnsi="Times New Roman" w:cs="Times New Roman"/>
          <w:color w:val="auto"/>
          <w:lang w:val="en-US"/>
        </w:rPr>
        <w:t>2</w:t>
      </w:r>
      <w:r>
        <w:rPr>
          <w:rFonts w:hAnsi="Times New Roman" w:cs="Times New Roman"/>
          <w:color w:val="auto"/>
        </w:rPr>
        <w:t>）土地使用年限为各用途法定最高出让年限（商服用地40年、住宅用地70年、工业用地50年、公共管理与公共服务用地50年、公用设施用地50年）；</w:t>
      </w:r>
    </w:p>
    <w:p w14:paraId="079A43E3">
      <w:pPr>
        <w:pStyle w:val="33"/>
        <w:ind w:firstLine="560"/>
        <w:rPr>
          <w:rFonts w:hAnsi="Times New Roman" w:cs="Times New Roman"/>
          <w:color w:val="auto"/>
        </w:rPr>
      </w:pPr>
      <w:r>
        <w:rPr>
          <w:rFonts w:hAnsi="Times New Roman" w:cs="Times New Roman"/>
          <w:color w:val="auto"/>
        </w:rPr>
        <w:t>（</w:t>
      </w:r>
      <w:r>
        <w:rPr>
          <w:rFonts w:hAnsi="Times New Roman" w:cs="Times New Roman"/>
          <w:color w:val="auto"/>
          <w:lang w:val="en-US"/>
        </w:rPr>
        <w:t>3</w:t>
      </w:r>
      <w:r>
        <w:rPr>
          <w:rFonts w:hAnsi="Times New Roman" w:cs="Times New Roman"/>
          <w:color w:val="auto"/>
        </w:rPr>
        <w:t>）容积率为各用途的平均容积率，容积率统一设定为商服用地2.0、住宅用地2.0、工业用地1.</w:t>
      </w:r>
      <w:r>
        <w:rPr>
          <w:rFonts w:hAnsi="Times New Roman" w:cs="Times New Roman"/>
          <w:color w:val="auto"/>
          <w:lang w:val="en-US"/>
        </w:rPr>
        <w:t>0</w:t>
      </w:r>
      <w:r>
        <w:rPr>
          <w:rFonts w:hAnsi="Times New Roman" w:cs="Times New Roman"/>
          <w:color w:val="auto"/>
        </w:rPr>
        <w:t>、公共管理与公共服务用地1.5、公用设施用地1.0；</w:t>
      </w:r>
    </w:p>
    <w:p w14:paraId="318AB061">
      <w:pPr>
        <w:pStyle w:val="33"/>
        <w:ind w:firstLine="560"/>
        <w:rPr>
          <w:rFonts w:hAnsi="Times New Roman" w:cs="Times New Roman"/>
          <w:color w:val="auto"/>
        </w:rPr>
      </w:pPr>
      <w:r>
        <w:rPr>
          <w:rFonts w:hAnsi="Times New Roman" w:cs="Times New Roman"/>
          <w:color w:val="auto"/>
        </w:rPr>
        <w:t>（</w:t>
      </w:r>
      <w:r>
        <w:rPr>
          <w:rFonts w:hAnsi="Times New Roman" w:cs="Times New Roman"/>
          <w:color w:val="auto"/>
          <w:lang w:val="en-US"/>
        </w:rPr>
        <w:t>4</w:t>
      </w:r>
      <w:r>
        <w:rPr>
          <w:rFonts w:hAnsi="Times New Roman" w:cs="Times New Roman"/>
          <w:color w:val="auto"/>
        </w:rPr>
        <w:t>）土地开发程度为“七通一平”（宗地外通路、通电、通讯、排水、供水、供热、供气及宗地内土地平整）。</w:t>
      </w:r>
    </w:p>
    <w:p w14:paraId="71C4CD3B">
      <w:pPr>
        <w:pStyle w:val="33"/>
        <w:ind w:firstLine="560"/>
        <w:rPr>
          <w:rFonts w:hAnsi="Times New Roman" w:cs="Times New Roman"/>
          <w:color w:val="auto"/>
        </w:rPr>
      </w:pPr>
      <w:r>
        <w:rPr>
          <w:rFonts w:hAnsi="Times New Roman" w:cs="Times New Roman"/>
          <w:color w:val="auto"/>
        </w:rPr>
        <w:t>2.按照《国土空间调查、规划、用途管制用地用海分类指南》（自然资发〔2023〕234号），公共管理与公共服务用地包括机关团体用地、科研用地、文化用地、教育用地、体育用地、医疗卫生用地、社会福利用地等7个类别，公用设施用地包括供水用地、排水用地、供电用地、供燃气用地、供热用地、通信用地、邮政用地、广播电视设施用地、环卫用地、消防用地、水工设施用地、其他公用设施用地等12类。</w:t>
      </w:r>
    </w:p>
    <w:p w14:paraId="696F56CF">
      <w:pPr>
        <w:pStyle w:val="33"/>
        <w:ind w:firstLine="560"/>
        <w:rPr>
          <w:rFonts w:hAnsi="Times New Roman" w:cs="Times New Roman"/>
          <w:color w:val="auto"/>
          <w:lang w:val="en-US"/>
        </w:rPr>
      </w:pPr>
      <w:r>
        <w:rPr>
          <w:rFonts w:hAnsi="Times New Roman" w:cs="Times New Roman"/>
          <w:color w:val="auto"/>
          <w:lang w:val="en-US"/>
        </w:rPr>
        <w:t>3.楼面地价是特殊的土地单价，即单位建筑面积平均分摊的土地价格。楼面地价是房价的主要组成部分之一，与建造成本、开发利润、相关税费等共同构成了商品房的市场价值。</w:t>
      </w:r>
    </w:p>
    <w:p w14:paraId="05A846B9">
      <w:pPr>
        <w:pStyle w:val="33"/>
        <w:ind w:firstLine="560"/>
        <w:rPr>
          <w:rFonts w:hAnsi="Times New Roman" w:cs="Times New Roman"/>
          <w:color w:val="auto"/>
          <w:lang w:val="en-US"/>
        </w:rPr>
      </w:pPr>
      <w:r>
        <w:rPr>
          <w:rFonts w:hAnsi="Times New Roman" w:cs="Times New Roman"/>
          <w:color w:val="auto"/>
          <w:lang w:val="en-US"/>
        </w:rPr>
        <w:t>楼面地价的计算公式：楼面地价=土地总价÷规划建筑面积=土地单价/规划容积率。</w:t>
      </w:r>
    </w:p>
    <w:p w14:paraId="3F45830D">
      <w:pPr>
        <w:spacing w:before="240" w:beforeLines="100" w:after="120" w:afterLines="50" w:line="360" w:lineRule="auto"/>
        <w:ind w:firstLine="562"/>
        <w:rPr>
          <w:rFonts w:hint="default" w:ascii="Times New Roman" w:hAnsi="Times New Roman" w:eastAsia="宋体" w:cs="Times New Roman"/>
          <w:b/>
          <w:sz w:val="28"/>
          <w:szCs w:val="28"/>
        </w:rPr>
      </w:pPr>
      <w:r>
        <w:rPr>
          <w:rFonts w:hint="default" w:ascii="Times New Roman" w:hAnsi="Times New Roman" w:eastAsia="宋体" w:cs="Times New Roman"/>
          <w:b/>
          <w:sz w:val="28"/>
          <w:szCs w:val="28"/>
        </w:rPr>
        <w:t>三、基准地价的应用</w:t>
      </w:r>
    </w:p>
    <w:p w14:paraId="001DFA1D">
      <w:pPr>
        <w:pStyle w:val="33"/>
        <w:spacing w:before="0" w:after="0"/>
        <w:ind w:firstLine="548"/>
        <w:rPr>
          <w:rFonts w:hAnsi="Times New Roman" w:cs="Times New Roman"/>
          <w:color w:val="auto"/>
          <w:spacing w:val="-3"/>
        </w:rPr>
      </w:pPr>
      <w:r>
        <w:rPr>
          <w:rFonts w:hAnsi="Times New Roman" w:cs="Times New Roman"/>
          <w:color w:val="auto"/>
          <w:spacing w:val="-3"/>
        </w:rPr>
        <w:t>基准地价修正系数表是采用替代原理，建立基准地价、宗地地价及其影响因素之间相关关系的表格体系，编制基准地价在不同因素条件下修正为宗地地价的系数体系便于在宗地条件调查的基础上，按对应的修正系数，快速、高效地评估宗地地价。</w:t>
      </w:r>
    </w:p>
    <w:p w14:paraId="3881077D">
      <w:pPr>
        <w:pStyle w:val="48"/>
        <w:numPr>
          <w:ilvl w:val="0"/>
          <w:numId w:val="0"/>
        </w:numPr>
        <w:ind w:left="-142" w:leftChars="0"/>
        <w:rPr>
          <w:rFonts w:hAnsi="Times New Roman" w:cs="Times New Roman"/>
          <w:color w:val="auto"/>
        </w:rPr>
      </w:pPr>
      <w:r>
        <w:rPr>
          <w:rFonts w:hint="eastAsia" w:ascii="Times New Roman" w:hAnsi="Times New Roman" w:cs="Times New Roman"/>
          <w:color w:val="000000"/>
          <w:szCs w:val="28"/>
          <w:lang w:val="en-US" w:eastAsia="zh-CN"/>
        </w:rPr>
        <w:t>1.</w:t>
      </w:r>
      <w:r>
        <w:rPr>
          <w:rFonts w:hAnsi="Times New Roman" w:cs="Times New Roman"/>
          <w:color w:val="auto"/>
        </w:rPr>
        <w:t>宗地地价影响因素的选择及权重的确定</w:t>
      </w:r>
    </w:p>
    <w:p w14:paraId="10B49A2B">
      <w:pPr>
        <w:pStyle w:val="33"/>
        <w:spacing w:before="0" w:after="0"/>
        <w:ind w:firstLine="520"/>
        <w:rPr>
          <w:rFonts w:hAnsi="Times New Roman" w:cs="Times New Roman"/>
          <w:color w:val="auto"/>
          <w:spacing w:val="-5"/>
        </w:rPr>
      </w:pPr>
      <w:r>
        <w:rPr>
          <w:rFonts w:hAnsi="Times New Roman" w:cs="Times New Roman"/>
          <w:color w:val="auto"/>
          <w:spacing w:val="-10"/>
        </w:rPr>
        <w:t>在参考《城镇土地分等定级规程》（GB/T18507-2014）中相关要求的基础上，根据石家庄市栾城区城区实际情况，确定各类用地的影响因素因子。根据实际情况，采用特尔斐法确定宗地地价修正因素及权重</w:t>
      </w:r>
      <w:r>
        <w:rPr>
          <w:rFonts w:hAnsi="Times New Roman" w:cs="Times New Roman"/>
          <w:color w:val="auto"/>
          <w:spacing w:val="-5"/>
        </w:rPr>
        <w:t>。</w:t>
      </w:r>
    </w:p>
    <w:p w14:paraId="2CA4BCE2">
      <w:pPr>
        <w:pStyle w:val="48"/>
        <w:numPr>
          <w:ilvl w:val="0"/>
          <w:numId w:val="0"/>
        </w:numPr>
        <w:ind w:left="-142" w:leftChars="0"/>
        <w:rPr>
          <w:rFonts w:hAnsi="Times New Roman" w:cs="Times New Roman"/>
          <w:color w:val="auto"/>
        </w:rPr>
      </w:pPr>
      <w:r>
        <w:rPr>
          <w:rFonts w:hint="eastAsia" w:ascii="Times New Roman" w:hAnsi="Times New Roman" w:cs="Times New Roman"/>
          <w:color w:val="000000"/>
          <w:szCs w:val="28"/>
          <w:lang w:val="en-US" w:eastAsia="zh-CN"/>
        </w:rPr>
        <w:t>2.</w:t>
      </w:r>
      <w:r>
        <w:rPr>
          <w:rFonts w:hAnsi="Times New Roman" w:cs="Times New Roman"/>
          <w:color w:val="auto"/>
        </w:rPr>
        <w:t>地价修正幅度</w:t>
      </w:r>
    </w:p>
    <w:p w14:paraId="323ED0D4">
      <w:pPr>
        <w:pStyle w:val="33"/>
        <w:spacing w:before="0" w:after="0"/>
        <w:ind w:firstLine="560"/>
        <w:rPr>
          <w:rFonts w:hAnsi="Times New Roman" w:cs="Times New Roman"/>
          <w:color w:val="auto"/>
        </w:rPr>
      </w:pPr>
      <w:r>
        <w:rPr>
          <w:rFonts w:hAnsi="Times New Roman" w:cs="Times New Roman"/>
          <w:color w:val="auto"/>
        </w:rPr>
        <w:t>根据《城镇土地估价规程》</w:t>
      </w:r>
      <w:r>
        <w:rPr>
          <w:rFonts w:hAnsi="Times New Roman" w:cs="Times New Roman"/>
          <w:color w:val="auto"/>
          <w:spacing w:val="-10"/>
        </w:rPr>
        <w:t>（GB/T18508-2014）</w:t>
      </w:r>
      <w:r>
        <w:rPr>
          <w:rFonts w:hAnsi="Times New Roman" w:cs="Times New Roman"/>
          <w:color w:val="auto"/>
        </w:rPr>
        <w:t>，因素修正总幅度值确定以级别为单位，调查各级别内正常地价的最高样点组平均值、最低样点组平均值</w:t>
      </w:r>
      <w:r>
        <w:rPr>
          <w:rFonts w:hAnsi="Times New Roman" w:cs="Times New Roman"/>
          <w:color w:val="auto"/>
          <w:spacing w:val="-4"/>
        </w:rPr>
        <w:t>与基准地价作相对值比较确定。计算公式如下：</w:t>
      </w:r>
    </w:p>
    <w:p w14:paraId="45D0A169">
      <w:pPr>
        <w:pStyle w:val="33"/>
        <w:spacing w:before="0" w:after="0"/>
        <w:ind w:firstLine="560"/>
        <w:rPr>
          <w:rFonts w:hAnsi="Times New Roman" w:cs="Times New Roman"/>
          <w:color w:val="auto"/>
        </w:rPr>
      </w:pPr>
      <w:r>
        <w:rPr>
          <w:rFonts w:hAnsi="Times New Roman" w:cs="Times New Roman"/>
          <w:color w:val="auto"/>
        </w:rPr>
        <w:t>上调最大幅度的计算公式为：优</w:t>
      </w:r>
    </w:p>
    <w:p w14:paraId="132890FA">
      <w:pPr>
        <w:pStyle w:val="33"/>
        <w:spacing w:before="0" w:after="0" w:line="240" w:lineRule="auto"/>
        <w:ind w:firstLine="0" w:firstLineChars="0"/>
        <w:jc w:val="center"/>
        <w:rPr>
          <w:rFonts w:hAnsi="Times New Roman" w:cs="Times New Roman"/>
          <w:color w:val="auto"/>
        </w:rPr>
      </w:pPr>
      <w:r>
        <w:rPr>
          <w:rFonts w:hAnsi="Times New Roman" w:cs="Times New Roman"/>
          <w:color w:val="auto"/>
          <w:lang w:val="en-US" w:bidi="ar-SA"/>
        </w:rPr>
        <w:drawing>
          <wp:inline distT="0" distB="0" distL="114300" distR="114300">
            <wp:extent cx="1645920" cy="499745"/>
            <wp:effectExtent l="0" t="0" r="11430" b="14605"/>
            <wp:docPr id="16" name="图片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图片 26"/>
                    <pic:cNvPicPr>
                      <a:picLocks noChangeAspect="1"/>
                    </pic:cNvPicPr>
                  </pic:nvPicPr>
                  <pic:blipFill>
                    <a:blip r:embed="rId11"/>
                    <a:stretch>
                      <a:fillRect/>
                    </a:stretch>
                  </pic:blipFill>
                  <pic:spPr>
                    <a:xfrm>
                      <a:off x="0" y="0"/>
                      <a:ext cx="1645920" cy="499745"/>
                    </a:xfrm>
                    <a:prstGeom prst="rect">
                      <a:avLst/>
                    </a:prstGeom>
                    <a:noFill/>
                    <a:ln>
                      <a:noFill/>
                    </a:ln>
                  </pic:spPr>
                </pic:pic>
              </a:graphicData>
            </a:graphic>
          </wp:inline>
        </w:drawing>
      </w:r>
    </w:p>
    <w:p w14:paraId="33C806AA">
      <w:pPr>
        <w:pStyle w:val="33"/>
        <w:spacing w:before="0" w:after="0"/>
        <w:ind w:firstLine="560"/>
        <w:rPr>
          <w:rFonts w:hAnsi="Times New Roman" w:cs="Times New Roman"/>
          <w:color w:val="auto"/>
        </w:rPr>
      </w:pPr>
      <w:r>
        <w:rPr>
          <w:rFonts w:hAnsi="Times New Roman" w:cs="Times New Roman"/>
          <w:color w:val="auto"/>
        </w:rPr>
        <w:t>下调最大幅度的计算公式为：劣</w:t>
      </w:r>
    </w:p>
    <w:p w14:paraId="556FB38D">
      <w:pPr>
        <w:pStyle w:val="33"/>
        <w:spacing w:before="0" w:after="0" w:line="240" w:lineRule="auto"/>
        <w:ind w:firstLine="0" w:firstLineChars="0"/>
        <w:jc w:val="center"/>
        <w:rPr>
          <w:rFonts w:hAnsi="Times New Roman" w:cs="Times New Roman"/>
          <w:color w:val="auto"/>
          <w:spacing w:val="-4"/>
        </w:rPr>
      </w:pPr>
      <w:r>
        <w:rPr>
          <w:rFonts w:hAnsi="Times New Roman" w:cs="Times New Roman"/>
          <w:color w:val="auto"/>
          <w:lang w:val="en-US" w:bidi="ar-SA"/>
        </w:rPr>
        <w:drawing>
          <wp:inline distT="0" distB="0" distL="114300" distR="114300">
            <wp:extent cx="1590040" cy="567690"/>
            <wp:effectExtent l="0" t="0" r="10160" b="3810"/>
            <wp:docPr id="15" name="图片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图片 27"/>
                    <pic:cNvPicPr>
                      <a:picLocks noChangeAspect="1"/>
                    </pic:cNvPicPr>
                  </pic:nvPicPr>
                  <pic:blipFill>
                    <a:blip r:embed="rId12"/>
                    <a:stretch>
                      <a:fillRect/>
                    </a:stretch>
                  </pic:blipFill>
                  <pic:spPr>
                    <a:xfrm>
                      <a:off x="0" y="0"/>
                      <a:ext cx="1590040" cy="567690"/>
                    </a:xfrm>
                    <a:prstGeom prst="rect">
                      <a:avLst/>
                    </a:prstGeom>
                    <a:noFill/>
                    <a:ln>
                      <a:noFill/>
                    </a:ln>
                  </pic:spPr>
                </pic:pic>
              </a:graphicData>
            </a:graphic>
          </wp:inline>
        </w:drawing>
      </w:r>
    </w:p>
    <w:p w14:paraId="14870E1D">
      <w:pPr>
        <w:pStyle w:val="33"/>
        <w:spacing w:before="0" w:after="0"/>
        <w:ind w:firstLine="560"/>
        <w:rPr>
          <w:rFonts w:hAnsi="Times New Roman" w:cs="Times New Roman"/>
          <w:color w:val="auto"/>
        </w:rPr>
      </w:pPr>
      <w:r>
        <w:rPr>
          <w:rFonts w:hAnsi="Times New Roman" w:cs="Times New Roman"/>
          <w:color w:val="auto"/>
        </w:rPr>
        <w:t>式中：</w:t>
      </w:r>
      <w:r>
        <w:rPr>
          <w:rFonts w:hAnsi="Times New Roman" w:cs="Times New Roman"/>
          <w:i/>
          <w:iCs/>
          <w:color w:val="auto"/>
        </w:rPr>
        <w:t>F</w:t>
      </w:r>
      <w:r>
        <w:rPr>
          <w:rFonts w:hAnsi="Times New Roman" w:cs="Times New Roman"/>
          <w:color w:val="auto"/>
        </w:rPr>
        <w:t>—基准地价上调最大幅度；</w:t>
      </w:r>
    </w:p>
    <w:p w14:paraId="4F363712">
      <w:pPr>
        <w:pStyle w:val="33"/>
        <w:spacing w:before="0" w:after="0"/>
        <w:ind w:firstLine="1400" w:firstLineChars="500"/>
        <w:rPr>
          <w:rFonts w:hAnsi="Times New Roman" w:cs="Times New Roman"/>
          <w:color w:val="auto"/>
        </w:rPr>
      </w:pPr>
      <w:r>
        <w:rPr>
          <w:rFonts w:hAnsi="Times New Roman" w:cs="Times New Roman"/>
          <w:i/>
          <w:iCs/>
          <w:color w:val="auto"/>
        </w:rPr>
        <w:t>F</w:t>
      </w:r>
      <w:r>
        <w:rPr>
          <w:rFonts w:hAnsi="Times New Roman" w:cs="Times New Roman"/>
          <w:i/>
          <w:iCs/>
          <w:color w:val="auto"/>
          <w:vertAlign w:val="subscript"/>
        </w:rPr>
        <w:t>2</w:t>
      </w:r>
      <w:r>
        <w:rPr>
          <w:rFonts w:hAnsi="Times New Roman" w:cs="Times New Roman"/>
          <w:color w:val="auto"/>
        </w:rPr>
        <w:t>—基准地价下调最大幅度；</w:t>
      </w:r>
    </w:p>
    <w:p w14:paraId="2473EDEB">
      <w:pPr>
        <w:pStyle w:val="33"/>
        <w:spacing w:before="0" w:after="0"/>
        <w:ind w:firstLine="1400" w:firstLineChars="500"/>
        <w:rPr>
          <w:rFonts w:hAnsi="Times New Roman" w:cs="Times New Roman"/>
          <w:color w:val="auto"/>
        </w:rPr>
      </w:pPr>
      <w:r>
        <w:rPr>
          <w:rFonts w:hAnsi="Times New Roman" w:cs="Times New Roman"/>
          <w:i/>
          <w:iCs/>
          <w:color w:val="auto"/>
        </w:rPr>
        <w:t>I</w:t>
      </w:r>
      <w:r>
        <w:rPr>
          <w:rFonts w:hAnsi="Times New Roman" w:cs="Times New Roman"/>
          <w:i/>
          <w:iCs/>
          <w:color w:val="auto"/>
          <w:vertAlign w:val="subscript"/>
        </w:rPr>
        <w:t>nh</w:t>
      </w:r>
      <w:r>
        <w:rPr>
          <w:rFonts w:hAnsi="Times New Roman" w:cs="Times New Roman"/>
          <w:color w:val="auto"/>
        </w:rPr>
        <w:t>—级别正常样本地价最高值；</w:t>
      </w:r>
    </w:p>
    <w:p w14:paraId="17254602">
      <w:pPr>
        <w:pStyle w:val="33"/>
        <w:spacing w:before="0" w:after="0"/>
        <w:ind w:firstLine="1400" w:firstLineChars="500"/>
        <w:rPr>
          <w:rFonts w:hAnsi="Times New Roman" w:cs="Times New Roman"/>
          <w:color w:val="auto"/>
        </w:rPr>
      </w:pPr>
      <w:r>
        <w:rPr>
          <w:rFonts w:hAnsi="Times New Roman" w:cs="Times New Roman"/>
          <w:i/>
          <w:iCs/>
          <w:color w:val="auto"/>
        </w:rPr>
        <w:t>I</w:t>
      </w:r>
      <w:r>
        <w:rPr>
          <w:rFonts w:hAnsi="Times New Roman" w:cs="Times New Roman"/>
          <w:i/>
          <w:iCs/>
          <w:color w:val="auto"/>
          <w:vertAlign w:val="subscript"/>
        </w:rPr>
        <w:t>nl</w:t>
      </w:r>
      <w:r>
        <w:rPr>
          <w:rFonts w:hAnsi="Times New Roman" w:cs="Times New Roman"/>
          <w:color w:val="auto"/>
        </w:rPr>
        <w:t>—级别正常样本地价最低值；</w:t>
      </w:r>
    </w:p>
    <w:p w14:paraId="7D25C49A">
      <w:pPr>
        <w:pStyle w:val="33"/>
        <w:spacing w:before="0" w:after="0"/>
        <w:ind w:firstLine="1400" w:firstLineChars="500"/>
        <w:rPr>
          <w:rFonts w:hAnsi="Times New Roman" w:cs="Times New Roman"/>
          <w:color w:val="auto"/>
        </w:rPr>
      </w:pPr>
      <w:r>
        <w:rPr>
          <w:rFonts w:hAnsi="Times New Roman" w:cs="Times New Roman"/>
          <w:i/>
          <w:iCs/>
          <w:color w:val="auto"/>
        </w:rPr>
        <w:t>I</w:t>
      </w:r>
      <w:r>
        <w:rPr>
          <w:rFonts w:hAnsi="Times New Roman" w:cs="Times New Roman"/>
          <w:i/>
          <w:iCs/>
          <w:color w:val="auto"/>
          <w:vertAlign w:val="subscript"/>
        </w:rPr>
        <w:t>lb</w:t>
      </w:r>
      <w:r>
        <w:rPr>
          <w:rFonts w:hAnsi="Times New Roman" w:cs="Times New Roman"/>
          <w:color w:val="auto"/>
        </w:rPr>
        <w:t>—基准地价。</w:t>
      </w:r>
    </w:p>
    <w:p w14:paraId="78D01DEA">
      <w:pPr>
        <w:pStyle w:val="48"/>
        <w:numPr>
          <w:ilvl w:val="0"/>
          <w:numId w:val="0"/>
        </w:numPr>
        <w:rPr>
          <w:rFonts w:hAnsi="Times New Roman" w:cs="Times New Roman"/>
          <w:color w:val="auto"/>
          <w:lang w:val="en-US"/>
        </w:rPr>
      </w:pPr>
      <w:r>
        <w:rPr>
          <w:rFonts w:hint="eastAsia" w:hAnsi="Times New Roman" w:cs="Times New Roman"/>
          <w:color w:val="000000"/>
          <w:szCs w:val="28"/>
          <w:lang w:val="en-US" w:eastAsia="zh-CN"/>
        </w:rPr>
        <w:t>3.</w:t>
      </w:r>
      <w:r>
        <w:rPr>
          <w:rFonts w:hAnsi="Times New Roman" w:cs="Times New Roman"/>
          <w:color w:val="auto"/>
        </w:rPr>
        <w:t>各因素修正幅度值确定</w:t>
      </w:r>
    </w:p>
    <w:p w14:paraId="0EBB5964">
      <w:pPr>
        <w:pStyle w:val="33"/>
        <w:spacing w:before="0" w:after="0"/>
        <w:ind w:firstLine="572"/>
        <w:rPr>
          <w:rFonts w:hAnsi="Times New Roman" w:cs="Times New Roman"/>
          <w:color w:val="auto"/>
        </w:rPr>
      </w:pPr>
      <w:r>
        <w:rPr>
          <w:rFonts w:hAnsi="Times New Roman" w:cs="Times New Roman"/>
          <w:color w:val="auto"/>
          <w:spacing w:val="3"/>
        </w:rPr>
        <w:t>各因素修正幅度值确定，根据不同用途各因素对地价的影响程</w:t>
      </w:r>
      <w:r>
        <w:rPr>
          <w:rFonts w:hAnsi="Times New Roman" w:cs="Times New Roman"/>
          <w:color w:val="auto"/>
        </w:rPr>
        <w:t>度，按以下公式计算各因素的修正幅度，并通过样本地价的检验、校</w:t>
      </w:r>
      <w:r>
        <w:rPr>
          <w:rFonts w:hAnsi="Times New Roman" w:cs="Times New Roman"/>
          <w:color w:val="auto"/>
          <w:spacing w:val="-4"/>
        </w:rPr>
        <w:t>正。计算公式如下：</w:t>
      </w:r>
    </w:p>
    <w:p w14:paraId="7EC2806A">
      <w:pPr>
        <w:spacing w:line="560" w:lineRule="exact"/>
        <w:jc w:val="center"/>
        <w:rPr>
          <w:rFonts w:ascii="Times New Roman" w:hAnsi="Times New Roman" w:cs="Times New Roman"/>
          <w:i/>
          <w:color w:val="auto"/>
          <w:sz w:val="24"/>
          <w:szCs w:val="24"/>
          <w:lang w:eastAsia="zh-CN"/>
        </w:rPr>
      </w:pPr>
      <w:r>
        <w:rPr>
          <w:rFonts w:ascii="Times New Roman" w:hAnsi="Times New Roman" w:cs="Times New Roman"/>
          <w:i/>
          <w:color w:val="auto"/>
          <w:sz w:val="24"/>
          <w:szCs w:val="24"/>
          <w:lang w:eastAsia="zh-CN"/>
        </w:rPr>
        <w:t>F</w:t>
      </w:r>
      <w:r>
        <w:rPr>
          <w:rFonts w:ascii="Times New Roman" w:hAnsi="Times New Roman" w:cs="Times New Roman"/>
          <w:color w:val="auto"/>
          <w:position w:val="-5"/>
          <w:sz w:val="24"/>
          <w:szCs w:val="24"/>
          <w:lang w:eastAsia="zh-CN"/>
        </w:rPr>
        <w:t>1</w:t>
      </w:r>
      <w:r>
        <w:rPr>
          <w:rFonts w:ascii="Times New Roman" w:hAnsi="Times New Roman" w:cs="Times New Roman"/>
          <w:i/>
          <w:color w:val="auto"/>
          <w:position w:val="-5"/>
          <w:sz w:val="24"/>
          <w:szCs w:val="24"/>
          <w:lang w:eastAsia="zh-CN"/>
        </w:rPr>
        <w:t>i</w:t>
      </w:r>
      <w:r>
        <w:rPr>
          <w:rFonts w:ascii="Times New Roman" w:hAnsi="Times New Roman" w:cs="Times New Roman"/>
          <w:color w:val="auto"/>
          <w:sz w:val="24"/>
          <w:szCs w:val="24"/>
          <w:lang w:eastAsia="zh-CN"/>
        </w:rPr>
        <w:t>=</w:t>
      </w:r>
      <w:r>
        <w:rPr>
          <w:rFonts w:ascii="Times New Roman" w:hAnsi="Times New Roman" w:cs="Times New Roman"/>
          <w:i/>
          <w:color w:val="auto"/>
          <w:sz w:val="24"/>
          <w:szCs w:val="24"/>
          <w:lang w:eastAsia="zh-CN"/>
        </w:rPr>
        <w:t>F</w:t>
      </w:r>
      <w:r>
        <w:rPr>
          <w:rFonts w:ascii="Times New Roman" w:hAnsi="Times New Roman" w:cs="Times New Roman"/>
          <w:color w:val="auto"/>
          <w:position w:val="-5"/>
          <w:sz w:val="24"/>
          <w:szCs w:val="24"/>
          <w:lang w:eastAsia="zh-CN"/>
        </w:rPr>
        <w:t>1</w:t>
      </w:r>
      <w:r>
        <w:rPr>
          <w:rFonts w:ascii="Times New Roman" w:hAnsi="Times New Roman" w:cs="Times New Roman"/>
          <w:color w:val="auto"/>
          <w:sz w:val="24"/>
          <w:szCs w:val="24"/>
          <w:lang w:eastAsia="zh-CN"/>
        </w:rPr>
        <w:t>*</w:t>
      </w:r>
      <w:r>
        <w:rPr>
          <w:rFonts w:ascii="Times New Roman" w:hAnsi="Times New Roman" w:cs="Times New Roman"/>
          <w:i/>
          <w:color w:val="auto"/>
          <w:sz w:val="24"/>
          <w:szCs w:val="24"/>
          <w:lang w:eastAsia="zh-CN"/>
        </w:rPr>
        <w:t>W</w:t>
      </w:r>
      <w:r>
        <w:rPr>
          <w:rFonts w:ascii="Times New Roman" w:hAnsi="Times New Roman" w:cs="Times New Roman"/>
          <w:i/>
          <w:color w:val="auto"/>
          <w:position w:val="-5"/>
          <w:sz w:val="24"/>
          <w:szCs w:val="24"/>
          <w:lang w:eastAsia="zh-CN"/>
        </w:rPr>
        <w:t>i</w:t>
      </w:r>
    </w:p>
    <w:p w14:paraId="0B133D39">
      <w:pPr>
        <w:spacing w:line="560" w:lineRule="exact"/>
        <w:jc w:val="center"/>
        <w:rPr>
          <w:rFonts w:ascii="Times New Roman" w:hAnsi="Times New Roman" w:cs="Times New Roman"/>
          <w:i/>
          <w:color w:val="auto"/>
          <w:sz w:val="24"/>
          <w:szCs w:val="24"/>
          <w:lang w:eastAsia="zh-CN"/>
        </w:rPr>
      </w:pPr>
      <w:r>
        <w:rPr>
          <w:rFonts w:ascii="Times New Roman" w:hAnsi="Times New Roman" w:cs="Times New Roman"/>
          <w:i/>
          <w:color w:val="auto"/>
          <w:sz w:val="24"/>
          <w:szCs w:val="24"/>
          <w:lang w:eastAsia="zh-CN"/>
        </w:rPr>
        <w:t>F</w:t>
      </w:r>
      <w:r>
        <w:rPr>
          <w:rFonts w:ascii="Times New Roman" w:hAnsi="Times New Roman" w:cs="Times New Roman"/>
          <w:color w:val="auto"/>
          <w:position w:val="-5"/>
          <w:sz w:val="24"/>
          <w:szCs w:val="24"/>
          <w:lang w:eastAsia="zh-CN"/>
        </w:rPr>
        <w:t>2</w:t>
      </w:r>
      <w:r>
        <w:rPr>
          <w:rFonts w:ascii="Times New Roman" w:hAnsi="Times New Roman" w:cs="Times New Roman"/>
          <w:i/>
          <w:color w:val="auto"/>
          <w:position w:val="-5"/>
          <w:sz w:val="24"/>
          <w:szCs w:val="24"/>
          <w:lang w:eastAsia="zh-CN"/>
        </w:rPr>
        <w:t>i</w:t>
      </w:r>
      <w:r>
        <w:rPr>
          <w:rFonts w:ascii="Times New Roman" w:hAnsi="Times New Roman" w:cs="Times New Roman"/>
          <w:color w:val="auto"/>
          <w:sz w:val="24"/>
          <w:szCs w:val="24"/>
          <w:lang w:eastAsia="zh-CN"/>
        </w:rPr>
        <w:t>=</w:t>
      </w:r>
      <w:r>
        <w:rPr>
          <w:rFonts w:ascii="Times New Roman" w:hAnsi="Times New Roman" w:cs="Times New Roman"/>
          <w:i/>
          <w:color w:val="auto"/>
          <w:sz w:val="24"/>
          <w:szCs w:val="24"/>
          <w:lang w:eastAsia="zh-CN"/>
        </w:rPr>
        <w:t>F</w:t>
      </w:r>
      <w:r>
        <w:rPr>
          <w:rFonts w:ascii="Times New Roman" w:hAnsi="Times New Roman" w:cs="Times New Roman"/>
          <w:color w:val="auto"/>
          <w:position w:val="-5"/>
          <w:sz w:val="24"/>
          <w:szCs w:val="24"/>
          <w:lang w:eastAsia="zh-CN"/>
        </w:rPr>
        <w:t>2</w:t>
      </w:r>
      <w:r>
        <w:rPr>
          <w:rFonts w:ascii="Times New Roman" w:hAnsi="Times New Roman" w:cs="Times New Roman"/>
          <w:color w:val="auto"/>
          <w:sz w:val="24"/>
          <w:szCs w:val="24"/>
          <w:lang w:eastAsia="zh-CN"/>
        </w:rPr>
        <w:t>*</w:t>
      </w:r>
      <w:r>
        <w:rPr>
          <w:rFonts w:ascii="Times New Roman" w:hAnsi="Times New Roman" w:cs="Times New Roman"/>
          <w:i/>
          <w:color w:val="auto"/>
          <w:sz w:val="24"/>
          <w:szCs w:val="24"/>
          <w:lang w:eastAsia="zh-CN"/>
        </w:rPr>
        <w:t>W</w:t>
      </w:r>
      <w:r>
        <w:rPr>
          <w:rFonts w:ascii="Times New Roman" w:hAnsi="Times New Roman" w:cs="Times New Roman"/>
          <w:i/>
          <w:color w:val="auto"/>
          <w:position w:val="-5"/>
          <w:sz w:val="24"/>
          <w:szCs w:val="24"/>
          <w:lang w:eastAsia="zh-CN"/>
        </w:rPr>
        <w:t>i</w:t>
      </w:r>
    </w:p>
    <w:p w14:paraId="5356259F">
      <w:pPr>
        <w:pStyle w:val="33"/>
        <w:spacing w:before="0" w:after="0"/>
        <w:ind w:firstLine="560"/>
        <w:rPr>
          <w:rFonts w:hAnsi="Times New Roman" w:cs="Times New Roman"/>
          <w:color w:val="auto"/>
        </w:rPr>
      </w:pPr>
      <w:r>
        <w:rPr>
          <w:rFonts w:hAnsi="Times New Roman" w:cs="Times New Roman"/>
          <w:color w:val="auto"/>
        </w:rPr>
        <w:t>式中</w:t>
      </w:r>
      <w:r>
        <w:rPr>
          <w:rFonts w:hAnsi="Times New Roman" w:cs="Times New Roman"/>
          <w:i/>
          <w:iCs/>
          <w:color w:val="auto"/>
        </w:rPr>
        <w:t>F</w:t>
      </w:r>
      <w:r>
        <w:rPr>
          <w:rFonts w:hAnsi="Times New Roman" w:cs="Times New Roman"/>
          <w:i/>
          <w:iCs/>
          <w:color w:val="auto"/>
          <w:vertAlign w:val="subscript"/>
        </w:rPr>
        <w:t>1</w:t>
      </w:r>
      <w:r>
        <w:rPr>
          <w:rFonts w:hAnsi="Times New Roman" w:cs="Times New Roman"/>
          <w:color w:val="auto"/>
        </w:rPr>
        <w:t>—某因素的上调幅度；</w:t>
      </w:r>
    </w:p>
    <w:p w14:paraId="543F43EF">
      <w:pPr>
        <w:pStyle w:val="33"/>
        <w:spacing w:before="0" w:after="0"/>
        <w:ind w:firstLine="1120" w:firstLineChars="400"/>
        <w:rPr>
          <w:rFonts w:hAnsi="Times New Roman" w:cs="Times New Roman"/>
          <w:color w:val="auto"/>
        </w:rPr>
      </w:pPr>
      <w:r>
        <w:rPr>
          <w:rFonts w:hAnsi="Times New Roman" w:cs="Times New Roman"/>
          <w:i/>
          <w:iCs/>
          <w:color w:val="auto"/>
        </w:rPr>
        <w:t>F</w:t>
      </w:r>
      <w:r>
        <w:rPr>
          <w:rFonts w:hAnsi="Times New Roman" w:cs="Times New Roman"/>
          <w:i/>
          <w:iCs/>
          <w:color w:val="auto"/>
          <w:vertAlign w:val="subscript"/>
        </w:rPr>
        <w:t>1</w:t>
      </w:r>
      <w:r>
        <w:rPr>
          <w:rFonts w:hAnsi="Times New Roman" w:cs="Times New Roman"/>
          <w:color w:val="auto"/>
        </w:rPr>
        <w:t>—基准地价上调最大幅度；</w:t>
      </w:r>
    </w:p>
    <w:p w14:paraId="7143663F">
      <w:pPr>
        <w:pStyle w:val="33"/>
        <w:spacing w:before="0" w:after="0"/>
        <w:ind w:firstLine="1120" w:firstLineChars="400"/>
        <w:rPr>
          <w:rFonts w:hAnsi="Times New Roman" w:cs="Times New Roman"/>
          <w:color w:val="auto"/>
        </w:rPr>
      </w:pPr>
      <w:r>
        <w:rPr>
          <w:rFonts w:hAnsi="Times New Roman" w:cs="Times New Roman"/>
          <w:i/>
          <w:iCs/>
          <w:color w:val="auto"/>
        </w:rPr>
        <w:t>F</w:t>
      </w:r>
      <w:r>
        <w:rPr>
          <w:rFonts w:hAnsi="Times New Roman" w:cs="Times New Roman"/>
          <w:i/>
          <w:iCs/>
          <w:color w:val="auto"/>
          <w:vertAlign w:val="subscript"/>
        </w:rPr>
        <w:t>2i</w:t>
      </w:r>
      <w:r>
        <w:rPr>
          <w:rFonts w:hAnsi="Times New Roman" w:cs="Times New Roman"/>
          <w:color w:val="auto"/>
        </w:rPr>
        <w:t>—某因素的下调幅度；</w:t>
      </w:r>
    </w:p>
    <w:p w14:paraId="5C91B0C8">
      <w:pPr>
        <w:pStyle w:val="33"/>
        <w:spacing w:before="0" w:after="0"/>
        <w:ind w:firstLine="1120" w:firstLineChars="400"/>
        <w:rPr>
          <w:rFonts w:hAnsi="Times New Roman" w:cs="Times New Roman"/>
          <w:color w:val="auto"/>
        </w:rPr>
      </w:pPr>
      <w:r>
        <w:rPr>
          <w:rFonts w:hAnsi="Times New Roman" w:cs="Times New Roman"/>
          <w:i/>
          <w:iCs/>
          <w:color w:val="auto"/>
        </w:rPr>
        <w:t>F</w:t>
      </w:r>
      <w:r>
        <w:rPr>
          <w:rFonts w:hAnsi="Times New Roman" w:cs="Times New Roman"/>
          <w:i/>
          <w:iCs/>
          <w:color w:val="auto"/>
          <w:vertAlign w:val="subscript"/>
        </w:rPr>
        <w:t>2</w:t>
      </w:r>
      <w:r>
        <w:rPr>
          <w:rFonts w:hAnsi="Times New Roman" w:cs="Times New Roman"/>
          <w:color w:val="auto"/>
        </w:rPr>
        <w:t>—基准地价下调最大幅度；</w:t>
      </w:r>
    </w:p>
    <w:p w14:paraId="1ABAD00D">
      <w:pPr>
        <w:pStyle w:val="33"/>
        <w:spacing w:before="0" w:after="0"/>
        <w:ind w:firstLine="1120" w:firstLineChars="400"/>
        <w:rPr>
          <w:rFonts w:hAnsi="Times New Roman" w:cs="Times New Roman"/>
          <w:color w:val="auto"/>
        </w:rPr>
      </w:pPr>
      <w:r>
        <w:rPr>
          <w:rFonts w:hAnsi="Times New Roman" w:cs="Times New Roman"/>
          <w:i/>
          <w:iCs/>
          <w:color w:val="auto"/>
        </w:rPr>
        <w:t>W</w:t>
      </w:r>
      <w:r>
        <w:rPr>
          <w:rFonts w:hAnsi="Times New Roman" w:cs="Times New Roman"/>
          <w:color w:val="auto"/>
        </w:rPr>
        <w:t>—某因素对宗地地价的影响权重值。</w:t>
      </w:r>
    </w:p>
    <w:p w14:paraId="17EAFE5E">
      <w:pPr>
        <w:pStyle w:val="48"/>
        <w:numPr>
          <w:ilvl w:val="0"/>
          <w:numId w:val="0"/>
        </w:numPr>
        <w:rPr>
          <w:rFonts w:hAnsi="Times New Roman" w:cs="Times New Roman"/>
          <w:color w:val="auto"/>
        </w:rPr>
      </w:pPr>
      <w:r>
        <w:rPr>
          <w:rFonts w:hint="eastAsia" w:hAnsi="Times New Roman" w:cs="Times New Roman"/>
          <w:color w:val="auto"/>
          <w:lang w:val="en-US" w:eastAsia="zh-CN"/>
        </w:rPr>
        <w:t>4.</w:t>
      </w:r>
      <w:r>
        <w:rPr>
          <w:rFonts w:hAnsi="Times New Roman" w:cs="Times New Roman"/>
          <w:color w:val="auto"/>
        </w:rPr>
        <w:t>因素修正系数表与因素指标说明表编制</w:t>
      </w:r>
    </w:p>
    <w:p w14:paraId="5CFE18F7">
      <w:pPr>
        <w:pStyle w:val="33"/>
        <w:ind w:firstLine="560"/>
        <w:rPr>
          <w:rFonts w:hAnsi="Times New Roman" w:cs="Times New Roman"/>
          <w:color w:val="auto"/>
        </w:rPr>
      </w:pPr>
      <w:r>
        <w:rPr>
          <w:rFonts w:hAnsi="Times New Roman" w:cs="Times New Roman"/>
          <w:color w:val="auto"/>
        </w:rPr>
        <w:t>根据三类用地修正因素体系及不同级别各因素的修正幅度值，编制各因素修正系数表，并相应编制因素指标说明表。</w:t>
      </w:r>
    </w:p>
    <w:p w14:paraId="55CF4C7C">
      <w:pPr>
        <w:pStyle w:val="48"/>
        <w:numPr>
          <w:ilvl w:val="0"/>
          <w:numId w:val="0"/>
        </w:numPr>
        <w:rPr>
          <w:rFonts w:hAnsi="Times New Roman" w:cs="Times New Roman"/>
          <w:color w:val="auto"/>
        </w:rPr>
      </w:pPr>
      <w:r>
        <w:rPr>
          <w:rFonts w:hint="eastAsia" w:hAnsi="Times New Roman" w:cs="Times New Roman"/>
          <w:color w:val="auto"/>
          <w:lang w:val="en-US" w:eastAsia="zh-CN"/>
        </w:rPr>
        <w:t>5.</w:t>
      </w:r>
      <w:r>
        <w:rPr>
          <w:rFonts w:hAnsi="Times New Roman" w:cs="Times New Roman"/>
          <w:color w:val="auto"/>
        </w:rPr>
        <w:t>期日修正</w:t>
      </w:r>
    </w:p>
    <w:p w14:paraId="4640480D">
      <w:pPr>
        <w:pStyle w:val="33"/>
        <w:spacing w:before="0" w:after="0"/>
        <w:ind w:firstLine="560"/>
        <w:rPr>
          <w:rFonts w:hAnsi="Times New Roman" w:cs="Times New Roman"/>
          <w:color w:val="auto"/>
          <w:spacing w:val="-5"/>
        </w:rPr>
      </w:pPr>
      <w:r>
        <w:rPr>
          <w:rFonts w:hAnsi="Times New Roman" w:cs="Times New Roman"/>
          <w:color w:val="auto"/>
        </w:rPr>
        <w:t>土地价格是经常变化的，其变动幅度往往大于总体物价变动的水</w:t>
      </w:r>
      <w:r>
        <w:rPr>
          <w:rFonts w:hAnsi="Times New Roman" w:cs="Times New Roman"/>
          <w:color w:val="auto"/>
          <w:spacing w:val="-10"/>
        </w:rPr>
        <w:t>平，评估期日修正可采用地价指数或地价监测指数修正。在尚未编制</w:t>
      </w:r>
      <w:r>
        <w:rPr>
          <w:rFonts w:hAnsi="Times New Roman" w:cs="Times New Roman"/>
          <w:color w:val="auto"/>
        </w:rPr>
        <w:t>地价指数时，则应选择与待估宗地地块类似的样本，调查估价期日与原样</w:t>
      </w:r>
      <w:r>
        <w:rPr>
          <w:rFonts w:hAnsi="Times New Roman" w:cs="Times New Roman"/>
          <w:color w:val="auto"/>
          <w:spacing w:val="-5"/>
        </w:rPr>
        <w:t>本地价的变动关系，确定评估期日的修正系数。公式为：</w:t>
      </w:r>
    </w:p>
    <w:p w14:paraId="698DF4B9">
      <w:pPr>
        <w:pStyle w:val="33"/>
        <w:spacing w:before="0" w:after="0" w:line="240" w:lineRule="auto"/>
        <w:ind w:firstLine="560"/>
        <w:rPr>
          <w:rFonts w:hAnsi="Times New Roman" w:cs="Times New Roman"/>
          <w:color w:val="auto"/>
        </w:rPr>
      </w:pPr>
      <m:oMathPara>
        <m:oMathParaPr>
          <m:jc m:val="center"/>
        </m:oMathParaPr>
        <m:oMath>
          <m:r>
            <m:rPr>
              <m:sty m:val="p"/>
            </m:rPr>
            <w:rPr>
              <w:rFonts w:hint="default" w:ascii="Cambria Math" w:hAnsi="Cambria Math" w:cs="Times New Roman"/>
              <w:color w:val="auto"/>
            </w:rPr>
            <m:t>期日修正系数＝</m:t>
          </m:r>
          <m:f>
            <m:fPr>
              <m:ctrlPr>
                <w:rPr>
                  <w:rFonts w:hint="default" w:ascii="Cambria Math" w:hAnsi="Cambria Math" w:cs="Times New Roman"/>
                  <w:color w:val="auto"/>
                </w:rPr>
              </m:ctrlPr>
            </m:fPr>
            <m:num>
              <m:r>
                <m:rPr>
                  <m:sty m:val="p"/>
                </m:rPr>
                <w:rPr>
                  <w:rFonts w:hint="default" w:ascii="Cambria Math" w:hAnsi="Cambria Math" w:cs="Times New Roman"/>
                  <w:color w:val="auto"/>
                </w:rPr>
                <m:t>待估宗地评估期日的地价指数</m:t>
              </m:r>
              <m:ctrlPr>
                <w:rPr>
                  <w:rFonts w:hint="default" w:ascii="Cambria Math" w:hAnsi="Cambria Math" w:cs="Times New Roman"/>
                  <w:color w:val="auto"/>
                </w:rPr>
              </m:ctrlPr>
            </m:num>
            <m:den>
              <m:r>
                <m:rPr>
                  <m:sty m:val="p"/>
                </m:rPr>
                <w:rPr>
                  <w:rFonts w:hint="default" w:ascii="Cambria Math" w:hAnsi="Cambria Math" w:cs="Times New Roman"/>
                  <w:color w:val="auto"/>
                </w:rPr>
                <m:t>基准地价评估时点的地价指数</m:t>
              </m:r>
              <m:ctrlPr>
                <w:rPr>
                  <w:rFonts w:hint="default" w:ascii="Cambria Math" w:hAnsi="Cambria Math" w:cs="Times New Roman"/>
                  <w:color w:val="auto"/>
                </w:rPr>
              </m:ctrlPr>
            </m:den>
          </m:f>
        </m:oMath>
      </m:oMathPara>
    </w:p>
    <w:p w14:paraId="198C6818">
      <w:pPr>
        <w:pStyle w:val="33"/>
        <w:spacing w:before="0" w:after="0"/>
        <w:ind w:firstLine="1400" w:firstLineChars="500"/>
        <w:rPr>
          <w:rFonts w:hAnsi="Times New Roman" w:cs="Times New Roman"/>
          <w:color w:val="auto"/>
        </w:rPr>
      </w:pPr>
      <w:r>
        <w:rPr>
          <w:rFonts w:hAnsi="Times New Roman" w:cs="Times New Roman"/>
          <w:color w:val="auto"/>
        </w:rPr>
        <w:t>修正后地价=宗地地价×期日修正系数</w:t>
      </w:r>
    </w:p>
    <w:p w14:paraId="7EDB210F">
      <w:pPr>
        <w:pStyle w:val="48"/>
        <w:numPr>
          <w:ilvl w:val="0"/>
          <w:numId w:val="0"/>
        </w:numPr>
        <w:rPr>
          <w:rFonts w:hAnsi="Times New Roman" w:cs="Times New Roman"/>
          <w:color w:val="auto"/>
        </w:rPr>
      </w:pPr>
      <w:r>
        <w:rPr>
          <w:rFonts w:hint="eastAsia" w:hAnsi="Times New Roman" w:cs="Times New Roman"/>
          <w:color w:val="auto"/>
          <w:lang w:val="en-US" w:eastAsia="zh-CN"/>
        </w:rPr>
        <w:t>6.</w:t>
      </w:r>
      <w:r>
        <w:rPr>
          <w:rFonts w:hAnsi="Times New Roman" w:cs="Times New Roman"/>
          <w:color w:val="auto"/>
        </w:rPr>
        <w:t>年期修正</w:t>
      </w:r>
    </w:p>
    <w:p w14:paraId="076A7906">
      <w:pPr>
        <w:pStyle w:val="33"/>
        <w:spacing w:before="0" w:after="0"/>
        <w:ind w:firstLine="560"/>
        <w:rPr>
          <w:rFonts w:hAnsi="Times New Roman" w:cs="Times New Roman"/>
          <w:color w:val="auto"/>
        </w:rPr>
      </w:pPr>
      <w:r>
        <w:rPr>
          <w:rFonts w:hAnsi="Times New Roman" w:cs="Times New Roman"/>
          <w:color w:val="auto"/>
        </w:rPr>
        <w:t>基准地价对应的使用年期，是各用途土地使用权的最高出让年期，而具体宗地的使用年期可能各不相同，因此必须进行年期修正。土地使用年期修正系数可按下式计算：</w:t>
      </w:r>
    </w:p>
    <w:p w14:paraId="49ED0DB5">
      <w:pPr>
        <w:pStyle w:val="33"/>
        <w:spacing w:before="0" w:after="0" w:line="240" w:lineRule="auto"/>
        <w:ind w:firstLine="0" w:firstLineChars="0"/>
        <w:jc w:val="center"/>
        <w:rPr>
          <w:rFonts w:hAnsi="Times New Roman" w:cs="Times New Roman"/>
          <w:color w:val="auto"/>
        </w:rPr>
      </w:pPr>
      <w:r>
        <w:rPr>
          <w:rFonts w:hAnsi="Times New Roman" w:cs="Times New Roman"/>
          <w:color w:val="auto"/>
          <w:lang w:val="en-US" w:bidi="ar-SA"/>
        </w:rPr>
        <w:drawing>
          <wp:inline distT="0" distB="0" distL="114300" distR="114300">
            <wp:extent cx="1243330" cy="934085"/>
            <wp:effectExtent l="0" t="0" r="13970" b="18415"/>
            <wp:docPr id="8" name="图片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图片 29"/>
                    <pic:cNvPicPr>
                      <a:picLocks noChangeAspect="1"/>
                    </pic:cNvPicPr>
                  </pic:nvPicPr>
                  <pic:blipFill>
                    <a:blip r:embed="rId13"/>
                    <a:stretch>
                      <a:fillRect/>
                    </a:stretch>
                  </pic:blipFill>
                  <pic:spPr>
                    <a:xfrm>
                      <a:off x="0" y="0"/>
                      <a:ext cx="1243330" cy="934085"/>
                    </a:xfrm>
                    <a:prstGeom prst="rect">
                      <a:avLst/>
                    </a:prstGeom>
                    <a:noFill/>
                    <a:ln>
                      <a:noFill/>
                    </a:ln>
                  </pic:spPr>
                </pic:pic>
              </a:graphicData>
            </a:graphic>
          </wp:inline>
        </w:drawing>
      </w:r>
    </w:p>
    <w:p w14:paraId="1EF787E3">
      <w:pPr>
        <w:pStyle w:val="33"/>
        <w:spacing w:before="0" w:after="0"/>
        <w:ind w:firstLine="560"/>
        <w:rPr>
          <w:rFonts w:hAnsi="Times New Roman" w:cs="Times New Roman"/>
          <w:color w:val="auto"/>
        </w:rPr>
      </w:pPr>
      <w:r>
        <w:rPr>
          <w:rFonts w:hAnsi="Times New Roman" w:cs="Times New Roman"/>
          <w:color w:val="auto"/>
        </w:rPr>
        <w:t>式中：</w:t>
      </w:r>
      <w:r>
        <w:rPr>
          <w:rFonts w:hAnsi="Times New Roman" w:cs="Times New Roman"/>
          <w:i/>
          <w:iCs/>
          <w:color w:val="auto"/>
        </w:rPr>
        <w:t>K</w:t>
      </w:r>
      <w:r>
        <w:rPr>
          <w:rFonts w:hAnsi="Times New Roman" w:cs="Times New Roman"/>
          <w:i/>
          <w:iCs/>
          <w:color w:val="auto"/>
          <w:vertAlign w:val="subscript"/>
        </w:rPr>
        <w:t>2</w:t>
      </w:r>
      <w:r>
        <w:rPr>
          <w:rFonts w:hAnsi="Times New Roman" w:eastAsia="Times New Roman" w:cs="Times New Roman"/>
          <w:color w:val="auto"/>
        </w:rPr>
        <w:t>—</w:t>
      </w:r>
      <w:r>
        <w:rPr>
          <w:rFonts w:hAnsi="Times New Roman" w:cs="Times New Roman"/>
          <w:color w:val="auto"/>
        </w:rPr>
        <w:t>宗地使用年期修正系数；</w:t>
      </w:r>
    </w:p>
    <w:p w14:paraId="7ED6BB68">
      <w:pPr>
        <w:pStyle w:val="33"/>
        <w:spacing w:before="0" w:after="0"/>
        <w:ind w:firstLine="1400" w:firstLineChars="500"/>
        <w:rPr>
          <w:rFonts w:hAnsi="Times New Roman" w:cs="Times New Roman"/>
          <w:color w:val="auto"/>
        </w:rPr>
      </w:pPr>
      <w:r>
        <w:rPr>
          <w:rFonts w:hAnsi="Times New Roman" w:eastAsia="Times New Roman" w:cs="Times New Roman"/>
          <w:i/>
          <w:iCs/>
          <w:color w:val="auto"/>
          <w:position w:val="4"/>
        </w:rPr>
        <w:t>r</w:t>
      </w:r>
      <w:r>
        <w:rPr>
          <w:rFonts w:hAnsi="Times New Roman" w:eastAsia="Times New Roman" w:cs="Times New Roman"/>
          <w:color w:val="auto"/>
        </w:rPr>
        <w:t>—</w:t>
      </w:r>
      <w:r>
        <w:rPr>
          <w:rFonts w:hAnsi="Times New Roman" w:cs="Times New Roman"/>
          <w:color w:val="auto"/>
        </w:rPr>
        <w:t>土地还原率；</w:t>
      </w:r>
    </w:p>
    <w:p w14:paraId="6820C325">
      <w:pPr>
        <w:pStyle w:val="33"/>
        <w:spacing w:before="0" w:after="0"/>
        <w:ind w:firstLine="1400" w:firstLineChars="500"/>
        <w:rPr>
          <w:rFonts w:hAnsi="Times New Roman" w:cs="Times New Roman"/>
          <w:color w:val="auto"/>
        </w:rPr>
      </w:pPr>
      <w:r>
        <w:rPr>
          <w:rFonts w:hAnsi="Times New Roman" w:eastAsia="Times New Roman" w:cs="Times New Roman"/>
          <w:i/>
          <w:iCs/>
          <w:color w:val="auto"/>
          <w:position w:val="4"/>
        </w:rPr>
        <w:t>m</w:t>
      </w:r>
      <w:r>
        <w:rPr>
          <w:rFonts w:hAnsi="Times New Roman" w:eastAsia="Times New Roman" w:cs="Times New Roman"/>
          <w:color w:val="auto"/>
        </w:rPr>
        <w:t>—</w:t>
      </w:r>
      <w:r>
        <w:rPr>
          <w:rFonts w:hAnsi="Times New Roman" w:cs="Times New Roman"/>
          <w:color w:val="auto"/>
        </w:rPr>
        <w:t>待估宗地可使用年期；</w:t>
      </w:r>
    </w:p>
    <w:p w14:paraId="591B0E96">
      <w:pPr>
        <w:pStyle w:val="33"/>
        <w:spacing w:before="0" w:after="0"/>
        <w:ind w:firstLine="1400" w:firstLineChars="500"/>
        <w:rPr>
          <w:rFonts w:hint="default" w:ascii="Times New Roman" w:hAnsi="Times New Roman" w:cs="Times New Roman"/>
          <w:color w:val="000000"/>
        </w:rPr>
      </w:pPr>
      <w:r>
        <w:rPr>
          <w:rFonts w:hAnsi="Times New Roman" w:eastAsia="Times New Roman" w:cs="Times New Roman"/>
          <w:i/>
          <w:iCs/>
          <w:color w:val="auto"/>
          <w:position w:val="4"/>
        </w:rPr>
        <w:t>n</w:t>
      </w:r>
      <w:r>
        <w:rPr>
          <w:rFonts w:hAnsi="Times New Roman" w:eastAsia="Times New Roman" w:cs="Times New Roman"/>
          <w:color w:val="auto"/>
        </w:rPr>
        <w:t>—</w:t>
      </w:r>
      <w:r>
        <w:rPr>
          <w:rFonts w:hAnsi="Times New Roman" w:cs="Times New Roman"/>
          <w:color w:val="auto"/>
        </w:rPr>
        <w:t>该用途土地法定最高出让年期（商服用地</w:t>
      </w:r>
      <w:r>
        <w:rPr>
          <w:rFonts w:hAnsi="Times New Roman" w:eastAsia="Times New Roman" w:cs="Times New Roman"/>
          <w:color w:val="auto"/>
        </w:rPr>
        <w:t>40</w:t>
      </w:r>
      <w:r>
        <w:rPr>
          <w:rFonts w:hAnsi="Times New Roman" w:cs="Times New Roman"/>
          <w:color w:val="auto"/>
        </w:rPr>
        <w:t>年，住宅用地</w:t>
      </w:r>
      <w:r>
        <w:rPr>
          <w:rFonts w:hAnsi="Times New Roman" w:eastAsia="Times New Roman" w:cs="Times New Roman"/>
          <w:color w:val="auto"/>
        </w:rPr>
        <w:t>70</w:t>
      </w:r>
      <w:r>
        <w:rPr>
          <w:rFonts w:hAnsi="Times New Roman" w:cs="Times New Roman"/>
          <w:color w:val="auto"/>
        </w:rPr>
        <w:t>年、工业用地</w:t>
      </w:r>
      <w:r>
        <w:rPr>
          <w:rFonts w:hAnsi="Times New Roman" w:eastAsia="Times New Roman" w:cs="Times New Roman"/>
          <w:color w:val="auto"/>
        </w:rPr>
        <w:t>50</w:t>
      </w:r>
      <w:r>
        <w:rPr>
          <w:rFonts w:hAnsi="Times New Roman" w:cs="Times New Roman"/>
          <w:color w:val="auto"/>
        </w:rPr>
        <w:t>年、公共管理与公共服务用地50年、公用设施用地50年）。</w:t>
      </w:r>
    </w:p>
    <w:p w14:paraId="132F2D84">
      <w:pPr>
        <w:pStyle w:val="33"/>
        <w:spacing w:before="0" w:after="0"/>
        <w:ind w:left="0" w:leftChars="0" w:firstLine="0" w:firstLineChars="0"/>
        <w:rPr>
          <w:rFonts w:hint="eastAsia" w:hAnsi="Times New Roman" w:eastAsia="仿宋_GB2312" w:cs="Times New Roman"/>
          <w:color w:val="auto"/>
          <w:lang w:val="en-US" w:eastAsia="zh-CN"/>
        </w:rPr>
      </w:pPr>
      <w:r>
        <w:rPr>
          <w:rFonts w:hint="eastAsia" w:hAnsi="Times New Roman" w:cs="Times New Roman"/>
          <w:color w:val="auto"/>
          <w:lang w:val="en-US" w:eastAsia="zh-CN"/>
        </w:rPr>
        <w:t>7.</w:t>
      </w:r>
      <w:r>
        <w:rPr>
          <w:rFonts w:hAnsi="Times New Roman" w:cs="Times New Roman"/>
          <w:color w:val="auto"/>
        </w:rPr>
        <w:t>容积率</w:t>
      </w:r>
      <w:r>
        <w:rPr>
          <w:rFonts w:hint="eastAsia" w:hAnsi="Times New Roman" w:cs="Times New Roman"/>
          <w:color w:val="auto"/>
          <w:lang w:eastAsia="zh-CN"/>
        </w:rPr>
        <w:t>修正</w:t>
      </w:r>
    </w:p>
    <w:p w14:paraId="3CAFC213">
      <w:pPr>
        <w:pStyle w:val="33"/>
        <w:spacing w:before="0" w:after="0"/>
        <w:ind w:firstLine="528"/>
        <w:rPr>
          <w:rFonts w:hAnsi="Times New Roman" w:cs="Times New Roman"/>
          <w:color w:val="auto"/>
        </w:rPr>
      </w:pPr>
      <w:r>
        <w:rPr>
          <w:rFonts w:hAnsi="Times New Roman" w:cs="Times New Roman"/>
          <w:color w:val="auto"/>
          <w:spacing w:val="-8"/>
        </w:rPr>
        <w:t>在采用基准地价系数修正法进行宗地评估时，待估宗地与基准地</w:t>
      </w:r>
      <w:r>
        <w:rPr>
          <w:rFonts w:hAnsi="Times New Roman" w:cs="Times New Roman"/>
          <w:color w:val="auto"/>
        </w:rPr>
        <w:t>价内涵之间的容积率差异通过容积率与地价之间的回归方程确定容</w:t>
      </w:r>
      <w:r>
        <w:rPr>
          <w:rFonts w:hAnsi="Times New Roman" w:cs="Times New Roman"/>
          <w:color w:val="auto"/>
          <w:spacing w:val="-3"/>
        </w:rPr>
        <w:t>积率修正系数。计算方式如下：</w:t>
      </w:r>
    </w:p>
    <w:p w14:paraId="540B7C54">
      <w:pPr>
        <w:pStyle w:val="33"/>
        <w:spacing w:before="0" w:after="0" w:line="360" w:lineRule="auto"/>
        <w:ind w:firstLine="560"/>
        <w:rPr>
          <w:rFonts w:hAnsi="Times New Roman" w:cs="Times New Roman"/>
          <w:iCs/>
          <w:color w:val="auto"/>
        </w:rPr>
      </w:pPr>
      <m:oMathPara>
        <m:oMath>
          <m:r>
            <m:rPr>
              <m:sty m:val="p"/>
            </m:rPr>
            <w:rPr>
              <w:rFonts w:hint="default" w:ascii="Cambria Math" w:hAnsi="Cambria Math" w:cs="Times New Roman"/>
              <w:color w:val="auto"/>
            </w:rPr>
            <m:t>容积率修正系数＝</m:t>
          </m:r>
          <m:f>
            <m:fPr>
              <m:ctrlPr>
                <w:rPr>
                  <w:rFonts w:hint="default" w:ascii="Cambria Math" w:hAnsi="Cambria Math" w:cs="Times New Roman"/>
                  <w:iCs/>
                  <w:color w:val="auto"/>
                </w:rPr>
              </m:ctrlPr>
            </m:fPr>
            <m:num>
              <m:r>
                <m:rPr>
                  <m:sty m:val="p"/>
                </m:rPr>
                <w:rPr>
                  <w:rFonts w:hint="default" w:ascii="Cambria Math" w:hAnsi="Cambria Math" w:cs="Times New Roman"/>
                  <w:color w:val="auto"/>
                </w:rPr>
                <m:t>待估算容积率下的回归方程计算的地价</m:t>
              </m:r>
              <m:ctrlPr>
                <w:rPr>
                  <w:rFonts w:hint="default" w:ascii="Cambria Math" w:hAnsi="Cambria Math" w:cs="Times New Roman"/>
                  <w:iCs/>
                  <w:color w:val="auto"/>
                </w:rPr>
              </m:ctrlPr>
            </m:num>
            <m:den>
              <m:r>
                <m:rPr>
                  <m:sty m:val="p"/>
                </m:rPr>
                <w:rPr>
                  <w:rFonts w:hint="default" w:ascii="Cambria Math" w:hAnsi="Cambria Math" w:cs="Times New Roman"/>
                  <w:color w:val="auto"/>
                </w:rPr>
                <m:t>标准容积率下的回归方程计算的地价</m:t>
              </m:r>
              <m:ctrlPr>
                <w:rPr>
                  <w:rFonts w:hint="default" w:ascii="Cambria Math" w:hAnsi="Cambria Math" w:cs="Times New Roman"/>
                  <w:iCs/>
                  <w:color w:val="auto"/>
                </w:rPr>
              </m:ctrlPr>
            </m:den>
          </m:f>
        </m:oMath>
      </m:oMathPara>
    </w:p>
    <w:p w14:paraId="2D1EF647">
      <w:pPr>
        <w:pStyle w:val="33"/>
        <w:spacing w:before="0" w:after="0"/>
        <w:ind w:firstLine="560"/>
        <w:rPr>
          <w:rFonts w:hAnsi="Times New Roman" w:cs="Times New Roman"/>
          <w:color w:val="auto"/>
        </w:rPr>
      </w:pPr>
      <w:r>
        <w:rPr>
          <w:rFonts w:hAnsi="Times New Roman" w:cs="Times New Roman"/>
          <w:color w:val="auto"/>
        </w:rPr>
        <w:t>修正后地价＝宗地地价</w:t>
      </w:r>
      <w:r>
        <w:rPr>
          <w:rFonts w:hAnsi="Times New Roman" w:eastAsia="Times New Roman" w:cs="Times New Roman"/>
          <w:color w:val="auto"/>
        </w:rPr>
        <w:t>×</w:t>
      </w:r>
      <w:r>
        <w:rPr>
          <w:rFonts w:hAnsi="Times New Roman" w:cs="Times New Roman"/>
          <w:color w:val="auto"/>
        </w:rPr>
        <w:t>容积率修正系数。</w:t>
      </w:r>
    </w:p>
    <w:p w14:paraId="3EF33F7E">
      <w:pPr>
        <w:pStyle w:val="48"/>
        <w:numPr>
          <w:ilvl w:val="0"/>
          <w:numId w:val="0"/>
        </w:numPr>
        <w:rPr>
          <w:rFonts w:hAnsi="Times New Roman" w:cs="Times New Roman"/>
          <w:color w:val="auto"/>
        </w:rPr>
      </w:pPr>
      <w:r>
        <w:rPr>
          <w:rFonts w:hint="eastAsia" w:hAnsi="Times New Roman" w:cs="Times New Roman"/>
          <w:color w:val="auto"/>
          <w:lang w:val="en-US" w:eastAsia="zh-CN"/>
        </w:rPr>
        <w:t>8.</w:t>
      </w:r>
      <w:r>
        <w:rPr>
          <w:rFonts w:hAnsi="Times New Roman" w:cs="Times New Roman"/>
          <w:color w:val="auto"/>
        </w:rPr>
        <w:t>开发程度修正</w:t>
      </w:r>
    </w:p>
    <w:p w14:paraId="4CC4DF1D">
      <w:pPr>
        <w:pStyle w:val="33"/>
        <w:spacing w:before="0" w:after="0"/>
        <w:ind w:firstLine="560"/>
        <w:rPr>
          <w:rFonts w:hint="default" w:hAnsi="Times New Roman" w:cs="Times New Roman"/>
          <w:color w:val="auto"/>
        </w:rPr>
      </w:pPr>
      <w:r>
        <w:rPr>
          <w:rFonts w:hAnsi="Times New Roman" w:cs="Times New Roman"/>
          <w:color w:val="auto"/>
        </w:rPr>
        <w:t>开发程度修正公式：修正后宗地地价=基准地价+开发程度修正值本次石家庄市栾城区基准地价设定土地开发程度为七通一平，依照基准地价内涵，确定基础设施修正幅度。</w:t>
      </w:r>
    </w:p>
    <w:p w14:paraId="2E4EAF21">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right="0" w:rightChars="0"/>
        <w:jc w:val="left"/>
        <w:textAlignment w:val="auto"/>
        <w:outlineLvl w:val="9"/>
        <w:rPr>
          <w:rFonts w:hint="default" w:ascii="Times New Roman" w:hAnsi="Times New Roman" w:eastAsia="仿宋_GB2312" w:cs="Times New Roman"/>
          <w:color w:val="auto"/>
          <w:sz w:val="28"/>
          <w:szCs w:val="28"/>
          <w:lang w:val="en-US" w:eastAsia="zh-CN" w:bidi="zh-CN"/>
        </w:rPr>
      </w:pPr>
      <w:r>
        <w:rPr>
          <w:rFonts w:hint="default" w:ascii="Times New Roman" w:hAnsi="Times New Roman" w:eastAsia="仿宋_GB2312" w:cs="Times New Roman"/>
          <w:color w:val="auto"/>
          <w:sz w:val="28"/>
          <w:szCs w:val="28"/>
          <w:lang w:val="en-US" w:eastAsia="zh-CN" w:bidi="zh-CN"/>
        </w:rPr>
        <w:t>附表：</w:t>
      </w:r>
      <w:r>
        <w:rPr>
          <w:rFonts w:hint="eastAsia" w:ascii="Times New Roman" w:hAnsi="Times New Roman" w:eastAsia="仿宋_GB2312" w:cs="Times New Roman"/>
          <w:color w:val="auto"/>
          <w:sz w:val="28"/>
          <w:szCs w:val="28"/>
          <w:lang w:val="en-US" w:eastAsia="zh-CN" w:bidi="zh-CN"/>
        </w:rPr>
        <w:t>3.</w:t>
      </w:r>
      <w:r>
        <w:rPr>
          <w:rFonts w:hint="default" w:ascii="Times New Roman" w:hAnsi="Times New Roman" w:eastAsia="仿宋_GB2312" w:cs="Times New Roman"/>
          <w:color w:val="auto"/>
          <w:sz w:val="28"/>
          <w:szCs w:val="28"/>
          <w:lang w:val="en-US" w:eastAsia="zh-CN" w:bidi="zh-CN"/>
        </w:rPr>
        <w:t>1石家庄市栾城区基准地价修正幅度统计表</w:t>
      </w:r>
    </w:p>
    <w:p w14:paraId="67CA6E02">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right="0" w:rightChars="0" w:firstLine="840" w:firstLineChars="300"/>
        <w:jc w:val="left"/>
        <w:textAlignment w:val="auto"/>
        <w:outlineLvl w:val="9"/>
        <w:rPr>
          <w:rFonts w:hint="default" w:ascii="Times New Roman" w:hAnsi="Times New Roman" w:eastAsia="仿宋_GB2312" w:cs="Times New Roman"/>
          <w:color w:val="auto"/>
          <w:sz w:val="28"/>
          <w:szCs w:val="28"/>
          <w:lang w:val="en-US" w:eastAsia="zh-CN" w:bidi="zh-CN"/>
        </w:rPr>
      </w:pPr>
      <w:r>
        <w:rPr>
          <w:rFonts w:hint="eastAsia" w:ascii="Times New Roman" w:hAnsi="Times New Roman" w:eastAsia="仿宋_GB2312" w:cs="Times New Roman"/>
          <w:color w:val="auto"/>
          <w:sz w:val="28"/>
          <w:szCs w:val="28"/>
          <w:lang w:val="en-US" w:eastAsia="zh-CN" w:bidi="zh-CN"/>
        </w:rPr>
        <w:t>3.</w:t>
      </w:r>
      <w:r>
        <w:rPr>
          <w:rFonts w:hint="default" w:ascii="Times New Roman" w:hAnsi="Times New Roman" w:eastAsia="仿宋_GB2312" w:cs="Times New Roman"/>
          <w:color w:val="auto"/>
          <w:sz w:val="28"/>
          <w:szCs w:val="28"/>
          <w:lang w:val="en-US" w:eastAsia="zh-CN" w:bidi="zh-CN"/>
        </w:rPr>
        <w:t>2容积率修正系数表</w:t>
      </w:r>
    </w:p>
    <w:p w14:paraId="4D614C2A">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right="0" w:rightChars="0" w:firstLine="840" w:firstLineChars="300"/>
        <w:jc w:val="left"/>
        <w:textAlignment w:val="auto"/>
        <w:outlineLvl w:val="9"/>
        <w:rPr>
          <w:rFonts w:hint="default" w:ascii="Times New Roman" w:hAnsi="Times New Roman" w:eastAsia="仿宋_GB2312" w:cs="Times New Roman"/>
          <w:color w:val="auto"/>
          <w:sz w:val="28"/>
          <w:szCs w:val="28"/>
          <w:lang w:val="en-US" w:eastAsia="zh-CN" w:bidi="zh-CN"/>
        </w:rPr>
      </w:pPr>
      <w:r>
        <w:rPr>
          <w:rFonts w:hint="eastAsia" w:ascii="Times New Roman" w:hAnsi="Times New Roman" w:eastAsia="仿宋_GB2312" w:cs="Times New Roman"/>
          <w:color w:val="auto"/>
          <w:sz w:val="28"/>
          <w:szCs w:val="28"/>
          <w:lang w:val="en-US" w:eastAsia="zh-CN" w:bidi="zh-CN"/>
        </w:rPr>
        <w:t>3.</w:t>
      </w:r>
      <w:r>
        <w:rPr>
          <w:rFonts w:hint="default" w:ascii="Times New Roman" w:hAnsi="Times New Roman" w:eastAsia="仿宋_GB2312" w:cs="Times New Roman"/>
          <w:color w:val="auto"/>
          <w:sz w:val="28"/>
          <w:szCs w:val="28"/>
          <w:lang w:val="en-US" w:eastAsia="zh-CN" w:bidi="zh-CN"/>
        </w:rPr>
        <w:t>3基准地价宗地评估开发程度修正</w:t>
      </w:r>
    </w:p>
    <w:p w14:paraId="7C678F50">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right="0" w:rightChars="0" w:firstLine="840" w:firstLineChars="300"/>
        <w:jc w:val="left"/>
        <w:textAlignment w:val="auto"/>
        <w:outlineLvl w:val="9"/>
        <w:rPr>
          <w:rFonts w:hint="default" w:ascii="Times New Roman" w:hAnsi="Times New Roman" w:eastAsia="仿宋_GB2312" w:cs="Times New Roman"/>
          <w:color w:val="auto"/>
          <w:sz w:val="28"/>
          <w:szCs w:val="28"/>
          <w:lang w:val="en-US" w:eastAsia="zh-CN" w:bidi="zh-CN"/>
        </w:rPr>
      </w:pPr>
      <w:r>
        <w:rPr>
          <w:rFonts w:hint="eastAsia" w:ascii="Times New Roman" w:hAnsi="Times New Roman" w:eastAsia="仿宋_GB2312" w:cs="Times New Roman"/>
          <w:color w:val="auto"/>
          <w:sz w:val="28"/>
          <w:szCs w:val="28"/>
          <w:lang w:val="en-US" w:eastAsia="zh-CN" w:bidi="zh-CN"/>
        </w:rPr>
        <w:t>3.</w:t>
      </w:r>
      <w:r>
        <w:rPr>
          <w:rFonts w:hint="default" w:ascii="Times New Roman" w:hAnsi="Times New Roman" w:eastAsia="仿宋_GB2312" w:cs="Times New Roman"/>
          <w:color w:val="auto"/>
          <w:sz w:val="28"/>
          <w:szCs w:val="28"/>
          <w:lang w:val="en-US" w:eastAsia="zh-CN" w:bidi="zh-CN"/>
        </w:rPr>
        <w:t>4宗地地价修正系数及说明表</w:t>
      </w:r>
    </w:p>
    <w:p w14:paraId="5FD92F66">
      <w:pPr>
        <w:spacing w:line="600" w:lineRule="exact"/>
        <w:jc w:val="center"/>
        <w:rPr>
          <w:rFonts w:ascii="Times New Roman" w:hAnsi="Times New Roman" w:eastAsia="仿宋_GB2312" w:cs="Times New Roman"/>
          <w:color w:val="auto"/>
          <w:sz w:val="28"/>
          <w:szCs w:val="28"/>
          <w:lang w:val="zh-CN" w:eastAsia="zh-CN" w:bidi="zh-CN"/>
        </w:rPr>
      </w:pPr>
      <w:r>
        <w:rPr>
          <w:rFonts w:hint="default" w:ascii="Times New Roman" w:hAnsi="Times New Roman" w:eastAsia="仿宋_GB2312" w:cs="Times New Roman"/>
          <w:color w:val="auto"/>
          <w:sz w:val="28"/>
          <w:szCs w:val="28"/>
          <w:lang w:val="zh-CN" w:eastAsia="zh-CN" w:bidi="zh-CN"/>
        </w:rPr>
        <w:t>附表</w:t>
      </w:r>
      <w:r>
        <w:rPr>
          <w:rFonts w:hint="eastAsia" w:ascii="Times New Roman" w:hAnsi="Times New Roman" w:eastAsia="仿宋_GB2312" w:cs="Times New Roman"/>
          <w:color w:val="auto"/>
          <w:sz w:val="28"/>
          <w:szCs w:val="28"/>
          <w:lang w:val="en-US" w:eastAsia="zh-CN" w:bidi="zh-CN"/>
        </w:rPr>
        <w:t>3.1</w:t>
      </w:r>
      <w:r>
        <w:rPr>
          <w:rFonts w:hint="eastAsia" w:ascii="Times New Roman" w:hAnsi="Times New Roman" w:cs="Times New Roman"/>
          <w:color w:val="auto"/>
          <w:sz w:val="28"/>
          <w:szCs w:val="28"/>
          <w:lang w:val="en-US" w:eastAsia="zh-CN" w:bidi="zh-CN"/>
        </w:rPr>
        <w:t xml:space="preserve"> </w:t>
      </w:r>
      <w:r>
        <w:rPr>
          <w:rFonts w:hint="default" w:ascii="Times New Roman" w:hAnsi="Times New Roman" w:eastAsia="仿宋_GB2312" w:cs="Times New Roman"/>
          <w:color w:val="auto"/>
          <w:sz w:val="28"/>
          <w:szCs w:val="28"/>
          <w:lang w:val="zh-CN" w:eastAsia="zh-CN" w:bidi="zh-CN"/>
        </w:rPr>
        <w:t>石家庄市栾城区基准地价修正幅度统计表</w:t>
      </w:r>
    </w:p>
    <w:tbl>
      <w:tblPr>
        <w:tblStyle w:val="107"/>
        <w:tblW w:w="5000" w:type="pct"/>
        <w:tblInd w:w="0" w:type="dxa"/>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Layout w:type="autofit"/>
        <w:tblCellMar>
          <w:top w:w="0" w:type="dxa"/>
          <w:left w:w="0" w:type="dxa"/>
          <w:bottom w:w="0" w:type="dxa"/>
          <w:right w:w="0" w:type="dxa"/>
        </w:tblCellMar>
      </w:tblPr>
      <w:tblGrid>
        <w:gridCol w:w="1252"/>
        <w:gridCol w:w="1256"/>
        <w:gridCol w:w="1252"/>
        <w:gridCol w:w="1252"/>
        <w:gridCol w:w="1252"/>
        <w:gridCol w:w="1252"/>
        <w:gridCol w:w="1252"/>
      </w:tblGrid>
      <w:tr w14:paraId="4410843C">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0" w:type="dxa"/>
            <w:bottom w:w="0" w:type="dxa"/>
            <w:right w:w="0" w:type="dxa"/>
          </w:tblCellMar>
        </w:tblPrEx>
        <w:trPr>
          <w:trHeight w:val="405" w:hRule="atLeast"/>
        </w:trPr>
        <w:tc>
          <w:tcPr>
            <w:tcW w:w="1430" w:type="pct"/>
            <w:gridSpan w:val="2"/>
            <w:noWrap/>
            <w:vAlign w:val="center"/>
          </w:tcPr>
          <w:p w14:paraId="53B2335A">
            <w:pPr>
              <w:widowControl/>
              <w:autoSpaceDE/>
              <w:autoSpaceDN/>
              <w:jc w:val="center"/>
              <w:rPr>
                <w:rFonts w:ascii="Times New Roman" w:hAnsi="Times New Roman" w:cs="Times New Roman"/>
                <w:color w:val="auto"/>
                <w:sz w:val="24"/>
                <w:szCs w:val="24"/>
                <w:lang w:eastAsia="zh-CN"/>
              </w:rPr>
            </w:pPr>
            <w:r>
              <w:rPr>
                <w:rFonts w:ascii="Times New Roman" w:hAnsi="Times New Roman" w:cs="Times New Roman"/>
                <w:color w:val="auto"/>
                <w:sz w:val="24"/>
                <w:szCs w:val="24"/>
                <w:lang w:eastAsia="zh-CN"/>
              </w:rPr>
              <w:t>土地级别</w:t>
            </w:r>
          </w:p>
        </w:tc>
        <w:tc>
          <w:tcPr>
            <w:tcW w:w="714" w:type="pct"/>
            <w:noWrap w:val="0"/>
            <w:vAlign w:val="center"/>
          </w:tcPr>
          <w:p w14:paraId="44E4FFCA">
            <w:pPr>
              <w:widowControl/>
              <w:autoSpaceDE/>
              <w:autoSpaceDN/>
              <w:jc w:val="center"/>
              <w:rPr>
                <w:rFonts w:ascii="Times New Roman" w:hAnsi="Times New Roman" w:cs="Times New Roman"/>
                <w:color w:val="auto"/>
                <w:sz w:val="24"/>
                <w:szCs w:val="24"/>
                <w:lang w:eastAsia="zh-CN"/>
              </w:rPr>
            </w:pPr>
            <w:r>
              <w:rPr>
                <w:rFonts w:ascii="Times New Roman" w:hAnsi="Times New Roman" w:cs="Times New Roman"/>
                <w:color w:val="auto"/>
                <w:sz w:val="24"/>
                <w:szCs w:val="24"/>
                <w:lang w:eastAsia="zh-CN"/>
              </w:rPr>
              <w:t>优</w:t>
            </w:r>
          </w:p>
        </w:tc>
        <w:tc>
          <w:tcPr>
            <w:tcW w:w="714" w:type="pct"/>
            <w:noWrap/>
            <w:vAlign w:val="center"/>
          </w:tcPr>
          <w:p w14:paraId="1654A186">
            <w:pPr>
              <w:widowControl/>
              <w:autoSpaceDE/>
              <w:autoSpaceDN/>
              <w:jc w:val="center"/>
              <w:rPr>
                <w:rFonts w:ascii="Times New Roman" w:hAnsi="Times New Roman" w:cs="Times New Roman"/>
                <w:color w:val="auto"/>
                <w:sz w:val="24"/>
                <w:szCs w:val="24"/>
                <w:lang w:eastAsia="zh-CN"/>
              </w:rPr>
            </w:pPr>
            <w:r>
              <w:rPr>
                <w:rFonts w:ascii="Times New Roman" w:hAnsi="Times New Roman" w:cs="Times New Roman"/>
                <w:color w:val="auto"/>
                <w:sz w:val="24"/>
                <w:szCs w:val="24"/>
                <w:lang w:eastAsia="zh-CN"/>
              </w:rPr>
              <w:t>较优</w:t>
            </w:r>
          </w:p>
        </w:tc>
        <w:tc>
          <w:tcPr>
            <w:tcW w:w="714" w:type="pct"/>
            <w:noWrap/>
            <w:vAlign w:val="center"/>
          </w:tcPr>
          <w:p w14:paraId="0233AA54">
            <w:pPr>
              <w:widowControl/>
              <w:autoSpaceDE/>
              <w:autoSpaceDN/>
              <w:jc w:val="center"/>
              <w:rPr>
                <w:rFonts w:ascii="Times New Roman" w:hAnsi="Times New Roman" w:cs="Times New Roman"/>
                <w:color w:val="auto"/>
                <w:sz w:val="24"/>
                <w:szCs w:val="24"/>
                <w:lang w:eastAsia="zh-CN"/>
              </w:rPr>
            </w:pPr>
            <w:r>
              <w:rPr>
                <w:rFonts w:ascii="Times New Roman" w:hAnsi="Times New Roman" w:cs="Times New Roman"/>
                <w:color w:val="auto"/>
                <w:sz w:val="24"/>
                <w:szCs w:val="24"/>
                <w:lang w:eastAsia="zh-CN"/>
              </w:rPr>
              <w:t>一般</w:t>
            </w:r>
          </w:p>
        </w:tc>
        <w:tc>
          <w:tcPr>
            <w:tcW w:w="714" w:type="pct"/>
            <w:noWrap/>
            <w:vAlign w:val="center"/>
          </w:tcPr>
          <w:p w14:paraId="6E74FF8A">
            <w:pPr>
              <w:widowControl/>
              <w:autoSpaceDE/>
              <w:autoSpaceDN/>
              <w:jc w:val="center"/>
              <w:rPr>
                <w:rFonts w:ascii="Times New Roman" w:hAnsi="Times New Roman" w:cs="Times New Roman"/>
                <w:color w:val="auto"/>
                <w:sz w:val="24"/>
                <w:szCs w:val="24"/>
                <w:lang w:eastAsia="zh-CN"/>
              </w:rPr>
            </w:pPr>
            <w:r>
              <w:rPr>
                <w:rFonts w:ascii="Times New Roman" w:hAnsi="Times New Roman" w:cs="Times New Roman"/>
                <w:color w:val="auto"/>
                <w:sz w:val="24"/>
                <w:szCs w:val="24"/>
                <w:lang w:eastAsia="zh-CN"/>
              </w:rPr>
              <w:t>较劣</w:t>
            </w:r>
          </w:p>
        </w:tc>
        <w:tc>
          <w:tcPr>
            <w:tcW w:w="714" w:type="pct"/>
            <w:noWrap/>
            <w:vAlign w:val="center"/>
          </w:tcPr>
          <w:p w14:paraId="6E3CC283">
            <w:pPr>
              <w:widowControl/>
              <w:autoSpaceDE/>
              <w:autoSpaceDN/>
              <w:jc w:val="center"/>
              <w:rPr>
                <w:rFonts w:ascii="Times New Roman" w:hAnsi="Times New Roman" w:cs="Times New Roman"/>
                <w:color w:val="auto"/>
                <w:sz w:val="24"/>
                <w:szCs w:val="24"/>
                <w:lang w:eastAsia="zh-CN"/>
              </w:rPr>
            </w:pPr>
            <w:r>
              <w:rPr>
                <w:rFonts w:ascii="Times New Roman" w:hAnsi="Times New Roman" w:cs="Times New Roman"/>
                <w:color w:val="auto"/>
                <w:sz w:val="24"/>
                <w:szCs w:val="24"/>
                <w:lang w:eastAsia="zh-CN"/>
              </w:rPr>
              <w:t>劣</w:t>
            </w:r>
          </w:p>
        </w:tc>
      </w:tr>
      <w:tr w14:paraId="11782387">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0" w:type="dxa"/>
            <w:bottom w:w="0" w:type="dxa"/>
            <w:right w:w="0" w:type="dxa"/>
          </w:tblCellMar>
        </w:tblPrEx>
        <w:trPr>
          <w:trHeight w:val="405" w:hRule="atLeast"/>
        </w:trPr>
        <w:tc>
          <w:tcPr>
            <w:tcW w:w="714" w:type="pct"/>
            <w:vMerge w:val="restart"/>
            <w:noWrap/>
            <w:vAlign w:val="center"/>
          </w:tcPr>
          <w:p w14:paraId="0E0D4D3F">
            <w:pPr>
              <w:widowControl/>
              <w:autoSpaceDE/>
              <w:autoSpaceDN/>
              <w:jc w:val="center"/>
              <w:rPr>
                <w:rFonts w:ascii="Times New Roman" w:hAnsi="Times New Roman" w:cs="Times New Roman"/>
                <w:color w:val="auto"/>
                <w:sz w:val="24"/>
                <w:szCs w:val="24"/>
                <w:lang w:eastAsia="zh-CN"/>
              </w:rPr>
            </w:pPr>
            <w:r>
              <w:rPr>
                <w:rFonts w:ascii="Times New Roman" w:hAnsi="Times New Roman" w:cs="Times New Roman"/>
                <w:color w:val="auto"/>
                <w:sz w:val="24"/>
                <w:szCs w:val="24"/>
                <w:lang w:eastAsia="zh-CN"/>
              </w:rPr>
              <w:t>商服用地</w:t>
            </w:r>
          </w:p>
        </w:tc>
        <w:tc>
          <w:tcPr>
            <w:tcW w:w="716" w:type="pct"/>
            <w:noWrap w:val="0"/>
            <w:vAlign w:val="center"/>
          </w:tcPr>
          <w:p w14:paraId="4D69CEB9">
            <w:pPr>
              <w:widowControl/>
              <w:autoSpaceDE/>
              <w:autoSpaceDN/>
              <w:jc w:val="center"/>
              <w:rPr>
                <w:rFonts w:ascii="Times New Roman" w:hAnsi="Times New Roman" w:cs="Times New Roman"/>
                <w:color w:val="auto"/>
                <w:sz w:val="24"/>
                <w:szCs w:val="24"/>
                <w:lang w:eastAsia="zh-CN"/>
              </w:rPr>
            </w:pPr>
            <w:r>
              <w:rPr>
                <w:rFonts w:ascii="Times New Roman" w:hAnsi="Times New Roman" w:cs="Times New Roman"/>
                <w:color w:val="auto"/>
                <w:sz w:val="24"/>
                <w:szCs w:val="24"/>
                <w:lang w:eastAsia="zh-CN"/>
              </w:rPr>
              <w:t>Ⅰ级</w:t>
            </w:r>
          </w:p>
        </w:tc>
        <w:tc>
          <w:tcPr>
            <w:tcW w:w="1252" w:type="dxa"/>
            <w:noWrap/>
            <w:vAlign w:val="center"/>
          </w:tcPr>
          <w:p w14:paraId="31E356D9">
            <w:pPr>
              <w:widowControl/>
              <w:autoSpaceDE/>
              <w:autoSpaceDN/>
              <w:jc w:val="center"/>
              <w:rPr>
                <w:rFonts w:ascii="Times New Roman" w:hAnsi="Times New Roman" w:cs="Times New Roman"/>
                <w:color w:val="auto"/>
                <w:sz w:val="24"/>
                <w:szCs w:val="24"/>
                <w:lang w:eastAsia="zh-CN"/>
              </w:rPr>
            </w:pPr>
            <w:r>
              <w:rPr>
                <w:rFonts w:ascii="Times New Roman" w:hAnsi="Times New Roman" w:cs="Times New Roman"/>
                <w:sz w:val="24"/>
                <w:szCs w:val="24"/>
              </w:rPr>
              <w:t>12.00%</w:t>
            </w:r>
          </w:p>
        </w:tc>
        <w:tc>
          <w:tcPr>
            <w:tcW w:w="1252" w:type="dxa"/>
            <w:noWrap/>
            <w:vAlign w:val="center"/>
          </w:tcPr>
          <w:p w14:paraId="473B7CA4">
            <w:pPr>
              <w:widowControl/>
              <w:autoSpaceDE/>
              <w:autoSpaceDN/>
              <w:jc w:val="center"/>
              <w:rPr>
                <w:rFonts w:ascii="Times New Roman" w:hAnsi="Times New Roman" w:cs="Times New Roman"/>
                <w:color w:val="auto"/>
                <w:sz w:val="24"/>
                <w:szCs w:val="24"/>
                <w:lang w:eastAsia="zh-CN"/>
              </w:rPr>
            </w:pPr>
            <w:r>
              <w:rPr>
                <w:rFonts w:ascii="Times New Roman" w:hAnsi="Times New Roman" w:cs="Times New Roman"/>
                <w:sz w:val="24"/>
                <w:szCs w:val="24"/>
              </w:rPr>
              <w:t>6.00%</w:t>
            </w:r>
          </w:p>
        </w:tc>
        <w:tc>
          <w:tcPr>
            <w:tcW w:w="1252" w:type="dxa"/>
            <w:noWrap/>
            <w:vAlign w:val="center"/>
          </w:tcPr>
          <w:p w14:paraId="70AD2290">
            <w:pPr>
              <w:widowControl/>
              <w:autoSpaceDE/>
              <w:autoSpaceDN/>
              <w:jc w:val="center"/>
              <w:rPr>
                <w:rFonts w:ascii="Times New Roman" w:hAnsi="Times New Roman" w:cs="Times New Roman"/>
                <w:color w:val="auto"/>
                <w:sz w:val="24"/>
                <w:szCs w:val="24"/>
                <w:lang w:eastAsia="zh-CN"/>
              </w:rPr>
            </w:pPr>
            <w:r>
              <w:rPr>
                <w:rFonts w:ascii="Times New Roman" w:hAnsi="Times New Roman" w:cs="Times New Roman"/>
                <w:sz w:val="24"/>
                <w:szCs w:val="24"/>
              </w:rPr>
              <w:t>0</w:t>
            </w:r>
          </w:p>
        </w:tc>
        <w:tc>
          <w:tcPr>
            <w:tcW w:w="1252" w:type="dxa"/>
            <w:noWrap/>
            <w:vAlign w:val="center"/>
          </w:tcPr>
          <w:p w14:paraId="4B16ABEC">
            <w:pPr>
              <w:widowControl/>
              <w:autoSpaceDE/>
              <w:autoSpaceDN/>
              <w:jc w:val="center"/>
              <w:rPr>
                <w:rFonts w:ascii="Times New Roman" w:hAnsi="Times New Roman" w:cs="Times New Roman"/>
                <w:color w:val="auto"/>
                <w:sz w:val="24"/>
                <w:szCs w:val="24"/>
                <w:lang w:eastAsia="zh-CN"/>
              </w:rPr>
            </w:pPr>
            <w:r>
              <w:rPr>
                <w:rFonts w:ascii="Times New Roman" w:hAnsi="Times New Roman" w:cs="Times New Roman"/>
                <w:sz w:val="24"/>
                <w:szCs w:val="24"/>
              </w:rPr>
              <w:t>-4.67%</w:t>
            </w:r>
          </w:p>
        </w:tc>
        <w:tc>
          <w:tcPr>
            <w:tcW w:w="1252" w:type="dxa"/>
            <w:noWrap/>
            <w:vAlign w:val="center"/>
          </w:tcPr>
          <w:p w14:paraId="6F91183F">
            <w:pPr>
              <w:widowControl/>
              <w:autoSpaceDE/>
              <w:autoSpaceDN/>
              <w:jc w:val="center"/>
              <w:rPr>
                <w:rFonts w:ascii="Times New Roman" w:hAnsi="Times New Roman" w:cs="Times New Roman"/>
                <w:color w:val="auto"/>
                <w:sz w:val="24"/>
                <w:szCs w:val="24"/>
                <w:lang w:eastAsia="zh-CN"/>
              </w:rPr>
            </w:pPr>
            <w:r>
              <w:rPr>
                <w:rFonts w:ascii="Times New Roman" w:hAnsi="Times New Roman" w:cs="Times New Roman"/>
                <w:sz w:val="24"/>
                <w:szCs w:val="24"/>
              </w:rPr>
              <w:t>-9.33%</w:t>
            </w:r>
          </w:p>
        </w:tc>
      </w:tr>
      <w:tr w14:paraId="7D387B44">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0" w:type="dxa"/>
            <w:bottom w:w="0" w:type="dxa"/>
            <w:right w:w="0" w:type="dxa"/>
          </w:tblCellMar>
        </w:tblPrEx>
        <w:trPr>
          <w:trHeight w:val="405" w:hRule="atLeast"/>
        </w:trPr>
        <w:tc>
          <w:tcPr>
            <w:tcW w:w="714" w:type="pct"/>
            <w:vMerge w:val="continue"/>
            <w:noWrap w:val="0"/>
            <w:vAlign w:val="center"/>
          </w:tcPr>
          <w:p w14:paraId="4B1DDCD1">
            <w:pPr>
              <w:widowControl/>
              <w:autoSpaceDE/>
              <w:autoSpaceDN/>
              <w:jc w:val="center"/>
              <w:rPr>
                <w:rFonts w:ascii="Times New Roman" w:hAnsi="Times New Roman" w:cs="Times New Roman"/>
                <w:color w:val="auto"/>
                <w:sz w:val="24"/>
                <w:szCs w:val="24"/>
                <w:lang w:eastAsia="zh-CN"/>
              </w:rPr>
            </w:pPr>
          </w:p>
        </w:tc>
        <w:tc>
          <w:tcPr>
            <w:tcW w:w="716" w:type="pct"/>
            <w:noWrap w:val="0"/>
            <w:vAlign w:val="center"/>
          </w:tcPr>
          <w:p w14:paraId="645C08C4">
            <w:pPr>
              <w:widowControl/>
              <w:autoSpaceDE/>
              <w:autoSpaceDN/>
              <w:jc w:val="center"/>
              <w:rPr>
                <w:rFonts w:ascii="Times New Roman" w:hAnsi="Times New Roman" w:cs="Times New Roman"/>
                <w:color w:val="auto"/>
                <w:sz w:val="24"/>
                <w:szCs w:val="24"/>
                <w:lang w:eastAsia="zh-CN"/>
              </w:rPr>
            </w:pPr>
            <w:r>
              <w:rPr>
                <w:rFonts w:ascii="Times New Roman" w:hAnsi="Times New Roman" w:cs="Times New Roman"/>
                <w:color w:val="auto"/>
                <w:sz w:val="24"/>
                <w:szCs w:val="24"/>
                <w:lang w:eastAsia="zh-CN"/>
              </w:rPr>
              <w:t>Ⅱ级</w:t>
            </w:r>
          </w:p>
        </w:tc>
        <w:tc>
          <w:tcPr>
            <w:tcW w:w="1252" w:type="dxa"/>
            <w:noWrap/>
            <w:vAlign w:val="center"/>
          </w:tcPr>
          <w:p w14:paraId="43337920">
            <w:pPr>
              <w:widowControl/>
              <w:autoSpaceDE/>
              <w:autoSpaceDN/>
              <w:jc w:val="center"/>
              <w:rPr>
                <w:rFonts w:ascii="Times New Roman" w:hAnsi="Times New Roman" w:cs="Times New Roman"/>
                <w:color w:val="auto"/>
                <w:sz w:val="24"/>
                <w:szCs w:val="24"/>
                <w:lang w:eastAsia="zh-CN"/>
              </w:rPr>
            </w:pPr>
            <w:r>
              <w:rPr>
                <w:rFonts w:ascii="Times New Roman" w:hAnsi="Times New Roman" w:cs="Times New Roman"/>
                <w:sz w:val="24"/>
                <w:szCs w:val="24"/>
              </w:rPr>
              <w:t>10.37%</w:t>
            </w:r>
          </w:p>
        </w:tc>
        <w:tc>
          <w:tcPr>
            <w:tcW w:w="1252" w:type="dxa"/>
            <w:noWrap/>
            <w:vAlign w:val="center"/>
          </w:tcPr>
          <w:p w14:paraId="3E8E6055">
            <w:pPr>
              <w:widowControl/>
              <w:autoSpaceDE/>
              <w:autoSpaceDN/>
              <w:jc w:val="center"/>
              <w:rPr>
                <w:rFonts w:ascii="Times New Roman" w:hAnsi="Times New Roman" w:cs="Times New Roman"/>
                <w:color w:val="auto"/>
                <w:sz w:val="24"/>
                <w:szCs w:val="24"/>
                <w:lang w:eastAsia="zh-CN"/>
              </w:rPr>
            </w:pPr>
            <w:r>
              <w:rPr>
                <w:rFonts w:ascii="Times New Roman" w:hAnsi="Times New Roman" w:cs="Times New Roman"/>
                <w:sz w:val="24"/>
                <w:szCs w:val="24"/>
              </w:rPr>
              <w:t>5.19%</w:t>
            </w:r>
          </w:p>
        </w:tc>
        <w:tc>
          <w:tcPr>
            <w:tcW w:w="1252" w:type="dxa"/>
            <w:noWrap/>
            <w:vAlign w:val="center"/>
          </w:tcPr>
          <w:p w14:paraId="074042EA">
            <w:pPr>
              <w:widowControl/>
              <w:autoSpaceDE/>
              <w:autoSpaceDN/>
              <w:jc w:val="center"/>
              <w:rPr>
                <w:rFonts w:ascii="Times New Roman" w:hAnsi="Times New Roman" w:cs="Times New Roman"/>
                <w:color w:val="auto"/>
                <w:sz w:val="24"/>
                <w:szCs w:val="24"/>
                <w:lang w:eastAsia="zh-CN"/>
              </w:rPr>
            </w:pPr>
            <w:r>
              <w:rPr>
                <w:rFonts w:ascii="Times New Roman" w:hAnsi="Times New Roman" w:cs="Times New Roman"/>
                <w:sz w:val="24"/>
                <w:szCs w:val="24"/>
              </w:rPr>
              <w:t>0</w:t>
            </w:r>
          </w:p>
        </w:tc>
        <w:tc>
          <w:tcPr>
            <w:tcW w:w="1252" w:type="dxa"/>
            <w:noWrap/>
            <w:vAlign w:val="center"/>
          </w:tcPr>
          <w:p w14:paraId="30942542">
            <w:pPr>
              <w:widowControl/>
              <w:autoSpaceDE/>
              <w:autoSpaceDN/>
              <w:jc w:val="center"/>
              <w:rPr>
                <w:rFonts w:ascii="Times New Roman" w:hAnsi="Times New Roman" w:cs="Times New Roman"/>
                <w:color w:val="auto"/>
                <w:sz w:val="24"/>
                <w:szCs w:val="24"/>
                <w:lang w:eastAsia="zh-CN"/>
              </w:rPr>
            </w:pPr>
            <w:r>
              <w:rPr>
                <w:rFonts w:ascii="Times New Roman" w:hAnsi="Times New Roman" w:cs="Times New Roman"/>
                <w:sz w:val="24"/>
                <w:szCs w:val="24"/>
              </w:rPr>
              <w:t>-5.93%</w:t>
            </w:r>
          </w:p>
        </w:tc>
        <w:tc>
          <w:tcPr>
            <w:tcW w:w="1252" w:type="dxa"/>
            <w:noWrap/>
            <w:vAlign w:val="center"/>
          </w:tcPr>
          <w:p w14:paraId="6EC545F0">
            <w:pPr>
              <w:widowControl/>
              <w:autoSpaceDE/>
              <w:autoSpaceDN/>
              <w:jc w:val="center"/>
              <w:rPr>
                <w:rFonts w:ascii="Times New Roman" w:hAnsi="Times New Roman" w:cs="Times New Roman"/>
                <w:color w:val="auto"/>
                <w:sz w:val="24"/>
                <w:szCs w:val="24"/>
                <w:lang w:eastAsia="zh-CN"/>
              </w:rPr>
            </w:pPr>
            <w:r>
              <w:rPr>
                <w:rFonts w:ascii="Times New Roman" w:hAnsi="Times New Roman" w:cs="Times New Roman"/>
                <w:sz w:val="24"/>
                <w:szCs w:val="24"/>
              </w:rPr>
              <w:t>-11.85%</w:t>
            </w:r>
          </w:p>
        </w:tc>
      </w:tr>
      <w:tr w14:paraId="01FFEA2A">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0" w:type="dxa"/>
            <w:bottom w:w="0" w:type="dxa"/>
            <w:right w:w="0" w:type="dxa"/>
          </w:tblCellMar>
        </w:tblPrEx>
        <w:trPr>
          <w:trHeight w:val="405" w:hRule="atLeast"/>
        </w:trPr>
        <w:tc>
          <w:tcPr>
            <w:tcW w:w="714" w:type="pct"/>
            <w:vMerge w:val="continue"/>
            <w:noWrap w:val="0"/>
            <w:vAlign w:val="center"/>
          </w:tcPr>
          <w:p w14:paraId="388A2598">
            <w:pPr>
              <w:widowControl/>
              <w:autoSpaceDE/>
              <w:autoSpaceDN/>
              <w:jc w:val="center"/>
              <w:rPr>
                <w:rFonts w:ascii="Times New Roman" w:hAnsi="Times New Roman" w:cs="Times New Roman"/>
                <w:color w:val="auto"/>
                <w:sz w:val="24"/>
                <w:szCs w:val="24"/>
                <w:lang w:eastAsia="zh-CN"/>
              </w:rPr>
            </w:pPr>
          </w:p>
        </w:tc>
        <w:tc>
          <w:tcPr>
            <w:tcW w:w="716" w:type="pct"/>
            <w:noWrap w:val="0"/>
            <w:vAlign w:val="center"/>
          </w:tcPr>
          <w:p w14:paraId="532970B7">
            <w:pPr>
              <w:widowControl/>
              <w:autoSpaceDE/>
              <w:autoSpaceDN/>
              <w:jc w:val="center"/>
              <w:rPr>
                <w:rFonts w:ascii="Times New Roman" w:hAnsi="Times New Roman" w:cs="Times New Roman"/>
                <w:color w:val="auto"/>
                <w:sz w:val="24"/>
                <w:szCs w:val="24"/>
                <w:lang w:eastAsia="zh-CN"/>
              </w:rPr>
            </w:pPr>
            <w:r>
              <w:rPr>
                <w:rFonts w:ascii="Times New Roman" w:hAnsi="Times New Roman" w:cs="Times New Roman"/>
                <w:color w:val="auto"/>
                <w:sz w:val="24"/>
                <w:szCs w:val="24"/>
                <w:lang w:eastAsia="zh-CN"/>
              </w:rPr>
              <w:t>Ⅲ</w:t>
            </w:r>
            <w:r>
              <w:rPr>
                <w:rFonts w:ascii="Times New Roman" w:hAnsi="Times New Roman" w:eastAsia="宋体" w:cs="Times New Roman"/>
                <w:color w:val="auto"/>
                <w:sz w:val="24"/>
                <w:szCs w:val="24"/>
                <w:lang w:eastAsia="zh-CN"/>
              </w:rPr>
              <w:t>级</w:t>
            </w:r>
          </w:p>
        </w:tc>
        <w:tc>
          <w:tcPr>
            <w:tcW w:w="1252" w:type="dxa"/>
            <w:noWrap/>
            <w:vAlign w:val="center"/>
          </w:tcPr>
          <w:p w14:paraId="0273A3FF">
            <w:pPr>
              <w:widowControl/>
              <w:autoSpaceDE/>
              <w:autoSpaceDN/>
              <w:jc w:val="center"/>
              <w:rPr>
                <w:rFonts w:ascii="Times New Roman" w:hAnsi="Times New Roman" w:cs="Times New Roman"/>
                <w:color w:val="auto"/>
                <w:sz w:val="24"/>
                <w:szCs w:val="24"/>
                <w:lang w:eastAsia="zh-CN"/>
              </w:rPr>
            </w:pPr>
            <w:r>
              <w:rPr>
                <w:rFonts w:ascii="Times New Roman" w:hAnsi="Times New Roman" w:cs="Times New Roman"/>
                <w:sz w:val="24"/>
                <w:szCs w:val="24"/>
              </w:rPr>
              <w:t>14.29%</w:t>
            </w:r>
          </w:p>
        </w:tc>
        <w:tc>
          <w:tcPr>
            <w:tcW w:w="1252" w:type="dxa"/>
            <w:noWrap/>
            <w:vAlign w:val="center"/>
          </w:tcPr>
          <w:p w14:paraId="442579AB">
            <w:pPr>
              <w:widowControl/>
              <w:autoSpaceDE/>
              <w:autoSpaceDN/>
              <w:jc w:val="center"/>
              <w:rPr>
                <w:rFonts w:ascii="Times New Roman" w:hAnsi="Times New Roman" w:cs="Times New Roman"/>
                <w:color w:val="auto"/>
                <w:sz w:val="24"/>
                <w:szCs w:val="24"/>
                <w:lang w:eastAsia="zh-CN"/>
              </w:rPr>
            </w:pPr>
            <w:r>
              <w:rPr>
                <w:rFonts w:ascii="Times New Roman" w:hAnsi="Times New Roman" w:cs="Times New Roman"/>
                <w:sz w:val="24"/>
                <w:szCs w:val="24"/>
              </w:rPr>
              <w:t>7.14%</w:t>
            </w:r>
          </w:p>
        </w:tc>
        <w:tc>
          <w:tcPr>
            <w:tcW w:w="1252" w:type="dxa"/>
            <w:noWrap/>
            <w:vAlign w:val="center"/>
          </w:tcPr>
          <w:p w14:paraId="04B91653">
            <w:pPr>
              <w:widowControl/>
              <w:autoSpaceDE/>
              <w:autoSpaceDN/>
              <w:jc w:val="center"/>
              <w:rPr>
                <w:rFonts w:ascii="Times New Roman" w:hAnsi="Times New Roman" w:cs="Times New Roman"/>
                <w:color w:val="auto"/>
                <w:sz w:val="24"/>
                <w:szCs w:val="24"/>
                <w:lang w:eastAsia="zh-CN"/>
              </w:rPr>
            </w:pPr>
            <w:r>
              <w:rPr>
                <w:rFonts w:ascii="Times New Roman" w:hAnsi="Times New Roman" w:cs="Times New Roman"/>
                <w:sz w:val="24"/>
                <w:szCs w:val="24"/>
              </w:rPr>
              <w:t>0</w:t>
            </w:r>
          </w:p>
        </w:tc>
        <w:tc>
          <w:tcPr>
            <w:tcW w:w="1252" w:type="dxa"/>
            <w:noWrap/>
            <w:vAlign w:val="center"/>
          </w:tcPr>
          <w:p w14:paraId="50C53930">
            <w:pPr>
              <w:widowControl/>
              <w:autoSpaceDE/>
              <w:autoSpaceDN/>
              <w:jc w:val="center"/>
              <w:rPr>
                <w:rFonts w:ascii="Times New Roman" w:hAnsi="Times New Roman" w:cs="Times New Roman"/>
                <w:color w:val="auto"/>
                <w:sz w:val="24"/>
                <w:szCs w:val="24"/>
                <w:lang w:eastAsia="zh-CN"/>
              </w:rPr>
            </w:pPr>
            <w:r>
              <w:rPr>
                <w:rFonts w:ascii="Times New Roman" w:hAnsi="Times New Roman" w:cs="Times New Roman"/>
                <w:sz w:val="24"/>
                <w:szCs w:val="24"/>
              </w:rPr>
              <w:t>-6.67%</w:t>
            </w:r>
          </w:p>
        </w:tc>
        <w:tc>
          <w:tcPr>
            <w:tcW w:w="1252" w:type="dxa"/>
            <w:noWrap/>
            <w:vAlign w:val="center"/>
          </w:tcPr>
          <w:p w14:paraId="613CFC9A">
            <w:pPr>
              <w:widowControl/>
              <w:autoSpaceDE/>
              <w:autoSpaceDN/>
              <w:jc w:val="center"/>
              <w:rPr>
                <w:rFonts w:ascii="Times New Roman" w:hAnsi="Times New Roman" w:cs="Times New Roman"/>
                <w:color w:val="auto"/>
                <w:sz w:val="24"/>
                <w:szCs w:val="24"/>
                <w:lang w:eastAsia="zh-CN"/>
              </w:rPr>
            </w:pPr>
            <w:r>
              <w:rPr>
                <w:rFonts w:ascii="Times New Roman" w:hAnsi="Times New Roman" w:cs="Times New Roman"/>
                <w:sz w:val="24"/>
                <w:szCs w:val="24"/>
              </w:rPr>
              <w:t>-13.33%</w:t>
            </w:r>
          </w:p>
        </w:tc>
      </w:tr>
      <w:tr w14:paraId="42DD7439">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0" w:type="dxa"/>
            <w:bottom w:w="0" w:type="dxa"/>
            <w:right w:w="0" w:type="dxa"/>
          </w:tblCellMar>
        </w:tblPrEx>
        <w:trPr>
          <w:trHeight w:val="405" w:hRule="atLeast"/>
        </w:trPr>
        <w:tc>
          <w:tcPr>
            <w:tcW w:w="714" w:type="pct"/>
            <w:vMerge w:val="continue"/>
            <w:noWrap w:val="0"/>
            <w:vAlign w:val="center"/>
          </w:tcPr>
          <w:p w14:paraId="10E39752">
            <w:pPr>
              <w:widowControl/>
              <w:autoSpaceDE/>
              <w:autoSpaceDN/>
              <w:jc w:val="center"/>
              <w:rPr>
                <w:rFonts w:ascii="Times New Roman" w:hAnsi="Times New Roman" w:cs="Times New Roman"/>
                <w:color w:val="auto"/>
                <w:sz w:val="24"/>
                <w:szCs w:val="24"/>
                <w:lang w:eastAsia="zh-CN"/>
              </w:rPr>
            </w:pPr>
          </w:p>
        </w:tc>
        <w:tc>
          <w:tcPr>
            <w:tcW w:w="716" w:type="pct"/>
            <w:noWrap w:val="0"/>
            <w:vAlign w:val="center"/>
          </w:tcPr>
          <w:p w14:paraId="5DB0461E">
            <w:pPr>
              <w:widowControl/>
              <w:autoSpaceDE/>
              <w:autoSpaceDN/>
              <w:jc w:val="center"/>
              <w:rPr>
                <w:rFonts w:ascii="Times New Roman" w:hAnsi="Times New Roman" w:cs="Times New Roman"/>
                <w:color w:val="auto"/>
                <w:sz w:val="24"/>
                <w:szCs w:val="24"/>
                <w:lang w:eastAsia="zh-CN"/>
              </w:rPr>
            </w:pPr>
            <w:r>
              <w:rPr>
                <w:rFonts w:ascii="Times New Roman" w:hAnsi="Times New Roman" w:cs="Times New Roman"/>
                <w:color w:val="auto"/>
                <w:sz w:val="24"/>
                <w:szCs w:val="24"/>
                <w:lang w:eastAsia="zh-CN"/>
              </w:rPr>
              <w:t>Ⅳ</w:t>
            </w:r>
            <w:r>
              <w:rPr>
                <w:rFonts w:ascii="Times New Roman" w:hAnsi="Times New Roman" w:eastAsia="宋体" w:cs="Times New Roman"/>
                <w:color w:val="auto"/>
                <w:sz w:val="24"/>
                <w:szCs w:val="24"/>
                <w:lang w:eastAsia="zh-CN"/>
              </w:rPr>
              <w:t>级</w:t>
            </w:r>
          </w:p>
        </w:tc>
        <w:tc>
          <w:tcPr>
            <w:tcW w:w="1252" w:type="dxa"/>
            <w:noWrap/>
            <w:vAlign w:val="center"/>
          </w:tcPr>
          <w:p w14:paraId="3BE9E5D3">
            <w:pPr>
              <w:widowControl/>
              <w:autoSpaceDE/>
              <w:autoSpaceDN/>
              <w:jc w:val="center"/>
              <w:rPr>
                <w:rFonts w:ascii="Times New Roman" w:hAnsi="Times New Roman" w:cs="Times New Roman"/>
                <w:color w:val="auto"/>
                <w:sz w:val="24"/>
                <w:szCs w:val="24"/>
                <w:lang w:eastAsia="zh-CN"/>
              </w:rPr>
            </w:pPr>
            <w:r>
              <w:rPr>
                <w:rFonts w:ascii="Times New Roman" w:hAnsi="Times New Roman" w:cs="Times New Roman"/>
                <w:sz w:val="24"/>
                <w:szCs w:val="24"/>
              </w:rPr>
              <w:t>14.44%</w:t>
            </w:r>
          </w:p>
        </w:tc>
        <w:tc>
          <w:tcPr>
            <w:tcW w:w="1252" w:type="dxa"/>
            <w:noWrap/>
            <w:vAlign w:val="center"/>
          </w:tcPr>
          <w:p w14:paraId="32AD3286">
            <w:pPr>
              <w:widowControl/>
              <w:autoSpaceDE/>
              <w:autoSpaceDN/>
              <w:jc w:val="center"/>
              <w:rPr>
                <w:rFonts w:ascii="Times New Roman" w:hAnsi="Times New Roman" w:cs="Times New Roman"/>
                <w:color w:val="auto"/>
                <w:sz w:val="24"/>
                <w:szCs w:val="24"/>
                <w:lang w:eastAsia="zh-CN"/>
              </w:rPr>
            </w:pPr>
            <w:r>
              <w:rPr>
                <w:rFonts w:ascii="Times New Roman" w:hAnsi="Times New Roman" w:cs="Times New Roman"/>
                <w:sz w:val="24"/>
                <w:szCs w:val="24"/>
              </w:rPr>
              <w:t>7.22%</w:t>
            </w:r>
          </w:p>
        </w:tc>
        <w:tc>
          <w:tcPr>
            <w:tcW w:w="1252" w:type="dxa"/>
            <w:noWrap/>
            <w:vAlign w:val="center"/>
          </w:tcPr>
          <w:p w14:paraId="4446BF1A">
            <w:pPr>
              <w:widowControl/>
              <w:autoSpaceDE/>
              <w:autoSpaceDN/>
              <w:jc w:val="center"/>
              <w:rPr>
                <w:rFonts w:ascii="Times New Roman" w:hAnsi="Times New Roman" w:cs="Times New Roman"/>
                <w:color w:val="auto"/>
                <w:sz w:val="24"/>
                <w:szCs w:val="24"/>
                <w:lang w:eastAsia="zh-CN"/>
              </w:rPr>
            </w:pPr>
            <w:r>
              <w:rPr>
                <w:rFonts w:ascii="Times New Roman" w:hAnsi="Times New Roman" w:cs="Times New Roman"/>
                <w:sz w:val="24"/>
                <w:szCs w:val="24"/>
              </w:rPr>
              <w:t>0</w:t>
            </w:r>
          </w:p>
        </w:tc>
        <w:tc>
          <w:tcPr>
            <w:tcW w:w="1252" w:type="dxa"/>
            <w:noWrap/>
            <w:vAlign w:val="center"/>
          </w:tcPr>
          <w:p w14:paraId="650EF19A">
            <w:pPr>
              <w:widowControl/>
              <w:autoSpaceDE/>
              <w:autoSpaceDN/>
              <w:jc w:val="center"/>
              <w:rPr>
                <w:rFonts w:ascii="Times New Roman" w:hAnsi="Times New Roman" w:cs="Times New Roman"/>
                <w:color w:val="auto"/>
                <w:sz w:val="24"/>
                <w:szCs w:val="24"/>
                <w:lang w:eastAsia="zh-CN"/>
              </w:rPr>
            </w:pPr>
            <w:r>
              <w:rPr>
                <w:rFonts w:ascii="Times New Roman" w:hAnsi="Times New Roman" w:cs="Times New Roman"/>
                <w:sz w:val="24"/>
                <w:szCs w:val="24"/>
              </w:rPr>
              <w:t>-6.67%</w:t>
            </w:r>
          </w:p>
        </w:tc>
        <w:tc>
          <w:tcPr>
            <w:tcW w:w="1252" w:type="dxa"/>
            <w:noWrap/>
            <w:vAlign w:val="center"/>
          </w:tcPr>
          <w:p w14:paraId="35A5F46C">
            <w:pPr>
              <w:widowControl/>
              <w:autoSpaceDE/>
              <w:autoSpaceDN/>
              <w:jc w:val="center"/>
              <w:rPr>
                <w:rFonts w:ascii="Times New Roman" w:hAnsi="Times New Roman" w:cs="Times New Roman"/>
                <w:color w:val="auto"/>
                <w:sz w:val="24"/>
                <w:szCs w:val="24"/>
                <w:lang w:eastAsia="zh-CN"/>
              </w:rPr>
            </w:pPr>
            <w:r>
              <w:rPr>
                <w:rFonts w:ascii="Times New Roman" w:hAnsi="Times New Roman" w:cs="Times New Roman"/>
                <w:sz w:val="24"/>
                <w:szCs w:val="24"/>
              </w:rPr>
              <w:t>-13.33%</w:t>
            </w:r>
          </w:p>
        </w:tc>
      </w:tr>
      <w:tr w14:paraId="39445D28">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0" w:type="dxa"/>
            <w:bottom w:w="0" w:type="dxa"/>
            <w:right w:w="0" w:type="dxa"/>
          </w:tblCellMar>
        </w:tblPrEx>
        <w:trPr>
          <w:trHeight w:val="405" w:hRule="atLeast"/>
        </w:trPr>
        <w:tc>
          <w:tcPr>
            <w:tcW w:w="714" w:type="pct"/>
            <w:vMerge w:val="restart"/>
            <w:noWrap w:val="0"/>
            <w:vAlign w:val="center"/>
          </w:tcPr>
          <w:p w14:paraId="17D4951D">
            <w:pPr>
              <w:widowControl/>
              <w:autoSpaceDE/>
              <w:autoSpaceDN/>
              <w:jc w:val="center"/>
              <w:rPr>
                <w:rFonts w:ascii="Times New Roman" w:hAnsi="Times New Roman" w:cs="Times New Roman"/>
                <w:color w:val="auto"/>
                <w:sz w:val="24"/>
                <w:szCs w:val="24"/>
                <w:lang w:eastAsia="zh-CN"/>
              </w:rPr>
            </w:pPr>
            <w:r>
              <w:rPr>
                <w:rFonts w:ascii="Times New Roman" w:hAnsi="Times New Roman" w:cs="Times New Roman"/>
                <w:color w:val="auto"/>
                <w:sz w:val="24"/>
                <w:szCs w:val="24"/>
                <w:lang w:eastAsia="zh-CN"/>
              </w:rPr>
              <w:t>住宅用地</w:t>
            </w:r>
          </w:p>
        </w:tc>
        <w:tc>
          <w:tcPr>
            <w:tcW w:w="716" w:type="pct"/>
            <w:noWrap w:val="0"/>
            <w:vAlign w:val="center"/>
          </w:tcPr>
          <w:p w14:paraId="45C3B6A9">
            <w:pPr>
              <w:widowControl/>
              <w:autoSpaceDE/>
              <w:autoSpaceDN/>
              <w:jc w:val="center"/>
              <w:rPr>
                <w:rFonts w:ascii="Times New Roman" w:hAnsi="Times New Roman" w:cs="Times New Roman"/>
                <w:color w:val="auto"/>
                <w:sz w:val="24"/>
                <w:szCs w:val="24"/>
                <w:lang w:eastAsia="zh-CN"/>
              </w:rPr>
            </w:pPr>
            <w:r>
              <w:rPr>
                <w:rFonts w:ascii="Times New Roman" w:hAnsi="Times New Roman" w:cs="Times New Roman"/>
                <w:color w:val="auto"/>
                <w:sz w:val="24"/>
                <w:szCs w:val="24"/>
                <w:lang w:eastAsia="zh-CN"/>
              </w:rPr>
              <w:t>Ⅰ级</w:t>
            </w:r>
          </w:p>
        </w:tc>
        <w:tc>
          <w:tcPr>
            <w:tcW w:w="1252" w:type="dxa"/>
            <w:noWrap/>
            <w:vAlign w:val="center"/>
          </w:tcPr>
          <w:p w14:paraId="0623BFE1">
            <w:pPr>
              <w:widowControl/>
              <w:autoSpaceDE/>
              <w:autoSpaceDN/>
              <w:jc w:val="center"/>
              <w:rPr>
                <w:rFonts w:ascii="Times New Roman" w:hAnsi="Times New Roman" w:cs="Times New Roman"/>
                <w:color w:val="auto"/>
                <w:sz w:val="24"/>
                <w:szCs w:val="24"/>
                <w:lang w:eastAsia="zh-CN"/>
              </w:rPr>
            </w:pPr>
            <w:r>
              <w:rPr>
                <w:rFonts w:ascii="Times New Roman" w:hAnsi="Times New Roman" w:cs="Times New Roman"/>
                <w:sz w:val="24"/>
                <w:szCs w:val="24"/>
              </w:rPr>
              <w:t>10.70%</w:t>
            </w:r>
          </w:p>
        </w:tc>
        <w:tc>
          <w:tcPr>
            <w:tcW w:w="1252" w:type="dxa"/>
            <w:noWrap/>
            <w:vAlign w:val="center"/>
          </w:tcPr>
          <w:p w14:paraId="50A3F41D">
            <w:pPr>
              <w:widowControl/>
              <w:autoSpaceDE/>
              <w:autoSpaceDN/>
              <w:jc w:val="center"/>
              <w:rPr>
                <w:rFonts w:ascii="Times New Roman" w:hAnsi="Times New Roman" w:cs="Times New Roman"/>
                <w:color w:val="auto"/>
                <w:sz w:val="24"/>
                <w:szCs w:val="24"/>
                <w:lang w:eastAsia="zh-CN"/>
              </w:rPr>
            </w:pPr>
            <w:r>
              <w:rPr>
                <w:rFonts w:ascii="Times New Roman" w:hAnsi="Times New Roman" w:cs="Times New Roman"/>
                <w:sz w:val="24"/>
                <w:szCs w:val="24"/>
              </w:rPr>
              <w:t>5.35%</w:t>
            </w:r>
          </w:p>
        </w:tc>
        <w:tc>
          <w:tcPr>
            <w:tcW w:w="1252" w:type="dxa"/>
            <w:noWrap/>
            <w:vAlign w:val="center"/>
          </w:tcPr>
          <w:p w14:paraId="4AA146AA">
            <w:pPr>
              <w:widowControl/>
              <w:autoSpaceDE/>
              <w:autoSpaceDN/>
              <w:jc w:val="center"/>
              <w:rPr>
                <w:rFonts w:ascii="Times New Roman" w:hAnsi="Times New Roman" w:cs="Times New Roman"/>
                <w:color w:val="auto"/>
                <w:sz w:val="24"/>
                <w:szCs w:val="24"/>
                <w:lang w:eastAsia="zh-CN"/>
              </w:rPr>
            </w:pPr>
            <w:r>
              <w:rPr>
                <w:rFonts w:ascii="Times New Roman" w:hAnsi="Times New Roman" w:cs="Times New Roman"/>
                <w:sz w:val="24"/>
                <w:szCs w:val="24"/>
              </w:rPr>
              <w:t>0</w:t>
            </w:r>
          </w:p>
        </w:tc>
        <w:tc>
          <w:tcPr>
            <w:tcW w:w="1252" w:type="dxa"/>
            <w:noWrap/>
            <w:vAlign w:val="center"/>
          </w:tcPr>
          <w:p w14:paraId="557D05FD">
            <w:pPr>
              <w:widowControl/>
              <w:autoSpaceDE/>
              <w:autoSpaceDN/>
              <w:jc w:val="center"/>
              <w:rPr>
                <w:rFonts w:ascii="Times New Roman" w:hAnsi="Times New Roman" w:cs="Times New Roman"/>
                <w:color w:val="auto"/>
                <w:sz w:val="24"/>
                <w:szCs w:val="24"/>
                <w:lang w:eastAsia="zh-CN"/>
              </w:rPr>
            </w:pPr>
            <w:r>
              <w:rPr>
                <w:rFonts w:ascii="Times New Roman" w:hAnsi="Times New Roman" w:cs="Times New Roman"/>
                <w:sz w:val="24"/>
                <w:szCs w:val="24"/>
              </w:rPr>
              <w:t>-5.79%</w:t>
            </w:r>
          </w:p>
        </w:tc>
        <w:tc>
          <w:tcPr>
            <w:tcW w:w="1252" w:type="dxa"/>
            <w:noWrap/>
            <w:vAlign w:val="center"/>
          </w:tcPr>
          <w:p w14:paraId="705D187A">
            <w:pPr>
              <w:widowControl/>
              <w:autoSpaceDE/>
              <w:autoSpaceDN/>
              <w:jc w:val="center"/>
              <w:rPr>
                <w:rFonts w:ascii="Times New Roman" w:hAnsi="Times New Roman" w:cs="Times New Roman"/>
                <w:color w:val="auto"/>
                <w:sz w:val="24"/>
                <w:szCs w:val="24"/>
                <w:lang w:eastAsia="zh-CN"/>
              </w:rPr>
            </w:pPr>
            <w:r>
              <w:rPr>
                <w:rFonts w:ascii="Times New Roman" w:hAnsi="Times New Roman" w:cs="Times New Roman"/>
                <w:sz w:val="24"/>
                <w:szCs w:val="24"/>
              </w:rPr>
              <w:t>-11.59%</w:t>
            </w:r>
          </w:p>
        </w:tc>
      </w:tr>
      <w:tr w14:paraId="0CE5B018">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0" w:type="dxa"/>
            <w:bottom w:w="0" w:type="dxa"/>
            <w:right w:w="0" w:type="dxa"/>
          </w:tblCellMar>
        </w:tblPrEx>
        <w:trPr>
          <w:trHeight w:val="405" w:hRule="atLeast"/>
        </w:trPr>
        <w:tc>
          <w:tcPr>
            <w:tcW w:w="714" w:type="pct"/>
            <w:vMerge w:val="continue"/>
            <w:noWrap w:val="0"/>
            <w:vAlign w:val="center"/>
          </w:tcPr>
          <w:p w14:paraId="3FEA7D0D">
            <w:pPr>
              <w:widowControl/>
              <w:autoSpaceDE/>
              <w:autoSpaceDN/>
              <w:jc w:val="center"/>
              <w:rPr>
                <w:rFonts w:ascii="Times New Roman" w:hAnsi="Times New Roman" w:cs="Times New Roman"/>
                <w:color w:val="auto"/>
                <w:sz w:val="24"/>
                <w:szCs w:val="24"/>
                <w:lang w:eastAsia="zh-CN"/>
              </w:rPr>
            </w:pPr>
          </w:p>
        </w:tc>
        <w:tc>
          <w:tcPr>
            <w:tcW w:w="716" w:type="pct"/>
            <w:noWrap w:val="0"/>
            <w:vAlign w:val="center"/>
          </w:tcPr>
          <w:p w14:paraId="51EE9203">
            <w:pPr>
              <w:widowControl/>
              <w:autoSpaceDE/>
              <w:autoSpaceDN/>
              <w:jc w:val="center"/>
              <w:rPr>
                <w:rFonts w:ascii="Times New Roman" w:hAnsi="Times New Roman" w:cs="Times New Roman"/>
                <w:color w:val="auto"/>
                <w:sz w:val="24"/>
                <w:szCs w:val="24"/>
                <w:lang w:eastAsia="zh-CN"/>
              </w:rPr>
            </w:pPr>
            <w:r>
              <w:rPr>
                <w:rFonts w:ascii="Times New Roman" w:hAnsi="Times New Roman" w:cs="Times New Roman"/>
                <w:color w:val="auto"/>
                <w:sz w:val="24"/>
                <w:szCs w:val="24"/>
                <w:lang w:eastAsia="zh-CN"/>
              </w:rPr>
              <w:t>Ⅱ级</w:t>
            </w:r>
          </w:p>
        </w:tc>
        <w:tc>
          <w:tcPr>
            <w:tcW w:w="1252" w:type="dxa"/>
            <w:noWrap/>
            <w:vAlign w:val="center"/>
          </w:tcPr>
          <w:p w14:paraId="43A1AF04">
            <w:pPr>
              <w:widowControl/>
              <w:autoSpaceDE/>
              <w:autoSpaceDN/>
              <w:jc w:val="center"/>
              <w:rPr>
                <w:rFonts w:ascii="Times New Roman" w:hAnsi="Times New Roman" w:cs="Times New Roman"/>
                <w:color w:val="auto"/>
                <w:sz w:val="24"/>
                <w:szCs w:val="24"/>
                <w:lang w:eastAsia="zh-CN"/>
              </w:rPr>
            </w:pPr>
            <w:r>
              <w:rPr>
                <w:rFonts w:ascii="Times New Roman" w:hAnsi="Times New Roman" w:cs="Times New Roman"/>
                <w:sz w:val="24"/>
                <w:szCs w:val="24"/>
              </w:rPr>
              <w:t>12.32%</w:t>
            </w:r>
          </w:p>
        </w:tc>
        <w:tc>
          <w:tcPr>
            <w:tcW w:w="1252" w:type="dxa"/>
            <w:noWrap/>
            <w:vAlign w:val="center"/>
          </w:tcPr>
          <w:p w14:paraId="240CB637">
            <w:pPr>
              <w:widowControl/>
              <w:autoSpaceDE/>
              <w:autoSpaceDN/>
              <w:jc w:val="center"/>
              <w:rPr>
                <w:rFonts w:ascii="Times New Roman" w:hAnsi="Times New Roman" w:cs="Times New Roman"/>
                <w:color w:val="auto"/>
                <w:sz w:val="24"/>
                <w:szCs w:val="24"/>
                <w:lang w:eastAsia="zh-CN"/>
              </w:rPr>
            </w:pPr>
            <w:r>
              <w:rPr>
                <w:rFonts w:ascii="Times New Roman" w:hAnsi="Times New Roman" w:cs="Times New Roman"/>
                <w:sz w:val="24"/>
                <w:szCs w:val="24"/>
              </w:rPr>
              <w:t>6.16%</w:t>
            </w:r>
          </w:p>
        </w:tc>
        <w:tc>
          <w:tcPr>
            <w:tcW w:w="1252" w:type="dxa"/>
            <w:noWrap/>
            <w:vAlign w:val="center"/>
          </w:tcPr>
          <w:p w14:paraId="3B33F821">
            <w:pPr>
              <w:widowControl/>
              <w:autoSpaceDE/>
              <w:autoSpaceDN/>
              <w:jc w:val="center"/>
              <w:rPr>
                <w:rFonts w:ascii="Times New Roman" w:hAnsi="Times New Roman" w:cs="Times New Roman"/>
                <w:color w:val="auto"/>
                <w:sz w:val="24"/>
                <w:szCs w:val="24"/>
                <w:lang w:eastAsia="zh-CN"/>
              </w:rPr>
            </w:pPr>
            <w:r>
              <w:rPr>
                <w:rFonts w:ascii="Times New Roman" w:hAnsi="Times New Roman" w:cs="Times New Roman"/>
                <w:sz w:val="24"/>
                <w:szCs w:val="24"/>
              </w:rPr>
              <w:t>0</w:t>
            </w:r>
          </w:p>
        </w:tc>
        <w:tc>
          <w:tcPr>
            <w:tcW w:w="1252" w:type="dxa"/>
            <w:noWrap/>
            <w:vAlign w:val="center"/>
          </w:tcPr>
          <w:p w14:paraId="0940086C">
            <w:pPr>
              <w:widowControl/>
              <w:autoSpaceDE/>
              <w:autoSpaceDN/>
              <w:jc w:val="center"/>
              <w:rPr>
                <w:rFonts w:ascii="Times New Roman" w:hAnsi="Times New Roman" w:cs="Times New Roman"/>
                <w:color w:val="auto"/>
                <w:sz w:val="24"/>
                <w:szCs w:val="24"/>
                <w:lang w:eastAsia="zh-CN"/>
              </w:rPr>
            </w:pPr>
            <w:r>
              <w:rPr>
                <w:rFonts w:ascii="Times New Roman" w:hAnsi="Times New Roman" w:cs="Times New Roman"/>
                <w:sz w:val="24"/>
                <w:szCs w:val="24"/>
              </w:rPr>
              <w:t>-6.24%</w:t>
            </w:r>
          </w:p>
        </w:tc>
        <w:tc>
          <w:tcPr>
            <w:tcW w:w="1252" w:type="dxa"/>
            <w:noWrap/>
            <w:vAlign w:val="center"/>
          </w:tcPr>
          <w:p w14:paraId="3300B451">
            <w:pPr>
              <w:widowControl/>
              <w:autoSpaceDE/>
              <w:autoSpaceDN/>
              <w:jc w:val="center"/>
              <w:rPr>
                <w:rFonts w:ascii="Times New Roman" w:hAnsi="Times New Roman" w:cs="Times New Roman"/>
                <w:color w:val="auto"/>
                <w:sz w:val="24"/>
                <w:szCs w:val="24"/>
                <w:lang w:eastAsia="zh-CN"/>
              </w:rPr>
            </w:pPr>
            <w:r>
              <w:rPr>
                <w:rFonts w:ascii="Times New Roman" w:hAnsi="Times New Roman" w:cs="Times New Roman"/>
                <w:sz w:val="24"/>
                <w:szCs w:val="24"/>
              </w:rPr>
              <w:t>-12.48%</w:t>
            </w:r>
          </w:p>
        </w:tc>
      </w:tr>
      <w:tr w14:paraId="24B23156">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0" w:type="dxa"/>
            <w:bottom w:w="0" w:type="dxa"/>
            <w:right w:w="0" w:type="dxa"/>
          </w:tblCellMar>
        </w:tblPrEx>
        <w:trPr>
          <w:trHeight w:val="405" w:hRule="atLeast"/>
        </w:trPr>
        <w:tc>
          <w:tcPr>
            <w:tcW w:w="714" w:type="pct"/>
            <w:vMerge w:val="continue"/>
            <w:noWrap w:val="0"/>
            <w:vAlign w:val="center"/>
          </w:tcPr>
          <w:p w14:paraId="467B247F">
            <w:pPr>
              <w:widowControl/>
              <w:autoSpaceDE/>
              <w:autoSpaceDN/>
              <w:jc w:val="center"/>
              <w:rPr>
                <w:rFonts w:ascii="Times New Roman" w:hAnsi="Times New Roman" w:cs="Times New Roman"/>
                <w:color w:val="auto"/>
                <w:sz w:val="24"/>
                <w:szCs w:val="24"/>
                <w:lang w:eastAsia="zh-CN"/>
              </w:rPr>
            </w:pPr>
          </w:p>
        </w:tc>
        <w:tc>
          <w:tcPr>
            <w:tcW w:w="716" w:type="pct"/>
            <w:noWrap w:val="0"/>
            <w:vAlign w:val="center"/>
          </w:tcPr>
          <w:p w14:paraId="1A436499">
            <w:pPr>
              <w:widowControl/>
              <w:autoSpaceDE/>
              <w:autoSpaceDN/>
              <w:jc w:val="center"/>
              <w:rPr>
                <w:rFonts w:ascii="Times New Roman" w:hAnsi="Times New Roman" w:cs="Times New Roman"/>
                <w:color w:val="auto"/>
                <w:sz w:val="24"/>
                <w:szCs w:val="24"/>
                <w:lang w:eastAsia="zh-CN"/>
              </w:rPr>
            </w:pPr>
            <w:r>
              <w:rPr>
                <w:rFonts w:ascii="Times New Roman" w:hAnsi="Times New Roman" w:cs="Times New Roman"/>
                <w:color w:val="auto"/>
                <w:sz w:val="24"/>
                <w:szCs w:val="24"/>
                <w:lang w:eastAsia="zh-CN"/>
              </w:rPr>
              <w:t>Ⅲ</w:t>
            </w:r>
            <w:r>
              <w:rPr>
                <w:rFonts w:ascii="Times New Roman" w:hAnsi="Times New Roman" w:eastAsia="宋体" w:cs="Times New Roman"/>
                <w:color w:val="auto"/>
                <w:sz w:val="24"/>
                <w:szCs w:val="24"/>
                <w:lang w:eastAsia="zh-CN"/>
              </w:rPr>
              <w:t>级</w:t>
            </w:r>
          </w:p>
        </w:tc>
        <w:tc>
          <w:tcPr>
            <w:tcW w:w="1252" w:type="dxa"/>
            <w:noWrap/>
            <w:vAlign w:val="center"/>
          </w:tcPr>
          <w:p w14:paraId="697875CA">
            <w:pPr>
              <w:widowControl/>
              <w:autoSpaceDE/>
              <w:autoSpaceDN/>
              <w:jc w:val="center"/>
              <w:rPr>
                <w:rFonts w:ascii="Times New Roman" w:hAnsi="Times New Roman" w:cs="Times New Roman"/>
                <w:color w:val="auto"/>
                <w:sz w:val="24"/>
                <w:szCs w:val="24"/>
                <w:lang w:eastAsia="zh-CN"/>
              </w:rPr>
            </w:pPr>
            <w:r>
              <w:rPr>
                <w:rFonts w:ascii="Times New Roman" w:hAnsi="Times New Roman" w:cs="Times New Roman"/>
                <w:sz w:val="24"/>
                <w:szCs w:val="24"/>
              </w:rPr>
              <w:t>11.56%</w:t>
            </w:r>
          </w:p>
        </w:tc>
        <w:tc>
          <w:tcPr>
            <w:tcW w:w="1252" w:type="dxa"/>
            <w:noWrap/>
            <w:vAlign w:val="center"/>
          </w:tcPr>
          <w:p w14:paraId="5F293A18">
            <w:pPr>
              <w:widowControl/>
              <w:autoSpaceDE/>
              <w:autoSpaceDN/>
              <w:jc w:val="center"/>
              <w:rPr>
                <w:rFonts w:ascii="Times New Roman" w:hAnsi="Times New Roman" w:cs="Times New Roman"/>
                <w:color w:val="auto"/>
                <w:sz w:val="24"/>
                <w:szCs w:val="24"/>
                <w:lang w:eastAsia="zh-CN"/>
              </w:rPr>
            </w:pPr>
            <w:r>
              <w:rPr>
                <w:rFonts w:ascii="Times New Roman" w:hAnsi="Times New Roman" w:cs="Times New Roman"/>
                <w:sz w:val="24"/>
                <w:szCs w:val="24"/>
              </w:rPr>
              <w:t>5.78%</w:t>
            </w:r>
          </w:p>
        </w:tc>
        <w:tc>
          <w:tcPr>
            <w:tcW w:w="1252" w:type="dxa"/>
            <w:noWrap/>
            <w:vAlign w:val="center"/>
          </w:tcPr>
          <w:p w14:paraId="123CE5D3">
            <w:pPr>
              <w:widowControl/>
              <w:autoSpaceDE/>
              <w:autoSpaceDN/>
              <w:jc w:val="center"/>
              <w:rPr>
                <w:rFonts w:ascii="Times New Roman" w:hAnsi="Times New Roman" w:cs="Times New Roman"/>
                <w:color w:val="auto"/>
                <w:sz w:val="24"/>
                <w:szCs w:val="24"/>
                <w:lang w:eastAsia="zh-CN"/>
              </w:rPr>
            </w:pPr>
            <w:r>
              <w:rPr>
                <w:rFonts w:ascii="Times New Roman" w:hAnsi="Times New Roman" w:cs="Times New Roman"/>
                <w:sz w:val="24"/>
                <w:szCs w:val="24"/>
              </w:rPr>
              <w:t>0</w:t>
            </w:r>
          </w:p>
        </w:tc>
        <w:tc>
          <w:tcPr>
            <w:tcW w:w="1252" w:type="dxa"/>
            <w:noWrap/>
            <w:vAlign w:val="center"/>
          </w:tcPr>
          <w:p w14:paraId="15FBAF5A">
            <w:pPr>
              <w:widowControl/>
              <w:autoSpaceDE/>
              <w:autoSpaceDN/>
              <w:jc w:val="center"/>
              <w:rPr>
                <w:rFonts w:ascii="Times New Roman" w:hAnsi="Times New Roman" w:cs="Times New Roman"/>
                <w:color w:val="auto"/>
                <w:sz w:val="24"/>
                <w:szCs w:val="24"/>
                <w:lang w:eastAsia="zh-CN"/>
              </w:rPr>
            </w:pPr>
            <w:r>
              <w:rPr>
                <w:rFonts w:ascii="Times New Roman" w:hAnsi="Times New Roman" w:cs="Times New Roman"/>
                <w:sz w:val="24"/>
                <w:szCs w:val="24"/>
              </w:rPr>
              <w:t>-5.71%</w:t>
            </w:r>
          </w:p>
        </w:tc>
        <w:tc>
          <w:tcPr>
            <w:tcW w:w="1252" w:type="dxa"/>
            <w:noWrap/>
            <w:vAlign w:val="center"/>
          </w:tcPr>
          <w:p w14:paraId="48ED82A3">
            <w:pPr>
              <w:widowControl/>
              <w:autoSpaceDE/>
              <w:autoSpaceDN/>
              <w:jc w:val="center"/>
              <w:rPr>
                <w:rFonts w:ascii="Times New Roman" w:hAnsi="Times New Roman" w:cs="Times New Roman"/>
                <w:color w:val="auto"/>
                <w:sz w:val="24"/>
                <w:szCs w:val="24"/>
                <w:lang w:eastAsia="zh-CN"/>
              </w:rPr>
            </w:pPr>
            <w:r>
              <w:rPr>
                <w:rFonts w:ascii="Times New Roman" w:hAnsi="Times New Roman" w:cs="Times New Roman"/>
                <w:sz w:val="24"/>
                <w:szCs w:val="24"/>
              </w:rPr>
              <w:t>-11.42%</w:t>
            </w:r>
          </w:p>
        </w:tc>
      </w:tr>
      <w:tr w14:paraId="6FA4E0F0">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0" w:type="dxa"/>
            <w:bottom w:w="0" w:type="dxa"/>
            <w:right w:w="0" w:type="dxa"/>
          </w:tblCellMar>
        </w:tblPrEx>
        <w:trPr>
          <w:trHeight w:val="405" w:hRule="atLeast"/>
        </w:trPr>
        <w:tc>
          <w:tcPr>
            <w:tcW w:w="714" w:type="pct"/>
            <w:vMerge w:val="continue"/>
            <w:noWrap w:val="0"/>
            <w:vAlign w:val="center"/>
          </w:tcPr>
          <w:p w14:paraId="1B74C535">
            <w:pPr>
              <w:widowControl/>
              <w:autoSpaceDE/>
              <w:autoSpaceDN/>
              <w:jc w:val="center"/>
              <w:rPr>
                <w:rFonts w:ascii="Times New Roman" w:hAnsi="Times New Roman" w:cs="Times New Roman"/>
                <w:color w:val="auto"/>
                <w:sz w:val="24"/>
                <w:szCs w:val="24"/>
                <w:lang w:eastAsia="zh-CN"/>
              </w:rPr>
            </w:pPr>
          </w:p>
        </w:tc>
        <w:tc>
          <w:tcPr>
            <w:tcW w:w="716" w:type="pct"/>
            <w:noWrap w:val="0"/>
            <w:vAlign w:val="center"/>
          </w:tcPr>
          <w:p w14:paraId="44B50341">
            <w:pPr>
              <w:widowControl/>
              <w:autoSpaceDE/>
              <w:autoSpaceDN/>
              <w:jc w:val="center"/>
              <w:rPr>
                <w:rFonts w:ascii="Times New Roman" w:hAnsi="Times New Roman" w:cs="Times New Roman"/>
                <w:color w:val="auto"/>
                <w:sz w:val="24"/>
                <w:szCs w:val="24"/>
                <w:lang w:eastAsia="zh-CN"/>
              </w:rPr>
            </w:pPr>
            <w:r>
              <w:rPr>
                <w:rFonts w:ascii="Times New Roman" w:hAnsi="Times New Roman" w:cs="Times New Roman"/>
                <w:color w:val="auto"/>
                <w:sz w:val="24"/>
                <w:szCs w:val="24"/>
                <w:lang w:eastAsia="zh-CN"/>
              </w:rPr>
              <w:t>Ⅳ</w:t>
            </w:r>
            <w:r>
              <w:rPr>
                <w:rFonts w:ascii="Times New Roman" w:hAnsi="Times New Roman" w:eastAsia="宋体" w:cs="Times New Roman"/>
                <w:color w:val="auto"/>
                <w:sz w:val="24"/>
                <w:szCs w:val="24"/>
                <w:lang w:eastAsia="zh-CN"/>
              </w:rPr>
              <w:t>级</w:t>
            </w:r>
          </w:p>
        </w:tc>
        <w:tc>
          <w:tcPr>
            <w:tcW w:w="1252" w:type="dxa"/>
            <w:noWrap/>
            <w:vAlign w:val="center"/>
          </w:tcPr>
          <w:p w14:paraId="7C8F14AA">
            <w:pPr>
              <w:widowControl/>
              <w:autoSpaceDE/>
              <w:autoSpaceDN/>
              <w:jc w:val="center"/>
              <w:rPr>
                <w:rFonts w:ascii="Times New Roman" w:hAnsi="Times New Roman" w:cs="Times New Roman"/>
                <w:color w:val="auto"/>
                <w:sz w:val="24"/>
                <w:szCs w:val="24"/>
                <w:lang w:eastAsia="zh-CN"/>
              </w:rPr>
            </w:pPr>
            <w:r>
              <w:rPr>
                <w:rFonts w:ascii="Times New Roman" w:hAnsi="Times New Roman" w:cs="Times New Roman"/>
                <w:sz w:val="24"/>
                <w:szCs w:val="24"/>
              </w:rPr>
              <w:t>13.82%</w:t>
            </w:r>
          </w:p>
        </w:tc>
        <w:tc>
          <w:tcPr>
            <w:tcW w:w="1252" w:type="dxa"/>
            <w:noWrap/>
            <w:vAlign w:val="center"/>
          </w:tcPr>
          <w:p w14:paraId="451E6021">
            <w:pPr>
              <w:widowControl/>
              <w:autoSpaceDE/>
              <w:autoSpaceDN/>
              <w:jc w:val="center"/>
              <w:rPr>
                <w:rFonts w:ascii="Times New Roman" w:hAnsi="Times New Roman" w:cs="Times New Roman"/>
                <w:color w:val="auto"/>
                <w:sz w:val="24"/>
                <w:szCs w:val="24"/>
                <w:lang w:eastAsia="zh-CN"/>
              </w:rPr>
            </w:pPr>
            <w:r>
              <w:rPr>
                <w:rFonts w:ascii="Times New Roman" w:hAnsi="Times New Roman" w:cs="Times New Roman"/>
                <w:sz w:val="24"/>
                <w:szCs w:val="24"/>
              </w:rPr>
              <w:t>6.91%</w:t>
            </w:r>
          </w:p>
        </w:tc>
        <w:tc>
          <w:tcPr>
            <w:tcW w:w="1252" w:type="dxa"/>
            <w:noWrap/>
            <w:vAlign w:val="center"/>
          </w:tcPr>
          <w:p w14:paraId="305679EC">
            <w:pPr>
              <w:widowControl/>
              <w:autoSpaceDE/>
              <w:autoSpaceDN/>
              <w:jc w:val="center"/>
              <w:rPr>
                <w:rFonts w:ascii="Times New Roman" w:hAnsi="Times New Roman" w:cs="Times New Roman"/>
                <w:color w:val="auto"/>
                <w:sz w:val="24"/>
                <w:szCs w:val="24"/>
                <w:lang w:eastAsia="zh-CN"/>
              </w:rPr>
            </w:pPr>
            <w:r>
              <w:rPr>
                <w:rFonts w:ascii="Times New Roman" w:hAnsi="Times New Roman" w:cs="Times New Roman"/>
                <w:sz w:val="24"/>
                <w:szCs w:val="24"/>
              </w:rPr>
              <w:t>0</w:t>
            </w:r>
          </w:p>
        </w:tc>
        <w:tc>
          <w:tcPr>
            <w:tcW w:w="1252" w:type="dxa"/>
            <w:noWrap/>
            <w:vAlign w:val="center"/>
          </w:tcPr>
          <w:p w14:paraId="2F1525E4">
            <w:pPr>
              <w:widowControl/>
              <w:autoSpaceDE/>
              <w:autoSpaceDN/>
              <w:jc w:val="center"/>
              <w:rPr>
                <w:rFonts w:ascii="Times New Roman" w:hAnsi="Times New Roman" w:cs="Times New Roman"/>
                <w:color w:val="auto"/>
                <w:sz w:val="24"/>
                <w:szCs w:val="24"/>
                <w:lang w:eastAsia="zh-CN"/>
              </w:rPr>
            </w:pPr>
            <w:r>
              <w:rPr>
                <w:rFonts w:ascii="Times New Roman" w:hAnsi="Times New Roman" w:cs="Times New Roman"/>
                <w:sz w:val="24"/>
                <w:szCs w:val="24"/>
              </w:rPr>
              <w:t>-6.64%</w:t>
            </w:r>
          </w:p>
        </w:tc>
        <w:tc>
          <w:tcPr>
            <w:tcW w:w="1252" w:type="dxa"/>
            <w:noWrap/>
            <w:vAlign w:val="center"/>
          </w:tcPr>
          <w:p w14:paraId="49AB557C">
            <w:pPr>
              <w:widowControl/>
              <w:autoSpaceDE/>
              <w:autoSpaceDN/>
              <w:jc w:val="center"/>
              <w:rPr>
                <w:rFonts w:ascii="Times New Roman" w:hAnsi="Times New Roman" w:cs="Times New Roman"/>
                <w:color w:val="auto"/>
                <w:sz w:val="24"/>
                <w:szCs w:val="24"/>
                <w:lang w:eastAsia="zh-CN"/>
              </w:rPr>
            </w:pPr>
            <w:r>
              <w:rPr>
                <w:rFonts w:ascii="Times New Roman" w:hAnsi="Times New Roman" w:cs="Times New Roman"/>
                <w:sz w:val="24"/>
                <w:szCs w:val="24"/>
              </w:rPr>
              <w:t>-13.28%</w:t>
            </w:r>
          </w:p>
        </w:tc>
      </w:tr>
      <w:tr w14:paraId="72B0DE62">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0" w:type="dxa"/>
            <w:bottom w:w="0" w:type="dxa"/>
            <w:right w:w="0" w:type="dxa"/>
          </w:tblCellMar>
        </w:tblPrEx>
        <w:trPr>
          <w:trHeight w:val="405" w:hRule="atLeast"/>
        </w:trPr>
        <w:tc>
          <w:tcPr>
            <w:tcW w:w="714" w:type="pct"/>
            <w:vMerge w:val="restart"/>
            <w:noWrap w:val="0"/>
            <w:vAlign w:val="center"/>
          </w:tcPr>
          <w:p w14:paraId="5728A514">
            <w:pPr>
              <w:widowControl/>
              <w:autoSpaceDE/>
              <w:autoSpaceDN/>
              <w:jc w:val="center"/>
              <w:rPr>
                <w:rFonts w:ascii="Times New Roman" w:hAnsi="Times New Roman" w:cs="Times New Roman"/>
                <w:color w:val="auto"/>
                <w:sz w:val="24"/>
                <w:szCs w:val="24"/>
                <w:lang w:eastAsia="zh-CN"/>
              </w:rPr>
            </w:pPr>
            <w:r>
              <w:rPr>
                <w:rFonts w:ascii="Times New Roman" w:hAnsi="Times New Roman" w:cs="Times New Roman"/>
                <w:color w:val="auto"/>
                <w:sz w:val="24"/>
                <w:szCs w:val="24"/>
                <w:lang w:eastAsia="zh-CN"/>
              </w:rPr>
              <w:t>工业用地</w:t>
            </w:r>
          </w:p>
        </w:tc>
        <w:tc>
          <w:tcPr>
            <w:tcW w:w="716" w:type="pct"/>
            <w:noWrap w:val="0"/>
            <w:vAlign w:val="center"/>
          </w:tcPr>
          <w:p w14:paraId="1E1724DA">
            <w:pPr>
              <w:widowControl/>
              <w:autoSpaceDE/>
              <w:autoSpaceDN/>
              <w:jc w:val="center"/>
              <w:rPr>
                <w:rFonts w:ascii="Times New Roman" w:hAnsi="Times New Roman" w:cs="Times New Roman"/>
                <w:color w:val="auto"/>
                <w:sz w:val="24"/>
                <w:szCs w:val="24"/>
                <w:lang w:eastAsia="zh-CN"/>
              </w:rPr>
            </w:pPr>
            <w:r>
              <w:rPr>
                <w:rFonts w:ascii="Times New Roman" w:hAnsi="Times New Roman" w:cs="Times New Roman"/>
                <w:color w:val="auto"/>
                <w:sz w:val="24"/>
                <w:szCs w:val="24"/>
                <w:lang w:eastAsia="zh-CN"/>
              </w:rPr>
              <w:t>Ⅰ级</w:t>
            </w:r>
          </w:p>
        </w:tc>
        <w:tc>
          <w:tcPr>
            <w:tcW w:w="1252" w:type="dxa"/>
            <w:noWrap/>
            <w:vAlign w:val="center"/>
          </w:tcPr>
          <w:p w14:paraId="6FBAEE50">
            <w:pPr>
              <w:widowControl/>
              <w:autoSpaceDE/>
              <w:autoSpaceDN/>
              <w:jc w:val="center"/>
              <w:rPr>
                <w:rFonts w:ascii="Times New Roman" w:hAnsi="Times New Roman" w:cs="Times New Roman"/>
                <w:color w:val="auto"/>
                <w:sz w:val="24"/>
                <w:szCs w:val="24"/>
                <w:lang w:eastAsia="zh-CN"/>
              </w:rPr>
            </w:pPr>
            <w:r>
              <w:rPr>
                <w:rFonts w:ascii="Times New Roman" w:hAnsi="Times New Roman" w:cs="Times New Roman"/>
                <w:sz w:val="24"/>
                <w:szCs w:val="24"/>
              </w:rPr>
              <w:t>11.36%</w:t>
            </w:r>
          </w:p>
        </w:tc>
        <w:tc>
          <w:tcPr>
            <w:tcW w:w="1252" w:type="dxa"/>
            <w:noWrap/>
            <w:vAlign w:val="center"/>
          </w:tcPr>
          <w:p w14:paraId="70C52623">
            <w:pPr>
              <w:widowControl/>
              <w:autoSpaceDE/>
              <w:autoSpaceDN/>
              <w:jc w:val="center"/>
              <w:rPr>
                <w:rFonts w:ascii="Times New Roman" w:hAnsi="Times New Roman" w:cs="Times New Roman"/>
                <w:color w:val="auto"/>
                <w:sz w:val="24"/>
                <w:szCs w:val="24"/>
                <w:lang w:eastAsia="zh-CN"/>
              </w:rPr>
            </w:pPr>
            <w:r>
              <w:rPr>
                <w:rFonts w:ascii="Times New Roman" w:hAnsi="Times New Roman" w:cs="Times New Roman"/>
                <w:sz w:val="24"/>
                <w:szCs w:val="24"/>
              </w:rPr>
              <w:t>5.68%</w:t>
            </w:r>
          </w:p>
        </w:tc>
        <w:tc>
          <w:tcPr>
            <w:tcW w:w="1252" w:type="dxa"/>
            <w:noWrap/>
            <w:vAlign w:val="center"/>
          </w:tcPr>
          <w:p w14:paraId="0828E838">
            <w:pPr>
              <w:widowControl/>
              <w:autoSpaceDE/>
              <w:autoSpaceDN/>
              <w:jc w:val="center"/>
              <w:rPr>
                <w:rFonts w:ascii="Times New Roman" w:hAnsi="Times New Roman" w:cs="Times New Roman"/>
                <w:color w:val="auto"/>
                <w:sz w:val="24"/>
                <w:szCs w:val="24"/>
                <w:lang w:eastAsia="zh-CN"/>
              </w:rPr>
            </w:pPr>
            <w:r>
              <w:rPr>
                <w:rFonts w:ascii="Times New Roman" w:hAnsi="Times New Roman" w:cs="Times New Roman"/>
                <w:sz w:val="24"/>
                <w:szCs w:val="24"/>
              </w:rPr>
              <w:t>0</w:t>
            </w:r>
          </w:p>
        </w:tc>
        <w:tc>
          <w:tcPr>
            <w:tcW w:w="1252" w:type="dxa"/>
            <w:noWrap/>
            <w:vAlign w:val="center"/>
          </w:tcPr>
          <w:p w14:paraId="4CF2B22D">
            <w:pPr>
              <w:widowControl/>
              <w:autoSpaceDE/>
              <w:autoSpaceDN/>
              <w:jc w:val="center"/>
              <w:rPr>
                <w:rFonts w:ascii="Times New Roman" w:hAnsi="Times New Roman" w:cs="Times New Roman"/>
                <w:color w:val="auto"/>
                <w:sz w:val="24"/>
                <w:szCs w:val="24"/>
                <w:lang w:eastAsia="zh-CN"/>
              </w:rPr>
            </w:pPr>
            <w:r>
              <w:rPr>
                <w:rFonts w:ascii="Times New Roman" w:hAnsi="Times New Roman" w:cs="Times New Roman"/>
                <w:sz w:val="24"/>
                <w:szCs w:val="24"/>
              </w:rPr>
              <w:t>-5.68%</w:t>
            </w:r>
          </w:p>
        </w:tc>
        <w:tc>
          <w:tcPr>
            <w:tcW w:w="1252" w:type="dxa"/>
            <w:noWrap/>
            <w:vAlign w:val="center"/>
          </w:tcPr>
          <w:p w14:paraId="41C4ED7C">
            <w:pPr>
              <w:widowControl/>
              <w:autoSpaceDE/>
              <w:autoSpaceDN/>
              <w:jc w:val="center"/>
              <w:rPr>
                <w:rFonts w:ascii="Times New Roman" w:hAnsi="Times New Roman" w:cs="Times New Roman"/>
                <w:color w:val="auto"/>
                <w:sz w:val="24"/>
                <w:szCs w:val="24"/>
                <w:lang w:eastAsia="zh-CN"/>
              </w:rPr>
            </w:pPr>
            <w:r>
              <w:rPr>
                <w:rFonts w:ascii="Times New Roman" w:hAnsi="Times New Roman" w:cs="Times New Roman"/>
                <w:sz w:val="24"/>
                <w:szCs w:val="24"/>
              </w:rPr>
              <w:t>-11.36%</w:t>
            </w:r>
          </w:p>
        </w:tc>
      </w:tr>
      <w:tr w14:paraId="3E0D9F65">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0" w:type="dxa"/>
            <w:bottom w:w="0" w:type="dxa"/>
            <w:right w:w="0" w:type="dxa"/>
          </w:tblCellMar>
        </w:tblPrEx>
        <w:trPr>
          <w:trHeight w:val="420" w:hRule="atLeast"/>
        </w:trPr>
        <w:tc>
          <w:tcPr>
            <w:tcW w:w="714" w:type="pct"/>
            <w:vMerge w:val="continue"/>
            <w:noWrap w:val="0"/>
            <w:vAlign w:val="center"/>
          </w:tcPr>
          <w:p w14:paraId="42681723">
            <w:pPr>
              <w:widowControl/>
              <w:autoSpaceDE/>
              <w:autoSpaceDN/>
              <w:jc w:val="center"/>
              <w:rPr>
                <w:rFonts w:ascii="Times New Roman" w:hAnsi="Times New Roman" w:cs="Times New Roman"/>
                <w:color w:val="auto"/>
                <w:sz w:val="24"/>
                <w:szCs w:val="24"/>
                <w:lang w:eastAsia="zh-CN"/>
              </w:rPr>
            </w:pPr>
          </w:p>
        </w:tc>
        <w:tc>
          <w:tcPr>
            <w:tcW w:w="716" w:type="pct"/>
            <w:noWrap w:val="0"/>
            <w:vAlign w:val="center"/>
          </w:tcPr>
          <w:p w14:paraId="6C0F4B4D">
            <w:pPr>
              <w:widowControl/>
              <w:autoSpaceDE/>
              <w:autoSpaceDN/>
              <w:jc w:val="center"/>
              <w:rPr>
                <w:rFonts w:ascii="Times New Roman" w:hAnsi="Times New Roman" w:cs="Times New Roman"/>
                <w:color w:val="auto"/>
                <w:sz w:val="24"/>
                <w:szCs w:val="24"/>
                <w:lang w:eastAsia="zh-CN"/>
              </w:rPr>
            </w:pPr>
            <w:r>
              <w:rPr>
                <w:rFonts w:ascii="Times New Roman" w:hAnsi="Times New Roman" w:cs="Times New Roman"/>
                <w:color w:val="auto"/>
                <w:sz w:val="24"/>
                <w:szCs w:val="24"/>
                <w:lang w:eastAsia="zh-CN"/>
              </w:rPr>
              <w:t>Ⅱ级</w:t>
            </w:r>
          </w:p>
        </w:tc>
        <w:tc>
          <w:tcPr>
            <w:tcW w:w="1252" w:type="dxa"/>
            <w:noWrap/>
            <w:vAlign w:val="center"/>
          </w:tcPr>
          <w:p w14:paraId="6B4A1E62">
            <w:pPr>
              <w:widowControl/>
              <w:autoSpaceDE/>
              <w:autoSpaceDN/>
              <w:jc w:val="center"/>
              <w:rPr>
                <w:rFonts w:ascii="Times New Roman" w:hAnsi="Times New Roman" w:cs="Times New Roman"/>
                <w:color w:val="auto"/>
                <w:sz w:val="24"/>
                <w:szCs w:val="24"/>
                <w:lang w:eastAsia="zh-CN"/>
              </w:rPr>
            </w:pPr>
            <w:r>
              <w:rPr>
                <w:rFonts w:ascii="Times New Roman" w:hAnsi="Times New Roman" w:cs="Times New Roman"/>
                <w:sz w:val="24"/>
                <w:szCs w:val="24"/>
              </w:rPr>
              <w:t>11.71%</w:t>
            </w:r>
          </w:p>
        </w:tc>
        <w:tc>
          <w:tcPr>
            <w:tcW w:w="1252" w:type="dxa"/>
            <w:noWrap/>
            <w:vAlign w:val="center"/>
          </w:tcPr>
          <w:p w14:paraId="2DA6C900">
            <w:pPr>
              <w:widowControl/>
              <w:autoSpaceDE/>
              <w:autoSpaceDN/>
              <w:jc w:val="center"/>
              <w:rPr>
                <w:rFonts w:ascii="Times New Roman" w:hAnsi="Times New Roman" w:cs="Times New Roman"/>
                <w:color w:val="auto"/>
                <w:sz w:val="24"/>
                <w:szCs w:val="24"/>
                <w:lang w:eastAsia="zh-CN"/>
              </w:rPr>
            </w:pPr>
            <w:r>
              <w:rPr>
                <w:rFonts w:ascii="Times New Roman" w:hAnsi="Times New Roman" w:cs="Times New Roman"/>
                <w:sz w:val="24"/>
                <w:szCs w:val="24"/>
              </w:rPr>
              <w:t>5.86%</w:t>
            </w:r>
          </w:p>
        </w:tc>
        <w:tc>
          <w:tcPr>
            <w:tcW w:w="1252" w:type="dxa"/>
            <w:noWrap/>
            <w:vAlign w:val="center"/>
          </w:tcPr>
          <w:p w14:paraId="1259018A">
            <w:pPr>
              <w:widowControl/>
              <w:autoSpaceDE/>
              <w:autoSpaceDN/>
              <w:jc w:val="center"/>
              <w:rPr>
                <w:rFonts w:ascii="Times New Roman" w:hAnsi="Times New Roman" w:cs="Times New Roman"/>
                <w:color w:val="auto"/>
                <w:sz w:val="24"/>
                <w:szCs w:val="24"/>
                <w:lang w:eastAsia="zh-CN"/>
              </w:rPr>
            </w:pPr>
            <w:r>
              <w:rPr>
                <w:rFonts w:ascii="Times New Roman" w:hAnsi="Times New Roman" w:cs="Times New Roman"/>
                <w:sz w:val="24"/>
                <w:szCs w:val="24"/>
              </w:rPr>
              <w:t>0</w:t>
            </w:r>
          </w:p>
        </w:tc>
        <w:tc>
          <w:tcPr>
            <w:tcW w:w="1252" w:type="dxa"/>
            <w:noWrap/>
            <w:vAlign w:val="center"/>
          </w:tcPr>
          <w:p w14:paraId="4774E07C">
            <w:pPr>
              <w:widowControl/>
              <w:autoSpaceDE/>
              <w:autoSpaceDN/>
              <w:jc w:val="center"/>
              <w:rPr>
                <w:rFonts w:ascii="Times New Roman" w:hAnsi="Times New Roman" w:cs="Times New Roman"/>
                <w:color w:val="auto"/>
                <w:sz w:val="24"/>
                <w:szCs w:val="24"/>
                <w:lang w:eastAsia="zh-CN"/>
              </w:rPr>
            </w:pPr>
            <w:r>
              <w:rPr>
                <w:rFonts w:ascii="Times New Roman" w:hAnsi="Times New Roman" w:cs="Times New Roman"/>
                <w:sz w:val="24"/>
                <w:szCs w:val="24"/>
              </w:rPr>
              <w:t>-5.68%</w:t>
            </w:r>
          </w:p>
        </w:tc>
        <w:tc>
          <w:tcPr>
            <w:tcW w:w="1252" w:type="dxa"/>
            <w:noWrap/>
            <w:vAlign w:val="center"/>
          </w:tcPr>
          <w:p w14:paraId="46D81A82">
            <w:pPr>
              <w:widowControl/>
              <w:autoSpaceDE/>
              <w:autoSpaceDN/>
              <w:jc w:val="center"/>
              <w:rPr>
                <w:rFonts w:ascii="Times New Roman" w:hAnsi="Times New Roman" w:cs="Times New Roman"/>
                <w:color w:val="auto"/>
                <w:sz w:val="24"/>
                <w:szCs w:val="24"/>
                <w:lang w:eastAsia="zh-CN"/>
              </w:rPr>
            </w:pPr>
            <w:r>
              <w:rPr>
                <w:rFonts w:ascii="Times New Roman" w:hAnsi="Times New Roman" w:cs="Times New Roman"/>
                <w:sz w:val="24"/>
                <w:szCs w:val="24"/>
              </w:rPr>
              <w:t>-11.35%</w:t>
            </w:r>
          </w:p>
        </w:tc>
      </w:tr>
      <w:tr w14:paraId="36F0D11D">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0" w:type="dxa"/>
            <w:bottom w:w="0" w:type="dxa"/>
            <w:right w:w="0" w:type="dxa"/>
          </w:tblCellMar>
        </w:tblPrEx>
        <w:trPr>
          <w:trHeight w:val="405" w:hRule="atLeast"/>
        </w:trPr>
        <w:tc>
          <w:tcPr>
            <w:tcW w:w="714" w:type="pct"/>
            <w:vMerge w:val="continue"/>
            <w:noWrap w:val="0"/>
            <w:vAlign w:val="center"/>
          </w:tcPr>
          <w:p w14:paraId="78F2B68C">
            <w:pPr>
              <w:widowControl/>
              <w:autoSpaceDE/>
              <w:autoSpaceDN/>
              <w:jc w:val="center"/>
              <w:rPr>
                <w:rFonts w:ascii="Times New Roman" w:hAnsi="Times New Roman" w:cs="Times New Roman"/>
                <w:color w:val="auto"/>
                <w:sz w:val="24"/>
                <w:szCs w:val="24"/>
                <w:lang w:eastAsia="zh-CN"/>
              </w:rPr>
            </w:pPr>
          </w:p>
        </w:tc>
        <w:tc>
          <w:tcPr>
            <w:tcW w:w="716" w:type="pct"/>
            <w:noWrap w:val="0"/>
            <w:vAlign w:val="center"/>
          </w:tcPr>
          <w:p w14:paraId="20CE6F48">
            <w:pPr>
              <w:widowControl/>
              <w:autoSpaceDE/>
              <w:autoSpaceDN/>
              <w:jc w:val="center"/>
              <w:rPr>
                <w:rFonts w:ascii="Times New Roman" w:hAnsi="Times New Roman" w:cs="Times New Roman"/>
                <w:color w:val="auto"/>
                <w:sz w:val="24"/>
                <w:szCs w:val="24"/>
                <w:lang w:eastAsia="zh-CN"/>
              </w:rPr>
            </w:pPr>
            <w:r>
              <w:rPr>
                <w:rFonts w:ascii="Times New Roman" w:hAnsi="Times New Roman" w:cs="Times New Roman"/>
                <w:color w:val="auto"/>
                <w:sz w:val="24"/>
                <w:szCs w:val="24"/>
                <w:lang w:eastAsia="zh-CN"/>
              </w:rPr>
              <w:t>Ⅲ</w:t>
            </w:r>
            <w:r>
              <w:rPr>
                <w:rFonts w:ascii="Times New Roman" w:hAnsi="Times New Roman" w:eastAsia="宋体" w:cs="Times New Roman"/>
                <w:color w:val="auto"/>
                <w:sz w:val="24"/>
                <w:szCs w:val="24"/>
                <w:lang w:eastAsia="zh-CN"/>
              </w:rPr>
              <w:t>级</w:t>
            </w:r>
          </w:p>
        </w:tc>
        <w:tc>
          <w:tcPr>
            <w:tcW w:w="1252" w:type="dxa"/>
            <w:noWrap/>
            <w:vAlign w:val="center"/>
          </w:tcPr>
          <w:p w14:paraId="4B6803EA">
            <w:pPr>
              <w:widowControl/>
              <w:autoSpaceDE/>
              <w:autoSpaceDN/>
              <w:jc w:val="center"/>
              <w:rPr>
                <w:rFonts w:ascii="Times New Roman" w:hAnsi="Times New Roman" w:cs="Times New Roman"/>
                <w:color w:val="auto"/>
                <w:sz w:val="24"/>
                <w:szCs w:val="24"/>
                <w:lang w:eastAsia="zh-CN"/>
              </w:rPr>
            </w:pPr>
            <w:r>
              <w:rPr>
                <w:rFonts w:ascii="Times New Roman" w:hAnsi="Times New Roman" w:cs="Times New Roman"/>
                <w:sz w:val="24"/>
                <w:szCs w:val="24"/>
              </w:rPr>
              <w:t>11.11%</w:t>
            </w:r>
          </w:p>
        </w:tc>
        <w:tc>
          <w:tcPr>
            <w:tcW w:w="1252" w:type="dxa"/>
            <w:noWrap/>
            <w:vAlign w:val="center"/>
          </w:tcPr>
          <w:p w14:paraId="69D118F5">
            <w:pPr>
              <w:widowControl/>
              <w:autoSpaceDE/>
              <w:autoSpaceDN/>
              <w:jc w:val="center"/>
              <w:rPr>
                <w:rFonts w:ascii="Times New Roman" w:hAnsi="Times New Roman" w:cs="Times New Roman"/>
                <w:color w:val="auto"/>
                <w:sz w:val="24"/>
                <w:szCs w:val="24"/>
                <w:lang w:eastAsia="zh-CN"/>
              </w:rPr>
            </w:pPr>
            <w:r>
              <w:rPr>
                <w:rFonts w:ascii="Times New Roman" w:hAnsi="Times New Roman" w:cs="Times New Roman"/>
                <w:sz w:val="24"/>
                <w:szCs w:val="24"/>
              </w:rPr>
              <w:t>5.56%</w:t>
            </w:r>
          </w:p>
        </w:tc>
        <w:tc>
          <w:tcPr>
            <w:tcW w:w="1252" w:type="dxa"/>
            <w:noWrap/>
            <w:vAlign w:val="center"/>
          </w:tcPr>
          <w:p w14:paraId="2F01031E">
            <w:pPr>
              <w:widowControl/>
              <w:autoSpaceDE/>
              <w:autoSpaceDN/>
              <w:jc w:val="center"/>
              <w:rPr>
                <w:rFonts w:ascii="Times New Roman" w:hAnsi="Times New Roman" w:cs="Times New Roman"/>
                <w:color w:val="auto"/>
                <w:sz w:val="24"/>
                <w:szCs w:val="24"/>
                <w:lang w:eastAsia="zh-CN"/>
              </w:rPr>
            </w:pPr>
            <w:r>
              <w:rPr>
                <w:rFonts w:ascii="Times New Roman" w:hAnsi="Times New Roman" w:cs="Times New Roman"/>
                <w:sz w:val="24"/>
                <w:szCs w:val="24"/>
              </w:rPr>
              <w:t>0</w:t>
            </w:r>
          </w:p>
        </w:tc>
        <w:tc>
          <w:tcPr>
            <w:tcW w:w="1252" w:type="dxa"/>
            <w:noWrap/>
            <w:vAlign w:val="center"/>
          </w:tcPr>
          <w:p w14:paraId="2B367E59">
            <w:pPr>
              <w:widowControl/>
              <w:autoSpaceDE/>
              <w:autoSpaceDN/>
              <w:jc w:val="center"/>
              <w:rPr>
                <w:rFonts w:ascii="Times New Roman" w:hAnsi="Times New Roman" w:cs="Times New Roman"/>
                <w:color w:val="auto"/>
                <w:sz w:val="24"/>
                <w:szCs w:val="24"/>
                <w:lang w:eastAsia="zh-CN"/>
              </w:rPr>
            </w:pPr>
            <w:r>
              <w:rPr>
                <w:rFonts w:ascii="Times New Roman" w:hAnsi="Times New Roman" w:cs="Times New Roman"/>
                <w:sz w:val="24"/>
                <w:szCs w:val="24"/>
              </w:rPr>
              <w:t>-5.44%</w:t>
            </w:r>
          </w:p>
        </w:tc>
        <w:tc>
          <w:tcPr>
            <w:tcW w:w="1252" w:type="dxa"/>
            <w:noWrap/>
            <w:vAlign w:val="center"/>
          </w:tcPr>
          <w:p w14:paraId="2EBAD486">
            <w:pPr>
              <w:widowControl/>
              <w:autoSpaceDE/>
              <w:autoSpaceDN/>
              <w:jc w:val="center"/>
              <w:rPr>
                <w:rFonts w:ascii="Times New Roman" w:hAnsi="Times New Roman" w:cs="Times New Roman"/>
                <w:color w:val="auto"/>
                <w:sz w:val="24"/>
                <w:szCs w:val="24"/>
                <w:lang w:eastAsia="zh-CN"/>
              </w:rPr>
            </w:pPr>
            <w:r>
              <w:rPr>
                <w:rFonts w:ascii="Times New Roman" w:hAnsi="Times New Roman" w:cs="Times New Roman"/>
                <w:sz w:val="24"/>
                <w:szCs w:val="24"/>
              </w:rPr>
              <w:t>-10.89%</w:t>
            </w:r>
          </w:p>
        </w:tc>
      </w:tr>
      <w:tr w14:paraId="721798E2">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0" w:type="dxa"/>
            <w:bottom w:w="0" w:type="dxa"/>
            <w:right w:w="0" w:type="dxa"/>
          </w:tblCellMar>
        </w:tblPrEx>
        <w:trPr>
          <w:trHeight w:val="405" w:hRule="atLeast"/>
        </w:trPr>
        <w:tc>
          <w:tcPr>
            <w:tcW w:w="714" w:type="pct"/>
            <w:vMerge w:val="continue"/>
            <w:noWrap w:val="0"/>
            <w:vAlign w:val="center"/>
          </w:tcPr>
          <w:p w14:paraId="03C61D34">
            <w:pPr>
              <w:widowControl/>
              <w:autoSpaceDE/>
              <w:autoSpaceDN/>
              <w:jc w:val="center"/>
              <w:rPr>
                <w:rFonts w:ascii="Times New Roman" w:hAnsi="Times New Roman" w:cs="Times New Roman"/>
                <w:color w:val="auto"/>
                <w:sz w:val="24"/>
                <w:szCs w:val="24"/>
                <w:lang w:eastAsia="zh-CN"/>
              </w:rPr>
            </w:pPr>
          </w:p>
        </w:tc>
        <w:tc>
          <w:tcPr>
            <w:tcW w:w="716" w:type="pct"/>
            <w:noWrap w:val="0"/>
            <w:vAlign w:val="center"/>
          </w:tcPr>
          <w:p w14:paraId="3EBEEBAA">
            <w:pPr>
              <w:widowControl/>
              <w:autoSpaceDE/>
              <w:autoSpaceDN/>
              <w:jc w:val="center"/>
              <w:rPr>
                <w:rFonts w:ascii="Times New Roman" w:hAnsi="Times New Roman" w:cs="Times New Roman"/>
                <w:color w:val="auto"/>
                <w:sz w:val="24"/>
                <w:szCs w:val="24"/>
                <w:lang w:eastAsia="zh-CN"/>
              </w:rPr>
            </w:pPr>
            <w:r>
              <w:rPr>
                <w:rFonts w:ascii="Times New Roman" w:hAnsi="Times New Roman" w:cs="Times New Roman"/>
                <w:color w:val="auto"/>
                <w:sz w:val="24"/>
                <w:szCs w:val="24"/>
                <w:lang w:eastAsia="zh-CN"/>
              </w:rPr>
              <w:t>Ⅳ</w:t>
            </w:r>
            <w:r>
              <w:rPr>
                <w:rFonts w:ascii="Times New Roman" w:hAnsi="Times New Roman" w:eastAsia="宋体" w:cs="Times New Roman"/>
                <w:color w:val="auto"/>
                <w:sz w:val="24"/>
                <w:szCs w:val="24"/>
                <w:lang w:eastAsia="zh-CN"/>
              </w:rPr>
              <w:t>级</w:t>
            </w:r>
          </w:p>
        </w:tc>
        <w:tc>
          <w:tcPr>
            <w:tcW w:w="1252" w:type="dxa"/>
            <w:noWrap/>
            <w:vAlign w:val="center"/>
          </w:tcPr>
          <w:p w14:paraId="08804897">
            <w:pPr>
              <w:widowControl/>
              <w:autoSpaceDE/>
              <w:autoSpaceDN/>
              <w:jc w:val="center"/>
              <w:rPr>
                <w:rFonts w:ascii="Times New Roman" w:hAnsi="Times New Roman" w:cs="Times New Roman"/>
                <w:color w:val="auto"/>
                <w:sz w:val="24"/>
                <w:szCs w:val="24"/>
                <w:lang w:eastAsia="zh-CN"/>
              </w:rPr>
            </w:pPr>
            <w:r>
              <w:rPr>
                <w:rFonts w:ascii="Times New Roman" w:hAnsi="Times New Roman" w:cs="Times New Roman"/>
                <w:sz w:val="24"/>
                <w:szCs w:val="24"/>
              </w:rPr>
              <w:t>10.93%</w:t>
            </w:r>
          </w:p>
        </w:tc>
        <w:tc>
          <w:tcPr>
            <w:tcW w:w="1252" w:type="dxa"/>
            <w:noWrap/>
            <w:vAlign w:val="center"/>
          </w:tcPr>
          <w:p w14:paraId="1379D41B">
            <w:pPr>
              <w:widowControl/>
              <w:autoSpaceDE/>
              <w:autoSpaceDN/>
              <w:jc w:val="center"/>
              <w:rPr>
                <w:rFonts w:ascii="Times New Roman" w:hAnsi="Times New Roman" w:cs="Times New Roman"/>
                <w:color w:val="auto"/>
                <w:sz w:val="24"/>
                <w:szCs w:val="24"/>
                <w:lang w:eastAsia="zh-CN"/>
              </w:rPr>
            </w:pPr>
            <w:r>
              <w:rPr>
                <w:rFonts w:ascii="Times New Roman" w:hAnsi="Times New Roman" w:cs="Times New Roman"/>
                <w:sz w:val="24"/>
                <w:szCs w:val="24"/>
              </w:rPr>
              <w:t>5.47%</w:t>
            </w:r>
          </w:p>
        </w:tc>
        <w:tc>
          <w:tcPr>
            <w:tcW w:w="1252" w:type="dxa"/>
            <w:noWrap/>
            <w:vAlign w:val="center"/>
          </w:tcPr>
          <w:p w14:paraId="31729500">
            <w:pPr>
              <w:widowControl/>
              <w:autoSpaceDE/>
              <w:autoSpaceDN/>
              <w:jc w:val="center"/>
              <w:rPr>
                <w:rFonts w:ascii="Times New Roman" w:hAnsi="Times New Roman" w:cs="Times New Roman"/>
                <w:color w:val="auto"/>
                <w:sz w:val="24"/>
                <w:szCs w:val="24"/>
                <w:lang w:eastAsia="zh-CN"/>
              </w:rPr>
            </w:pPr>
            <w:r>
              <w:rPr>
                <w:rFonts w:ascii="Times New Roman" w:hAnsi="Times New Roman" w:cs="Times New Roman"/>
                <w:sz w:val="24"/>
                <w:szCs w:val="24"/>
              </w:rPr>
              <w:t>0</w:t>
            </w:r>
          </w:p>
        </w:tc>
        <w:tc>
          <w:tcPr>
            <w:tcW w:w="1252" w:type="dxa"/>
            <w:noWrap/>
            <w:vAlign w:val="center"/>
          </w:tcPr>
          <w:p w14:paraId="4160931C">
            <w:pPr>
              <w:widowControl/>
              <w:autoSpaceDE/>
              <w:autoSpaceDN/>
              <w:jc w:val="center"/>
              <w:rPr>
                <w:rFonts w:ascii="Times New Roman" w:hAnsi="Times New Roman" w:cs="Times New Roman"/>
                <w:color w:val="auto"/>
                <w:sz w:val="24"/>
                <w:szCs w:val="24"/>
                <w:lang w:eastAsia="zh-CN"/>
              </w:rPr>
            </w:pPr>
            <w:r>
              <w:rPr>
                <w:rFonts w:ascii="Times New Roman" w:hAnsi="Times New Roman" w:cs="Times New Roman"/>
                <w:sz w:val="24"/>
                <w:szCs w:val="24"/>
              </w:rPr>
              <w:t>-5.33%</w:t>
            </w:r>
          </w:p>
        </w:tc>
        <w:tc>
          <w:tcPr>
            <w:tcW w:w="1252" w:type="dxa"/>
            <w:noWrap/>
            <w:vAlign w:val="center"/>
          </w:tcPr>
          <w:p w14:paraId="7404CE32">
            <w:pPr>
              <w:widowControl/>
              <w:autoSpaceDE/>
              <w:autoSpaceDN/>
              <w:jc w:val="center"/>
              <w:rPr>
                <w:rFonts w:ascii="Times New Roman" w:hAnsi="Times New Roman" w:cs="Times New Roman"/>
                <w:color w:val="auto"/>
                <w:sz w:val="24"/>
                <w:szCs w:val="24"/>
                <w:lang w:eastAsia="zh-CN"/>
              </w:rPr>
            </w:pPr>
            <w:r>
              <w:rPr>
                <w:rFonts w:ascii="Times New Roman" w:hAnsi="Times New Roman" w:cs="Times New Roman"/>
                <w:sz w:val="24"/>
                <w:szCs w:val="24"/>
              </w:rPr>
              <w:t>-10.67%</w:t>
            </w:r>
          </w:p>
        </w:tc>
      </w:tr>
      <w:tr w14:paraId="648312E8">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0" w:type="dxa"/>
            <w:bottom w:w="0" w:type="dxa"/>
            <w:right w:w="0" w:type="dxa"/>
          </w:tblCellMar>
        </w:tblPrEx>
        <w:trPr>
          <w:trHeight w:val="420" w:hRule="atLeast"/>
        </w:trPr>
        <w:tc>
          <w:tcPr>
            <w:tcW w:w="714" w:type="pct"/>
            <w:vMerge w:val="restart"/>
            <w:noWrap w:val="0"/>
            <w:vAlign w:val="center"/>
          </w:tcPr>
          <w:p w14:paraId="6E39ECC7">
            <w:pPr>
              <w:widowControl/>
              <w:autoSpaceDE/>
              <w:autoSpaceDN/>
              <w:jc w:val="center"/>
              <w:rPr>
                <w:rFonts w:ascii="Times New Roman" w:hAnsi="Times New Roman" w:cs="Times New Roman"/>
                <w:color w:val="auto"/>
                <w:sz w:val="24"/>
                <w:szCs w:val="24"/>
                <w:lang w:eastAsia="zh-CN"/>
              </w:rPr>
            </w:pPr>
            <w:r>
              <w:rPr>
                <w:rFonts w:ascii="Times New Roman" w:hAnsi="Times New Roman" w:cs="Times New Roman"/>
                <w:color w:val="auto"/>
                <w:sz w:val="24"/>
                <w:szCs w:val="24"/>
                <w:lang w:eastAsia="zh-CN"/>
              </w:rPr>
              <w:t>公共管理与公共服务用地</w:t>
            </w:r>
          </w:p>
        </w:tc>
        <w:tc>
          <w:tcPr>
            <w:tcW w:w="716" w:type="pct"/>
            <w:noWrap w:val="0"/>
            <w:vAlign w:val="center"/>
          </w:tcPr>
          <w:p w14:paraId="2B928860">
            <w:pPr>
              <w:widowControl/>
              <w:autoSpaceDE/>
              <w:autoSpaceDN/>
              <w:jc w:val="center"/>
              <w:rPr>
                <w:rFonts w:ascii="Times New Roman" w:hAnsi="Times New Roman" w:cs="Times New Roman"/>
                <w:color w:val="auto"/>
                <w:sz w:val="24"/>
                <w:szCs w:val="24"/>
                <w:lang w:eastAsia="zh-CN"/>
              </w:rPr>
            </w:pPr>
            <w:r>
              <w:rPr>
                <w:rFonts w:ascii="Times New Roman" w:hAnsi="Times New Roman" w:cs="Times New Roman"/>
                <w:color w:val="auto"/>
                <w:sz w:val="24"/>
                <w:szCs w:val="24"/>
                <w:lang w:eastAsia="zh-CN"/>
              </w:rPr>
              <w:t>Ⅰ级</w:t>
            </w:r>
          </w:p>
        </w:tc>
        <w:tc>
          <w:tcPr>
            <w:tcW w:w="1252" w:type="dxa"/>
            <w:noWrap/>
            <w:vAlign w:val="center"/>
          </w:tcPr>
          <w:p w14:paraId="4D5E24E7">
            <w:pPr>
              <w:widowControl/>
              <w:autoSpaceDE/>
              <w:autoSpaceDN/>
              <w:jc w:val="center"/>
              <w:rPr>
                <w:rFonts w:ascii="Times New Roman" w:hAnsi="Times New Roman" w:cs="Times New Roman"/>
                <w:color w:val="auto"/>
                <w:sz w:val="24"/>
                <w:szCs w:val="24"/>
                <w:lang w:eastAsia="zh-CN"/>
              </w:rPr>
            </w:pPr>
            <w:r>
              <w:rPr>
                <w:rFonts w:ascii="Times New Roman" w:hAnsi="Times New Roman" w:cs="Times New Roman"/>
                <w:sz w:val="24"/>
                <w:szCs w:val="24"/>
              </w:rPr>
              <w:t>13.33%</w:t>
            </w:r>
          </w:p>
        </w:tc>
        <w:tc>
          <w:tcPr>
            <w:tcW w:w="1252" w:type="dxa"/>
            <w:noWrap/>
            <w:vAlign w:val="center"/>
          </w:tcPr>
          <w:p w14:paraId="16CE3F1D">
            <w:pPr>
              <w:widowControl/>
              <w:autoSpaceDE/>
              <w:autoSpaceDN/>
              <w:jc w:val="center"/>
              <w:rPr>
                <w:rFonts w:ascii="Times New Roman" w:hAnsi="Times New Roman" w:cs="Times New Roman"/>
                <w:color w:val="auto"/>
                <w:sz w:val="24"/>
                <w:szCs w:val="24"/>
                <w:lang w:eastAsia="zh-CN"/>
              </w:rPr>
            </w:pPr>
            <w:r>
              <w:rPr>
                <w:rFonts w:ascii="Times New Roman" w:hAnsi="Times New Roman" w:cs="Times New Roman"/>
                <w:sz w:val="24"/>
                <w:szCs w:val="24"/>
              </w:rPr>
              <w:t>6.67%</w:t>
            </w:r>
          </w:p>
        </w:tc>
        <w:tc>
          <w:tcPr>
            <w:tcW w:w="1252" w:type="dxa"/>
            <w:noWrap/>
            <w:vAlign w:val="center"/>
          </w:tcPr>
          <w:p w14:paraId="49415B08">
            <w:pPr>
              <w:widowControl/>
              <w:autoSpaceDE/>
              <w:autoSpaceDN/>
              <w:jc w:val="center"/>
              <w:rPr>
                <w:rFonts w:ascii="Times New Roman" w:hAnsi="Times New Roman" w:cs="Times New Roman"/>
                <w:color w:val="auto"/>
                <w:sz w:val="24"/>
                <w:szCs w:val="24"/>
                <w:lang w:eastAsia="zh-CN"/>
              </w:rPr>
            </w:pPr>
            <w:r>
              <w:rPr>
                <w:rFonts w:ascii="Times New Roman" w:hAnsi="Times New Roman" w:cs="Times New Roman"/>
                <w:sz w:val="24"/>
                <w:szCs w:val="24"/>
              </w:rPr>
              <w:t>0</w:t>
            </w:r>
          </w:p>
        </w:tc>
        <w:tc>
          <w:tcPr>
            <w:tcW w:w="1252" w:type="dxa"/>
            <w:noWrap/>
            <w:vAlign w:val="center"/>
          </w:tcPr>
          <w:p w14:paraId="79D734B9">
            <w:pPr>
              <w:widowControl/>
              <w:autoSpaceDE/>
              <w:autoSpaceDN/>
              <w:jc w:val="center"/>
              <w:rPr>
                <w:rFonts w:ascii="Times New Roman" w:hAnsi="Times New Roman" w:cs="Times New Roman"/>
                <w:color w:val="auto"/>
                <w:sz w:val="24"/>
                <w:szCs w:val="24"/>
                <w:lang w:eastAsia="zh-CN"/>
              </w:rPr>
            </w:pPr>
            <w:r>
              <w:rPr>
                <w:rFonts w:ascii="Times New Roman" w:hAnsi="Times New Roman" w:cs="Times New Roman"/>
                <w:sz w:val="24"/>
                <w:szCs w:val="24"/>
              </w:rPr>
              <w:t>-5.41%</w:t>
            </w:r>
          </w:p>
        </w:tc>
        <w:tc>
          <w:tcPr>
            <w:tcW w:w="1252" w:type="dxa"/>
            <w:noWrap/>
            <w:vAlign w:val="center"/>
          </w:tcPr>
          <w:p w14:paraId="6F5EB89C">
            <w:pPr>
              <w:widowControl/>
              <w:autoSpaceDE/>
              <w:autoSpaceDN/>
              <w:jc w:val="center"/>
              <w:rPr>
                <w:rFonts w:ascii="Times New Roman" w:hAnsi="Times New Roman" w:cs="Times New Roman"/>
                <w:color w:val="auto"/>
                <w:sz w:val="24"/>
                <w:szCs w:val="24"/>
                <w:lang w:eastAsia="zh-CN"/>
              </w:rPr>
            </w:pPr>
            <w:r>
              <w:rPr>
                <w:rFonts w:ascii="Times New Roman" w:hAnsi="Times New Roman" w:cs="Times New Roman"/>
                <w:sz w:val="24"/>
                <w:szCs w:val="24"/>
              </w:rPr>
              <w:t>-10.81%</w:t>
            </w:r>
          </w:p>
        </w:tc>
      </w:tr>
      <w:tr w14:paraId="360DC086">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0" w:type="dxa"/>
            <w:bottom w:w="0" w:type="dxa"/>
            <w:right w:w="0" w:type="dxa"/>
          </w:tblCellMar>
        </w:tblPrEx>
        <w:trPr>
          <w:trHeight w:val="405" w:hRule="atLeast"/>
        </w:trPr>
        <w:tc>
          <w:tcPr>
            <w:tcW w:w="714" w:type="pct"/>
            <w:vMerge w:val="continue"/>
            <w:noWrap w:val="0"/>
            <w:vAlign w:val="center"/>
          </w:tcPr>
          <w:p w14:paraId="7C29C7ED">
            <w:pPr>
              <w:widowControl/>
              <w:autoSpaceDE/>
              <w:autoSpaceDN/>
              <w:jc w:val="center"/>
              <w:rPr>
                <w:rFonts w:ascii="Times New Roman" w:hAnsi="Times New Roman" w:cs="Times New Roman"/>
                <w:color w:val="auto"/>
                <w:sz w:val="24"/>
                <w:szCs w:val="24"/>
                <w:lang w:eastAsia="zh-CN"/>
              </w:rPr>
            </w:pPr>
          </w:p>
        </w:tc>
        <w:tc>
          <w:tcPr>
            <w:tcW w:w="716" w:type="pct"/>
            <w:noWrap w:val="0"/>
            <w:vAlign w:val="center"/>
          </w:tcPr>
          <w:p w14:paraId="2D2D4527">
            <w:pPr>
              <w:widowControl/>
              <w:autoSpaceDE/>
              <w:autoSpaceDN/>
              <w:jc w:val="center"/>
              <w:rPr>
                <w:rFonts w:ascii="Times New Roman" w:hAnsi="Times New Roman" w:cs="Times New Roman"/>
                <w:color w:val="auto"/>
                <w:sz w:val="24"/>
                <w:szCs w:val="24"/>
                <w:lang w:eastAsia="zh-CN"/>
              </w:rPr>
            </w:pPr>
            <w:r>
              <w:rPr>
                <w:rFonts w:ascii="Times New Roman" w:hAnsi="Times New Roman" w:cs="Times New Roman"/>
                <w:color w:val="auto"/>
                <w:sz w:val="24"/>
                <w:szCs w:val="24"/>
                <w:lang w:eastAsia="zh-CN"/>
              </w:rPr>
              <w:t>Ⅱ级</w:t>
            </w:r>
          </w:p>
        </w:tc>
        <w:tc>
          <w:tcPr>
            <w:tcW w:w="1252" w:type="dxa"/>
            <w:noWrap/>
            <w:vAlign w:val="center"/>
          </w:tcPr>
          <w:p w14:paraId="619052A9">
            <w:pPr>
              <w:widowControl/>
              <w:autoSpaceDE/>
              <w:autoSpaceDN/>
              <w:jc w:val="center"/>
              <w:rPr>
                <w:rFonts w:ascii="Times New Roman" w:hAnsi="Times New Roman" w:cs="Times New Roman"/>
                <w:color w:val="auto"/>
                <w:sz w:val="24"/>
                <w:szCs w:val="24"/>
                <w:lang w:eastAsia="zh-CN"/>
              </w:rPr>
            </w:pPr>
            <w:r>
              <w:rPr>
                <w:rFonts w:ascii="Times New Roman" w:hAnsi="Times New Roman" w:cs="Times New Roman"/>
                <w:sz w:val="24"/>
                <w:szCs w:val="24"/>
              </w:rPr>
              <w:t>11.67%</w:t>
            </w:r>
          </w:p>
        </w:tc>
        <w:tc>
          <w:tcPr>
            <w:tcW w:w="1252" w:type="dxa"/>
            <w:noWrap/>
            <w:vAlign w:val="center"/>
          </w:tcPr>
          <w:p w14:paraId="71B58D11">
            <w:pPr>
              <w:widowControl/>
              <w:autoSpaceDE/>
              <w:autoSpaceDN/>
              <w:jc w:val="center"/>
              <w:rPr>
                <w:rFonts w:ascii="Times New Roman" w:hAnsi="Times New Roman" w:cs="Times New Roman"/>
                <w:color w:val="auto"/>
                <w:sz w:val="24"/>
                <w:szCs w:val="24"/>
                <w:lang w:eastAsia="zh-CN"/>
              </w:rPr>
            </w:pPr>
            <w:r>
              <w:rPr>
                <w:rFonts w:ascii="Times New Roman" w:hAnsi="Times New Roman" w:cs="Times New Roman"/>
                <w:sz w:val="24"/>
                <w:szCs w:val="24"/>
              </w:rPr>
              <w:t>5.83%</w:t>
            </w:r>
          </w:p>
        </w:tc>
        <w:tc>
          <w:tcPr>
            <w:tcW w:w="1252" w:type="dxa"/>
            <w:noWrap/>
            <w:vAlign w:val="center"/>
          </w:tcPr>
          <w:p w14:paraId="3BFF111A">
            <w:pPr>
              <w:widowControl/>
              <w:autoSpaceDE/>
              <w:autoSpaceDN/>
              <w:jc w:val="center"/>
              <w:rPr>
                <w:rFonts w:ascii="Times New Roman" w:hAnsi="Times New Roman" w:cs="Times New Roman"/>
                <w:color w:val="auto"/>
                <w:sz w:val="24"/>
                <w:szCs w:val="24"/>
                <w:lang w:eastAsia="zh-CN"/>
              </w:rPr>
            </w:pPr>
            <w:r>
              <w:rPr>
                <w:rFonts w:ascii="Times New Roman" w:hAnsi="Times New Roman" w:cs="Times New Roman"/>
                <w:sz w:val="24"/>
                <w:szCs w:val="24"/>
              </w:rPr>
              <w:t>0</w:t>
            </w:r>
          </w:p>
        </w:tc>
        <w:tc>
          <w:tcPr>
            <w:tcW w:w="1252" w:type="dxa"/>
            <w:noWrap/>
            <w:vAlign w:val="center"/>
          </w:tcPr>
          <w:p w14:paraId="4E1E6B45">
            <w:pPr>
              <w:widowControl/>
              <w:autoSpaceDE/>
              <w:autoSpaceDN/>
              <w:jc w:val="center"/>
              <w:rPr>
                <w:rFonts w:ascii="Times New Roman" w:hAnsi="Times New Roman" w:cs="Times New Roman"/>
                <w:color w:val="auto"/>
                <w:sz w:val="24"/>
                <w:szCs w:val="24"/>
                <w:lang w:eastAsia="zh-CN"/>
              </w:rPr>
            </w:pPr>
            <w:r>
              <w:rPr>
                <w:rFonts w:ascii="Times New Roman" w:hAnsi="Times New Roman" w:cs="Times New Roman"/>
                <w:sz w:val="24"/>
                <w:szCs w:val="24"/>
              </w:rPr>
              <w:t>-6.08%</w:t>
            </w:r>
          </w:p>
        </w:tc>
        <w:tc>
          <w:tcPr>
            <w:tcW w:w="1252" w:type="dxa"/>
            <w:noWrap/>
            <w:vAlign w:val="center"/>
          </w:tcPr>
          <w:p w14:paraId="57D84DB9">
            <w:pPr>
              <w:widowControl/>
              <w:autoSpaceDE/>
              <w:autoSpaceDN/>
              <w:jc w:val="center"/>
              <w:rPr>
                <w:rFonts w:ascii="Times New Roman" w:hAnsi="Times New Roman" w:cs="Times New Roman"/>
                <w:color w:val="auto"/>
                <w:sz w:val="24"/>
                <w:szCs w:val="24"/>
                <w:lang w:eastAsia="zh-CN"/>
              </w:rPr>
            </w:pPr>
            <w:r>
              <w:rPr>
                <w:rFonts w:ascii="Times New Roman" w:hAnsi="Times New Roman" w:cs="Times New Roman"/>
                <w:sz w:val="24"/>
                <w:szCs w:val="24"/>
              </w:rPr>
              <w:t>-12.17%</w:t>
            </w:r>
          </w:p>
        </w:tc>
      </w:tr>
      <w:tr w14:paraId="0CF34AA0">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0" w:type="dxa"/>
            <w:bottom w:w="0" w:type="dxa"/>
            <w:right w:w="0" w:type="dxa"/>
          </w:tblCellMar>
        </w:tblPrEx>
        <w:trPr>
          <w:trHeight w:val="420" w:hRule="atLeast"/>
        </w:trPr>
        <w:tc>
          <w:tcPr>
            <w:tcW w:w="714" w:type="pct"/>
            <w:vMerge w:val="continue"/>
            <w:noWrap w:val="0"/>
            <w:vAlign w:val="center"/>
          </w:tcPr>
          <w:p w14:paraId="69297879">
            <w:pPr>
              <w:widowControl/>
              <w:autoSpaceDE/>
              <w:autoSpaceDN/>
              <w:jc w:val="center"/>
              <w:rPr>
                <w:rFonts w:ascii="Times New Roman" w:hAnsi="Times New Roman" w:cs="Times New Roman"/>
                <w:color w:val="auto"/>
                <w:sz w:val="24"/>
                <w:szCs w:val="24"/>
                <w:lang w:eastAsia="zh-CN"/>
              </w:rPr>
            </w:pPr>
          </w:p>
        </w:tc>
        <w:tc>
          <w:tcPr>
            <w:tcW w:w="716" w:type="pct"/>
            <w:noWrap w:val="0"/>
            <w:vAlign w:val="center"/>
          </w:tcPr>
          <w:p w14:paraId="5065E119">
            <w:pPr>
              <w:widowControl/>
              <w:autoSpaceDE/>
              <w:autoSpaceDN/>
              <w:jc w:val="center"/>
              <w:rPr>
                <w:rFonts w:ascii="Times New Roman" w:hAnsi="Times New Roman" w:cs="Times New Roman"/>
                <w:color w:val="auto"/>
                <w:sz w:val="24"/>
                <w:szCs w:val="24"/>
                <w:lang w:eastAsia="zh-CN"/>
              </w:rPr>
            </w:pPr>
            <w:r>
              <w:rPr>
                <w:rFonts w:ascii="Times New Roman" w:hAnsi="Times New Roman" w:cs="Times New Roman"/>
                <w:color w:val="auto"/>
                <w:sz w:val="24"/>
                <w:szCs w:val="24"/>
                <w:lang w:eastAsia="zh-CN"/>
              </w:rPr>
              <w:t>Ⅲ</w:t>
            </w:r>
            <w:r>
              <w:rPr>
                <w:rFonts w:ascii="Times New Roman" w:hAnsi="Times New Roman" w:eastAsia="宋体" w:cs="Times New Roman"/>
                <w:color w:val="auto"/>
                <w:sz w:val="24"/>
                <w:szCs w:val="24"/>
                <w:lang w:eastAsia="zh-CN"/>
              </w:rPr>
              <w:t>级</w:t>
            </w:r>
          </w:p>
        </w:tc>
        <w:tc>
          <w:tcPr>
            <w:tcW w:w="1252" w:type="dxa"/>
            <w:noWrap/>
            <w:vAlign w:val="center"/>
          </w:tcPr>
          <w:p w14:paraId="47827C3C">
            <w:pPr>
              <w:widowControl/>
              <w:autoSpaceDE/>
              <w:autoSpaceDN/>
              <w:jc w:val="center"/>
              <w:rPr>
                <w:rFonts w:ascii="Times New Roman" w:hAnsi="Times New Roman" w:cs="Times New Roman"/>
                <w:color w:val="auto"/>
                <w:sz w:val="24"/>
                <w:szCs w:val="24"/>
                <w:lang w:eastAsia="zh-CN"/>
              </w:rPr>
            </w:pPr>
            <w:r>
              <w:rPr>
                <w:rFonts w:ascii="Times New Roman" w:hAnsi="Times New Roman" w:cs="Times New Roman"/>
                <w:sz w:val="24"/>
                <w:szCs w:val="24"/>
              </w:rPr>
              <w:t>12.38%</w:t>
            </w:r>
          </w:p>
        </w:tc>
        <w:tc>
          <w:tcPr>
            <w:tcW w:w="1252" w:type="dxa"/>
            <w:noWrap/>
            <w:vAlign w:val="center"/>
          </w:tcPr>
          <w:p w14:paraId="643587D9">
            <w:pPr>
              <w:widowControl/>
              <w:autoSpaceDE/>
              <w:autoSpaceDN/>
              <w:jc w:val="center"/>
              <w:rPr>
                <w:rFonts w:ascii="Times New Roman" w:hAnsi="Times New Roman" w:cs="Times New Roman"/>
                <w:color w:val="auto"/>
                <w:sz w:val="24"/>
                <w:szCs w:val="24"/>
                <w:lang w:eastAsia="zh-CN"/>
              </w:rPr>
            </w:pPr>
            <w:r>
              <w:rPr>
                <w:rFonts w:ascii="Times New Roman" w:hAnsi="Times New Roman" w:cs="Times New Roman"/>
                <w:sz w:val="24"/>
                <w:szCs w:val="24"/>
              </w:rPr>
              <w:t>8.72%</w:t>
            </w:r>
          </w:p>
        </w:tc>
        <w:tc>
          <w:tcPr>
            <w:tcW w:w="1252" w:type="dxa"/>
            <w:noWrap/>
            <w:vAlign w:val="center"/>
          </w:tcPr>
          <w:p w14:paraId="71A33B36">
            <w:pPr>
              <w:widowControl/>
              <w:autoSpaceDE/>
              <w:autoSpaceDN/>
              <w:jc w:val="center"/>
              <w:rPr>
                <w:rFonts w:ascii="Times New Roman" w:hAnsi="Times New Roman" w:cs="Times New Roman"/>
                <w:color w:val="auto"/>
                <w:sz w:val="24"/>
                <w:szCs w:val="24"/>
                <w:lang w:eastAsia="zh-CN"/>
              </w:rPr>
            </w:pPr>
            <w:r>
              <w:rPr>
                <w:rFonts w:ascii="Times New Roman" w:hAnsi="Times New Roman" w:cs="Times New Roman"/>
                <w:sz w:val="24"/>
                <w:szCs w:val="24"/>
              </w:rPr>
              <w:t>0</w:t>
            </w:r>
          </w:p>
        </w:tc>
        <w:tc>
          <w:tcPr>
            <w:tcW w:w="1252" w:type="dxa"/>
            <w:noWrap/>
            <w:vAlign w:val="center"/>
          </w:tcPr>
          <w:p w14:paraId="4171E883">
            <w:pPr>
              <w:widowControl/>
              <w:autoSpaceDE/>
              <w:autoSpaceDN/>
              <w:jc w:val="center"/>
              <w:rPr>
                <w:rFonts w:ascii="Times New Roman" w:hAnsi="Times New Roman" w:cs="Times New Roman"/>
                <w:color w:val="auto"/>
                <w:sz w:val="24"/>
                <w:szCs w:val="24"/>
                <w:lang w:eastAsia="zh-CN"/>
              </w:rPr>
            </w:pPr>
            <w:r>
              <w:rPr>
                <w:rFonts w:ascii="Times New Roman" w:hAnsi="Times New Roman" w:cs="Times New Roman"/>
                <w:sz w:val="24"/>
                <w:szCs w:val="24"/>
              </w:rPr>
              <w:t>-8.05%</w:t>
            </w:r>
          </w:p>
        </w:tc>
        <w:tc>
          <w:tcPr>
            <w:tcW w:w="1252" w:type="dxa"/>
            <w:noWrap/>
            <w:vAlign w:val="center"/>
          </w:tcPr>
          <w:p w14:paraId="43763DDD">
            <w:pPr>
              <w:widowControl/>
              <w:autoSpaceDE/>
              <w:autoSpaceDN/>
              <w:jc w:val="center"/>
              <w:rPr>
                <w:rFonts w:ascii="Times New Roman" w:hAnsi="Times New Roman" w:cs="Times New Roman"/>
                <w:color w:val="auto"/>
                <w:sz w:val="24"/>
                <w:szCs w:val="24"/>
                <w:lang w:eastAsia="zh-CN"/>
              </w:rPr>
            </w:pPr>
            <w:r>
              <w:rPr>
                <w:rFonts w:ascii="Times New Roman" w:hAnsi="Times New Roman" w:cs="Times New Roman"/>
                <w:sz w:val="24"/>
                <w:szCs w:val="24"/>
              </w:rPr>
              <w:t>-16.11%</w:t>
            </w:r>
          </w:p>
        </w:tc>
      </w:tr>
      <w:tr w14:paraId="00F4F727">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0" w:type="dxa"/>
            <w:bottom w:w="0" w:type="dxa"/>
            <w:right w:w="0" w:type="dxa"/>
          </w:tblCellMar>
        </w:tblPrEx>
        <w:trPr>
          <w:trHeight w:val="405" w:hRule="atLeast"/>
        </w:trPr>
        <w:tc>
          <w:tcPr>
            <w:tcW w:w="714" w:type="pct"/>
            <w:vMerge w:val="continue"/>
            <w:noWrap w:val="0"/>
            <w:vAlign w:val="center"/>
          </w:tcPr>
          <w:p w14:paraId="3CEDD0C5">
            <w:pPr>
              <w:widowControl/>
              <w:autoSpaceDE/>
              <w:autoSpaceDN/>
              <w:jc w:val="center"/>
              <w:rPr>
                <w:rFonts w:ascii="Times New Roman" w:hAnsi="Times New Roman" w:cs="Times New Roman"/>
                <w:color w:val="auto"/>
                <w:sz w:val="24"/>
                <w:szCs w:val="24"/>
                <w:lang w:eastAsia="zh-CN"/>
              </w:rPr>
            </w:pPr>
          </w:p>
        </w:tc>
        <w:tc>
          <w:tcPr>
            <w:tcW w:w="716" w:type="pct"/>
            <w:noWrap w:val="0"/>
            <w:vAlign w:val="center"/>
          </w:tcPr>
          <w:p w14:paraId="0B2963DC">
            <w:pPr>
              <w:widowControl/>
              <w:autoSpaceDE/>
              <w:autoSpaceDN/>
              <w:jc w:val="center"/>
              <w:rPr>
                <w:rFonts w:ascii="Times New Roman" w:hAnsi="Times New Roman" w:cs="Times New Roman"/>
                <w:color w:val="auto"/>
                <w:sz w:val="24"/>
                <w:szCs w:val="24"/>
                <w:lang w:eastAsia="zh-CN"/>
              </w:rPr>
            </w:pPr>
            <w:r>
              <w:rPr>
                <w:rFonts w:ascii="Times New Roman" w:hAnsi="Times New Roman" w:cs="Times New Roman"/>
                <w:color w:val="auto"/>
                <w:sz w:val="24"/>
                <w:szCs w:val="24"/>
                <w:lang w:eastAsia="zh-CN"/>
              </w:rPr>
              <w:t>Ⅳ</w:t>
            </w:r>
            <w:r>
              <w:rPr>
                <w:rFonts w:ascii="Times New Roman" w:hAnsi="Times New Roman" w:eastAsia="宋体" w:cs="Times New Roman"/>
                <w:color w:val="auto"/>
                <w:sz w:val="24"/>
                <w:szCs w:val="24"/>
                <w:lang w:eastAsia="zh-CN"/>
              </w:rPr>
              <w:t>级</w:t>
            </w:r>
          </w:p>
        </w:tc>
        <w:tc>
          <w:tcPr>
            <w:tcW w:w="1252" w:type="dxa"/>
            <w:noWrap/>
            <w:vAlign w:val="center"/>
          </w:tcPr>
          <w:p w14:paraId="09420CD0">
            <w:pPr>
              <w:widowControl/>
              <w:autoSpaceDE/>
              <w:autoSpaceDN/>
              <w:jc w:val="center"/>
              <w:rPr>
                <w:rFonts w:ascii="Times New Roman" w:hAnsi="Times New Roman" w:cs="Times New Roman"/>
                <w:color w:val="auto"/>
                <w:sz w:val="24"/>
                <w:szCs w:val="24"/>
                <w:lang w:eastAsia="zh-CN"/>
              </w:rPr>
            </w:pPr>
            <w:r>
              <w:rPr>
                <w:rFonts w:ascii="Times New Roman" w:hAnsi="Times New Roman" w:cs="Times New Roman"/>
                <w:sz w:val="24"/>
                <w:szCs w:val="24"/>
              </w:rPr>
              <w:t>13.33%</w:t>
            </w:r>
          </w:p>
        </w:tc>
        <w:tc>
          <w:tcPr>
            <w:tcW w:w="1252" w:type="dxa"/>
            <w:noWrap/>
            <w:vAlign w:val="center"/>
          </w:tcPr>
          <w:p w14:paraId="229DAA4C">
            <w:pPr>
              <w:widowControl/>
              <w:autoSpaceDE/>
              <w:autoSpaceDN/>
              <w:jc w:val="center"/>
              <w:rPr>
                <w:rFonts w:ascii="Times New Roman" w:hAnsi="Times New Roman" w:cs="Times New Roman"/>
                <w:color w:val="auto"/>
                <w:sz w:val="24"/>
                <w:szCs w:val="24"/>
                <w:lang w:eastAsia="zh-CN"/>
              </w:rPr>
            </w:pPr>
            <w:r>
              <w:rPr>
                <w:rFonts w:ascii="Times New Roman" w:hAnsi="Times New Roman" w:cs="Times New Roman"/>
                <w:sz w:val="24"/>
                <w:szCs w:val="24"/>
              </w:rPr>
              <w:t>6.67%</w:t>
            </w:r>
          </w:p>
        </w:tc>
        <w:tc>
          <w:tcPr>
            <w:tcW w:w="1252" w:type="dxa"/>
            <w:noWrap/>
            <w:vAlign w:val="center"/>
          </w:tcPr>
          <w:p w14:paraId="0FCA78CC">
            <w:pPr>
              <w:widowControl/>
              <w:autoSpaceDE/>
              <w:autoSpaceDN/>
              <w:jc w:val="center"/>
              <w:rPr>
                <w:rFonts w:ascii="Times New Roman" w:hAnsi="Times New Roman" w:cs="Times New Roman"/>
                <w:color w:val="auto"/>
                <w:sz w:val="24"/>
                <w:szCs w:val="24"/>
                <w:lang w:eastAsia="zh-CN"/>
              </w:rPr>
            </w:pPr>
            <w:r>
              <w:rPr>
                <w:rFonts w:ascii="Times New Roman" w:hAnsi="Times New Roman" w:cs="Times New Roman"/>
                <w:sz w:val="24"/>
                <w:szCs w:val="24"/>
              </w:rPr>
              <w:t>0</w:t>
            </w:r>
          </w:p>
        </w:tc>
        <w:tc>
          <w:tcPr>
            <w:tcW w:w="1252" w:type="dxa"/>
            <w:noWrap/>
            <w:vAlign w:val="center"/>
          </w:tcPr>
          <w:p w14:paraId="75780604">
            <w:pPr>
              <w:widowControl/>
              <w:autoSpaceDE/>
              <w:autoSpaceDN/>
              <w:jc w:val="center"/>
              <w:rPr>
                <w:rFonts w:ascii="Times New Roman" w:hAnsi="Times New Roman" w:cs="Times New Roman"/>
                <w:color w:val="auto"/>
                <w:sz w:val="24"/>
                <w:szCs w:val="24"/>
                <w:lang w:eastAsia="zh-CN"/>
              </w:rPr>
            </w:pPr>
            <w:r>
              <w:rPr>
                <w:rFonts w:ascii="Times New Roman" w:hAnsi="Times New Roman" w:cs="Times New Roman"/>
                <w:sz w:val="24"/>
                <w:szCs w:val="24"/>
              </w:rPr>
              <w:t>-6.44%</w:t>
            </w:r>
          </w:p>
        </w:tc>
        <w:tc>
          <w:tcPr>
            <w:tcW w:w="1252" w:type="dxa"/>
            <w:noWrap/>
            <w:vAlign w:val="center"/>
          </w:tcPr>
          <w:p w14:paraId="404A70C2">
            <w:pPr>
              <w:widowControl/>
              <w:autoSpaceDE/>
              <w:autoSpaceDN/>
              <w:jc w:val="center"/>
              <w:rPr>
                <w:rFonts w:ascii="Times New Roman" w:hAnsi="Times New Roman" w:cs="Times New Roman"/>
                <w:color w:val="auto"/>
                <w:sz w:val="24"/>
                <w:szCs w:val="24"/>
                <w:lang w:eastAsia="zh-CN"/>
              </w:rPr>
            </w:pPr>
            <w:r>
              <w:rPr>
                <w:rFonts w:ascii="Times New Roman" w:hAnsi="Times New Roman" w:cs="Times New Roman"/>
                <w:sz w:val="24"/>
                <w:szCs w:val="24"/>
              </w:rPr>
              <w:t>-12.89%</w:t>
            </w:r>
          </w:p>
        </w:tc>
      </w:tr>
      <w:tr w14:paraId="459E9531">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0" w:type="dxa"/>
            <w:bottom w:w="0" w:type="dxa"/>
            <w:right w:w="0" w:type="dxa"/>
          </w:tblCellMar>
        </w:tblPrEx>
        <w:trPr>
          <w:trHeight w:val="405" w:hRule="atLeast"/>
        </w:trPr>
        <w:tc>
          <w:tcPr>
            <w:tcW w:w="714" w:type="pct"/>
            <w:vMerge w:val="restart"/>
            <w:noWrap w:val="0"/>
            <w:vAlign w:val="center"/>
          </w:tcPr>
          <w:p w14:paraId="1A38B012">
            <w:pPr>
              <w:widowControl/>
              <w:autoSpaceDE/>
              <w:autoSpaceDN/>
              <w:jc w:val="center"/>
              <w:rPr>
                <w:rFonts w:ascii="Times New Roman" w:hAnsi="Times New Roman" w:cs="Times New Roman"/>
                <w:color w:val="auto"/>
                <w:sz w:val="24"/>
                <w:szCs w:val="24"/>
                <w:lang w:eastAsia="zh-CN"/>
              </w:rPr>
            </w:pPr>
            <w:r>
              <w:rPr>
                <w:rFonts w:ascii="Times New Roman" w:hAnsi="Times New Roman" w:cs="Times New Roman"/>
                <w:color w:val="auto"/>
                <w:sz w:val="24"/>
                <w:szCs w:val="24"/>
                <w:lang w:eastAsia="zh-CN"/>
              </w:rPr>
              <w:t>公用设施用地</w:t>
            </w:r>
          </w:p>
        </w:tc>
        <w:tc>
          <w:tcPr>
            <w:tcW w:w="716" w:type="pct"/>
            <w:noWrap w:val="0"/>
            <w:vAlign w:val="center"/>
          </w:tcPr>
          <w:p w14:paraId="4F3E9B5D">
            <w:pPr>
              <w:widowControl/>
              <w:autoSpaceDE/>
              <w:autoSpaceDN/>
              <w:jc w:val="center"/>
              <w:rPr>
                <w:rFonts w:ascii="Times New Roman" w:hAnsi="Times New Roman" w:cs="Times New Roman"/>
                <w:color w:val="auto"/>
                <w:sz w:val="24"/>
                <w:szCs w:val="24"/>
                <w:lang w:eastAsia="zh-CN"/>
              </w:rPr>
            </w:pPr>
            <w:r>
              <w:rPr>
                <w:rFonts w:ascii="Times New Roman" w:hAnsi="Times New Roman" w:cs="Times New Roman"/>
                <w:color w:val="auto"/>
                <w:sz w:val="24"/>
                <w:szCs w:val="24"/>
                <w:lang w:eastAsia="zh-CN"/>
              </w:rPr>
              <w:t>Ⅰ级</w:t>
            </w:r>
          </w:p>
        </w:tc>
        <w:tc>
          <w:tcPr>
            <w:tcW w:w="1252" w:type="dxa"/>
            <w:noWrap/>
            <w:vAlign w:val="center"/>
          </w:tcPr>
          <w:p w14:paraId="4217E270">
            <w:pPr>
              <w:widowControl/>
              <w:autoSpaceDE/>
              <w:autoSpaceDN/>
              <w:jc w:val="center"/>
              <w:rPr>
                <w:rFonts w:ascii="Times New Roman" w:hAnsi="Times New Roman" w:cs="Times New Roman"/>
                <w:color w:val="auto"/>
                <w:sz w:val="24"/>
                <w:szCs w:val="24"/>
                <w:lang w:eastAsia="zh-CN"/>
              </w:rPr>
            </w:pPr>
            <w:r>
              <w:rPr>
                <w:rFonts w:ascii="Times New Roman" w:hAnsi="Times New Roman" w:cs="Times New Roman"/>
                <w:sz w:val="24"/>
                <w:szCs w:val="24"/>
              </w:rPr>
              <w:t>11.49%</w:t>
            </w:r>
          </w:p>
        </w:tc>
        <w:tc>
          <w:tcPr>
            <w:tcW w:w="1252" w:type="dxa"/>
            <w:noWrap/>
            <w:vAlign w:val="center"/>
          </w:tcPr>
          <w:p w14:paraId="2ADC024A">
            <w:pPr>
              <w:widowControl/>
              <w:autoSpaceDE/>
              <w:autoSpaceDN/>
              <w:jc w:val="center"/>
              <w:rPr>
                <w:rFonts w:ascii="Times New Roman" w:hAnsi="Times New Roman" w:cs="Times New Roman"/>
                <w:color w:val="auto"/>
                <w:sz w:val="24"/>
                <w:szCs w:val="24"/>
                <w:lang w:eastAsia="zh-CN"/>
              </w:rPr>
            </w:pPr>
            <w:r>
              <w:rPr>
                <w:rFonts w:ascii="Times New Roman" w:hAnsi="Times New Roman" w:cs="Times New Roman"/>
                <w:sz w:val="24"/>
                <w:szCs w:val="24"/>
              </w:rPr>
              <w:t>5.75%</w:t>
            </w:r>
          </w:p>
        </w:tc>
        <w:tc>
          <w:tcPr>
            <w:tcW w:w="1252" w:type="dxa"/>
            <w:noWrap/>
            <w:vAlign w:val="center"/>
          </w:tcPr>
          <w:p w14:paraId="3F0442D4">
            <w:pPr>
              <w:widowControl/>
              <w:autoSpaceDE/>
              <w:autoSpaceDN/>
              <w:jc w:val="center"/>
              <w:rPr>
                <w:rFonts w:ascii="Times New Roman" w:hAnsi="Times New Roman" w:cs="Times New Roman"/>
                <w:color w:val="auto"/>
                <w:sz w:val="24"/>
                <w:szCs w:val="24"/>
                <w:lang w:eastAsia="zh-CN"/>
              </w:rPr>
            </w:pPr>
            <w:r>
              <w:rPr>
                <w:rFonts w:ascii="Times New Roman" w:hAnsi="Times New Roman" w:cs="Times New Roman"/>
                <w:sz w:val="24"/>
                <w:szCs w:val="24"/>
              </w:rPr>
              <w:t>0</w:t>
            </w:r>
          </w:p>
        </w:tc>
        <w:tc>
          <w:tcPr>
            <w:tcW w:w="1252" w:type="dxa"/>
            <w:noWrap/>
            <w:vAlign w:val="center"/>
          </w:tcPr>
          <w:p w14:paraId="1B3F78A2">
            <w:pPr>
              <w:widowControl/>
              <w:autoSpaceDE/>
              <w:autoSpaceDN/>
              <w:jc w:val="center"/>
              <w:rPr>
                <w:rFonts w:ascii="Times New Roman" w:hAnsi="Times New Roman" w:cs="Times New Roman"/>
                <w:color w:val="auto"/>
                <w:sz w:val="24"/>
                <w:szCs w:val="24"/>
                <w:lang w:eastAsia="zh-CN"/>
              </w:rPr>
            </w:pPr>
            <w:r>
              <w:rPr>
                <w:rFonts w:ascii="Times New Roman" w:hAnsi="Times New Roman" w:cs="Times New Roman"/>
                <w:sz w:val="24"/>
                <w:szCs w:val="24"/>
              </w:rPr>
              <w:t>-5.06%</w:t>
            </w:r>
          </w:p>
        </w:tc>
        <w:tc>
          <w:tcPr>
            <w:tcW w:w="1252" w:type="dxa"/>
            <w:noWrap/>
            <w:vAlign w:val="center"/>
          </w:tcPr>
          <w:p w14:paraId="70D71236">
            <w:pPr>
              <w:widowControl/>
              <w:autoSpaceDE/>
              <w:autoSpaceDN/>
              <w:jc w:val="center"/>
              <w:rPr>
                <w:rFonts w:ascii="Times New Roman" w:hAnsi="Times New Roman" w:cs="Times New Roman"/>
                <w:color w:val="auto"/>
                <w:sz w:val="24"/>
                <w:szCs w:val="24"/>
                <w:lang w:eastAsia="zh-CN"/>
              </w:rPr>
            </w:pPr>
            <w:r>
              <w:rPr>
                <w:rFonts w:ascii="Times New Roman" w:hAnsi="Times New Roman" w:cs="Times New Roman"/>
                <w:sz w:val="24"/>
                <w:szCs w:val="24"/>
              </w:rPr>
              <w:t>-10.11%</w:t>
            </w:r>
          </w:p>
        </w:tc>
      </w:tr>
      <w:tr w14:paraId="5D38D0D1">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0" w:type="dxa"/>
            <w:bottom w:w="0" w:type="dxa"/>
            <w:right w:w="0" w:type="dxa"/>
          </w:tblCellMar>
        </w:tblPrEx>
        <w:trPr>
          <w:trHeight w:val="405" w:hRule="atLeast"/>
        </w:trPr>
        <w:tc>
          <w:tcPr>
            <w:tcW w:w="714" w:type="pct"/>
            <w:vMerge w:val="continue"/>
            <w:noWrap w:val="0"/>
            <w:vAlign w:val="center"/>
          </w:tcPr>
          <w:p w14:paraId="35DAE7FD">
            <w:pPr>
              <w:widowControl/>
              <w:autoSpaceDE/>
              <w:autoSpaceDN/>
              <w:jc w:val="center"/>
              <w:rPr>
                <w:rFonts w:ascii="Times New Roman" w:hAnsi="Times New Roman" w:cs="Times New Roman"/>
                <w:color w:val="auto"/>
                <w:sz w:val="24"/>
                <w:szCs w:val="24"/>
                <w:lang w:eastAsia="zh-CN"/>
              </w:rPr>
            </w:pPr>
          </w:p>
        </w:tc>
        <w:tc>
          <w:tcPr>
            <w:tcW w:w="716" w:type="pct"/>
            <w:noWrap w:val="0"/>
            <w:vAlign w:val="center"/>
          </w:tcPr>
          <w:p w14:paraId="64423483">
            <w:pPr>
              <w:widowControl/>
              <w:autoSpaceDE/>
              <w:autoSpaceDN/>
              <w:jc w:val="center"/>
              <w:rPr>
                <w:rFonts w:ascii="Times New Roman" w:hAnsi="Times New Roman" w:cs="Times New Roman"/>
                <w:color w:val="auto"/>
                <w:sz w:val="24"/>
                <w:szCs w:val="24"/>
                <w:lang w:eastAsia="zh-CN"/>
              </w:rPr>
            </w:pPr>
            <w:r>
              <w:rPr>
                <w:rFonts w:ascii="Times New Roman" w:hAnsi="Times New Roman" w:cs="Times New Roman"/>
                <w:color w:val="auto"/>
                <w:sz w:val="24"/>
                <w:szCs w:val="24"/>
                <w:lang w:eastAsia="zh-CN"/>
              </w:rPr>
              <w:t>Ⅱ级</w:t>
            </w:r>
          </w:p>
        </w:tc>
        <w:tc>
          <w:tcPr>
            <w:tcW w:w="1252" w:type="dxa"/>
            <w:noWrap/>
            <w:vAlign w:val="center"/>
          </w:tcPr>
          <w:p w14:paraId="7779C84E">
            <w:pPr>
              <w:widowControl/>
              <w:autoSpaceDE/>
              <w:autoSpaceDN/>
              <w:jc w:val="center"/>
              <w:rPr>
                <w:rFonts w:ascii="Times New Roman" w:hAnsi="Times New Roman" w:cs="Times New Roman"/>
                <w:color w:val="auto"/>
                <w:sz w:val="24"/>
                <w:szCs w:val="24"/>
                <w:lang w:eastAsia="zh-CN"/>
              </w:rPr>
            </w:pPr>
            <w:r>
              <w:rPr>
                <w:rFonts w:ascii="Times New Roman" w:hAnsi="Times New Roman" w:cs="Times New Roman"/>
                <w:sz w:val="24"/>
                <w:szCs w:val="24"/>
              </w:rPr>
              <w:t>10.77%</w:t>
            </w:r>
          </w:p>
        </w:tc>
        <w:tc>
          <w:tcPr>
            <w:tcW w:w="1252" w:type="dxa"/>
            <w:noWrap/>
            <w:vAlign w:val="center"/>
          </w:tcPr>
          <w:p w14:paraId="4AEE9FC8">
            <w:pPr>
              <w:widowControl/>
              <w:autoSpaceDE/>
              <w:autoSpaceDN/>
              <w:jc w:val="center"/>
              <w:rPr>
                <w:rFonts w:ascii="Times New Roman" w:hAnsi="Times New Roman" w:cs="Times New Roman"/>
                <w:color w:val="auto"/>
                <w:sz w:val="24"/>
                <w:szCs w:val="24"/>
                <w:lang w:eastAsia="zh-CN"/>
              </w:rPr>
            </w:pPr>
            <w:r>
              <w:rPr>
                <w:rFonts w:ascii="Times New Roman" w:hAnsi="Times New Roman" w:cs="Times New Roman"/>
                <w:sz w:val="24"/>
                <w:szCs w:val="24"/>
              </w:rPr>
              <w:t>5.38%</w:t>
            </w:r>
          </w:p>
        </w:tc>
        <w:tc>
          <w:tcPr>
            <w:tcW w:w="1252" w:type="dxa"/>
            <w:noWrap/>
            <w:vAlign w:val="center"/>
          </w:tcPr>
          <w:p w14:paraId="30091792">
            <w:pPr>
              <w:widowControl/>
              <w:autoSpaceDE/>
              <w:autoSpaceDN/>
              <w:jc w:val="center"/>
              <w:rPr>
                <w:rFonts w:ascii="Times New Roman" w:hAnsi="Times New Roman" w:cs="Times New Roman"/>
                <w:color w:val="auto"/>
                <w:sz w:val="24"/>
                <w:szCs w:val="24"/>
                <w:lang w:eastAsia="zh-CN"/>
              </w:rPr>
            </w:pPr>
            <w:r>
              <w:rPr>
                <w:rFonts w:ascii="Times New Roman" w:hAnsi="Times New Roman" w:cs="Times New Roman"/>
                <w:sz w:val="24"/>
                <w:szCs w:val="24"/>
              </w:rPr>
              <w:t>0</w:t>
            </w:r>
          </w:p>
        </w:tc>
        <w:tc>
          <w:tcPr>
            <w:tcW w:w="1252" w:type="dxa"/>
            <w:noWrap/>
            <w:vAlign w:val="center"/>
          </w:tcPr>
          <w:p w14:paraId="4056C573">
            <w:pPr>
              <w:widowControl/>
              <w:autoSpaceDE/>
              <w:autoSpaceDN/>
              <w:jc w:val="center"/>
              <w:rPr>
                <w:rFonts w:ascii="Times New Roman" w:hAnsi="Times New Roman" w:cs="Times New Roman"/>
                <w:color w:val="auto"/>
                <w:sz w:val="24"/>
                <w:szCs w:val="24"/>
                <w:lang w:eastAsia="zh-CN"/>
              </w:rPr>
            </w:pPr>
            <w:r>
              <w:rPr>
                <w:rFonts w:ascii="Times New Roman" w:hAnsi="Times New Roman" w:cs="Times New Roman"/>
                <w:sz w:val="24"/>
                <w:szCs w:val="24"/>
              </w:rPr>
              <w:t>-5.38%</w:t>
            </w:r>
          </w:p>
        </w:tc>
        <w:tc>
          <w:tcPr>
            <w:tcW w:w="1252" w:type="dxa"/>
            <w:noWrap/>
            <w:vAlign w:val="center"/>
          </w:tcPr>
          <w:p w14:paraId="1BBA0DC5">
            <w:pPr>
              <w:widowControl/>
              <w:autoSpaceDE/>
              <w:autoSpaceDN/>
              <w:jc w:val="center"/>
              <w:rPr>
                <w:rFonts w:ascii="Times New Roman" w:hAnsi="Times New Roman" w:cs="Times New Roman"/>
                <w:color w:val="auto"/>
                <w:sz w:val="24"/>
                <w:szCs w:val="24"/>
                <w:lang w:eastAsia="zh-CN"/>
              </w:rPr>
            </w:pPr>
            <w:r>
              <w:rPr>
                <w:rFonts w:ascii="Times New Roman" w:hAnsi="Times New Roman" w:cs="Times New Roman"/>
                <w:sz w:val="24"/>
                <w:szCs w:val="24"/>
              </w:rPr>
              <w:t>-10.77%</w:t>
            </w:r>
          </w:p>
        </w:tc>
      </w:tr>
      <w:tr w14:paraId="04F47366">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0" w:type="dxa"/>
            <w:bottom w:w="0" w:type="dxa"/>
            <w:right w:w="0" w:type="dxa"/>
          </w:tblCellMar>
        </w:tblPrEx>
        <w:trPr>
          <w:trHeight w:val="403" w:hRule="atLeast"/>
        </w:trPr>
        <w:tc>
          <w:tcPr>
            <w:tcW w:w="714" w:type="pct"/>
            <w:vMerge w:val="continue"/>
            <w:noWrap w:val="0"/>
            <w:vAlign w:val="center"/>
          </w:tcPr>
          <w:p w14:paraId="6BF505BA">
            <w:pPr>
              <w:widowControl/>
              <w:autoSpaceDE/>
              <w:autoSpaceDN/>
              <w:jc w:val="center"/>
              <w:rPr>
                <w:rFonts w:ascii="Times New Roman" w:hAnsi="Times New Roman" w:cs="Times New Roman"/>
                <w:color w:val="auto"/>
                <w:sz w:val="24"/>
                <w:szCs w:val="24"/>
                <w:lang w:eastAsia="zh-CN"/>
              </w:rPr>
            </w:pPr>
          </w:p>
        </w:tc>
        <w:tc>
          <w:tcPr>
            <w:tcW w:w="716" w:type="pct"/>
            <w:noWrap w:val="0"/>
            <w:vAlign w:val="center"/>
          </w:tcPr>
          <w:p w14:paraId="1434396D">
            <w:pPr>
              <w:widowControl/>
              <w:autoSpaceDE/>
              <w:autoSpaceDN/>
              <w:jc w:val="center"/>
              <w:rPr>
                <w:rFonts w:ascii="Times New Roman" w:hAnsi="Times New Roman" w:cs="Times New Roman"/>
                <w:color w:val="auto"/>
                <w:sz w:val="24"/>
                <w:szCs w:val="24"/>
                <w:lang w:eastAsia="zh-CN"/>
              </w:rPr>
            </w:pPr>
            <w:r>
              <w:rPr>
                <w:rFonts w:ascii="Times New Roman" w:hAnsi="Times New Roman" w:cs="Times New Roman"/>
                <w:color w:val="auto"/>
                <w:sz w:val="24"/>
                <w:szCs w:val="24"/>
                <w:lang w:eastAsia="zh-CN"/>
              </w:rPr>
              <w:t>Ⅲ</w:t>
            </w:r>
            <w:r>
              <w:rPr>
                <w:rFonts w:ascii="Times New Roman" w:hAnsi="Times New Roman" w:eastAsia="宋体" w:cs="Times New Roman"/>
                <w:color w:val="auto"/>
                <w:sz w:val="24"/>
                <w:szCs w:val="24"/>
                <w:lang w:eastAsia="zh-CN"/>
              </w:rPr>
              <w:t>级</w:t>
            </w:r>
          </w:p>
        </w:tc>
        <w:tc>
          <w:tcPr>
            <w:tcW w:w="1252" w:type="dxa"/>
            <w:noWrap/>
            <w:vAlign w:val="center"/>
          </w:tcPr>
          <w:p w14:paraId="333763FD">
            <w:pPr>
              <w:widowControl/>
              <w:autoSpaceDE/>
              <w:autoSpaceDN/>
              <w:jc w:val="center"/>
              <w:rPr>
                <w:rFonts w:ascii="Times New Roman" w:hAnsi="Times New Roman" w:cs="Times New Roman"/>
                <w:color w:val="auto"/>
                <w:sz w:val="24"/>
                <w:szCs w:val="24"/>
                <w:lang w:eastAsia="zh-CN"/>
              </w:rPr>
            </w:pPr>
            <w:r>
              <w:rPr>
                <w:rFonts w:ascii="Times New Roman" w:hAnsi="Times New Roman" w:cs="Times New Roman"/>
                <w:sz w:val="24"/>
                <w:szCs w:val="24"/>
              </w:rPr>
              <w:t>10.14%</w:t>
            </w:r>
          </w:p>
        </w:tc>
        <w:tc>
          <w:tcPr>
            <w:tcW w:w="1252" w:type="dxa"/>
            <w:noWrap/>
            <w:vAlign w:val="center"/>
          </w:tcPr>
          <w:p w14:paraId="689C7421">
            <w:pPr>
              <w:widowControl/>
              <w:autoSpaceDE/>
              <w:autoSpaceDN/>
              <w:jc w:val="center"/>
              <w:rPr>
                <w:rFonts w:ascii="Times New Roman" w:hAnsi="Times New Roman" w:cs="Times New Roman"/>
                <w:color w:val="auto"/>
                <w:sz w:val="24"/>
                <w:szCs w:val="24"/>
                <w:lang w:eastAsia="zh-CN"/>
              </w:rPr>
            </w:pPr>
            <w:r>
              <w:rPr>
                <w:rFonts w:ascii="Times New Roman" w:hAnsi="Times New Roman" w:cs="Times New Roman"/>
                <w:sz w:val="24"/>
                <w:szCs w:val="24"/>
              </w:rPr>
              <w:t>8.72%</w:t>
            </w:r>
          </w:p>
        </w:tc>
        <w:tc>
          <w:tcPr>
            <w:tcW w:w="1252" w:type="dxa"/>
            <w:noWrap/>
            <w:vAlign w:val="center"/>
          </w:tcPr>
          <w:p w14:paraId="73B7A09B">
            <w:pPr>
              <w:widowControl/>
              <w:autoSpaceDE/>
              <w:autoSpaceDN/>
              <w:jc w:val="center"/>
              <w:rPr>
                <w:rFonts w:ascii="Times New Roman" w:hAnsi="Times New Roman" w:cs="Times New Roman"/>
                <w:color w:val="auto"/>
                <w:sz w:val="24"/>
                <w:szCs w:val="24"/>
                <w:lang w:eastAsia="zh-CN"/>
              </w:rPr>
            </w:pPr>
            <w:r>
              <w:rPr>
                <w:rFonts w:ascii="Times New Roman" w:hAnsi="Times New Roman" w:cs="Times New Roman"/>
                <w:sz w:val="24"/>
                <w:szCs w:val="24"/>
              </w:rPr>
              <w:t>0</w:t>
            </w:r>
          </w:p>
        </w:tc>
        <w:tc>
          <w:tcPr>
            <w:tcW w:w="1252" w:type="dxa"/>
            <w:noWrap/>
            <w:vAlign w:val="center"/>
          </w:tcPr>
          <w:p w14:paraId="05E1BB5B">
            <w:pPr>
              <w:widowControl/>
              <w:autoSpaceDE/>
              <w:autoSpaceDN/>
              <w:jc w:val="center"/>
              <w:rPr>
                <w:rFonts w:ascii="Times New Roman" w:hAnsi="Times New Roman" w:cs="Times New Roman"/>
                <w:color w:val="auto"/>
                <w:sz w:val="24"/>
                <w:szCs w:val="24"/>
                <w:lang w:eastAsia="zh-CN"/>
              </w:rPr>
            </w:pPr>
            <w:r>
              <w:rPr>
                <w:rFonts w:ascii="Times New Roman" w:hAnsi="Times New Roman" w:cs="Times New Roman"/>
                <w:sz w:val="24"/>
                <w:szCs w:val="24"/>
              </w:rPr>
              <w:t>-8.05%</w:t>
            </w:r>
          </w:p>
        </w:tc>
        <w:tc>
          <w:tcPr>
            <w:tcW w:w="1252" w:type="dxa"/>
            <w:noWrap/>
            <w:vAlign w:val="center"/>
          </w:tcPr>
          <w:p w14:paraId="24A3234D">
            <w:pPr>
              <w:widowControl/>
              <w:autoSpaceDE/>
              <w:autoSpaceDN/>
              <w:jc w:val="center"/>
              <w:rPr>
                <w:rFonts w:ascii="Times New Roman" w:hAnsi="Times New Roman" w:cs="Times New Roman"/>
                <w:color w:val="auto"/>
                <w:sz w:val="24"/>
                <w:szCs w:val="24"/>
                <w:lang w:eastAsia="zh-CN"/>
              </w:rPr>
            </w:pPr>
            <w:r>
              <w:rPr>
                <w:rFonts w:ascii="Times New Roman" w:hAnsi="Times New Roman" w:cs="Times New Roman"/>
                <w:sz w:val="24"/>
                <w:szCs w:val="24"/>
              </w:rPr>
              <w:t>-16.11%</w:t>
            </w:r>
          </w:p>
        </w:tc>
      </w:tr>
      <w:tr w14:paraId="27813AAC">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0" w:type="dxa"/>
            <w:bottom w:w="0" w:type="dxa"/>
            <w:right w:w="0" w:type="dxa"/>
          </w:tblCellMar>
        </w:tblPrEx>
        <w:trPr>
          <w:trHeight w:val="420" w:hRule="atLeast"/>
        </w:trPr>
        <w:tc>
          <w:tcPr>
            <w:tcW w:w="714" w:type="pct"/>
            <w:vMerge w:val="continue"/>
            <w:noWrap w:val="0"/>
            <w:vAlign w:val="center"/>
          </w:tcPr>
          <w:p w14:paraId="10F9D7FA">
            <w:pPr>
              <w:widowControl/>
              <w:autoSpaceDE/>
              <w:autoSpaceDN/>
              <w:jc w:val="center"/>
              <w:rPr>
                <w:rFonts w:ascii="Times New Roman" w:hAnsi="Times New Roman" w:cs="Times New Roman"/>
                <w:color w:val="auto"/>
                <w:sz w:val="24"/>
                <w:szCs w:val="24"/>
                <w:lang w:eastAsia="zh-CN"/>
              </w:rPr>
            </w:pPr>
          </w:p>
        </w:tc>
        <w:tc>
          <w:tcPr>
            <w:tcW w:w="716" w:type="pct"/>
            <w:noWrap w:val="0"/>
            <w:vAlign w:val="center"/>
          </w:tcPr>
          <w:p w14:paraId="59D16EE1">
            <w:pPr>
              <w:widowControl/>
              <w:autoSpaceDE/>
              <w:autoSpaceDN/>
              <w:jc w:val="center"/>
              <w:rPr>
                <w:rFonts w:ascii="Times New Roman" w:hAnsi="Times New Roman" w:cs="Times New Roman"/>
                <w:color w:val="auto"/>
                <w:sz w:val="24"/>
                <w:szCs w:val="24"/>
                <w:lang w:eastAsia="zh-CN"/>
              </w:rPr>
            </w:pPr>
            <w:r>
              <w:rPr>
                <w:rFonts w:ascii="Times New Roman" w:hAnsi="Times New Roman" w:cs="Times New Roman"/>
                <w:color w:val="auto"/>
                <w:sz w:val="24"/>
                <w:szCs w:val="24"/>
                <w:lang w:eastAsia="zh-CN"/>
              </w:rPr>
              <w:t>Ⅳ</w:t>
            </w:r>
            <w:r>
              <w:rPr>
                <w:rFonts w:ascii="Times New Roman" w:hAnsi="Times New Roman" w:eastAsia="宋体" w:cs="Times New Roman"/>
                <w:color w:val="auto"/>
                <w:sz w:val="24"/>
                <w:szCs w:val="24"/>
                <w:lang w:eastAsia="zh-CN"/>
              </w:rPr>
              <w:t>级</w:t>
            </w:r>
          </w:p>
        </w:tc>
        <w:tc>
          <w:tcPr>
            <w:tcW w:w="1252" w:type="dxa"/>
            <w:noWrap/>
            <w:vAlign w:val="center"/>
          </w:tcPr>
          <w:p w14:paraId="18F00453">
            <w:pPr>
              <w:widowControl/>
              <w:autoSpaceDE/>
              <w:autoSpaceDN/>
              <w:jc w:val="center"/>
              <w:rPr>
                <w:rFonts w:ascii="Times New Roman" w:hAnsi="Times New Roman" w:cs="Times New Roman"/>
                <w:color w:val="auto"/>
                <w:sz w:val="24"/>
                <w:szCs w:val="24"/>
                <w:lang w:eastAsia="zh-CN"/>
              </w:rPr>
            </w:pPr>
            <w:r>
              <w:rPr>
                <w:rFonts w:ascii="Times New Roman" w:hAnsi="Times New Roman" w:cs="Times New Roman"/>
                <w:sz w:val="24"/>
                <w:szCs w:val="24"/>
              </w:rPr>
              <w:t>12.28%</w:t>
            </w:r>
          </w:p>
        </w:tc>
        <w:tc>
          <w:tcPr>
            <w:tcW w:w="1252" w:type="dxa"/>
            <w:noWrap/>
            <w:vAlign w:val="center"/>
          </w:tcPr>
          <w:p w14:paraId="6024EDE1">
            <w:pPr>
              <w:widowControl/>
              <w:autoSpaceDE/>
              <w:autoSpaceDN/>
              <w:jc w:val="center"/>
              <w:rPr>
                <w:rFonts w:ascii="Times New Roman" w:hAnsi="Times New Roman" w:cs="Times New Roman"/>
                <w:color w:val="auto"/>
                <w:sz w:val="24"/>
                <w:szCs w:val="24"/>
                <w:lang w:eastAsia="zh-CN"/>
              </w:rPr>
            </w:pPr>
            <w:r>
              <w:rPr>
                <w:rFonts w:ascii="Times New Roman" w:hAnsi="Times New Roman" w:cs="Times New Roman"/>
                <w:sz w:val="24"/>
                <w:szCs w:val="24"/>
              </w:rPr>
              <w:t>6.14%</w:t>
            </w:r>
          </w:p>
        </w:tc>
        <w:tc>
          <w:tcPr>
            <w:tcW w:w="1252" w:type="dxa"/>
            <w:noWrap/>
            <w:vAlign w:val="center"/>
          </w:tcPr>
          <w:p w14:paraId="51B22D0B">
            <w:pPr>
              <w:widowControl/>
              <w:autoSpaceDE/>
              <w:autoSpaceDN/>
              <w:jc w:val="center"/>
              <w:rPr>
                <w:rFonts w:ascii="Times New Roman" w:hAnsi="Times New Roman" w:cs="Times New Roman"/>
                <w:color w:val="auto"/>
                <w:sz w:val="24"/>
                <w:szCs w:val="24"/>
                <w:lang w:eastAsia="zh-CN"/>
              </w:rPr>
            </w:pPr>
            <w:r>
              <w:rPr>
                <w:rFonts w:ascii="Times New Roman" w:hAnsi="Times New Roman" w:cs="Times New Roman"/>
                <w:sz w:val="24"/>
                <w:szCs w:val="24"/>
              </w:rPr>
              <w:t>0</w:t>
            </w:r>
          </w:p>
        </w:tc>
        <w:tc>
          <w:tcPr>
            <w:tcW w:w="1252" w:type="dxa"/>
            <w:noWrap/>
            <w:vAlign w:val="center"/>
          </w:tcPr>
          <w:p w14:paraId="4E452CD8">
            <w:pPr>
              <w:widowControl/>
              <w:autoSpaceDE/>
              <w:autoSpaceDN/>
              <w:jc w:val="center"/>
              <w:rPr>
                <w:rFonts w:ascii="Times New Roman" w:hAnsi="Times New Roman" w:cs="Times New Roman"/>
                <w:color w:val="auto"/>
                <w:sz w:val="24"/>
                <w:szCs w:val="24"/>
                <w:lang w:eastAsia="zh-CN"/>
              </w:rPr>
            </w:pPr>
            <w:r>
              <w:rPr>
                <w:rFonts w:ascii="Times New Roman" w:hAnsi="Times New Roman" w:cs="Times New Roman"/>
                <w:sz w:val="24"/>
                <w:szCs w:val="24"/>
              </w:rPr>
              <w:t>-5.96%</w:t>
            </w:r>
          </w:p>
        </w:tc>
        <w:tc>
          <w:tcPr>
            <w:tcW w:w="1252" w:type="dxa"/>
            <w:noWrap/>
            <w:vAlign w:val="center"/>
          </w:tcPr>
          <w:p w14:paraId="149B730D">
            <w:pPr>
              <w:widowControl/>
              <w:autoSpaceDE/>
              <w:autoSpaceDN/>
              <w:jc w:val="center"/>
              <w:rPr>
                <w:rFonts w:ascii="Times New Roman" w:hAnsi="Times New Roman" w:cs="Times New Roman"/>
                <w:color w:val="auto"/>
                <w:sz w:val="24"/>
                <w:szCs w:val="24"/>
                <w:lang w:eastAsia="zh-CN"/>
              </w:rPr>
            </w:pPr>
            <w:r>
              <w:rPr>
                <w:rFonts w:ascii="Times New Roman" w:hAnsi="Times New Roman" w:cs="Times New Roman"/>
                <w:sz w:val="24"/>
                <w:szCs w:val="24"/>
              </w:rPr>
              <w:t>-11.93%</w:t>
            </w:r>
          </w:p>
        </w:tc>
      </w:tr>
    </w:tbl>
    <w:p w14:paraId="622D0BCD">
      <w:pPr>
        <w:spacing w:line="600" w:lineRule="exact"/>
        <w:ind w:firstLine="600"/>
        <w:jc w:val="left"/>
        <w:rPr>
          <w:rFonts w:hint="default" w:ascii="Times New Roman" w:hAnsi="Times New Roman" w:cs="Times New Roman"/>
          <w:color w:val="000000"/>
          <w:sz w:val="28"/>
          <w:szCs w:val="28"/>
        </w:rPr>
      </w:pPr>
    </w:p>
    <w:p w14:paraId="2D289ABC">
      <w:pPr>
        <w:spacing w:line="600" w:lineRule="exact"/>
        <w:jc w:val="center"/>
        <w:rPr>
          <w:rFonts w:hint="default" w:ascii="Times New Roman" w:hAnsi="Times New Roman" w:eastAsia="仿宋_GB2312" w:cs="Times New Roman"/>
          <w:color w:val="auto"/>
          <w:sz w:val="28"/>
          <w:szCs w:val="28"/>
          <w:lang w:val="zh-CN" w:eastAsia="zh-CN" w:bidi="zh-CN"/>
        </w:rPr>
      </w:pPr>
      <w:r>
        <w:rPr>
          <w:rFonts w:hint="default" w:ascii="Times New Roman" w:hAnsi="Times New Roman" w:eastAsia="仿宋_GB2312" w:cs="Times New Roman"/>
          <w:color w:val="auto"/>
          <w:sz w:val="28"/>
          <w:szCs w:val="28"/>
          <w:lang w:val="zh-CN" w:eastAsia="zh-CN" w:bidi="zh-CN"/>
        </w:rPr>
        <w:t>附表</w:t>
      </w:r>
      <w:r>
        <w:rPr>
          <w:rFonts w:hint="eastAsia" w:ascii="Times New Roman" w:hAnsi="Times New Roman" w:eastAsia="仿宋_GB2312" w:cs="Times New Roman"/>
          <w:color w:val="auto"/>
          <w:sz w:val="28"/>
          <w:szCs w:val="28"/>
          <w:lang w:val="en-US" w:eastAsia="zh-CN" w:bidi="zh-CN"/>
        </w:rPr>
        <w:t>3.2</w:t>
      </w:r>
      <w:r>
        <w:rPr>
          <w:rFonts w:hint="eastAsia" w:ascii="Times New Roman" w:hAnsi="Times New Roman" w:cs="Times New Roman"/>
          <w:color w:val="auto"/>
          <w:sz w:val="28"/>
          <w:szCs w:val="28"/>
          <w:lang w:val="en-US" w:eastAsia="zh-CN" w:bidi="zh-CN"/>
        </w:rPr>
        <w:t xml:space="preserve">  </w:t>
      </w:r>
      <w:r>
        <w:rPr>
          <w:rFonts w:hint="default" w:ascii="Times New Roman" w:hAnsi="Times New Roman" w:eastAsia="仿宋_GB2312" w:cs="Times New Roman"/>
          <w:color w:val="auto"/>
          <w:sz w:val="28"/>
          <w:szCs w:val="28"/>
          <w:lang w:val="zh-CN" w:eastAsia="zh-CN" w:bidi="zh-CN"/>
        </w:rPr>
        <w:t>基准地价容积率修正表</w:t>
      </w:r>
    </w:p>
    <w:tbl>
      <w:tblPr>
        <w:tblStyle w:val="25"/>
        <w:tblW w:w="4997"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813"/>
        <w:gridCol w:w="1486"/>
        <w:gridCol w:w="1443"/>
        <w:gridCol w:w="2392"/>
        <w:gridCol w:w="1835"/>
      </w:tblGrid>
      <w:tr w14:paraId="6F69B5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6" w:hRule="atLeast"/>
          <w:jc w:val="center"/>
        </w:trPr>
        <w:tc>
          <w:tcPr>
            <w:tcW w:w="1010" w:type="pct"/>
            <w:noWrap w:val="0"/>
            <w:vAlign w:val="center"/>
          </w:tcPr>
          <w:p w14:paraId="463152B4">
            <w:pPr>
              <w:widowControl/>
              <w:autoSpaceDE/>
              <w:autoSpaceDN/>
              <w:jc w:val="center"/>
              <w:rPr>
                <w:rFonts w:hint="default" w:ascii="Times New Roman" w:hAnsi="Times New Roman" w:cs="Times New Roman"/>
                <w:color w:val="auto"/>
                <w:sz w:val="24"/>
                <w:szCs w:val="24"/>
                <w:lang w:eastAsia="zh-CN"/>
              </w:rPr>
            </w:pPr>
            <w:r>
              <w:rPr>
                <w:rFonts w:hint="default" w:ascii="Times New Roman" w:hAnsi="Times New Roman" w:cs="Times New Roman"/>
                <w:color w:val="auto"/>
                <w:sz w:val="24"/>
                <w:szCs w:val="24"/>
                <w:lang w:eastAsia="zh-CN"/>
              </w:rPr>
              <w:t>容积率</w:t>
            </w:r>
          </w:p>
        </w:tc>
        <w:tc>
          <w:tcPr>
            <w:tcW w:w="828" w:type="pct"/>
            <w:noWrap w:val="0"/>
            <w:vAlign w:val="center"/>
          </w:tcPr>
          <w:p w14:paraId="5DA9C845">
            <w:pPr>
              <w:widowControl/>
              <w:autoSpaceDE/>
              <w:autoSpaceDN/>
              <w:jc w:val="center"/>
              <w:rPr>
                <w:rFonts w:hint="default" w:ascii="Times New Roman" w:hAnsi="Times New Roman" w:cs="Times New Roman"/>
                <w:color w:val="auto"/>
                <w:sz w:val="24"/>
                <w:szCs w:val="24"/>
                <w:lang w:eastAsia="zh-CN"/>
              </w:rPr>
            </w:pPr>
            <w:r>
              <w:rPr>
                <w:rFonts w:hint="default" w:ascii="Times New Roman" w:hAnsi="Times New Roman" w:cs="Times New Roman"/>
                <w:color w:val="auto"/>
                <w:sz w:val="24"/>
                <w:szCs w:val="24"/>
                <w:lang w:eastAsia="zh-CN"/>
              </w:rPr>
              <w:t>商服</w:t>
            </w:r>
          </w:p>
        </w:tc>
        <w:tc>
          <w:tcPr>
            <w:tcW w:w="804" w:type="pct"/>
            <w:noWrap w:val="0"/>
            <w:vAlign w:val="center"/>
          </w:tcPr>
          <w:p w14:paraId="5DB59F8E">
            <w:pPr>
              <w:widowControl/>
              <w:autoSpaceDE/>
              <w:autoSpaceDN/>
              <w:jc w:val="center"/>
              <w:rPr>
                <w:rFonts w:hint="eastAsia" w:ascii="Times New Roman" w:hAnsi="Times New Roman" w:cs="Times New Roman"/>
                <w:color w:val="auto"/>
                <w:sz w:val="24"/>
                <w:szCs w:val="24"/>
                <w:lang w:eastAsia="zh-CN"/>
              </w:rPr>
            </w:pPr>
            <w:r>
              <w:rPr>
                <w:rFonts w:hint="eastAsia" w:ascii="Times New Roman" w:hAnsi="Times New Roman" w:cs="Times New Roman"/>
                <w:color w:val="auto"/>
                <w:sz w:val="24"/>
                <w:szCs w:val="24"/>
                <w:lang w:eastAsia="zh-CN"/>
              </w:rPr>
              <w:t>住宅</w:t>
            </w:r>
          </w:p>
        </w:tc>
        <w:tc>
          <w:tcPr>
            <w:tcW w:w="1333" w:type="pct"/>
            <w:noWrap w:val="0"/>
            <w:vAlign w:val="center"/>
          </w:tcPr>
          <w:p w14:paraId="05D4C9DE">
            <w:pPr>
              <w:widowControl/>
              <w:autoSpaceDE/>
              <w:autoSpaceDN/>
              <w:jc w:val="center"/>
              <w:rPr>
                <w:rFonts w:hint="default" w:ascii="Times New Roman" w:hAnsi="Times New Roman" w:cs="Times New Roman"/>
                <w:color w:val="auto"/>
                <w:sz w:val="24"/>
                <w:szCs w:val="24"/>
                <w:lang w:eastAsia="zh-CN"/>
              </w:rPr>
            </w:pPr>
            <w:r>
              <w:rPr>
                <w:rFonts w:hint="default" w:ascii="Times New Roman" w:hAnsi="Times New Roman" w:cs="Times New Roman"/>
                <w:color w:val="auto"/>
                <w:sz w:val="24"/>
                <w:szCs w:val="24"/>
                <w:lang w:eastAsia="zh-CN"/>
              </w:rPr>
              <w:t>公共管理与公共服务</w:t>
            </w:r>
          </w:p>
        </w:tc>
        <w:tc>
          <w:tcPr>
            <w:tcW w:w="1022" w:type="pct"/>
            <w:noWrap w:val="0"/>
            <w:vAlign w:val="center"/>
          </w:tcPr>
          <w:p w14:paraId="63AAFC9F">
            <w:pPr>
              <w:widowControl/>
              <w:autoSpaceDE/>
              <w:autoSpaceDN/>
              <w:jc w:val="center"/>
              <w:rPr>
                <w:rFonts w:hint="default" w:ascii="Times New Roman" w:hAnsi="Times New Roman" w:cs="Times New Roman"/>
                <w:color w:val="auto"/>
                <w:sz w:val="24"/>
                <w:szCs w:val="24"/>
                <w:lang w:eastAsia="zh-CN"/>
              </w:rPr>
            </w:pPr>
            <w:r>
              <w:rPr>
                <w:rFonts w:hint="default" w:ascii="Times New Roman" w:hAnsi="Times New Roman" w:cs="Times New Roman"/>
                <w:color w:val="auto"/>
                <w:sz w:val="24"/>
                <w:szCs w:val="24"/>
                <w:lang w:eastAsia="zh-CN"/>
              </w:rPr>
              <w:t>公用设施用地</w:t>
            </w:r>
          </w:p>
        </w:tc>
      </w:tr>
      <w:tr w14:paraId="7C8043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3" w:hRule="atLeast"/>
          <w:jc w:val="center"/>
        </w:trPr>
        <w:tc>
          <w:tcPr>
            <w:tcW w:w="1010" w:type="pct"/>
            <w:noWrap w:val="0"/>
            <w:vAlign w:val="center"/>
          </w:tcPr>
          <w:p w14:paraId="2E079C3F">
            <w:pPr>
              <w:widowControl/>
              <w:autoSpaceDE/>
              <w:autoSpaceDN/>
              <w:jc w:val="center"/>
              <w:rPr>
                <w:rFonts w:hint="default" w:ascii="Times New Roman" w:hAnsi="Times New Roman" w:cs="Times New Roman"/>
                <w:color w:val="auto"/>
                <w:sz w:val="24"/>
                <w:szCs w:val="24"/>
                <w:lang w:eastAsia="zh-CN"/>
              </w:rPr>
            </w:pPr>
            <w:r>
              <w:rPr>
                <w:rFonts w:hint="default" w:ascii="Times New Roman" w:hAnsi="Times New Roman" w:cs="Times New Roman"/>
                <w:color w:val="auto"/>
                <w:sz w:val="24"/>
                <w:szCs w:val="24"/>
                <w:lang w:eastAsia="zh-CN"/>
              </w:rPr>
              <w:t>1及以下</w:t>
            </w:r>
          </w:p>
        </w:tc>
        <w:tc>
          <w:tcPr>
            <w:tcW w:w="828" w:type="pct"/>
            <w:noWrap w:val="0"/>
            <w:vAlign w:val="center"/>
          </w:tcPr>
          <w:p w14:paraId="7E4DC1DF">
            <w:pPr>
              <w:widowControl/>
              <w:autoSpaceDE/>
              <w:autoSpaceDN/>
              <w:jc w:val="center"/>
              <w:rPr>
                <w:rFonts w:hint="default" w:ascii="Times New Roman" w:hAnsi="Times New Roman" w:cs="Times New Roman"/>
                <w:color w:val="auto"/>
                <w:sz w:val="24"/>
                <w:szCs w:val="24"/>
                <w:lang w:eastAsia="zh-CN"/>
              </w:rPr>
            </w:pPr>
            <w:r>
              <w:rPr>
                <w:rFonts w:ascii="Times New Roman" w:hAnsi="Times New Roman" w:cs="Times New Roman"/>
                <w:color w:val="auto"/>
                <w:sz w:val="24"/>
                <w:szCs w:val="24"/>
                <w:lang w:eastAsia="zh-CN"/>
              </w:rPr>
              <w:t>0.88</w:t>
            </w:r>
          </w:p>
        </w:tc>
        <w:tc>
          <w:tcPr>
            <w:tcW w:w="804" w:type="pct"/>
            <w:noWrap w:val="0"/>
            <w:vAlign w:val="center"/>
          </w:tcPr>
          <w:p w14:paraId="53E06C12">
            <w:pPr>
              <w:widowControl/>
              <w:autoSpaceDE/>
              <w:autoSpaceDN/>
              <w:jc w:val="center"/>
              <w:rPr>
                <w:rFonts w:hint="default" w:ascii="Times New Roman" w:hAnsi="Times New Roman" w:cs="Times New Roman"/>
                <w:color w:val="auto"/>
                <w:sz w:val="24"/>
                <w:szCs w:val="24"/>
                <w:lang w:eastAsia="zh-CN"/>
              </w:rPr>
            </w:pPr>
            <w:r>
              <w:rPr>
                <w:rFonts w:ascii="Times New Roman" w:hAnsi="Times New Roman" w:cs="Times New Roman"/>
                <w:color w:val="auto"/>
                <w:sz w:val="24"/>
                <w:szCs w:val="24"/>
                <w:lang w:eastAsia="zh-CN"/>
              </w:rPr>
              <w:t>0.88</w:t>
            </w:r>
          </w:p>
        </w:tc>
        <w:tc>
          <w:tcPr>
            <w:tcW w:w="1333" w:type="pct"/>
            <w:noWrap w:val="0"/>
            <w:vAlign w:val="center"/>
          </w:tcPr>
          <w:p w14:paraId="3D37AFC8">
            <w:pPr>
              <w:widowControl/>
              <w:autoSpaceDE/>
              <w:autoSpaceDN/>
              <w:jc w:val="center"/>
              <w:rPr>
                <w:rFonts w:hint="default" w:ascii="Times New Roman" w:hAnsi="Times New Roman" w:cs="Times New Roman"/>
                <w:color w:val="auto"/>
                <w:sz w:val="24"/>
                <w:szCs w:val="24"/>
                <w:lang w:val="en-US" w:eastAsia="zh-CN"/>
              </w:rPr>
            </w:pPr>
            <w:r>
              <w:rPr>
                <w:rFonts w:hint="eastAsia" w:ascii="Times New Roman" w:hAnsi="Times New Roman" w:cs="Times New Roman"/>
                <w:color w:val="auto"/>
                <w:sz w:val="24"/>
                <w:szCs w:val="24"/>
                <w:lang w:val="en-US" w:eastAsia="zh-CN"/>
              </w:rPr>
              <w:t>0.59</w:t>
            </w:r>
          </w:p>
        </w:tc>
        <w:tc>
          <w:tcPr>
            <w:tcW w:w="1022" w:type="pct"/>
            <w:noWrap w:val="0"/>
            <w:vAlign w:val="center"/>
          </w:tcPr>
          <w:p w14:paraId="66C1BE24">
            <w:pPr>
              <w:widowControl/>
              <w:autoSpaceDE/>
              <w:autoSpaceDN/>
              <w:jc w:val="center"/>
              <w:rPr>
                <w:rFonts w:hint="default" w:ascii="Times New Roman" w:hAnsi="Times New Roman" w:cs="Times New Roman"/>
                <w:color w:val="auto"/>
                <w:sz w:val="24"/>
                <w:szCs w:val="24"/>
                <w:lang w:eastAsia="zh-CN"/>
              </w:rPr>
            </w:pPr>
            <w:r>
              <w:rPr>
                <w:rFonts w:hint="eastAsia" w:ascii="Times New Roman" w:hAnsi="Times New Roman" w:cs="Times New Roman"/>
                <w:color w:val="auto"/>
                <w:sz w:val="24"/>
                <w:szCs w:val="24"/>
                <w:lang w:val="en-US" w:eastAsia="zh-CN"/>
              </w:rPr>
              <w:t>0.59</w:t>
            </w:r>
          </w:p>
        </w:tc>
      </w:tr>
      <w:tr w14:paraId="48054A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3" w:hRule="atLeast"/>
          <w:jc w:val="center"/>
        </w:trPr>
        <w:tc>
          <w:tcPr>
            <w:tcW w:w="1010" w:type="pct"/>
            <w:noWrap w:val="0"/>
            <w:vAlign w:val="center"/>
          </w:tcPr>
          <w:p w14:paraId="0DF4576F">
            <w:pPr>
              <w:widowControl/>
              <w:autoSpaceDE/>
              <w:autoSpaceDN/>
              <w:jc w:val="center"/>
              <w:rPr>
                <w:rFonts w:hint="default" w:ascii="Times New Roman" w:hAnsi="Times New Roman" w:cs="Times New Roman"/>
                <w:color w:val="auto"/>
                <w:sz w:val="24"/>
                <w:szCs w:val="24"/>
                <w:lang w:eastAsia="zh-CN"/>
              </w:rPr>
            </w:pPr>
            <w:r>
              <w:rPr>
                <w:rFonts w:hint="default" w:ascii="Times New Roman" w:hAnsi="Times New Roman" w:cs="Times New Roman"/>
                <w:color w:val="auto"/>
                <w:sz w:val="24"/>
                <w:szCs w:val="24"/>
                <w:lang w:eastAsia="zh-CN"/>
              </w:rPr>
              <w:t>1.5</w:t>
            </w:r>
          </w:p>
        </w:tc>
        <w:tc>
          <w:tcPr>
            <w:tcW w:w="828" w:type="pct"/>
            <w:noWrap w:val="0"/>
            <w:vAlign w:val="center"/>
          </w:tcPr>
          <w:p w14:paraId="70798506">
            <w:pPr>
              <w:widowControl/>
              <w:autoSpaceDE/>
              <w:autoSpaceDN/>
              <w:jc w:val="center"/>
              <w:rPr>
                <w:rFonts w:hint="default" w:ascii="Times New Roman" w:hAnsi="Times New Roman" w:cs="Times New Roman"/>
                <w:color w:val="auto"/>
                <w:sz w:val="24"/>
                <w:szCs w:val="24"/>
                <w:lang w:eastAsia="zh-CN"/>
              </w:rPr>
            </w:pPr>
            <w:r>
              <w:rPr>
                <w:rFonts w:ascii="Times New Roman" w:hAnsi="Times New Roman" w:cs="Times New Roman"/>
                <w:color w:val="auto"/>
                <w:sz w:val="24"/>
                <w:szCs w:val="24"/>
                <w:lang w:eastAsia="zh-CN"/>
              </w:rPr>
              <w:t>0.95</w:t>
            </w:r>
          </w:p>
        </w:tc>
        <w:tc>
          <w:tcPr>
            <w:tcW w:w="804" w:type="pct"/>
            <w:noWrap w:val="0"/>
            <w:vAlign w:val="center"/>
          </w:tcPr>
          <w:p w14:paraId="55A152D9">
            <w:pPr>
              <w:widowControl/>
              <w:autoSpaceDE/>
              <w:autoSpaceDN/>
              <w:jc w:val="center"/>
              <w:rPr>
                <w:rFonts w:hint="default" w:ascii="Times New Roman" w:hAnsi="Times New Roman" w:cs="Times New Roman"/>
                <w:color w:val="auto"/>
                <w:sz w:val="24"/>
                <w:szCs w:val="24"/>
                <w:lang w:eastAsia="zh-CN"/>
              </w:rPr>
            </w:pPr>
            <w:r>
              <w:rPr>
                <w:rFonts w:ascii="Times New Roman" w:hAnsi="Times New Roman" w:cs="Times New Roman"/>
                <w:color w:val="auto"/>
                <w:sz w:val="24"/>
                <w:szCs w:val="24"/>
                <w:lang w:eastAsia="zh-CN"/>
              </w:rPr>
              <w:t>0.95</w:t>
            </w:r>
          </w:p>
        </w:tc>
        <w:tc>
          <w:tcPr>
            <w:tcW w:w="1333" w:type="pct"/>
            <w:noWrap w:val="0"/>
            <w:vAlign w:val="center"/>
          </w:tcPr>
          <w:p w14:paraId="7944EF5B">
            <w:pPr>
              <w:widowControl/>
              <w:autoSpaceDE/>
              <w:autoSpaceDN/>
              <w:jc w:val="center"/>
              <w:rPr>
                <w:rFonts w:hint="eastAsia" w:ascii="Times New Roman" w:hAnsi="Times New Roman" w:cs="Times New Roman"/>
                <w:color w:val="auto"/>
                <w:sz w:val="24"/>
                <w:szCs w:val="24"/>
                <w:lang w:eastAsia="zh-CN"/>
              </w:rPr>
            </w:pPr>
            <w:r>
              <w:rPr>
                <w:rFonts w:hint="eastAsia" w:ascii="Times New Roman" w:hAnsi="Times New Roman" w:cs="Times New Roman"/>
                <w:color w:val="auto"/>
                <w:sz w:val="24"/>
                <w:szCs w:val="24"/>
                <w:lang w:val="en-US" w:eastAsia="zh-CN"/>
              </w:rPr>
              <w:t>1</w:t>
            </w:r>
          </w:p>
        </w:tc>
        <w:tc>
          <w:tcPr>
            <w:tcW w:w="1022" w:type="pct"/>
            <w:noWrap w:val="0"/>
            <w:vAlign w:val="center"/>
          </w:tcPr>
          <w:p w14:paraId="07E0C31D">
            <w:pPr>
              <w:widowControl/>
              <w:autoSpaceDE/>
              <w:autoSpaceDN/>
              <w:jc w:val="center"/>
              <w:rPr>
                <w:rFonts w:hint="default" w:ascii="Times New Roman" w:hAnsi="Times New Roman" w:cs="Times New Roman"/>
                <w:color w:val="auto"/>
                <w:sz w:val="24"/>
                <w:szCs w:val="24"/>
                <w:lang w:eastAsia="zh-CN"/>
              </w:rPr>
            </w:pPr>
            <w:r>
              <w:rPr>
                <w:rFonts w:hint="eastAsia" w:ascii="Times New Roman" w:hAnsi="Times New Roman" w:cs="Times New Roman"/>
                <w:color w:val="auto"/>
                <w:sz w:val="24"/>
                <w:szCs w:val="24"/>
                <w:lang w:val="en-US" w:eastAsia="zh-CN"/>
              </w:rPr>
              <w:t>1</w:t>
            </w:r>
          </w:p>
        </w:tc>
      </w:tr>
      <w:tr w14:paraId="46D8EC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3" w:hRule="atLeast"/>
          <w:jc w:val="center"/>
        </w:trPr>
        <w:tc>
          <w:tcPr>
            <w:tcW w:w="1010" w:type="pct"/>
            <w:noWrap w:val="0"/>
            <w:vAlign w:val="center"/>
          </w:tcPr>
          <w:p w14:paraId="4EC7EAFA">
            <w:pPr>
              <w:widowControl/>
              <w:autoSpaceDE/>
              <w:autoSpaceDN/>
              <w:jc w:val="center"/>
              <w:rPr>
                <w:rFonts w:hint="default" w:ascii="Times New Roman" w:hAnsi="Times New Roman" w:cs="Times New Roman"/>
                <w:color w:val="auto"/>
                <w:sz w:val="24"/>
                <w:szCs w:val="24"/>
                <w:lang w:eastAsia="zh-CN"/>
              </w:rPr>
            </w:pPr>
            <w:r>
              <w:rPr>
                <w:rFonts w:hint="default" w:ascii="Times New Roman" w:hAnsi="Times New Roman" w:cs="Times New Roman"/>
                <w:color w:val="auto"/>
                <w:sz w:val="24"/>
                <w:szCs w:val="24"/>
                <w:lang w:eastAsia="zh-CN"/>
              </w:rPr>
              <w:t>2</w:t>
            </w:r>
          </w:p>
        </w:tc>
        <w:tc>
          <w:tcPr>
            <w:tcW w:w="828" w:type="pct"/>
            <w:noWrap w:val="0"/>
            <w:vAlign w:val="center"/>
          </w:tcPr>
          <w:p w14:paraId="2A1ADC71">
            <w:pPr>
              <w:widowControl/>
              <w:autoSpaceDE/>
              <w:autoSpaceDN/>
              <w:jc w:val="center"/>
              <w:rPr>
                <w:rFonts w:hint="default" w:ascii="Times New Roman" w:hAnsi="Times New Roman" w:cs="Times New Roman"/>
                <w:color w:val="auto"/>
                <w:sz w:val="24"/>
                <w:szCs w:val="24"/>
                <w:lang w:eastAsia="zh-CN"/>
              </w:rPr>
            </w:pPr>
            <w:r>
              <w:rPr>
                <w:rFonts w:ascii="Times New Roman" w:hAnsi="Times New Roman" w:cs="Times New Roman"/>
                <w:color w:val="auto"/>
                <w:sz w:val="24"/>
                <w:szCs w:val="24"/>
                <w:lang w:eastAsia="zh-CN"/>
              </w:rPr>
              <w:t>1</w:t>
            </w:r>
          </w:p>
        </w:tc>
        <w:tc>
          <w:tcPr>
            <w:tcW w:w="804" w:type="pct"/>
            <w:noWrap w:val="0"/>
            <w:vAlign w:val="center"/>
          </w:tcPr>
          <w:p w14:paraId="17E35DBA">
            <w:pPr>
              <w:widowControl/>
              <w:autoSpaceDE/>
              <w:autoSpaceDN/>
              <w:jc w:val="center"/>
              <w:rPr>
                <w:rFonts w:hint="default" w:ascii="Times New Roman" w:hAnsi="Times New Roman" w:cs="Times New Roman"/>
                <w:color w:val="auto"/>
                <w:sz w:val="24"/>
                <w:szCs w:val="24"/>
                <w:lang w:eastAsia="zh-CN"/>
              </w:rPr>
            </w:pPr>
            <w:r>
              <w:rPr>
                <w:rFonts w:ascii="Times New Roman" w:hAnsi="Times New Roman" w:cs="Times New Roman"/>
                <w:color w:val="auto"/>
                <w:sz w:val="24"/>
                <w:szCs w:val="24"/>
                <w:lang w:eastAsia="zh-CN"/>
              </w:rPr>
              <w:t>1</w:t>
            </w:r>
          </w:p>
        </w:tc>
        <w:tc>
          <w:tcPr>
            <w:tcW w:w="1333" w:type="pct"/>
            <w:noWrap w:val="0"/>
            <w:vAlign w:val="center"/>
          </w:tcPr>
          <w:p w14:paraId="3A7AA6CC">
            <w:pPr>
              <w:widowControl/>
              <w:autoSpaceDE/>
              <w:autoSpaceDN/>
              <w:jc w:val="center"/>
              <w:rPr>
                <w:rFonts w:hint="eastAsia" w:ascii="Times New Roman" w:hAnsi="Times New Roman" w:cs="Times New Roman"/>
                <w:color w:val="auto"/>
                <w:sz w:val="24"/>
                <w:szCs w:val="24"/>
                <w:lang w:eastAsia="zh-CN"/>
              </w:rPr>
            </w:pPr>
            <w:r>
              <w:rPr>
                <w:rFonts w:hint="default" w:ascii="Times New Roman" w:hAnsi="Times New Roman" w:cs="Times New Roman"/>
                <w:color w:val="auto"/>
                <w:sz w:val="24"/>
                <w:szCs w:val="24"/>
                <w:lang w:eastAsia="zh-CN"/>
              </w:rPr>
              <w:t>1.0</w:t>
            </w:r>
            <w:r>
              <w:rPr>
                <w:rFonts w:hint="eastAsia" w:ascii="Times New Roman" w:hAnsi="Times New Roman" w:cs="Times New Roman"/>
                <w:color w:val="auto"/>
                <w:sz w:val="24"/>
                <w:szCs w:val="24"/>
                <w:lang w:val="en-US" w:eastAsia="zh-CN"/>
              </w:rPr>
              <w:t>8</w:t>
            </w:r>
          </w:p>
        </w:tc>
        <w:tc>
          <w:tcPr>
            <w:tcW w:w="1022" w:type="pct"/>
            <w:noWrap w:val="0"/>
            <w:vAlign w:val="center"/>
          </w:tcPr>
          <w:p w14:paraId="5363BE77">
            <w:pPr>
              <w:widowControl/>
              <w:autoSpaceDE/>
              <w:autoSpaceDN/>
              <w:jc w:val="center"/>
              <w:rPr>
                <w:rFonts w:hint="default" w:ascii="Times New Roman" w:hAnsi="Times New Roman" w:cs="Times New Roman"/>
                <w:color w:val="auto"/>
                <w:sz w:val="24"/>
                <w:szCs w:val="24"/>
                <w:lang w:eastAsia="zh-CN"/>
              </w:rPr>
            </w:pPr>
            <w:r>
              <w:rPr>
                <w:rFonts w:hint="default" w:ascii="Times New Roman" w:hAnsi="Times New Roman" w:cs="Times New Roman"/>
                <w:color w:val="auto"/>
                <w:sz w:val="24"/>
                <w:szCs w:val="24"/>
                <w:lang w:eastAsia="zh-CN"/>
              </w:rPr>
              <w:t>1.0</w:t>
            </w:r>
            <w:r>
              <w:rPr>
                <w:rFonts w:hint="eastAsia" w:ascii="Times New Roman" w:hAnsi="Times New Roman" w:cs="Times New Roman"/>
                <w:color w:val="auto"/>
                <w:sz w:val="24"/>
                <w:szCs w:val="24"/>
                <w:lang w:val="en-US" w:eastAsia="zh-CN"/>
              </w:rPr>
              <w:t>8</w:t>
            </w:r>
          </w:p>
        </w:tc>
      </w:tr>
      <w:tr w14:paraId="543F8C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3" w:hRule="atLeast"/>
          <w:jc w:val="center"/>
        </w:trPr>
        <w:tc>
          <w:tcPr>
            <w:tcW w:w="1010" w:type="pct"/>
            <w:noWrap w:val="0"/>
            <w:vAlign w:val="center"/>
          </w:tcPr>
          <w:p w14:paraId="3C025C16">
            <w:pPr>
              <w:widowControl/>
              <w:autoSpaceDE/>
              <w:autoSpaceDN/>
              <w:jc w:val="center"/>
              <w:rPr>
                <w:rFonts w:hint="default" w:ascii="Times New Roman" w:hAnsi="Times New Roman" w:cs="Times New Roman"/>
                <w:color w:val="auto"/>
                <w:sz w:val="24"/>
                <w:szCs w:val="24"/>
                <w:lang w:eastAsia="zh-CN"/>
              </w:rPr>
            </w:pPr>
            <w:r>
              <w:rPr>
                <w:rFonts w:hint="default" w:ascii="Times New Roman" w:hAnsi="Times New Roman" w:cs="Times New Roman"/>
                <w:color w:val="auto"/>
                <w:sz w:val="24"/>
                <w:szCs w:val="24"/>
                <w:lang w:eastAsia="zh-CN"/>
              </w:rPr>
              <w:t>2.5</w:t>
            </w:r>
          </w:p>
        </w:tc>
        <w:tc>
          <w:tcPr>
            <w:tcW w:w="828" w:type="pct"/>
            <w:noWrap w:val="0"/>
            <w:vAlign w:val="center"/>
          </w:tcPr>
          <w:p w14:paraId="27BEFCBF">
            <w:pPr>
              <w:widowControl/>
              <w:autoSpaceDE/>
              <w:autoSpaceDN/>
              <w:jc w:val="center"/>
              <w:rPr>
                <w:rFonts w:hint="default" w:ascii="Times New Roman" w:hAnsi="Times New Roman" w:cs="Times New Roman"/>
                <w:color w:val="auto"/>
                <w:sz w:val="24"/>
                <w:szCs w:val="24"/>
                <w:lang w:eastAsia="zh-CN"/>
              </w:rPr>
            </w:pPr>
            <w:r>
              <w:rPr>
                <w:rFonts w:ascii="Times New Roman" w:hAnsi="Times New Roman" w:cs="Times New Roman"/>
                <w:color w:val="auto"/>
                <w:sz w:val="24"/>
                <w:szCs w:val="24"/>
                <w:lang w:eastAsia="zh-CN"/>
              </w:rPr>
              <w:t>1.05</w:t>
            </w:r>
          </w:p>
        </w:tc>
        <w:tc>
          <w:tcPr>
            <w:tcW w:w="804" w:type="pct"/>
            <w:noWrap w:val="0"/>
            <w:vAlign w:val="center"/>
          </w:tcPr>
          <w:p w14:paraId="0E44D9B8">
            <w:pPr>
              <w:widowControl/>
              <w:autoSpaceDE/>
              <w:autoSpaceDN/>
              <w:jc w:val="center"/>
              <w:rPr>
                <w:rFonts w:hint="default" w:ascii="Times New Roman" w:hAnsi="Times New Roman" w:cs="Times New Roman"/>
                <w:color w:val="auto"/>
                <w:sz w:val="24"/>
                <w:szCs w:val="24"/>
                <w:lang w:eastAsia="zh-CN"/>
              </w:rPr>
            </w:pPr>
            <w:r>
              <w:rPr>
                <w:rFonts w:ascii="Times New Roman" w:hAnsi="Times New Roman" w:cs="Times New Roman"/>
                <w:color w:val="auto"/>
                <w:sz w:val="24"/>
                <w:szCs w:val="24"/>
                <w:lang w:eastAsia="zh-CN"/>
              </w:rPr>
              <w:t>1.05</w:t>
            </w:r>
          </w:p>
        </w:tc>
        <w:tc>
          <w:tcPr>
            <w:tcW w:w="1333" w:type="pct"/>
            <w:noWrap w:val="0"/>
            <w:vAlign w:val="center"/>
          </w:tcPr>
          <w:p w14:paraId="3B001E17">
            <w:pPr>
              <w:widowControl/>
              <w:autoSpaceDE/>
              <w:autoSpaceDN/>
              <w:jc w:val="center"/>
              <w:rPr>
                <w:rFonts w:hint="default" w:ascii="Times New Roman" w:hAnsi="Times New Roman" w:cs="Times New Roman"/>
                <w:color w:val="auto"/>
                <w:sz w:val="24"/>
                <w:szCs w:val="24"/>
                <w:lang w:eastAsia="zh-CN"/>
              </w:rPr>
            </w:pPr>
          </w:p>
        </w:tc>
        <w:tc>
          <w:tcPr>
            <w:tcW w:w="1022" w:type="pct"/>
            <w:noWrap w:val="0"/>
            <w:vAlign w:val="center"/>
          </w:tcPr>
          <w:p w14:paraId="33458CE1">
            <w:pPr>
              <w:widowControl/>
              <w:autoSpaceDE/>
              <w:autoSpaceDN/>
              <w:jc w:val="center"/>
              <w:rPr>
                <w:rFonts w:hint="default" w:ascii="Times New Roman" w:hAnsi="Times New Roman" w:cs="Times New Roman"/>
                <w:color w:val="auto"/>
                <w:sz w:val="24"/>
                <w:szCs w:val="24"/>
                <w:lang w:eastAsia="zh-CN"/>
              </w:rPr>
            </w:pPr>
          </w:p>
        </w:tc>
      </w:tr>
      <w:tr w14:paraId="414EAF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3" w:hRule="atLeast"/>
          <w:jc w:val="center"/>
        </w:trPr>
        <w:tc>
          <w:tcPr>
            <w:tcW w:w="1010" w:type="pct"/>
            <w:noWrap w:val="0"/>
            <w:vAlign w:val="center"/>
          </w:tcPr>
          <w:p w14:paraId="41B8FFC0">
            <w:pPr>
              <w:widowControl/>
              <w:autoSpaceDE/>
              <w:autoSpaceDN/>
              <w:jc w:val="center"/>
              <w:rPr>
                <w:rFonts w:hint="default" w:ascii="Times New Roman" w:hAnsi="Times New Roman" w:cs="Times New Roman"/>
                <w:color w:val="auto"/>
                <w:sz w:val="24"/>
                <w:szCs w:val="24"/>
                <w:lang w:eastAsia="zh-CN"/>
              </w:rPr>
            </w:pPr>
            <w:r>
              <w:rPr>
                <w:rFonts w:hint="default" w:ascii="Times New Roman" w:hAnsi="Times New Roman" w:cs="Times New Roman"/>
                <w:color w:val="auto"/>
                <w:sz w:val="24"/>
                <w:szCs w:val="24"/>
                <w:lang w:eastAsia="zh-CN"/>
              </w:rPr>
              <w:t>3及以上</w:t>
            </w:r>
          </w:p>
        </w:tc>
        <w:tc>
          <w:tcPr>
            <w:tcW w:w="828" w:type="pct"/>
            <w:noWrap w:val="0"/>
            <w:vAlign w:val="center"/>
          </w:tcPr>
          <w:p w14:paraId="1A927EDC">
            <w:pPr>
              <w:widowControl/>
              <w:autoSpaceDE/>
              <w:autoSpaceDN/>
              <w:jc w:val="center"/>
              <w:rPr>
                <w:rFonts w:hint="default" w:ascii="Times New Roman" w:hAnsi="Times New Roman" w:cs="Times New Roman"/>
                <w:color w:val="auto"/>
                <w:sz w:val="24"/>
                <w:szCs w:val="24"/>
                <w:lang w:eastAsia="zh-CN"/>
              </w:rPr>
            </w:pPr>
            <w:r>
              <w:rPr>
                <w:rFonts w:hint="default" w:ascii="Times New Roman" w:hAnsi="Times New Roman" w:cs="Times New Roman"/>
                <w:color w:val="auto"/>
                <w:sz w:val="24"/>
                <w:szCs w:val="24"/>
                <w:lang w:eastAsia="zh-CN"/>
              </w:rPr>
              <w:t>1.16</w:t>
            </w:r>
          </w:p>
        </w:tc>
        <w:tc>
          <w:tcPr>
            <w:tcW w:w="804" w:type="pct"/>
            <w:noWrap w:val="0"/>
            <w:vAlign w:val="center"/>
          </w:tcPr>
          <w:p w14:paraId="7C16B5B3">
            <w:pPr>
              <w:widowControl/>
              <w:autoSpaceDE/>
              <w:autoSpaceDN/>
              <w:jc w:val="center"/>
              <w:rPr>
                <w:rFonts w:hint="default" w:ascii="Times New Roman" w:hAnsi="Times New Roman" w:cs="Times New Roman"/>
                <w:color w:val="auto"/>
                <w:sz w:val="24"/>
                <w:szCs w:val="24"/>
                <w:lang w:eastAsia="zh-CN"/>
              </w:rPr>
            </w:pPr>
            <w:r>
              <w:rPr>
                <w:rFonts w:hint="default" w:ascii="Times New Roman" w:hAnsi="Times New Roman" w:cs="Times New Roman"/>
                <w:color w:val="auto"/>
                <w:sz w:val="24"/>
                <w:szCs w:val="24"/>
                <w:lang w:eastAsia="zh-CN"/>
              </w:rPr>
              <w:t>1.16</w:t>
            </w:r>
          </w:p>
        </w:tc>
        <w:tc>
          <w:tcPr>
            <w:tcW w:w="1333" w:type="pct"/>
            <w:noWrap w:val="0"/>
            <w:vAlign w:val="center"/>
          </w:tcPr>
          <w:p w14:paraId="16B87D73">
            <w:pPr>
              <w:widowControl/>
              <w:autoSpaceDE/>
              <w:autoSpaceDN/>
              <w:jc w:val="center"/>
              <w:rPr>
                <w:rFonts w:hint="default" w:ascii="Times New Roman" w:hAnsi="Times New Roman" w:cs="Times New Roman"/>
                <w:color w:val="auto"/>
                <w:sz w:val="24"/>
                <w:szCs w:val="24"/>
                <w:lang w:eastAsia="zh-CN"/>
              </w:rPr>
            </w:pPr>
          </w:p>
        </w:tc>
        <w:tc>
          <w:tcPr>
            <w:tcW w:w="1022" w:type="pct"/>
            <w:noWrap w:val="0"/>
            <w:vAlign w:val="center"/>
          </w:tcPr>
          <w:p w14:paraId="101C0EC1">
            <w:pPr>
              <w:widowControl/>
              <w:autoSpaceDE/>
              <w:autoSpaceDN/>
              <w:jc w:val="center"/>
              <w:rPr>
                <w:rFonts w:hint="default" w:ascii="Times New Roman" w:hAnsi="Times New Roman" w:cs="Times New Roman"/>
                <w:color w:val="auto"/>
                <w:sz w:val="24"/>
                <w:szCs w:val="24"/>
                <w:lang w:eastAsia="zh-CN"/>
              </w:rPr>
            </w:pPr>
          </w:p>
        </w:tc>
      </w:tr>
    </w:tbl>
    <w:p w14:paraId="5AC26F34">
      <w:pPr>
        <w:spacing w:line="600" w:lineRule="exact"/>
        <w:ind w:firstLine="600"/>
        <w:jc w:val="left"/>
        <w:rPr>
          <w:rFonts w:hint="default" w:ascii="Times New Roman" w:hAnsi="Times New Roman" w:eastAsia="宋体" w:cs="Times New Roman"/>
          <w:color w:val="000000"/>
          <w:sz w:val="28"/>
          <w:szCs w:val="28"/>
          <w:lang w:eastAsia="zh-CN"/>
        </w:rPr>
      </w:pPr>
    </w:p>
    <w:p w14:paraId="1C2FFAB7">
      <w:pPr>
        <w:spacing w:line="600" w:lineRule="exact"/>
        <w:jc w:val="center"/>
        <w:rPr>
          <w:rFonts w:hint="default" w:ascii="Times New Roman" w:hAnsi="Times New Roman" w:eastAsia="仿宋_GB2312" w:cs="Times New Roman"/>
          <w:color w:val="auto"/>
          <w:sz w:val="28"/>
          <w:szCs w:val="28"/>
          <w:lang w:val="zh-CN" w:eastAsia="zh-CN" w:bidi="zh-CN"/>
        </w:rPr>
      </w:pPr>
      <w:r>
        <w:rPr>
          <w:rFonts w:hint="default" w:ascii="Times New Roman" w:hAnsi="Times New Roman" w:eastAsia="仿宋_GB2312" w:cs="Times New Roman"/>
          <w:color w:val="auto"/>
          <w:sz w:val="28"/>
          <w:szCs w:val="28"/>
          <w:lang w:val="zh-CN" w:eastAsia="zh-CN" w:bidi="zh-CN"/>
        </w:rPr>
        <w:t>附表</w:t>
      </w:r>
      <w:r>
        <w:rPr>
          <w:rFonts w:hint="eastAsia" w:ascii="Times New Roman" w:hAnsi="Times New Roman" w:eastAsia="仿宋_GB2312" w:cs="Times New Roman"/>
          <w:color w:val="auto"/>
          <w:sz w:val="28"/>
          <w:szCs w:val="28"/>
          <w:lang w:val="en-US" w:eastAsia="zh-CN" w:bidi="zh-CN"/>
        </w:rPr>
        <w:t>3.</w:t>
      </w:r>
      <w:r>
        <w:rPr>
          <w:rFonts w:hint="default" w:ascii="Times New Roman" w:hAnsi="Times New Roman" w:eastAsia="仿宋_GB2312" w:cs="Times New Roman"/>
          <w:color w:val="auto"/>
          <w:sz w:val="28"/>
          <w:szCs w:val="28"/>
          <w:lang w:val="zh-CN" w:eastAsia="zh-CN" w:bidi="zh-CN"/>
        </w:rPr>
        <w:t>3</w:t>
      </w:r>
      <w:r>
        <w:rPr>
          <w:rFonts w:hint="eastAsia" w:ascii="Times New Roman" w:hAnsi="Times New Roman" w:cs="Times New Roman"/>
          <w:color w:val="auto"/>
          <w:sz w:val="28"/>
          <w:szCs w:val="28"/>
          <w:lang w:val="en-US" w:eastAsia="zh-CN" w:bidi="zh-CN"/>
        </w:rPr>
        <w:t xml:space="preserve"> </w:t>
      </w:r>
      <w:r>
        <w:rPr>
          <w:rFonts w:hint="default" w:ascii="Times New Roman" w:hAnsi="Times New Roman" w:eastAsia="仿宋_GB2312" w:cs="Times New Roman"/>
          <w:color w:val="auto"/>
          <w:sz w:val="28"/>
          <w:szCs w:val="28"/>
          <w:lang w:val="zh-CN" w:eastAsia="zh-CN" w:bidi="zh-CN"/>
        </w:rPr>
        <w:t>基准地价宗地评估开发程度修正</w:t>
      </w:r>
    </w:p>
    <w:p w14:paraId="432E08C1">
      <w:pPr>
        <w:spacing w:line="600" w:lineRule="exact"/>
        <w:jc w:val="right"/>
        <w:rPr>
          <w:rFonts w:hint="default" w:ascii="Times New Roman" w:hAnsi="Times New Roman" w:eastAsia="仿宋_GB2312" w:cs="Times New Roman"/>
          <w:color w:val="auto"/>
          <w:sz w:val="24"/>
          <w:szCs w:val="24"/>
          <w:lang w:val="zh-CN" w:eastAsia="zh-CN" w:bidi="zh-CN"/>
        </w:rPr>
      </w:pPr>
      <w:r>
        <w:rPr>
          <w:rFonts w:hint="default" w:ascii="Times New Roman" w:hAnsi="Times New Roman" w:eastAsia="仿宋_GB2312" w:cs="Times New Roman"/>
          <w:color w:val="auto"/>
          <w:sz w:val="24"/>
          <w:szCs w:val="24"/>
          <w:lang w:val="zh-CN" w:eastAsia="zh-CN" w:bidi="zh-CN"/>
        </w:rPr>
        <w:t>单位：元/平方米</w:t>
      </w:r>
    </w:p>
    <w:tbl>
      <w:tblPr>
        <w:tblStyle w:val="107"/>
        <w:tblW w:w="4998" w:type="pct"/>
        <w:tblInd w:w="0" w:type="dxa"/>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Layout w:type="autofit"/>
        <w:tblCellMar>
          <w:top w:w="0" w:type="dxa"/>
          <w:left w:w="0" w:type="dxa"/>
          <w:bottom w:w="0" w:type="dxa"/>
          <w:right w:w="0" w:type="dxa"/>
        </w:tblCellMar>
      </w:tblPr>
      <w:tblGrid>
        <w:gridCol w:w="1534"/>
        <w:gridCol w:w="800"/>
        <w:gridCol w:w="805"/>
        <w:gridCol w:w="805"/>
        <w:gridCol w:w="805"/>
        <w:gridCol w:w="805"/>
        <w:gridCol w:w="640"/>
        <w:gridCol w:w="571"/>
        <w:gridCol w:w="1024"/>
        <w:gridCol w:w="975"/>
      </w:tblGrid>
      <w:tr w14:paraId="3CAE095E">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0" w:type="dxa"/>
            <w:bottom w:w="0" w:type="dxa"/>
            <w:right w:w="0" w:type="dxa"/>
          </w:tblCellMar>
        </w:tblPrEx>
        <w:trPr>
          <w:trHeight w:val="435" w:hRule="atLeast"/>
        </w:trPr>
        <w:tc>
          <w:tcPr>
            <w:tcW w:w="876" w:type="pct"/>
            <w:noWrap/>
            <w:vAlign w:val="center"/>
          </w:tcPr>
          <w:p w14:paraId="2DA42FB4">
            <w:pPr>
              <w:widowControl/>
              <w:autoSpaceDE/>
              <w:autoSpaceDN/>
              <w:jc w:val="center"/>
              <w:rPr>
                <w:rFonts w:hint="default" w:ascii="Times New Roman" w:hAnsi="Times New Roman" w:cs="Times New Roman"/>
                <w:color w:val="auto"/>
                <w:sz w:val="24"/>
                <w:szCs w:val="24"/>
                <w:lang w:eastAsia="zh-CN"/>
              </w:rPr>
            </w:pPr>
            <w:r>
              <w:rPr>
                <w:rFonts w:hint="default" w:ascii="Times New Roman" w:hAnsi="Times New Roman" w:cs="Times New Roman"/>
                <w:color w:val="auto"/>
                <w:sz w:val="24"/>
                <w:szCs w:val="24"/>
                <w:lang w:eastAsia="zh-CN"/>
              </w:rPr>
              <w:t>土地开发程度</w:t>
            </w:r>
          </w:p>
        </w:tc>
        <w:tc>
          <w:tcPr>
            <w:tcW w:w="457" w:type="pct"/>
            <w:noWrap w:val="0"/>
            <w:vAlign w:val="center"/>
          </w:tcPr>
          <w:p w14:paraId="5154ADFE">
            <w:pPr>
              <w:widowControl/>
              <w:autoSpaceDE/>
              <w:autoSpaceDN/>
              <w:jc w:val="center"/>
              <w:rPr>
                <w:rFonts w:hint="default" w:ascii="Times New Roman" w:hAnsi="Times New Roman" w:cs="Times New Roman"/>
                <w:color w:val="auto"/>
                <w:sz w:val="24"/>
                <w:szCs w:val="24"/>
                <w:lang w:eastAsia="zh-CN"/>
              </w:rPr>
            </w:pPr>
            <w:r>
              <w:rPr>
                <w:rFonts w:hint="default" w:ascii="Times New Roman" w:hAnsi="Times New Roman" w:cs="Times New Roman"/>
                <w:color w:val="auto"/>
                <w:sz w:val="24"/>
                <w:szCs w:val="24"/>
                <w:lang w:eastAsia="zh-CN"/>
              </w:rPr>
              <w:t>通路</w:t>
            </w:r>
          </w:p>
        </w:tc>
        <w:tc>
          <w:tcPr>
            <w:tcW w:w="459" w:type="pct"/>
            <w:noWrap w:val="0"/>
            <w:vAlign w:val="center"/>
          </w:tcPr>
          <w:p w14:paraId="72341E55">
            <w:pPr>
              <w:widowControl/>
              <w:autoSpaceDE/>
              <w:autoSpaceDN/>
              <w:jc w:val="center"/>
              <w:rPr>
                <w:rFonts w:hint="default" w:ascii="Times New Roman" w:hAnsi="Times New Roman" w:cs="Times New Roman"/>
                <w:color w:val="auto"/>
                <w:sz w:val="24"/>
                <w:szCs w:val="24"/>
                <w:lang w:eastAsia="zh-CN"/>
              </w:rPr>
            </w:pPr>
            <w:r>
              <w:rPr>
                <w:rFonts w:hint="default" w:ascii="Times New Roman" w:hAnsi="Times New Roman" w:cs="Times New Roman"/>
                <w:color w:val="auto"/>
                <w:sz w:val="24"/>
                <w:szCs w:val="24"/>
                <w:lang w:eastAsia="zh-CN"/>
              </w:rPr>
              <w:t>通电</w:t>
            </w:r>
          </w:p>
        </w:tc>
        <w:tc>
          <w:tcPr>
            <w:tcW w:w="459" w:type="pct"/>
            <w:noWrap w:val="0"/>
            <w:vAlign w:val="center"/>
          </w:tcPr>
          <w:p w14:paraId="0C8E7BCD">
            <w:pPr>
              <w:widowControl/>
              <w:autoSpaceDE/>
              <w:autoSpaceDN/>
              <w:jc w:val="center"/>
              <w:rPr>
                <w:rFonts w:hint="default" w:ascii="Times New Roman" w:hAnsi="Times New Roman" w:cs="Times New Roman"/>
                <w:color w:val="auto"/>
                <w:sz w:val="24"/>
                <w:szCs w:val="24"/>
                <w:lang w:eastAsia="zh-CN"/>
              </w:rPr>
            </w:pPr>
            <w:r>
              <w:rPr>
                <w:rFonts w:hint="default" w:ascii="Times New Roman" w:hAnsi="Times New Roman" w:cs="Times New Roman"/>
                <w:color w:val="auto"/>
                <w:sz w:val="24"/>
                <w:szCs w:val="24"/>
                <w:lang w:eastAsia="zh-CN"/>
              </w:rPr>
              <w:t>供水</w:t>
            </w:r>
          </w:p>
        </w:tc>
        <w:tc>
          <w:tcPr>
            <w:tcW w:w="459" w:type="pct"/>
            <w:noWrap w:val="0"/>
            <w:vAlign w:val="center"/>
          </w:tcPr>
          <w:p w14:paraId="27B3A558">
            <w:pPr>
              <w:widowControl/>
              <w:autoSpaceDE/>
              <w:autoSpaceDN/>
              <w:jc w:val="center"/>
              <w:rPr>
                <w:rFonts w:hint="default" w:ascii="Times New Roman" w:hAnsi="Times New Roman" w:cs="Times New Roman"/>
                <w:color w:val="auto"/>
                <w:sz w:val="24"/>
                <w:szCs w:val="24"/>
                <w:lang w:eastAsia="zh-CN"/>
              </w:rPr>
            </w:pPr>
            <w:r>
              <w:rPr>
                <w:rFonts w:hint="default" w:ascii="Times New Roman" w:hAnsi="Times New Roman" w:cs="Times New Roman"/>
                <w:color w:val="auto"/>
                <w:sz w:val="24"/>
                <w:szCs w:val="24"/>
                <w:lang w:eastAsia="zh-CN"/>
              </w:rPr>
              <w:t>排水</w:t>
            </w:r>
          </w:p>
        </w:tc>
        <w:tc>
          <w:tcPr>
            <w:tcW w:w="459" w:type="pct"/>
            <w:noWrap w:val="0"/>
            <w:vAlign w:val="center"/>
          </w:tcPr>
          <w:p w14:paraId="205284AE">
            <w:pPr>
              <w:widowControl/>
              <w:autoSpaceDE/>
              <w:autoSpaceDN/>
              <w:jc w:val="center"/>
              <w:rPr>
                <w:rFonts w:hint="default" w:ascii="Times New Roman" w:hAnsi="Times New Roman" w:cs="Times New Roman"/>
                <w:color w:val="auto"/>
                <w:sz w:val="24"/>
                <w:szCs w:val="24"/>
                <w:lang w:eastAsia="zh-CN"/>
              </w:rPr>
            </w:pPr>
            <w:r>
              <w:rPr>
                <w:rFonts w:hint="default" w:ascii="Times New Roman" w:hAnsi="Times New Roman" w:cs="Times New Roman"/>
                <w:color w:val="auto"/>
                <w:sz w:val="24"/>
                <w:szCs w:val="24"/>
                <w:lang w:eastAsia="zh-CN"/>
              </w:rPr>
              <w:t>通讯</w:t>
            </w:r>
          </w:p>
        </w:tc>
        <w:tc>
          <w:tcPr>
            <w:tcW w:w="365" w:type="pct"/>
            <w:noWrap w:val="0"/>
            <w:vAlign w:val="center"/>
          </w:tcPr>
          <w:p w14:paraId="4E167AED">
            <w:pPr>
              <w:widowControl/>
              <w:autoSpaceDE/>
              <w:autoSpaceDN/>
              <w:jc w:val="center"/>
              <w:rPr>
                <w:rFonts w:hint="default" w:ascii="Times New Roman" w:hAnsi="Times New Roman" w:cs="Times New Roman"/>
                <w:color w:val="auto"/>
                <w:sz w:val="24"/>
                <w:szCs w:val="24"/>
                <w:lang w:eastAsia="zh-CN"/>
              </w:rPr>
            </w:pPr>
            <w:r>
              <w:rPr>
                <w:rFonts w:hint="default" w:ascii="Times New Roman" w:hAnsi="Times New Roman" w:cs="Times New Roman"/>
                <w:color w:val="auto"/>
                <w:sz w:val="24"/>
                <w:szCs w:val="24"/>
                <w:lang w:eastAsia="zh-CN"/>
              </w:rPr>
              <w:t>通热</w:t>
            </w:r>
          </w:p>
        </w:tc>
        <w:tc>
          <w:tcPr>
            <w:tcW w:w="326" w:type="pct"/>
            <w:noWrap w:val="0"/>
            <w:vAlign w:val="center"/>
          </w:tcPr>
          <w:p w14:paraId="098D0B2E">
            <w:pPr>
              <w:widowControl/>
              <w:autoSpaceDE/>
              <w:autoSpaceDN/>
              <w:jc w:val="center"/>
              <w:rPr>
                <w:rFonts w:hint="default" w:ascii="Times New Roman" w:hAnsi="Times New Roman" w:cs="Times New Roman"/>
                <w:color w:val="auto"/>
                <w:sz w:val="24"/>
                <w:szCs w:val="24"/>
                <w:lang w:eastAsia="zh-CN"/>
              </w:rPr>
            </w:pPr>
            <w:r>
              <w:rPr>
                <w:rFonts w:hint="default" w:ascii="Times New Roman" w:hAnsi="Times New Roman" w:cs="Times New Roman"/>
                <w:color w:val="auto"/>
                <w:sz w:val="24"/>
                <w:szCs w:val="24"/>
                <w:lang w:eastAsia="zh-CN"/>
              </w:rPr>
              <w:t>通气</w:t>
            </w:r>
          </w:p>
        </w:tc>
        <w:tc>
          <w:tcPr>
            <w:tcW w:w="584" w:type="pct"/>
            <w:noWrap w:val="0"/>
            <w:vAlign w:val="center"/>
          </w:tcPr>
          <w:p w14:paraId="4F480208">
            <w:pPr>
              <w:widowControl/>
              <w:autoSpaceDE/>
              <w:autoSpaceDN/>
              <w:jc w:val="center"/>
              <w:rPr>
                <w:rFonts w:hint="default" w:ascii="Times New Roman" w:hAnsi="Times New Roman" w:cs="Times New Roman"/>
                <w:color w:val="auto"/>
                <w:sz w:val="24"/>
                <w:szCs w:val="24"/>
                <w:lang w:eastAsia="zh-CN"/>
              </w:rPr>
            </w:pPr>
            <w:r>
              <w:rPr>
                <w:rFonts w:hint="default" w:ascii="Times New Roman" w:hAnsi="Times New Roman" w:cs="Times New Roman"/>
                <w:color w:val="auto"/>
                <w:sz w:val="24"/>
                <w:szCs w:val="24"/>
                <w:lang w:eastAsia="zh-CN"/>
              </w:rPr>
              <w:t>土地平整</w:t>
            </w:r>
          </w:p>
        </w:tc>
        <w:tc>
          <w:tcPr>
            <w:tcW w:w="556" w:type="pct"/>
            <w:noWrap w:val="0"/>
            <w:vAlign w:val="center"/>
          </w:tcPr>
          <w:p w14:paraId="12710B72">
            <w:pPr>
              <w:widowControl/>
              <w:autoSpaceDE/>
              <w:autoSpaceDN/>
              <w:jc w:val="center"/>
              <w:rPr>
                <w:rFonts w:hint="default" w:ascii="Times New Roman" w:hAnsi="Times New Roman" w:cs="Times New Roman"/>
                <w:color w:val="auto"/>
                <w:sz w:val="24"/>
                <w:szCs w:val="24"/>
                <w:lang w:eastAsia="zh-CN"/>
              </w:rPr>
            </w:pPr>
            <w:r>
              <w:rPr>
                <w:rFonts w:hint="default" w:ascii="Times New Roman" w:hAnsi="Times New Roman" w:cs="Times New Roman"/>
                <w:color w:val="auto"/>
                <w:sz w:val="24"/>
                <w:szCs w:val="24"/>
                <w:lang w:eastAsia="zh-CN"/>
              </w:rPr>
              <w:t>修正幅度</w:t>
            </w:r>
          </w:p>
        </w:tc>
      </w:tr>
      <w:tr w14:paraId="4AC4FC53">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0" w:type="dxa"/>
            <w:bottom w:w="0" w:type="dxa"/>
            <w:right w:w="0" w:type="dxa"/>
          </w:tblCellMar>
        </w:tblPrEx>
        <w:trPr>
          <w:trHeight w:val="420" w:hRule="atLeast"/>
        </w:trPr>
        <w:tc>
          <w:tcPr>
            <w:tcW w:w="876" w:type="pct"/>
            <w:noWrap w:val="0"/>
            <w:vAlign w:val="center"/>
          </w:tcPr>
          <w:p w14:paraId="46EE0EF6">
            <w:pPr>
              <w:widowControl/>
              <w:autoSpaceDE/>
              <w:autoSpaceDN/>
              <w:jc w:val="center"/>
              <w:rPr>
                <w:rFonts w:hint="default" w:ascii="Times New Roman" w:hAnsi="Times New Roman" w:cs="Times New Roman"/>
                <w:color w:val="auto"/>
                <w:sz w:val="24"/>
                <w:szCs w:val="24"/>
                <w:lang w:eastAsia="zh-CN"/>
              </w:rPr>
            </w:pPr>
            <w:r>
              <w:rPr>
                <w:rFonts w:hint="default" w:ascii="Times New Roman" w:hAnsi="Times New Roman" w:cs="Times New Roman"/>
                <w:color w:val="auto"/>
                <w:sz w:val="24"/>
                <w:szCs w:val="24"/>
                <w:lang w:eastAsia="zh-CN"/>
              </w:rPr>
              <w:t>三通一平</w:t>
            </w:r>
          </w:p>
        </w:tc>
        <w:tc>
          <w:tcPr>
            <w:tcW w:w="457" w:type="pct"/>
            <w:noWrap w:val="0"/>
            <w:vAlign w:val="center"/>
          </w:tcPr>
          <w:p w14:paraId="4B1645CF">
            <w:pPr>
              <w:widowControl/>
              <w:autoSpaceDE/>
              <w:autoSpaceDN/>
              <w:jc w:val="center"/>
              <w:rPr>
                <w:rFonts w:hint="default" w:ascii="Times New Roman" w:hAnsi="Times New Roman" w:cs="Times New Roman"/>
                <w:color w:val="auto"/>
                <w:sz w:val="24"/>
                <w:szCs w:val="24"/>
                <w:lang w:eastAsia="zh-CN"/>
              </w:rPr>
            </w:pPr>
            <w:r>
              <w:rPr>
                <w:rFonts w:hint="default" w:ascii="Times New Roman" w:hAnsi="Times New Roman" w:cs="Times New Roman"/>
                <w:color w:val="auto"/>
                <w:sz w:val="24"/>
                <w:szCs w:val="24"/>
                <w:lang w:eastAsia="zh-CN"/>
              </w:rPr>
              <w:t>35</w:t>
            </w:r>
          </w:p>
        </w:tc>
        <w:tc>
          <w:tcPr>
            <w:tcW w:w="459" w:type="pct"/>
            <w:noWrap w:val="0"/>
            <w:vAlign w:val="center"/>
          </w:tcPr>
          <w:p w14:paraId="3EFCAA61">
            <w:pPr>
              <w:widowControl/>
              <w:autoSpaceDE/>
              <w:autoSpaceDN/>
              <w:jc w:val="center"/>
              <w:rPr>
                <w:rFonts w:hint="default" w:ascii="Times New Roman" w:hAnsi="Times New Roman" w:cs="Times New Roman"/>
                <w:color w:val="auto"/>
                <w:sz w:val="24"/>
                <w:szCs w:val="24"/>
                <w:lang w:eastAsia="zh-CN"/>
              </w:rPr>
            </w:pPr>
            <w:r>
              <w:rPr>
                <w:rFonts w:hint="default" w:ascii="Times New Roman" w:hAnsi="Times New Roman" w:cs="Times New Roman"/>
                <w:color w:val="auto"/>
                <w:sz w:val="24"/>
                <w:szCs w:val="24"/>
                <w:lang w:eastAsia="zh-CN"/>
              </w:rPr>
              <w:t>15</w:t>
            </w:r>
          </w:p>
        </w:tc>
        <w:tc>
          <w:tcPr>
            <w:tcW w:w="459" w:type="pct"/>
            <w:noWrap w:val="0"/>
            <w:vAlign w:val="center"/>
          </w:tcPr>
          <w:p w14:paraId="7DEB787C">
            <w:pPr>
              <w:widowControl/>
              <w:autoSpaceDE/>
              <w:autoSpaceDN/>
              <w:jc w:val="center"/>
              <w:rPr>
                <w:rFonts w:hint="default" w:ascii="Times New Roman" w:hAnsi="Times New Roman" w:cs="Times New Roman"/>
                <w:color w:val="auto"/>
                <w:sz w:val="24"/>
                <w:szCs w:val="24"/>
                <w:lang w:eastAsia="zh-CN"/>
              </w:rPr>
            </w:pPr>
            <w:r>
              <w:rPr>
                <w:rFonts w:hint="default" w:ascii="Times New Roman" w:hAnsi="Times New Roman" w:cs="Times New Roman"/>
                <w:color w:val="auto"/>
                <w:sz w:val="24"/>
                <w:szCs w:val="24"/>
                <w:lang w:eastAsia="zh-CN"/>
              </w:rPr>
              <w:t>20</w:t>
            </w:r>
          </w:p>
        </w:tc>
        <w:tc>
          <w:tcPr>
            <w:tcW w:w="459" w:type="pct"/>
            <w:noWrap w:val="0"/>
            <w:vAlign w:val="center"/>
          </w:tcPr>
          <w:p w14:paraId="1A95B0BB">
            <w:pPr>
              <w:widowControl/>
              <w:autoSpaceDE/>
              <w:autoSpaceDN/>
              <w:jc w:val="center"/>
              <w:rPr>
                <w:rFonts w:hint="default" w:ascii="Times New Roman" w:hAnsi="Times New Roman" w:cs="Times New Roman"/>
                <w:color w:val="auto"/>
                <w:sz w:val="24"/>
                <w:szCs w:val="24"/>
                <w:lang w:eastAsia="zh-CN"/>
              </w:rPr>
            </w:pPr>
            <w:r>
              <w:rPr>
                <w:rFonts w:hint="default" w:ascii="Times New Roman" w:hAnsi="Times New Roman" w:cs="Times New Roman"/>
                <w:color w:val="auto"/>
                <w:sz w:val="24"/>
                <w:szCs w:val="24"/>
                <w:lang w:eastAsia="zh-CN"/>
              </w:rPr>
              <w:t>――</w:t>
            </w:r>
          </w:p>
        </w:tc>
        <w:tc>
          <w:tcPr>
            <w:tcW w:w="459" w:type="pct"/>
            <w:noWrap w:val="0"/>
            <w:vAlign w:val="center"/>
          </w:tcPr>
          <w:p w14:paraId="01C76FB8">
            <w:pPr>
              <w:widowControl/>
              <w:autoSpaceDE/>
              <w:autoSpaceDN/>
              <w:jc w:val="center"/>
              <w:rPr>
                <w:rFonts w:hint="default" w:ascii="Times New Roman" w:hAnsi="Times New Roman" w:cs="Times New Roman"/>
                <w:color w:val="auto"/>
                <w:sz w:val="24"/>
                <w:szCs w:val="24"/>
                <w:lang w:eastAsia="zh-CN"/>
              </w:rPr>
            </w:pPr>
            <w:r>
              <w:rPr>
                <w:rFonts w:hint="default" w:ascii="Times New Roman" w:hAnsi="Times New Roman" w:cs="Times New Roman"/>
                <w:color w:val="auto"/>
                <w:sz w:val="24"/>
                <w:szCs w:val="24"/>
                <w:lang w:eastAsia="zh-CN"/>
              </w:rPr>
              <w:t>――</w:t>
            </w:r>
          </w:p>
        </w:tc>
        <w:tc>
          <w:tcPr>
            <w:tcW w:w="365" w:type="pct"/>
            <w:noWrap w:val="0"/>
            <w:vAlign w:val="center"/>
          </w:tcPr>
          <w:p w14:paraId="7D94A147">
            <w:pPr>
              <w:widowControl/>
              <w:autoSpaceDE/>
              <w:autoSpaceDN/>
              <w:jc w:val="center"/>
              <w:rPr>
                <w:rFonts w:hint="default" w:ascii="Times New Roman" w:hAnsi="Times New Roman" w:cs="Times New Roman"/>
                <w:color w:val="auto"/>
                <w:sz w:val="24"/>
                <w:szCs w:val="24"/>
                <w:lang w:eastAsia="zh-CN"/>
              </w:rPr>
            </w:pPr>
            <w:r>
              <w:rPr>
                <w:rFonts w:hint="default" w:ascii="Times New Roman" w:hAnsi="Times New Roman" w:cs="Times New Roman"/>
                <w:color w:val="auto"/>
                <w:sz w:val="24"/>
                <w:szCs w:val="24"/>
                <w:lang w:eastAsia="zh-CN"/>
              </w:rPr>
              <w:t>――</w:t>
            </w:r>
          </w:p>
        </w:tc>
        <w:tc>
          <w:tcPr>
            <w:tcW w:w="326" w:type="pct"/>
            <w:noWrap w:val="0"/>
            <w:vAlign w:val="center"/>
          </w:tcPr>
          <w:p w14:paraId="2441D12E">
            <w:pPr>
              <w:widowControl/>
              <w:autoSpaceDE/>
              <w:autoSpaceDN/>
              <w:jc w:val="center"/>
              <w:rPr>
                <w:rFonts w:hint="default" w:ascii="Times New Roman" w:hAnsi="Times New Roman" w:cs="Times New Roman"/>
                <w:color w:val="auto"/>
                <w:sz w:val="24"/>
                <w:szCs w:val="24"/>
                <w:lang w:eastAsia="zh-CN"/>
              </w:rPr>
            </w:pPr>
            <w:r>
              <w:rPr>
                <w:rFonts w:hint="default" w:ascii="Times New Roman" w:hAnsi="Times New Roman" w:cs="Times New Roman"/>
                <w:color w:val="auto"/>
                <w:sz w:val="24"/>
                <w:szCs w:val="24"/>
                <w:lang w:eastAsia="zh-CN"/>
              </w:rPr>
              <w:t>――</w:t>
            </w:r>
          </w:p>
        </w:tc>
        <w:tc>
          <w:tcPr>
            <w:tcW w:w="584" w:type="pct"/>
            <w:noWrap w:val="0"/>
            <w:vAlign w:val="center"/>
          </w:tcPr>
          <w:p w14:paraId="6DC78CD9">
            <w:pPr>
              <w:widowControl/>
              <w:autoSpaceDE/>
              <w:autoSpaceDN/>
              <w:jc w:val="center"/>
              <w:rPr>
                <w:rFonts w:hint="default" w:ascii="Times New Roman" w:hAnsi="Times New Roman" w:cs="Times New Roman"/>
                <w:color w:val="auto"/>
                <w:sz w:val="24"/>
                <w:szCs w:val="24"/>
                <w:lang w:eastAsia="zh-CN"/>
              </w:rPr>
            </w:pPr>
            <w:r>
              <w:rPr>
                <w:rFonts w:hint="default" w:ascii="Times New Roman" w:hAnsi="Times New Roman" w:cs="Times New Roman"/>
                <w:color w:val="auto"/>
                <w:sz w:val="24"/>
                <w:szCs w:val="24"/>
                <w:lang w:eastAsia="zh-CN"/>
              </w:rPr>
              <w:t>30</w:t>
            </w:r>
          </w:p>
        </w:tc>
        <w:tc>
          <w:tcPr>
            <w:tcW w:w="556" w:type="pct"/>
            <w:noWrap w:val="0"/>
            <w:vAlign w:val="center"/>
          </w:tcPr>
          <w:p w14:paraId="6455EED7">
            <w:pPr>
              <w:widowControl/>
              <w:autoSpaceDE/>
              <w:autoSpaceDN/>
              <w:jc w:val="center"/>
              <w:rPr>
                <w:rFonts w:hint="default" w:ascii="Times New Roman" w:hAnsi="Times New Roman" w:cs="Times New Roman"/>
                <w:color w:val="auto"/>
                <w:sz w:val="24"/>
                <w:szCs w:val="24"/>
                <w:lang w:eastAsia="zh-CN"/>
              </w:rPr>
            </w:pPr>
            <w:r>
              <w:rPr>
                <w:rFonts w:hint="default" w:ascii="Times New Roman" w:hAnsi="Times New Roman" w:cs="Times New Roman"/>
                <w:color w:val="auto"/>
                <w:sz w:val="24"/>
                <w:szCs w:val="24"/>
                <w:lang w:eastAsia="zh-CN"/>
              </w:rPr>
              <w:t>-85</w:t>
            </w:r>
          </w:p>
        </w:tc>
      </w:tr>
      <w:tr w14:paraId="67F5A083">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0" w:type="dxa"/>
            <w:bottom w:w="0" w:type="dxa"/>
            <w:right w:w="0" w:type="dxa"/>
          </w:tblCellMar>
        </w:tblPrEx>
        <w:trPr>
          <w:trHeight w:val="420" w:hRule="atLeast"/>
        </w:trPr>
        <w:tc>
          <w:tcPr>
            <w:tcW w:w="876" w:type="pct"/>
            <w:noWrap w:val="0"/>
            <w:vAlign w:val="center"/>
          </w:tcPr>
          <w:p w14:paraId="1DA79D06">
            <w:pPr>
              <w:widowControl/>
              <w:autoSpaceDE/>
              <w:autoSpaceDN/>
              <w:jc w:val="center"/>
              <w:rPr>
                <w:rFonts w:hint="default" w:ascii="Times New Roman" w:hAnsi="Times New Roman" w:cs="Times New Roman"/>
                <w:color w:val="auto"/>
                <w:sz w:val="24"/>
                <w:szCs w:val="24"/>
                <w:lang w:eastAsia="zh-CN"/>
              </w:rPr>
            </w:pPr>
            <w:r>
              <w:rPr>
                <w:rFonts w:hint="default" w:ascii="Times New Roman" w:hAnsi="Times New Roman" w:cs="Times New Roman"/>
                <w:color w:val="auto"/>
                <w:sz w:val="24"/>
                <w:szCs w:val="24"/>
                <w:lang w:eastAsia="zh-CN"/>
              </w:rPr>
              <w:t>四通一平</w:t>
            </w:r>
          </w:p>
        </w:tc>
        <w:tc>
          <w:tcPr>
            <w:tcW w:w="457" w:type="pct"/>
            <w:noWrap w:val="0"/>
            <w:vAlign w:val="center"/>
          </w:tcPr>
          <w:p w14:paraId="0D960AFB">
            <w:pPr>
              <w:widowControl/>
              <w:autoSpaceDE/>
              <w:autoSpaceDN/>
              <w:jc w:val="center"/>
              <w:rPr>
                <w:rFonts w:hint="default" w:ascii="Times New Roman" w:hAnsi="Times New Roman" w:cs="Times New Roman"/>
                <w:color w:val="auto"/>
                <w:sz w:val="24"/>
                <w:szCs w:val="24"/>
                <w:lang w:eastAsia="zh-CN"/>
              </w:rPr>
            </w:pPr>
            <w:r>
              <w:rPr>
                <w:rFonts w:hint="default" w:ascii="Times New Roman" w:hAnsi="Times New Roman" w:cs="Times New Roman"/>
                <w:color w:val="auto"/>
                <w:sz w:val="24"/>
                <w:szCs w:val="24"/>
                <w:lang w:eastAsia="zh-CN"/>
              </w:rPr>
              <w:t>35</w:t>
            </w:r>
          </w:p>
        </w:tc>
        <w:tc>
          <w:tcPr>
            <w:tcW w:w="459" w:type="pct"/>
            <w:noWrap w:val="0"/>
            <w:vAlign w:val="center"/>
          </w:tcPr>
          <w:p w14:paraId="5BE0F311">
            <w:pPr>
              <w:widowControl/>
              <w:autoSpaceDE/>
              <w:autoSpaceDN/>
              <w:jc w:val="center"/>
              <w:rPr>
                <w:rFonts w:hint="default" w:ascii="Times New Roman" w:hAnsi="Times New Roman" w:cs="Times New Roman"/>
                <w:color w:val="auto"/>
                <w:sz w:val="24"/>
                <w:szCs w:val="24"/>
                <w:lang w:eastAsia="zh-CN"/>
              </w:rPr>
            </w:pPr>
            <w:r>
              <w:rPr>
                <w:rFonts w:hint="default" w:ascii="Times New Roman" w:hAnsi="Times New Roman" w:cs="Times New Roman"/>
                <w:color w:val="auto"/>
                <w:sz w:val="24"/>
                <w:szCs w:val="24"/>
                <w:lang w:eastAsia="zh-CN"/>
              </w:rPr>
              <w:t>15</w:t>
            </w:r>
          </w:p>
        </w:tc>
        <w:tc>
          <w:tcPr>
            <w:tcW w:w="459" w:type="pct"/>
            <w:noWrap w:val="0"/>
            <w:vAlign w:val="center"/>
          </w:tcPr>
          <w:p w14:paraId="745574A1">
            <w:pPr>
              <w:widowControl/>
              <w:autoSpaceDE/>
              <w:autoSpaceDN/>
              <w:jc w:val="center"/>
              <w:rPr>
                <w:rFonts w:hint="default" w:ascii="Times New Roman" w:hAnsi="Times New Roman" w:cs="Times New Roman"/>
                <w:color w:val="auto"/>
                <w:sz w:val="24"/>
                <w:szCs w:val="24"/>
                <w:lang w:eastAsia="zh-CN"/>
              </w:rPr>
            </w:pPr>
            <w:r>
              <w:rPr>
                <w:rFonts w:hint="default" w:ascii="Times New Roman" w:hAnsi="Times New Roman" w:cs="Times New Roman"/>
                <w:color w:val="auto"/>
                <w:sz w:val="24"/>
                <w:szCs w:val="24"/>
                <w:lang w:eastAsia="zh-CN"/>
              </w:rPr>
              <w:t>20</w:t>
            </w:r>
          </w:p>
        </w:tc>
        <w:tc>
          <w:tcPr>
            <w:tcW w:w="459" w:type="pct"/>
            <w:noWrap w:val="0"/>
            <w:vAlign w:val="center"/>
          </w:tcPr>
          <w:p w14:paraId="0232C838">
            <w:pPr>
              <w:widowControl/>
              <w:autoSpaceDE/>
              <w:autoSpaceDN/>
              <w:jc w:val="center"/>
              <w:rPr>
                <w:rFonts w:hint="default" w:ascii="Times New Roman" w:hAnsi="Times New Roman" w:cs="Times New Roman"/>
                <w:color w:val="auto"/>
                <w:sz w:val="24"/>
                <w:szCs w:val="24"/>
                <w:lang w:eastAsia="zh-CN"/>
              </w:rPr>
            </w:pPr>
            <w:r>
              <w:rPr>
                <w:rFonts w:hint="default" w:ascii="Times New Roman" w:hAnsi="Times New Roman" w:cs="Times New Roman"/>
                <w:color w:val="auto"/>
                <w:sz w:val="24"/>
                <w:szCs w:val="24"/>
                <w:lang w:eastAsia="zh-CN"/>
              </w:rPr>
              <w:t>20</w:t>
            </w:r>
          </w:p>
        </w:tc>
        <w:tc>
          <w:tcPr>
            <w:tcW w:w="459" w:type="pct"/>
            <w:noWrap w:val="0"/>
            <w:vAlign w:val="center"/>
          </w:tcPr>
          <w:p w14:paraId="51F1211D">
            <w:pPr>
              <w:widowControl/>
              <w:autoSpaceDE/>
              <w:autoSpaceDN/>
              <w:jc w:val="center"/>
              <w:rPr>
                <w:rFonts w:hint="default" w:ascii="Times New Roman" w:hAnsi="Times New Roman" w:cs="Times New Roman"/>
                <w:color w:val="auto"/>
                <w:sz w:val="24"/>
                <w:szCs w:val="24"/>
                <w:lang w:eastAsia="zh-CN"/>
              </w:rPr>
            </w:pPr>
            <w:r>
              <w:rPr>
                <w:rFonts w:hint="default" w:ascii="Times New Roman" w:hAnsi="Times New Roman" w:cs="Times New Roman"/>
                <w:color w:val="auto"/>
                <w:sz w:val="24"/>
                <w:szCs w:val="24"/>
                <w:lang w:eastAsia="zh-CN"/>
              </w:rPr>
              <w:t>――</w:t>
            </w:r>
          </w:p>
        </w:tc>
        <w:tc>
          <w:tcPr>
            <w:tcW w:w="365" w:type="pct"/>
            <w:noWrap w:val="0"/>
            <w:vAlign w:val="center"/>
          </w:tcPr>
          <w:p w14:paraId="39B64FDD">
            <w:pPr>
              <w:widowControl/>
              <w:autoSpaceDE/>
              <w:autoSpaceDN/>
              <w:jc w:val="center"/>
              <w:rPr>
                <w:rFonts w:hint="default" w:ascii="Times New Roman" w:hAnsi="Times New Roman" w:cs="Times New Roman"/>
                <w:color w:val="auto"/>
                <w:sz w:val="24"/>
                <w:szCs w:val="24"/>
                <w:lang w:eastAsia="zh-CN"/>
              </w:rPr>
            </w:pPr>
            <w:r>
              <w:rPr>
                <w:rFonts w:hint="default" w:ascii="Times New Roman" w:hAnsi="Times New Roman" w:cs="Times New Roman"/>
                <w:color w:val="auto"/>
                <w:sz w:val="24"/>
                <w:szCs w:val="24"/>
                <w:lang w:eastAsia="zh-CN"/>
              </w:rPr>
              <w:t>――</w:t>
            </w:r>
          </w:p>
        </w:tc>
        <w:tc>
          <w:tcPr>
            <w:tcW w:w="326" w:type="pct"/>
            <w:noWrap w:val="0"/>
            <w:vAlign w:val="center"/>
          </w:tcPr>
          <w:p w14:paraId="03B95F50">
            <w:pPr>
              <w:widowControl/>
              <w:autoSpaceDE/>
              <w:autoSpaceDN/>
              <w:jc w:val="center"/>
              <w:rPr>
                <w:rFonts w:hint="default" w:ascii="Times New Roman" w:hAnsi="Times New Roman" w:cs="Times New Roman"/>
                <w:color w:val="auto"/>
                <w:sz w:val="24"/>
                <w:szCs w:val="24"/>
                <w:lang w:eastAsia="zh-CN"/>
              </w:rPr>
            </w:pPr>
            <w:r>
              <w:rPr>
                <w:rFonts w:hint="default" w:ascii="Times New Roman" w:hAnsi="Times New Roman" w:cs="Times New Roman"/>
                <w:color w:val="auto"/>
                <w:sz w:val="24"/>
                <w:szCs w:val="24"/>
                <w:lang w:eastAsia="zh-CN"/>
              </w:rPr>
              <w:t>――</w:t>
            </w:r>
          </w:p>
        </w:tc>
        <w:tc>
          <w:tcPr>
            <w:tcW w:w="584" w:type="pct"/>
            <w:noWrap w:val="0"/>
            <w:vAlign w:val="center"/>
          </w:tcPr>
          <w:p w14:paraId="73183040">
            <w:pPr>
              <w:widowControl/>
              <w:autoSpaceDE/>
              <w:autoSpaceDN/>
              <w:jc w:val="center"/>
              <w:rPr>
                <w:rFonts w:hint="default" w:ascii="Times New Roman" w:hAnsi="Times New Roman" w:cs="Times New Roman"/>
                <w:color w:val="auto"/>
                <w:sz w:val="24"/>
                <w:szCs w:val="24"/>
                <w:lang w:eastAsia="zh-CN"/>
              </w:rPr>
            </w:pPr>
            <w:r>
              <w:rPr>
                <w:rFonts w:hint="default" w:ascii="Times New Roman" w:hAnsi="Times New Roman" w:cs="Times New Roman"/>
                <w:color w:val="auto"/>
                <w:sz w:val="24"/>
                <w:szCs w:val="24"/>
                <w:lang w:eastAsia="zh-CN"/>
              </w:rPr>
              <w:t>30</w:t>
            </w:r>
          </w:p>
        </w:tc>
        <w:tc>
          <w:tcPr>
            <w:tcW w:w="556" w:type="pct"/>
            <w:noWrap w:val="0"/>
            <w:vAlign w:val="center"/>
          </w:tcPr>
          <w:p w14:paraId="5887E755">
            <w:pPr>
              <w:widowControl/>
              <w:autoSpaceDE/>
              <w:autoSpaceDN/>
              <w:jc w:val="center"/>
              <w:rPr>
                <w:rFonts w:hint="default" w:ascii="Times New Roman" w:hAnsi="Times New Roman" w:cs="Times New Roman"/>
                <w:color w:val="auto"/>
                <w:sz w:val="24"/>
                <w:szCs w:val="24"/>
                <w:lang w:eastAsia="zh-CN"/>
              </w:rPr>
            </w:pPr>
            <w:r>
              <w:rPr>
                <w:rFonts w:hint="default" w:ascii="Times New Roman" w:hAnsi="Times New Roman" w:cs="Times New Roman"/>
                <w:color w:val="auto"/>
                <w:sz w:val="24"/>
                <w:szCs w:val="24"/>
                <w:lang w:eastAsia="zh-CN"/>
              </w:rPr>
              <w:t>-65</w:t>
            </w:r>
          </w:p>
        </w:tc>
      </w:tr>
      <w:tr w14:paraId="4E0AF7D2">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0" w:type="dxa"/>
            <w:bottom w:w="0" w:type="dxa"/>
            <w:right w:w="0" w:type="dxa"/>
          </w:tblCellMar>
        </w:tblPrEx>
        <w:trPr>
          <w:trHeight w:val="420" w:hRule="atLeast"/>
        </w:trPr>
        <w:tc>
          <w:tcPr>
            <w:tcW w:w="876" w:type="pct"/>
            <w:noWrap w:val="0"/>
            <w:vAlign w:val="center"/>
          </w:tcPr>
          <w:p w14:paraId="36A862D4">
            <w:pPr>
              <w:widowControl/>
              <w:autoSpaceDE/>
              <w:autoSpaceDN/>
              <w:jc w:val="center"/>
              <w:rPr>
                <w:rFonts w:hint="default" w:ascii="Times New Roman" w:hAnsi="Times New Roman" w:cs="Times New Roman"/>
                <w:color w:val="auto"/>
                <w:sz w:val="24"/>
                <w:szCs w:val="24"/>
                <w:lang w:eastAsia="zh-CN"/>
              </w:rPr>
            </w:pPr>
            <w:r>
              <w:rPr>
                <w:rFonts w:hint="default" w:ascii="Times New Roman" w:hAnsi="Times New Roman" w:cs="Times New Roman"/>
                <w:color w:val="auto"/>
                <w:sz w:val="24"/>
                <w:szCs w:val="24"/>
                <w:lang w:eastAsia="zh-CN"/>
              </w:rPr>
              <w:t>五通一平</w:t>
            </w:r>
          </w:p>
        </w:tc>
        <w:tc>
          <w:tcPr>
            <w:tcW w:w="457" w:type="pct"/>
            <w:noWrap w:val="0"/>
            <w:vAlign w:val="center"/>
          </w:tcPr>
          <w:p w14:paraId="0CCE6C1A">
            <w:pPr>
              <w:widowControl/>
              <w:autoSpaceDE/>
              <w:autoSpaceDN/>
              <w:jc w:val="center"/>
              <w:rPr>
                <w:rFonts w:hint="default" w:ascii="Times New Roman" w:hAnsi="Times New Roman" w:cs="Times New Roman"/>
                <w:color w:val="auto"/>
                <w:sz w:val="24"/>
                <w:szCs w:val="24"/>
                <w:lang w:eastAsia="zh-CN"/>
              </w:rPr>
            </w:pPr>
            <w:r>
              <w:rPr>
                <w:rFonts w:hint="default" w:ascii="Times New Roman" w:hAnsi="Times New Roman" w:cs="Times New Roman"/>
                <w:color w:val="auto"/>
                <w:sz w:val="24"/>
                <w:szCs w:val="24"/>
                <w:lang w:eastAsia="zh-CN"/>
              </w:rPr>
              <w:t>35</w:t>
            </w:r>
          </w:p>
        </w:tc>
        <w:tc>
          <w:tcPr>
            <w:tcW w:w="459" w:type="pct"/>
            <w:noWrap w:val="0"/>
            <w:vAlign w:val="center"/>
          </w:tcPr>
          <w:p w14:paraId="1FF14E0C">
            <w:pPr>
              <w:widowControl/>
              <w:autoSpaceDE/>
              <w:autoSpaceDN/>
              <w:jc w:val="center"/>
              <w:rPr>
                <w:rFonts w:hint="default" w:ascii="Times New Roman" w:hAnsi="Times New Roman" w:cs="Times New Roman"/>
                <w:color w:val="auto"/>
                <w:sz w:val="24"/>
                <w:szCs w:val="24"/>
                <w:lang w:eastAsia="zh-CN"/>
              </w:rPr>
            </w:pPr>
            <w:r>
              <w:rPr>
                <w:rFonts w:hint="default" w:ascii="Times New Roman" w:hAnsi="Times New Roman" w:cs="Times New Roman"/>
                <w:color w:val="auto"/>
                <w:sz w:val="24"/>
                <w:szCs w:val="24"/>
                <w:lang w:eastAsia="zh-CN"/>
              </w:rPr>
              <w:t>15</w:t>
            </w:r>
          </w:p>
        </w:tc>
        <w:tc>
          <w:tcPr>
            <w:tcW w:w="459" w:type="pct"/>
            <w:noWrap w:val="0"/>
            <w:vAlign w:val="center"/>
          </w:tcPr>
          <w:p w14:paraId="287FE209">
            <w:pPr>
              <w:widowControl/>
              <w:autoSpaceDE/>
              <w:autoSpaceDN/>
              <w:jc w:val="center"/>
              <w:rPr>
                <w:rFonts w:hint="default" w:ascii="Times New Roman" w:hAnsi="Times New Roman" w:cs="Times New Roman"/>
                <w:color w:val="auto"/>
                <w:sz w:val="24"/>
                <w:szCs w:val="24"/>
                <w:lang w:eastAsia="zh-CN"/>
              </w:rPr>
            </w:pPr>
            <w:r>
              <w:rPr>
                <w:rFonts w:hint="default" w:ascii="Times New Roman" w:hAnsi="Times New Roman" w:cs="Times New Roman"/>
                <w:color w:val="auto"/>
                <w:sz w:val="24"/>
                <w:szCs w:val="24"/>
                <w:lang w:eastAsia="zh-CN"/>
              </w:rPr>
              <w:t>20</w:t>
            </w:r>
          </w:p>
        </w:tc>
        <w:tc>
          <w:tcPr>
            <w:tcW w:w="459" w:type="pct"/>
            <w:noWrap w:val="0"/>
            <w:vAlign w:val="center"/>
          </w:tcPr>
          <w:p w14:paraId="73B7304B">
            <w:pPr>
              <w:widowControl/>
              <w:autoSpaceDE/>
              <w:autoSpaceDN/>
              <w:jc w:val="center"/>
              <w:rPr>
                <w:rFonts w:hint="default" w:ascii="Times New Roman" w:hAnsi="Times New Roman" w:cs="Times New Roman"/>
                <w:color w:val="auto"/>
                <w:sz w:val="24"/>
                <w:szCs w:val="24"/>
                <w:lang w:eastAsia="zh-CN"/>
              </w:rPr>
            </w:pPr>
            <w:r>
              <w:rPr>
                <w:rFonts w:hint="default" w:ascii="Times New Roman" w:hAnsi="Times New Roman" w:cs="Times New Roman"/>
                <w:color w:val="auto"/>
                <w:sz w:val="24"/>
                <w:szCs w:val="24"/>
                <w:lang w:eastAsia="zh-CN"/>
              </w:rPr>
              <w:t>20</w:t>
            </w:r>
          </w:p>
        </w:tc>
        <w:tc>
          <w:tcPr>
            <w:tcW w:w="459" w:type="pct"/>
            <w:noWrap w:val="0"/>
            <w:vAlign w:val="center"/>
          </w:tcPr>
          <w:p w14:paraId="3AC1191F">
            <w:pPr>
              <w:widowControl/>
              <w:autoSpaceDE/>
              <w:autoSpaceDN/>
              <w:jc w:val="center"/>
              <w:rPr>
                <w:rFonts w:hint="default" w:ascii="Times New Roman" w:hAnsi="Times New Roman" w:cs="Times New Roman"/>
                <w:color w:val="auto"/>
                <w:sz w:val="24"/>
                <w:szCs w:val="24"/>
                <w:lang w:eastAsia="zh-CN"/>
              </w:rPr>
            </w:pPr>
            <w:r>
              <w:rPr>
                <w:rFonts w:hint="default" w:ascii="Times New Roman" w:hAnsi="Times New Roman" w:cs="Times New Roman"/>
                <w:color w:val="auto"/>
                <w:sz w:val="24"/>
                <w:szCs w:val="24"/>
                <w:lang w:eastAsia="zh-CN"/>
              </w:rPr>
              <w:t>20</w:t>
            </w:r>
          </w:p>
        </w:tc>
        <w:tc>
          <w:tcPr>
            <w:tcW w:w="365" w:type="pct"/>
            <w:noWrap w:val="0"/>
            <w:vAlign w:val="center"/>
          </w:tcPr>
          <w:p w14:paraId="5FEB2047">
            <w:pPr>
              <w:widowControl/>
              <w:autoSpaceDE/>
              <w:autoSpaceDN/>
              <w:jc w:val="center"/>
              <w:rPr>
                <w:rFonts w:hint="default" w:ascii="Times New Roman" w:hAnsi="Times New Roman" w:cs="Times New Roman"/>
                <w:color w:val="auto"/>
                <w:sz w:val="24"/>
                <w:szCs w:val="24"/>
                <w:lang w:eastAsia="zh-CN"/>
              </w:rPr>
            </w:pPr>
            <w:r>
              <w:rPr>
                <w:rFonts w:hint="default" w:ascii="Times New Roman" w:hAnsi="Times New Roman" w:cs="Times New Roman"/>
                <w:color w:val="auto"/>
                <w:sz w:val="24"/>
                <w:szCs w:val="24"/>
                <w:lang w:eastAsia="zh-CN"/>
              </w:rPr>
              <w:t>――</w:t>
            </w:r>
          </w:p>
        </w:tc>
        <w:tc>
          <w:tcPr>
            <w:tcW w:w="326" w:type="pct"/>
            <w:noWrap w:val="0"/>
            <w:vAlign w:val="center"/>
          </w:tcPr>
          <w:p w14:paraId="472EBB29">
            <w:pPr>
              <w:widowControl/>
              <w:autoSpaceDE/>
              <w:autoSpaceDN/>
              <w:jc w:val="center"/>
              <w:rPr>
                <w:rFonts w:hint="default" w:ascii="Times New Roman" w:hAnsi="Times New Roman" w:cs="Times New Roman"/>
                <w:color w:val="auto"/>
                <w:sz w:val="24"/>
                <w:szCs w:val="24"/>
                <w:lang w:eastAsia="zh-CN"/>
              </w:rPr>
            </w:pPr>
            <w:r>
              <w:rPr>
                <w:rFonts w:hint="default" w:ascii="Times New Roman" w:hAnsi="Times New Roman" w:cs="Times New Roman"/>
                <w:color w:val="auto"/>
                <w:sz w:val="24"/>
                <w:szCs w:val="24"/>
                <w:lang w:eastAsia="zh-CN"/>
              </w:rPr>
              <w:t>――</w:t>
            </w:r>
          </w:p>
        </w:tc>
        <w:tc>
          <w:tcPr>
            <w:tcW w:w="584" w:type="pct"/>
            <w:noWrap w:val="0"/>
            <w:vAlign w:val="center"/>
          </w:tcPr>
          <w:p w14:paraId="3208C013">
            <w:pPr>
              <w:widowControl/>
              <w:autoSpaceDE/>
              <w:autoSpaceDN/>
              <w:jc w:val="center"/>
              <w:rPr>
                <w:rFonts w:hint="default" w:ascii="Times New Roman" w:hAnsi="Times New Roman" w:cs="Times New Roman"/>
                <w:color w:val="auto"/>
                <w:sz w:val="24"/>
                <w:szCs w:val="24"/>
                <w:lang w:eastAsia="zh-CN"/>
              </w:rPr>
            </w:pPr>
            <w:r>
              <w:rPr>
                <w:rFonts w:hint="default" w:ascii="Times New Roman" w:hAnsi="Times New Roman" w:cs="Times New Roman"/>
                <w:color w:val="auto"/>
                <w:sz w:val="24"/>
                <w:szCs w:val="24"/>
                <w:lang w:eastAsia="zh-CN"/>
              </w:rPr>
              <w:t>30</w:t>
            </w:r>
          </w:p>
        </w:tc>
        <w:tc>
          <w:tcPr>
            <w:tcW w:w="556" w:type="pct"/>
            <w:noWrap w:val="0"/>
            <w:vAlign w:val="center"/>
          </w:tcPr>
          <w:p w14:paraId="74E99410">
            <w:pPr>
              <w:widowControl/>
              <w:autoSpaceDE/>
              <w:autoSpaceDN/>
              <w:jc w:val="center"/>
              <w:rPr>
                <w:rFonts w:hint="default" w:ascii="Times New Roman" w:hAnsi="Times New Roman" w:cs="Times New Roman"/>
                <w:color w:val="auto"/>
                <w:sz w:val="24"/>
                <w:szCs w:val="24"/>
                <w:lang w:eastAsia="zh-CN"/>
              </w:rPr>
            </w:pPr>
            <w:r>
              <w:rPr>
                <w:rFonts w:hint="default" w:ascii="Times New Roman" w:hAnsi="Times New Roman" w:cs="Times New Roman"/>
                <w:color w:val="auto"/>
                <w:sz w:val="24"/>
                <w:szCs w:val="24"/>
                <w:lang w:eastAsia="zh-CN"/>
              </w:rPr>
              <w:t>-45</w:t>
            </w:r>
          </w:p>
        </w:tc>
      </w:tr>
      <w:tr w14:paraId="2C51CC7C">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0" w:type="dxa"/>
            <w:bottom w:w="0" w:type="dxa"/>
            <w:right w:w="0" w:type="dxa"/>
          </w:tblCellMar>
        </w:tblPrEx>
        <w:trPr>
          <w:trHeight w:val="420" w:hRule="atLeast"/>
        </w:trPr>
        <w:tc>
          <w:tcPr>
            <w:tcW w:w="876" w:type="pct"/>
            <w:noWrap w:val="0"/>
            <w:vAlign w:val="center"/>
          </w:tcPr>
          <w:p w14:paraId="006DDBD6">
            <w:pPr>
              <w:widowControl/>
              <w:autoSpaceDE/>
              <w:autoSpaceDN/>
              <w:jc w:val="center"/>
              <w:rPr>
                <w:rFonts w:hint="default" w:ascii="Times New Roman" w:hAnsi="Times New Roman" w:cs="Times New Roman"/>
                <w:color w:val="auto"/>
                <w:sz w:val="24"/>
                <w:szCs w:val="24"/>
                <w:lang w:eastAsia="zh-CN"/>
              </w:rPr>
            </w:pPr>
            <w:r>
              <w:rPr>
                <w:rFonts w:hint="default" w:ascii="Times New Roman" w:hAnsi="Times New Roman" w:cs="Times New Roman"/>
                <w:color w:val="auto"/>
                <w:sz w:val="24"/>
                <w:szCs w:val="24"/>
                <w:lang w:eastAsia="zh-CN"/>
              </w:rPr>
              <w:t>六通一平</w:t>
            </w:r>
          </w:p>
        </w:tc>
        <w:tc>
          <w:tcPr>
            <w:tcW w:w="457" w:type="pct"/>
            <w:noWrap w:val="0"/>
            <w:vAlign w:val="center"/>
          </w:tcPr>
          <w:p w14:paraId="555BF58C">
            <w:pPr>
              <w:widowControl/>
              <w:autoSpaceDE/>
              <w:autoSpaceDN/>
              <w:jc w:val="center"/>
              <w:rPr>
                <w:rFonts w:hint="default" w:ascii="Times New Roman" w:hAnsi="Times New Roman" w:cs="Times New Roman"/>
                <w:color w:val="auto"/>
                <w:sz w:val="24"/>
                <w:szCs w:val="24"/>
                <w:lang w:eastAsia="zh-CN"/>
              </w:rPr>
            </w:pPr>
            <w:r>
              <w:rPr>
                <w:rFonts w:hint="default" w:ascii="Times New Roman" w:hAnsi="Times New Roman" w:cs="Times New Roman"/>
                <w:color w:val="auto"/>
                <w:sz w:val="24"/>
                <w:szCs w:val="24"/>
                <w:lang w:eastAsia="zh-CN"/>
              </w:rPr>
              <w:t>35</w:t>
            </w:r>
          </w:p>
        </w:tc>
        <w:tc>
          <w:tcPr>
            <w:tcW w:w="459" w:type="pct"/>
            <w:noWrap w:val="0"/>
            <w:vAlign w:val="center"/>
          </w:tcPr>
          <w:p w14:paraId="2C77E8D6">
            <w:pPr>
              <w:widowControl/>
              <w:autoSpaceDE/>
              <w:autoSpaceDN/>
              <w:jc w:val="center"/>
              <w:rPr>
                <w:rFonts w:hint="default" w:ascii="Times New Roman" w:hAnsi="Times New Roman" w:cs="Times New Roman"/>
                <w:color w:val="auto"/>
                <w:sz w:val="24"/>
                <w:szCs w:val="24"/>
                <w:lang w:eastAsia="zh-CN"/>
              </w:rPr>
            </w:pPr>
            <w:r>
              <w:rPr>
                <w:rFonts w:hint="default" w:ascii="Times New Roman" w:hAnsi="Times New Roman" w:cs="Times New Roman"/>
                <w:color w:val="auto"/>
                <w:sz w:val="24"/>
                <w:szCs w:val="24"/>
                <w:lang w:eastAsia="zh-CN"/>
              </w:rPr>
              <w:t>15</w:t>
            </w:r>
          </w:p>
        </w:tc>
        <w:tc>
          <w:tcPr>
            <w:tcW w:w="459" w:type="pct"/>
            <w:noWrap w:val="0"/>
            <w:vAlign w:val="center"/>
          </w:tcPr>
          <w:p w14:paraId="6E0C9A9C">
            <w:pPr>
              <w:widowControl/>
              <w:autoSpaceDE/>
              <w:autoSpaceDN/>
              <w:jc w:val="center"/>
              <w:rPr>
                <w:rFonts w:hint="default" w:ascii="Times New Roman" w:hAnsi="Times New Roman" w:cs="Times New Roman"/>
                <w:color w:val="auto"/>
                <w:sz w:val="24"/>
                <w:szCs w:val="24"/>
                <w:lang w:eastAsia="zh-CN"/>
              </w:rPr>
            </w:pPr>
            <w:r>
              <w:rPr>
                <w:rFonts w:hint="default" w:ascii="Times New Roman" w:hAnsi="Times New Roman" w:cs="Times New Roman"/>
                <w:color w:val="auto"/>
                <w:sz w:val="24"/>
                <w:szCs w:val="24"/>
                <w:lang w:eastAsia="zh-CN"/>
              </w:rPr>
              <w:t>20</w:t>
            </w:r>
          </w:p>
        </w:tc>
        <w:tc>
          <w:tcPr>
            <w:tcW w:w="459" w:type="pct"/>
            <w:noWrap w:val="0"/>
            <w:vAlign w:val="center"/>
          </w:tcPr>
          <w:p w14:paraId="3792067B">
            <w:pPr>
              <w:widowControl/>
              <w:autoSpaceDE/>
              <w:autoSpaceDN/>
              <w:jc w:val="center"/>
              <w:rPr>
                <w:rFonts w:hint="default" w:ascii="Times New Roman" w:hAnsi="Times New Roman" w:cs="Times New Roman"/>
                <w:color w:val="auto"/>
                <w:sz w:val="24"/>
                <w:szCs w:val="24"/>
                <w:lang w:eastAsia="zh-CN"/>
              </w:rPr>
            </w:pPr>
            <w:r>
              <w:rPr>
                <w:rFonts w:hint="default" w:ascii="Times New Roman" w:hAnsi="Times New Roman" w:cs="Times New Roman"/>
                <w:color w:val="auto"/>
                <w:sz w:val="24"/>
                <w:szCs w:val="24"/>
                <w:lang w:eastAsia="zh-CN"/>
              </w:rPr>
              <w:t>20</w:t>
            </w:r>
          </w:p>
        </w:tc>
        <w:tc>
          <w:tcPr>
            <w:tcW w:w="459" w:type="pct"/>
            <w:noWrap w:val="0"/>
            <w:vAlign w:val="center"/>
          </w:tcPr>
          <w:p w14:paraId="300ABFBB">
            <w:pPr>
              <w:widowControl/>
              <w:autoSpaceDE/>
              <w:autoSpaceDN/>
              <w:jc w:val="center"/>
              <w:rPr>
                <w:rFonts w:hint="default" w:ascii="Times New Roman" w:hAnsi="Times New Roman" w:cs="Times New Roman"/>
                <w:color w:val="auto"/>
                <w:sz w:val="24"/>
                <w:szCs w:val="24"/>
                <w:lang w:eastAsia="zh-CN"/>
              </w:rPr>
            </w:pPr>
            <w:r>
              <w:rPr>
                <w:rFonts w:hint="default" w:ascii="Times New Roman" w:hAnsi="Times New Roman" w:cs="Times New Roman"/>
                <w:color w:val="auto"/>
                <w:sz w:val="24"/>
                <w:szCs w:val="24"/>
                <w:lang w:eastAsia="zh-CN"/>
              </w:rPr>
              <w:t>20</w:t>
            </w:r>
          </w:p>
        </w:tc>
        <w:tc>
          <w:tcPr>
            <w:tcW w:w="365" w:type="pct"/>
            <w:noWrap w:val="0"/>
            <w:vAlign w:val="center"/>
          </w:tcPr>
          <w:p w14:paraId="2DA34BF4">
            <w:pPr>
              <w:widowControl/>
              <w:autoSpaceDE/>
              <w:autoSpaceDN/>
              <w:jc w:val="center"/>
              <w:rPr>
                <w:rFonts w:hint="default" w:ascii="Times New Roman" w:hAnsi="Times New Roman" w:cs="Times New Roman"/>
                <w:color w:val="auto"/>
                <w:sz w:val="24"/>
                <w:szCs w:val="24"/>
                <w:lang w:eastAsia="zh-CN"/>
              </w:rPr>
            </w:pPr>
            <w:r>
              <w:rPr>
                <w:rFonts w:hint="default" w:ascii="Times New Roman" w:hAnsi="Times New Roman" w:cs="Times New Roman"/>
                <w:color w:val="auto"/>
                <w:sz w:val="24"/>
                <w:szCs w:val="24"/>
                <w:lang w:eastAsia="zh-CN"/>
              </w:rPr>
              <w:t>25</w:t>
            </w:r>
          </w:p>
        </w:tc>
        <w:tc>
          <w:tcPr>
            <w:tcW w:w="326" w:type="pct"/>
            <w:noWrap w:val="0"/>
            <w:vAlign w:val="center"/>
          </w:tcPr>
          <w:p w14:paraId="3BD1980D">
            <w:pPr>
              <w:widowControl/>
              <w:autoSpaceDE/>
              <w:autoSpaceDN/>
              <w:jc w:val="center"/>
              <w:rPr>
                <w:rFonts w:hint="default" w:ascii="Times New Roman" w:hAnsi="Times New Roman" w:cs="Times New Roman"/>
                <w:color w:val="auto"/>
                <w:sz w:val="24"/>
                <w:szCs w:val="24"/>
                <w:lang w:eastAsia="zh-CN"/>
              </w:rPr>
            </w:pPr>
            <w:r>
              <w:rPr>
                <w:rFonts w:hint="default" w:ascii="Times New Roman" w:hAnsi="Times New Roman" w:cs="Times New Roman"/>
                <w:color w:val="auto"/>
                <w:sz w:val="24"/>
                <w:szCs w:val="24"/>
                <w:lang w:eastAsia="zh-CN"/>
              </w:rPr>
              <w:t>――</w:t>
            </w:r>
          </w:p>
        </w:tc>
        <w:tc>
          <w:tcPr>
            <w:tcW w:w="584" w:type="pct"/>
            <w:noWrap w:val="0"/>
            <w:vAlign w:val="center"/>
          </w:tcPr>
          <w:p w14:paraId="5D7AAF90">
            <w:pPr>
              <w:widowControl/>
              <w:autoSpaceDE/>
              <w:autoSpaceDN/>
              <w:jc w:val="center"/>
              <w:rPr>
                <w:rFonts w:hint="default" w:ascii="Times New Roman" w:hAnsi="Times New Roman" w:cs="Times New Roman"/>
                <w:color w:val="auto"/>
                <w:sz w:val="24"/>
                <w:szCs w:val="24"/>
                <w:lang w:eastAsia="zh-CN"/>
              </w:rPr>
            </w:pPr>
            <w:r>
              <w:rPr>
                <w:rFonts w:hint="default" w:ascii="Times New Roman" w:hAnsi="Times New Roman" w:cs="Times New Roman"/>
                <w:color w:val="auto"/>
                <w:sz w:val="24"/>
                <w:szCs w:val="24"/>
                <w:lang w:eastAsia="zh-CN"/>
              </w:rPr>
              <w:t>30</w:t>
            </w:r>
          </w:p>
        </w:tc>
        <w:tc>
          <w:tcPr>
            <w:tcW w:w="556" w:type="pct"/>
            <w:noWrap w:val="0"/>
            <w:vAlign w:val="center"/>
          </w:tcPr>
          <w:p w14:paraId="3689ADFD">
            <w:pPr>
              <w:widowControl/>
              <w:autoSpaceDE/>
              <w:autoSpaceDN/>
              <w:jc w:val="center"/>
              <w:rPr>
                <w:rFonts w:hint="default" w:ascii="Times New Roman" w:hAnsi="Times New Roman" w:cs="Times New Roman"/>
                <w:color w:val="auto"/>
                <w:sz w:val="24"/>
                <w:szCs w:val="24"/>
                <w:lang w:eastAsia="zh-CN"/>
              </w:rPr>
            </w:pPr>
            <w:r>
              <w:rPr>
                <w:rFonts w:hint="default" w:ascii="Times New Roman" w:hAnsi="Times New Roman" w:cs="Times New Roman"/>
                <w:color w:val="auto"/>
                <w:sz w:val="24"/>
                <w:szCs w:val="24"/>
                <w:lang w:eastAsia="zh-CN"/>
              </w:rPr>
              <w:t>-20</w:t>
            </w:r>
          </w:p>
        </w:tc>
      </w:tr>
      <w:tr w14:paraId="63125472">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0" w:type="dxa"/>
            <w:bottom w:w="0" w:type="dxa"/>
            <w:right w:w="0" w:type="dxa"/>
          </w:tblCellMar>
        </w:tblPrEx>
        <w:trPr>
          <w:trHeight w:val="420" w:hRule="atLeast"/>
        </w:trPr>
        <w:tc>
          <w:tcPr>
            <w:tcW w:w="876" w:type="pct"/>
            <w:noWrap w:val="0"/>
            <w:vAlign w:val="center"/>
          </w:tcPr>
          <w:p w14:paraId="1B92D077">
            <w:pPr>
              <w:widowControl/>
              <w:autoSpaceDE/>
              <w:autoSpaceDN/>
              <w:jc w:val="center"/>
              <w:rPr>
                <w:rFonts w:hint="default" w:ascii="Times New Roman" w:hAnsi="Times New Roman" w:cs="Times New Roman"/>
                <w:color w:val="auto"/>
                <w:sz w:val="24"/>
                <w:szCs w:val="24"/>
                <w:lang w:eastAsia="zh-CN"/>
              </w:rPr>
            </w:pPr>
            <w:r>
              <w:rPr>
                <w:rFonts w:hint="default" w:ascii="Times New Roman" w:hAnsi="Times New Roman" w:cs="Times New Roman"/>
                <w:color w:val="auto"/>
                <w:sz w:val="24"/>
                <w:szCs w:val="24"/>
                <w:lang w:eastAsia="zh-CN"/>
              </w:rPr>
              <w:t>七通一平</w:t>
            </w:r>
          </w:p>
        </w:tc>
        <w:tc>
          <w:tcPr>
            <w:tcW w:w="457" w:type="pct"/>
            <w:noWrap w:val="0"/>
            <w:vAlign w:val="center"/>
          </w:tcPr>
          <w:p w14:paraId="192A70EF">
            <w:pPr>
              <w:widowControl/>
              <w:autoSpaceDE/>
              <w:autoSpaceDN/>
              <w:jc w:val="center"/>
              <w:rPr>
                <w:rFonts w:hint="default" w:ascii="Times New Roman" w:hAnsi="Times New Roman" w:cs="Times New Roman"/>
                <w:color w:val="auto"/>
                <w:sz w:val="24"/>
                <w:szCs w:val="24"/>
                <w:lang w:eastAsia="zh-CN"/>
              </w:rPr>
            </w:pPr>
            <w:r>
              <w:rPr>
                <w:rFonts w:hint="default" w:ascii="Times New Roman" w:hAnsi="Times New Roman" w:cs="Times New Roman"/>
                <w:color w:val="auto"/>
                <w:sz w:val="24"/>
                <w:szCs w:val="24"/>
                <w:lang w:eastAsia="zh-CN"/>
              </w:rPr>
              <w:t>35</w:t>
            </w:r>
          </w:p>
        </w:tc>
        <w:tc>
          <w:tcPr>
            <w:tcW w:w="459" w:type="pct"/>
            <w:noWrap w:val="0"/>
            <w:vAlign w:val="center"/>
          </w:tcPr>
          <w:p w14:paraId="16B8EF3B">
            <w:pPr>
              <w:widowControl/>
              <w:autoSpaceDE/>
              <w:autoSpaceDN/>
              <w:jc w:val="center"/>
              <w:rPr>
                <w:rFonts w:hint="default" w:ascii="Times New Roman" w:hAnsi="Times New Roman" w:cs="Times New Roman"/>
                <w:color w:val="auto"/>
                <w:sz w:val="24"/>
                <w:szCs w:val="24"/>
                <w:lang w:eastAsia="zh-CN"/>
              </w:rPr>
            </w:pPr>
            <w:r>
              <w:rPr>
                <w:rFonts w:hint="default" w:ascii="Times New Roman" w:hAnsi="Times New Roman" w:cs="Times New Roman"/>
                <w:color w:val="auto"/>
                <w:sz w:val="24"/>
                <w:szCs w:val="24"/>
                <w:lang w:eastAsia="zh-CN"/>
              </w:rPr>
              <w:t>15</w:t>
            </w:r>
          </w:p>
        </w:tc>
        <w:tc>
          <w:tcPr>
            <w:tcW w:w="459" w:type="pct"/>
            <w:noWrap w:val="0"/>
            <w:vAlign w:val="center"/>
          </w:tcPr>
          <w:p w14:paraId="1E6FA85C">
            <w:pPr>
              <w:widowControl/>
              <w:autoSpaceDE/>
              <w:autoSpaceDN/>
              <w:jc w:val="center"/>
              <w:rPr>
                <w:rFonts w:hint="default" w:ascii="Times New Roman" w:hAnsi="Times New Roman" w:cs="Times New Roman"/>
                <w:color w:val="auto"/>
                <w:sz w:val="24"/>
                <w:szCs w:val="24"/>
                <w:lang w:eastAsia="zh-CN"/>
              </w:rPr>
            </w:pPr>
            <w:r>
              <w:rPr>
                <w:rFonts w:hint="default" w:ascii="Times New Roman" w:hAnsi="Times New Roman" w:cs="Times New Roman"/>
                <w:color w:val="auto"/>
                <w:sz w:val="24"/>
                <w:szCs w:val="24"/>
                <w:lang w:eastAsia="zh-CN"/>
              </w:rPr>
              <w:t>20</w:t>
            </w:r>
          </w:p>
        </w:tc>
        <w:tc>
          <w:tcPr>
            <w:tcW w:w="459" w:type="pct"/>
            <w:noWrap w:val="0"/>
            <w:vAlign w:val="center"/>
          </w:tcPr>
          <w:p w14:paraId="16339EDE">
            <w:pPr>
              <w:widowControl/>
              <w:autoSpaceDE/>
              <w:autoSpaceDN/>
              <w:jc w:val="center"/>
              <w:rPr>
                <w:rFonts w:hint="default" w:ascii="Times New Roman" w:hAnsi="Times New Roman" w:cs="Times New Roman"/>
                <w:color w:val="auto"/>
                <w:sz w:val="24"/>
                <w:szCs w:val="24"/>
                <w:lang w:eastAsia="zh-CN"/>
              </w:rPr>
            </w:pPr>
            <w:r>
              <w:rPr>
                <w:rFonts w:hint="default" w:ascii="Times New Roman" w:hAnsi="Times New Roman" w:cs="Times New Roman"/>
                <w:color w:val="auto"/>
                <w:sz w:val="24"/>
                <w:szCs w:val="24"/>
                <w:lang w:eastAsia="zh-CN"/>
              </w:rPr>
              <w:t>20</w:t>
            </w:r>
          </w:p>
        </w:tc>
        <w:tc>
          <w:tcPr>
            <w:tcW w:w="459" w:type="pct"/>
            <w:noWrap w:val="0"/>
            <w:vAlign w:val="center"/>
          </w:tcPr>
          <w:p w14:paraId="452F93DB">
            <w:pPr>
              <w:widowControl/>
              <w:autoSpaceDE/>
              <w:autoSpaceDN/>
              <w:jc w:val="center"/>
              <w:rPr>
                <w:rFonts w:hint="default" w:ascii="Times New Roman" w:hAnsi="Times New Roman" w:cs="Times New Roman"/>
                <w:color w:val="auto"/>
                <w:sz w:val="24"/>
                <w:szCs w:val="24"/>
                <w:lang w:eastAsia="zh-CN"/>
              </w:rPr>
            </w:pPr>
            <w:r>
              <w:rPr>
                <w:rFonts w:hint="default" w:ascii="Times New Roman" w:hAnsi="Times New Roman" w:cs="Times New Roman"/>
                <w:color w:val="auto"/>
                <w:sz w:val="24"/>
                <w:szCs w:val="24"/>
                <w:lang w:eastAsia="zh-CN"/>
              </w:rPr>
              <w:t>20</w:t>
            </w:r>
          </w:p>
        </w:tc>
        <w:tc>
          <w:tcPr>
            <w:tcW w:w="365" w:type="pct"/>
            <w:noWrap w:val="0"/>
            <w:vAlign w:val="center"/>
          </w:tcPr>
          <w:p w14:paraId="2D9B1F11">
            <w:pPr>
              <w:widowControl/>
              <w:autoSpaceDE/>
              <w:autoSpaceDN/>
              <w:jc w:val="center"/>
              <w:rPr>
                <w:rFonts w:hint="default" w:ascii="Times New Roman" w:hAnsi="Times New Roman" w:cs="Times New Roman"/>
                <w:color w:val="auto"/>
                <w:sz w:val="24"/>
                <w:szCs w:val="24"/>
                <w:lang w:eastAsia="zh-CN"/>
              </w:rPr>
            </w:pPr>
            <w:r>
              <w:rPr>
                <w:rFonts w:hint="default" w:ascii="Times New Roman" w:hAnsi="Times New Roman" w:cs="Times New Roman"/>
                <w:color w:val="auto"/>
                <w:sz w:val="24"/>
                <w:szCs w:val="24"/>
                <w:lang w:eastAsia="zh-CN"/>
              </w:rPr>
              <w:t>25</w:t>
            </w:r>
          </w:p>
        </w:tc>
        <w:tc>
          <w:tcPr>
            <w:tcW w:w="326" w:type="pct"/>
            <w:noWrap w:val="0"/>
            <w:vAlign w:val="center"/>
          </w:tcPr>
          <w:p w14:paraId="43950C8D">
            <w:pPr>
              <w:widowControl/>
              <w:autoSpaceDE/>
              <w:autoSpaceDN/>
              <w:jc w:val="center"/>
              <w:rPr>
                <w:rFonts w:hint="default" w:ascii="Times New Roman" w:hAnsi="Times New Roman" w:cs="Times New Roman"/>
                <w:color w:val="auto"/>
                <w:sz w:val="24"/>
                <w:szCs w:val="24"/>
                <w:lang w:eastAsia="zh-CN"/>
              </w:rPr>
            </w:pPr>
            <w:r>
              <w:rPr>
                <w:rFonts w:hint="default" w:ascii="Times New Roman" w:hAnsi="Times New Roman" w:cs="Times New Roman"/>
                <w:color w:val="auto"/>
                <w:sz w:val="24"/>
                <w:szCs w:val="24"/>
                <w:lang w:eastAsia="zh-CN"/>
              </w:rPr>
              <w:t>20</w:t>
            </w:r>
          </w:p>
        </w:tc>
        <w:tc>
          <w:tcPr>
            <w:tcW w:w="584" w:type="pct"/>
            <w:noWrap w:val="0"/>
            <w:vAlign w:val="center"/>
          </w:tcPr>
          <w:p w14:paraId="43161C65">
            <w:pPr>
              <w:widowControl/>
              <w:autoSpaceDE/>
              <w:autoSpaceDN/>
              <w:jc w:val="center"/>
              <w:rPr>
                <w:rFonts w:hint="default" w:ascii="Times New Roman" w:hAnsi="Times New Roman" w:cs="Times New Roman"/>
                <w:color w:val="auto"/>
                <w:sz w:val="24"/>
                <w:szCs w:val="24"/>
                <w:lang w:eastAsia="zh-CN"/>
              </w:rPr>
            </w:pPr>
            <w:r>
              <w:rPr>
                <w:rFonts w:hint="default" w:ascii="Times New Roman" w:hAnsi="Times New Roman" w:cs="Times New Roman"/>
                <w:color w:val="auto"/>
                <w:sz w:val="24"/>
                <w:szCs w:val="24"/>
                <w:lang w:eastAsia="zh-CN"/>
              </w:rPr>
              <w:t>30</w:t>
            </w:r>
          </w:p>
        </w:tc>
        <w:tc>
          <w:tcPr>
            <w:tcW w:w="556" w:type="pct"/>
            <w:noWrap w:val="0"/>
            <w:vAlign w:val="center"/>
          </w:tcPr>
          <w:p w14:paraId="7139F9C8">
            <w:pPr>
              <w:widowControl/>
              <w:autoSpaceDE/>
              <w:autoSpaceDN/>
              <w:jc w:val="center"/>
              <w:rPr>
                <w:rFonts w:hint="default" w:ascii="Times New Roman" w:hAnsi="Times New Roman" w:cs="Times New Roman"/>
                <w:color w:val="auto"/>
                <w:sz w:val="24"/>
                <w:szCs w:val="24"/>
                <w:lang w:eastAsia="zh-CN"/>
              </w:rPr>
            </w:pPr>
            <w:r>
              <w:rPr>
                <w:rFonts w:hint="default" w:ascii="Times New Roman" w:hAnsi="Times New Roman" w:cs="Times New Roman"/>
                <w:color w:val="auto"/>
                <w:sz w:val="24"/>
                <w:szCs w:val="24"/>
                <w:lang w:eastAsia="zh-CN"/>
              </w:rPr>
              <w:t>0</w:t>
            </w:r>
          </w:p>
        </w:tc>
      </w:tr>
    </w:tbl>
    <w:p w14:paraId="7F709682">
      <w:pPr>
        <w:pStyle w:val="33"/>
        <w:spacing w:before="0" w:after="0"/>
        <w:ind w:firstLine="560"/>
        <w:rPr>
          <w:rFonts w:hAnsi="Times New Roman" w:cs="Times New Roman"/>
          <w:color w:val="auto"/>
        </w:rPr>
      </w:pPr>
    </w:p>
    <w:p w14:paraId="2497D2E0">
      <w:pPr>
        <w:pStyle w:val="33"/>
        <w:spacing w:before="0" w:after="0"/>
        <w:ind w:firstLine="560"/>
        <w:rPr>
          <w:rFonts w:hAnsi="Times New Roman" w:cs="Times New Roman"/>
          <w:color w:val="auto"/>
        </w:rPr>
      </w:pPr>
    </w:p>
    <w:p w14:paraId="51681543">
      <w:pPr>
        <w:pStyle w:val="33"/>
        <w:spacing w:before="0" w:after="0"/>
        <w:ind w:firstLine="560"/>
        <w:rPr>
          <w:rFonts w:hAnsi="Times New Roman" w:cs="Times New Roman"/>
          <w:color w:val="auto"/>
        </w:rPr>
        <w:sectPr>
          <w:footerReference r:id="rId3" w:type="default"/>
          <w:pgSz w:w="11910" w:h="16840"/>
          <w:pgMar w:top="1440" w:right="1576" w:bottom="1440" w:left="1576" w:header="858" w:footer="993" w:gutter="0"/>
          <w:cols w:space="720" w:num="1"/>
        </w:sectPr>
      </w:pPr>
      <w:r>
        <w:rPr>
          <w:rFonts w:hAnsi="Times New Roman" w:cs="Times New Roman"/>
          <w:color w:val="auto"/>
        </w:rPr>
        <w:t>。</w:t>
      </w:r>
    </w:p>
    <w:p w14:paraId="1C962E9C">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right="0" w:rightChars="0"/>
        <w:jc w:val="left"/>
        <w:textAlignment w:val="auto"/>
        <w:outlineLvl w:val="9"/>
        <w:rPr>
          <w:rFonts w:hint="eastAsia" w:ascii="Times New Roman" w:hAnsi="Times New Roman" w:eastAsia="仿宋_GB2312" w:cs="Times New Roman"/>
          <w:color w:val="auto"/>
          <w:sz w:val="28"/>
          <w:szCs w:val="28"/>
          <w:lang w:val="en-US" w:eastAsia="zh-CN" w:bidi="zh-CN"/>
        </w:rPr>
        <w:sectPr>
          <w:headerReference r:id="rId4" w:type="default"/>
          <w:pgSz w:w="16838" w:h="11906" w:orient="landscape"/>
          <w:pgMar w:top="1531" w:right="2098" w:bottom="1531" w:left="1984" w:header="851" w:footer="992" w:gutter="0"/>
          <w:pgNumType w:fmt="numberInDash"/>
          <w:cols w:space="720" w:num="1"/>
          <w:docGrid w:type="lines" w:linePitch="312" w:charSpace="0"/>
        </w:sectPr>
      </w:pPr>
      <w:r>
        <w:rPr>
          <w:rFonts w:hint="eastAsia" w:eastAsia="仿宋_GB2312"/>
          <w:color w:val="auto"/>
          <w:lang w:eastAsia="zh-CN"/>
        </w:rPr>
        <w:drawing>
          <wp:anchor distT="0" distB="0" distL="114300" distR="114300" simplePos="0" relativeHeight="251664384" behindDoc="1" locked="0" layoutInCell="1" allowOverlap="1">
            <wp:simplePos x="0" y="0"/>
            <wp:positionH relativeFrom="column">
              <wp:posOffset>-851535</wp:posOffset>
            </wp:positionH>
            <wp:positionV relativeFrom="page">
              <wp:posOffset>800100</wp:posOffset>
            </wp:positionV>
            <wp:extent cx="9705975" cy="6862445"/>
            <wp:effectExtent l="0" t="0" r="9525" b="8255"/>
            <wp:wrapNone/>
            <wp:docPr id="6" name="图片 6" descr="附表1商服用地宗地地价修正系数及说明表_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图片 6" descr="附表1商服用地宗地地价修正系数及说明表_00"/>
                    <pic:cNvPicPr>
                      <a:picLocks noChangeAspect="1"/>
                    </pic:cNvPicPr>
                  </pic:nvPicPr>
                  <pic:blipFill>
                    <a:blip r:embed="rId14"/>
                    <a:stretch>
                      <a:fillRect/>
                    </a:stretch>
                  </pic:blipFill>
                  <pic:spPr>
                    <a:xfrm>
                      <a:off x="0" y="0"/>
                      <a:ext cx="9705975" cy="6862445"/>
                    </a:xfrm>
                    <a:prstGeom prst="rect">
                      <a:avLst/>
                    </a:prstGeom>
                  </pic:spPr>
                </pic:pic>
              </a:graphicData>
            </a:graphic>
          </wp:anchor>
        </w:drawing>
      </w:r>
      <w:r>
        <w:rPr>
          <w:rFonts w:hint="default" w:ascii="Times New Roman" w:hAnsi="Times New Roman" w:eastAsia="仿宋_GB2312" w:cs="Times New Roman"/>
          <w:color w:val="auto"/>
          <w:sz w:val="28"/>
          <w:szCs w:val="28"/>
          <w:lang w:val="en-US" w:eastAsia="zh-CN" w:bidi="zh-CN"/>
        </w:rPr>
        <w:t>附表</w:t>
      </w:r>
      <w:r>
        <w:rPr>
          <w:rFonts w:hint="eastAsia" w:ascii="Times New Roman" w:hAnsi="Times New Roman" w:eastAsia="仿宋_GB2312" w:cs="Times New Roman"/>
          <w:color w:val="auto"/>
          <w:sz w:val="28"/>
          <w:szCs w:val="28"/>
          <w:lang w:val="en-US" w:eastAsia="zh-CN" w:bidi="zh-CN"/>
        </w:rPr>
        <w:t>3.</w:t>
      </w:r>
      <w:r>
        <w:rPr>
          <w:rFonts w:hint="default" w:ascii="Times New Roman" w:hAnsi="Times New Roman" w:eastAsia="仿宋_GB2312" w:cs="Times New Roman"/>
          <w:color w:val="auto"/>
          <w:sz w:val="28"/>
          <w:szCs w:val="28"/>
          <w:lang w:val="en-US" w:eastAsia="zh-CN" w:bidi="zh-CN"/>
        </w:rPr>
        <w:t xml:space="preserve">4    </w:t>
      </w:r>
      <w:r>
        <w:rPr>
          <w:rFonts w:hint="eastAsia" w:ascii="Times New Roman" w:hAnsi="Times New Roman" w:eastAsia="仿宋_GB2312" w:cs="Times New Roman"/>
          <w:color w:val="auto"/>
          <w:sz w:val="28"/>
          <w:szCs w:val="28"/>
          <w:lang w:val="en-US" w:eastAsia="zh-CN" w:bidi="zh-CN"/>
        </w:rPr>
        <w:t>宗地地价修正系数及说明表</w:t>
      </w:r>
    </w:p>
    <w:p w14:paraId="639D0495">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right="0" w:rightChars="0"/>
        <w:jc w:val="left"/>
        <w:textAlignment w:val="auto"/>
        <w:outlineLvl w:val="9"/>
        <w:rPr>
          <w:rFonts w:hint="default" w:ascii="Times New Roman" w:hAnsi="Times New Roman" w:eastAsia="仿宋_GB2312" w:cs="Times New Roman"/>
          <w:color w:val="auto"/>
          <w:sz w:val="28"/>
          <w:szCs w:val="28"/>
          <w:lang w:val="en-US" w:eastAsia="zh-CN" w:bidi="zh-CN"/>
        </w:rPr>
        <w:sectPr>
          <w:pgSz w:w="16838" w:h="11906" w:orient="landscape"/>
          <w:pgMar w:top="1531" w:right="2098" w:bottom="1531" w:left="1984" w:header="851" w:footer="992" w:gutter="0"/>
          <w:pgNumType w:fmt="numberInDash"/>
          <w:cols w:space="720" w:num="1"/>
          <w:docGrid w:type="lines" w:linePitch="312" w:charSpace="0"/>
        </w:sectPr>
      </w:pPr>
      <w:r>
        <w:rPr>
          <w:rFonts w:hint="default" w:ascii="Times New Roman" w:hAnsi="Times New Roman" w:eastAsia="仿宋_GB2312" w:cs="Times New Roman"/>
          <w:color w:val="auto"/>
          <w:sz w:val="28"/>
          <w:szCs w:val="28"/>
          <w:lang w:val="en-US" w:eastAsia="zh-CN" w:bidi="zh-CN"/>
        </w:rPr>
        <w:drawing>
          <wp:anchor distT="0" distB="0" distL="114300" distR="114300" simplePos="0" relativeHeight="251665408" behindDoc="1" locked="0" layoutInCell="1" allowOverlap="1">
            <wp:simplePos x="0" y="0"/>
            <wp:positionH relativeFrom="column">
              <wp:posOffset>-1090295</wp:posOffset>
            </wp:positionH>
            <wp:positionV relativeFrom="page">
              <wp:posOffset>329565</wp:posOffset>
            </wp:positionV>
            <wp:extent cx="10381615" cy="7340600"/>
            <wp:effectExtent l="0" t="0" r="6985" b="0"/>
            <wp:wrapNone/>
            <wp:docPr id="7" name="图片 7" descr="附表1商服用地宗地地价修正系数及说明表_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7" descr="附表1商服用地宗地地价修正系数及说明表_01"/>
                    <pic:cNvPicPr>
                      <a:picLocks noChangeAspect="1"/>
                    </pic:cNvPicPr>
                  </pic:nvPicPr>
                  <pic:blipFill>
                    <a:blip r:embed="rId15"/>
                    <a:stretch>
                      <a:fillRect/>
                    </a:stretch>
                  </pic:blipFill>
                  <pic:spPr>
                    <a:xfrm>
                      <a:off x="0" y="0"/>
                      <a:ext cx="10381615" cy="7340600"/>
                    </a:xfrm>
                    <a:prstGeom prst="rect">
                      <a:avLst/>
                    </a:prstGeom>
                  </pic:spPr>
                </pic:pic>
              </a:graphicData>
            </a:graphic>
          </wp:anchor>
        </w:drawing>
      </w:r>
    </w:p>
    <w:p w14:paraId="1E7F37C3">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right="0" w:rightChars="0"/>
        <w:jc w:val="left"/>
        <w:textAlignment w:val="auto"/>
        <w:outlineLvl w:val="9"/>
        <w:rPr>
          <w:rFonts w:hint="default" w:ascii="Times New Roman" w:hAnsi="Times New Roman" w:eastAsia="仿宋_GB2312" w:cs="Times New Roman"/>
          <w:color w:val="auto"/>
          <w:sz w:val="28"/>
          <w:szCs w:val="28"/>
          <w:lang w:val="en-US" w:eastAsia="zh-CN" w:bidi="zh-CN"/>
        </w:rPr>
        <w:sectPr>
          <w:pgSz w:w="16838" w:h="11906" w:orient="landscape"/>
          <w:pgMar w:top="1531" w:right="2098" w:bottom="1531" w:left="1984" w:header="851" w:footer="992" w:gutter="0"/>
          <w:pgNumType w:fmt="numberInDash"/>
          <w:cols w:space="720" w:num="1"/>
          <w:docGrid w:type="lines" w:linePitch="312" w:charSpace="0"/>
        </w:sectPr>
      </w:pPr>
      <w:r>
        <w:rPr>
          <w:rFonts w:hint="default" w:ascii="Times New Roman" w:hAnsi="Times New Roman" w:eastAsia="仿宋_GB2312" w:cs="Times New Roman"/>
          <w:color w:val="auto"/>
          <w:sz w:val="28"/>
          <w:szCs w:val="28"/>
          <w:lang w:val="en-US" w:eastAsia="zh-CN" w:bidi="zh-CN"/>
        </w:rPr>
        <w:drawing>
          <wp:anchor distT="0" distB="0" distL="114300" distR="114300" simplePos="0" relativeHeight="251664384" behindDoc="0" locked="0" layoutInCell="1" allowOverlap="1">
            <wp:simplePos x="0" y="0"/>
            <wp:positionH relativeFrom="column">
              <wp:posOffset>-833755</wp:posOffset>
            </wp:positionH>
            <wp:positionV relativeFrom="paragraph">
              <wp:posOffset>-581025</wp:posOffset>
            </wp:positionV>
            <wp:extent cx="9903460" cy="7002145"/>
            <wp:effectExtent l="0" t="0" r="2540" b="8255"/>
            <wp:wrapTopAndBottom/>
            <wp:docPr id="11" name="图片 11" descr="附表1商服用地宗地地价修正系数及说明表_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图片 11" descr="附表1商服用地宗地地价修正系数及说明表_02"/>
                    <pic:cNvPicPr>
                      <a:picLocks noChangeAspect="1"/>
                    </pic:cNvPicPr>
                  </pic:nvPicPr>
                  <pic:blipFill>
                    <a:blip r:embed="rId16"/>
                    <a:stretch>
                      <a:fillRect/>
                    </a:stretch>
                  </pic:blipFill>
                  <pic:spPr>
                    <a:xfrm>
                      <a:off x="0" y="0"/>
                      <a:ext cx="9903460" cy="7002145"/>
                    </a:xfrm>
                    <a:prstGeom prst="rect">
                      <a:avLst/>
                    </a:prstGeom>
                  </pic:spPr>
                </pic:pic>
              </a:graphicData>
            </a:graphic>
          </wp:anchor>
        </w:drawing>
      </w:r>
    </w:p>
    <w:p w14:paraId="4E53EE1A">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right="0" w:rightChars="0"/>
        <w:jc w:val="left"/>
        <w:textAlignment w:val="auto"/>
        <w:outlineLvl w:val="9"/>
        <w:rPr>
          <w:rFonts w:hint="default" w:ascii="Times New Roman" w:hAnsi="Times New Roman" w:eastAsia="仿宋_GB2312" w:cs="Times New Roman"/>
          <w:color w:val="auto"/>
          <w:sz w:val="28"/>
          <w:szCs w:val="28"/>
          <w:lang w:val="en-US" w:eastAsia="zh-CN" w:bidi="zh-CN"/>
        </w:rPr>
        <w:sectPr>
          <w:pgSz w:w="16838" w:h="11906" w:orient="landscape"/>
          <w:pgMar w:top="1531" w:right="2098" w:bottom="1531" w:left="1984" w:header="851" w:footer="992" w:gutter="0"/>
          <w:pgNumType w:fmt="numberInDash"/>
          <w:cols w:space="720" w:num="1"/>
          <w:docGrid w:type="lines" w:linePitch="312" w:charSpace="0"/>
        </w:sectPr>
      </w:pPr>
      <w:r>
        <w:rPr>
          <w:rFonts w:hint="default" w:ascii="Times New Roman" w:hAnsi="Times New Roman" w:eastAsia="仿宋_GB2312" w:cs="Times New Roman"/>
          <w:color w:val="auto"/>
          <w:sz w:val="28"/>
          <w:szCs w:val="28"/>
          <w:lang w:val="en-US" w:eastAsia="zh-CN" w:bidi="zh-CN"/>
        </w:rPr>
        <w:drawing>
          <wp:anchor distT="0" distB="0" distL="114300" distR="114300" simplePos="0" relativeHeight="251665408" behindDoc="0" locked="0" layoutInCell="1" allowOverlap="1">
            <wp:simplePos x="0" y="0"/>
            <wp:positionH relativeFrom="column">
              <wp:posOffset>-751205</wp:posOffset>
            </wp:positionH>
            <wp:positionV relativeFrom="paragraph">
              <wp:posOffset>-287020</wp:posOffset>
            </wp:positionV>
            <wp:extent cx="9841865" cy="6958965"/>
            <wp:effectExtent l="0" t="0" r="635" b="635"/>
            <wp:wrapTopAndBottom/>
            <wp:docPr id="12" name="图片 12" descr="附表1商服用地宗地地价修正系数及说明表_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图片 12" descr="附表1商服用地宗地地价修正系数及说明表_03"/>
                    <pic:cNvPicPr>
                      <a:picLocks noChangeAspect="1"/>
                    </pic:cNvPicPr>
                  </pic:nvPicPr>
                  <pic:blipFill>
                    <a:blip r:embed="rId17"/>
                    <a:stretch>
                      <a:fillRect/>
                    </a:stretch>
                  </pic:blipFill>
                  <pic:spPr>
                    <a:xfrm>
                      <a:off x="0" y="0"/>
                      <a:ext cx="9841865" cy="6958965"/>
                    </a:xfrm>
                    <a:prstGeom prst="rect">
                      <a:avLst/>
                    </a:prstGeom>
                  </pic:spPr>
                </pic:pic>
              </a:graphicData>
            </a:graphic>
          </wp:anchor>
        </w:drawing>
      </w:r>
    </w:p>
    <w:p w14:paraId="5FB6D9FA">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right="0" w:rightChars="0"/>
        <w:jc w:val="left"/>
        <w:textAlignment w:val="auto"/>
        <w:outlineLvl w:val="9"/>
        <w:rPr>
          <w:rFonts w:hint="default" w:ascii="Times New Roman" w:hAnsi="Times New Roman" w:eastAsia="仿宋_GB2312" w:cs="Times New Roman"/>
          <w:color w:val="auto"/>
          <w:sz w:val="28"/>
          <w:szCs w:val="28"/>
          <w:lang w:val="en-US" w:eastAsia="zh-CN" w:bidi="zh-CN"/>
        </w:rPr>
        <w:sectPr>
          <w:pgSz w:w="16838" w:h="11906" w:orient="landscape"/>
          <w:pgMar w:top="1531" w:right="2098" w:bottom="1531" w:left="1984" w:header="851" w:footer="992" w:gutter="0"/>
          <w:pgNumType w:fmt="numberInDash"/>
          <w:cols w:space="720" w:num="1"/>
          <w:docGrid w:type="lines" w:linePitch="312" w:charSpace="0"/>
        </w:sectPr>
      </w:pPr>
      <w:r>
        <w:rPr>
          <w:rFonts w:hint="default" w:ascii="Times New Roman" w:hAnsi="Times New Roman" w:eastAsia="仿宋_GB2312" w:cs="Times New Roman"/>
          <w:color w:val="auto"/>
          <w:sz w:val="28"/>
          <w:szCs w:val="28"/>
          <w:lang w:val="en-US" w:eastAsia="zh-CN" w:bidi="zh-CN"/>
        </w:rPr>
        <w:drawing>
          <wp:anchor distT="0" distB="0" distL="114300" distR="114300" simplePos="0" relativeHeight="251666432" behindDoc="0" locked="0" layoutInCell="1" allowOverlap="1">
            <wp:simplePos x="0" y="0"/>
            <wp:positionH relativeFrom="column">
              <wp:posOffset>-679450</wp:posOffset>
            </wp:positionH>
            <wp:positionV relativeFrom="paragraph">
              <wp:posOffset>-697230</wp:posOffset>
            </wp:positionV>
            <wp:extent cx="9787255" cy="6920230"/>
            <wp:effectExtent l="0" t="0" r="4445" b="1270"/>
            <wp:wrapTopAndBottom/>
            <wp:docPr id="13" name="图片 13" descr="附表1商服用地宗地地价修正系数及说明表_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图片 13" descr="附表1商服用地宗地地价修正系数及说明表_04"/>
                    <pic:cNvPicPr>
                      <a:picLocks noChangeAspect="1"/>
                    </pic:cNvPicPr>
                  </pic:nvPicPr>
                  <pic:blipFill>
                    <a:blip r:embed="rId18"/>
                    <a:stretch>
                      <a:fillRect/>
                    </a:stretch>
                  </pic:blipFill>
                  <pic:spPr>
                    <a:xfrm>
                      <a:off x="0" y="0"/>
                      <a:ext cx="9787255" cy="6920230"/>
                    </a:xfrm>
                    <a:prstGeom prst="rect">
                      <a:avLst/>
                    </a:prstGeom>
                  </pic:spPr>
                </pic:pic>
              </a:graphicData>
            </a:graphic>
          </wp:anchor>
        </w:drawing>
      </w:r>
    </w:p>
    <w:p w14:paraId="5AAF5755">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right="0" w:rightChars="0"/>
        <w:jc w:val="left"/>
        <w:textAlignment w:val="auto"/>
        <w:outlineLvl w:val="9"/>
        <w:rPr>
          <w:rFonts w:hint="default" w:ascii="Times New Roman" w:hAnsi="Times New Roman" w:eastAsia="仿宋_GB2312" w:cs="Times New Roman"/>
          <w:color w:val="auto"/>
          <w:sz w:val="28"/>
          <w:szCs w:val="28"/>
          <w:lang w:val="en-US" w:eastAsia="zh-CN" w:bidi="zh-CN"/>
        </w:rPr>
        <w:sectPr>
          <w:pgSz w:w="16838" w:h="11906" w:orient="landscape"/>
          <w:pgMar w:top="1531" w:right="2098" w:bottom="1531" w:left="1984" w:header="851" w:footer="992" w:gutter="0"/>
          <w:pgNumType w:fmt="numberInDash"/>
          <w:cols w:space="720" w:num="1"/>
          <w:docGrid w:type="lines" w:linePitch="312" w:charSpace="0"/>
        </w:sectPr>
      </w:pPr>
      <w:r>
        <w:rPr>
          <w:rFonts w:hint="default" w:ascii="Times New Roman" w:hAnsi="Times New Roman" w:eastAsia="仿宋_GB2312" w:cs="Times New Roman"/>
          <w:color w:val="auto"/>
          <w:sz w:val="28"/>
          <w:szCs w:val="28"/>
          <w:lang w:val="en-US" w:eastAsia="zh-CN" w:bidi="zh-CN"/>
        </w:rPr>
        <w:drawing>
          <wp:anchor distT="0" distB="0" distL="114300" distR="114300" simplePos="0" relativeHeight="251667456" behindDoc="0" locked="0" layoutInCell="1" allowOverlap="1">
            <wp:simplePos x="0" y="0"/>
            <wp:positionH relativeFrom="column">
              <wp:posOffset>-638175</wp:posOffset>
            </wp:positionH>
            <wp:positionV relativeFrom="paragraph">
              <wp:posOffset>-458470</wp:posOffset>
            </wp:positionV>
            <wp:extent cx="9770110" cy="6907530"/>
            <wp:effectExtent l="0" t="0" r="8890" b="1270"/>
            <wp:wrapTopAndBottom/>
            <wp:docPr id="14" name="图片 14" descr="附表1商服用地宗地地价修正系数及说明表_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图片 14" descr="附表1商服用地宗地地价修正系数及说明表_05"/>
                    <pic:cNvPicPr>
                      <a:picLocks noChangeAspect="1"/>
                    </pic:cNvPicPr>
                  </pic:nvPicPr>
                  <pic:blipFill>
                    <a:blip r:embed="rId19"/>
                    <a:stretch>
                      <a:fillRect/>
                    </a:stretch>
                  </pic:blipFill>
                  <pic:spPr>
                    <a:xfrm>
                      <a:off x="0" y="0"/>
                      <a:ext cx="9770110" cy="6907530"/>
                    </a:xfrm>
                    <a:prstGeom prst="rect">
                      <a:avLst/>
                    </a:prstGeom>
                  </pic:spPr>
                </pic:pic>
              </a:graphicData>
            </a:graphic>
          </wp:anchor>
        </w:drawing>
      </w:r>
    </w:p>
    <w:p w14:paraId="46C7651D">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right="0" w:rightChars="0"/>
        <w:jc w:val="left"/>
        <w:textAlignment w:val="auto"/>
        <w:outlineLvl w:val="9"/>
        <w:rPr>
          <w:rFonts w:hint="default" w:ascii="Times New Roman" w:hAnsi="Times New Roman" w:eastAsia="仿宋_GB2312" w:cs="Times New Roman"/>
          <w:color w:val="auto"/>
          <w:sz w:val="28"/>
          <w:szCs w:val="28"/>
          <w:lang w:val="en-US" w:eastAsia="zh-CN" w:bidi="zh-CN"/>
        </w:rPr>
        <w:sectPr>
          <w:pgSz w:w="16838" w:h="11906" w:orient="landscape"/>
          <w:pgMar w:top="1531" w:right="2098" w:bottom="1531" w:left="1984" w:header="851" w:footer="992" w:gutter="0"/>
          <w:pgNumType w:fmt="numberInDash"/>
          <w:cols w:space="720" w:num="1"/>
          <w:docGrid w:type="lines" w:linePitch="312" w:charSpace="0"/>
        </w:sectPr>
      </w:pPr>
      <w:r>
        <w:rPr>
          <w:rFonts w:hint="default" w:ascii="Times New Roman" w:hAnsi="Times New Roman" w:eastAsia="仿宋_GB2312" w:cs="Times New Roman"/>
          <w:color w:val="auto"/>
          <w:sz w:val="28"/>
          <w:szCs w:val="28"/>
          <w:lang w:val="en-US" w:eastAsia="zh-CN" w:bidi="zh-CN"/>
        </w:rPr>
        <w:drawing>
          <wp:anchor distT="0" distB="0" distL="114300" distR="114300" simplePos="0" relativeHeight="251668480" behindDoc="0" locked="0" layoutInCell="1" allowOverlap="1">
            <wp:simplePos x="0" y="0"/>
            <wp:positionH relativeFrom="column">
              <wp:posOffset>-560705</wp:posOffset>
            </wp:positionH>
            <wp:positionV relativeFrom="paragraph">
              <wp:posOffset>-627380</wp:posOffset>
            </wp:positionV>
            <wp:extent cx="9759950" cy="6901180"/>
            <wp:effectExtent l="0" t="0" r="6350" b="7620"/>
            <wp:wrapTopAndBottom/>
            <wp:docPr id="20" name="图片 20" descr="附表1商服用地宗地地价修正系数及说明表_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图片 20" descr="附表1商服用地宗地地价修正系数及说明表_06"/>
                    <pic:cNvPicPr>
                      <a:picLocks noChangeAspect="1"/>
                    </pic:cNvPicPr>
                  </pic:nvPicPr>
                  <pic:blipFill>
                    <a:blip r:embed="rId20"/>
                    <a:stretch>
                      <a:fillRect/>
                    </a:stretch>
                  </pic:blipFill>
                  <pic:spPr>
                    <a:xfrm>
                      <a:off x="0" y="0"/>
                      <a:ext cx="9759950" cy="6901180"/>
                    </a:xfrm>
                    <a:prstGeom prst="rect">
                      <a:avLst/>
                    </a:prstGeom>
                  </pic:spPr>
                </pic:pic>
              </a:graphicData>
            </a:graphic>
          </wp:anchor>
        </w:drawing>
      </w:r>
    </w:p>
    <w:p w14:paraId="07E586E4">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right="0" w:rightChars="0"/>
        <w:jc w:val="left"/>
        <w:textAlignment w:val="auto"/>
        <w:outlineLvl w:val="9"/>
        <w:rPr>
          <w:rFonts w:hint="default" w:ascii="Times New Roman" w:hAnsi="Times New Roman" w:eastAsia="仿宋_GB2312" w:cs="Times New Roman"/>
          <w:color w:val="auto"/>
          <w:sz w:val="28"/>
          <w:szCs w:val="28"/>
          <w:lang w:val="en-US" w:eastAsia="zh-CN" w:bidi="zh-CN"/>
        </w:rPr>
        <w:sectPr>
          <w:pgSz w:w="16838" w:h="11906" w:orient="landscape"/>
          <w:pgMar w:top="1531" w:right="2098" w:bottom="1531" w:left="1984" w:header="851" w:footer="992" w:gutter="0"/>
          <w:pgNumType w:fmt="numberInDash"/>
          <w:cols w:space="720" w:num="1"/>
          <w:docGrid w:type="lines" w:linePitch="312" w:charSpace="0"/>
        </w:sectPr>
      </w:pPr>
      <w:r>
        <w:rPr>
          <w:rFonts w:hint="default" w:ascii="Times New Roman" w:hAnsi="Times New Roman" w:eastAsia="仿宋_GB2312" w:cs="Times New Roman"/>
          <w:color w:val="auto"/>
          <w:sz w:val="28"/>
          <w:szCs w:val="28"/>
          <w:lang w:val="en-US" w:eastAsia="zh-CN" w:bidi="zh-CN"/>
        </w:rPr>
        <w:drawing>
          <wp:anchor distT="0" distB="0" distL="114300" distR="114300" simplePos="0" relativeHeight="251669504" behindDoc="0" locked="0" layoutInCell="1" allowOverlap="1">
            <wp:simplePos x="0" y="0"/>
            <wp:positionH relativeFrom="column">
              <wp:posOffset>-634365</wp:posOffset>
            </wp:positionH>
            <wp:positionV relativeFrom="paragraph">
              <wp:posOffset>-663575</wp:posOffset>
            </wp:positionV>
            <wp:extent cx="9760585" cy="6901180"/>
            <wp:effectExtent l="0" t="0" r="5715" b="7620"/>
            <wp:wrapTopAndBottom/>
            <wp:docPr id="21" name="图片 21" descr="附表1商服用地宗地地价修正系数及说明表_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图片 21" descr="附表1商服用地宗地地价修正系数及说明表_07"/>
                    <pic:cNvPicPr>
                      <a:picLocks noChangeAspect="1"/>
                    </pic:cNvPicPr>
                  </pic:nvPicPr>
                  <pic:blipFill>
                    <a:blip r:embed="rId21"/>
                    <a:stretch>
                      <a:fillRect/>
                    </a:stretch>
                  </pic:blipFill>
                  <pic:spPr>
                    <a:xfrm>
                      <a:off x="0" y="0"/>
                      <a:ext cx="9760585" cy="6901180"/>
                    </a:xfrm>
                    <a:prstGeom prst="rect">
                      <a:avLst/>
                    </a:prstGeom>
                  </pic:spPr>
                </pic:pic>
              </a:graphicData>
            </a:graphic>
          </wp:anchor>
        </w:drawing>
      </w:r>
    </w:p>
    <w:p w14:paraId="0B73A351">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right="0" w:rightChars="0"/>
        <w:jc w:val="left"/>
        <w:textAlignment w:val="auto"/>
        <w:outlineLvl w:val="9"/>
        <w:rPr>
          <w:rFonts w:hint="default" w:ascii="Times New Roman" w:hAnsi="Times New Roman" w:eastAsia="仿宋_GB2312" w:cs="Times New Roman"/>
          <w:color w:val="auto"/>
          <w:sz w:val="28"/>
          <w:szCs w:val="28"/>
          <w:lang w:val="en-US" w:eastAsia="zh-CN" w:bidi="zh-CN"/>
        </w:rPr>
        <w:sectPr>
          <w:pgSz w:w="16838" w:h="11906" w:orient="landscape"/>
          <w:pgMar w:top="1531" w:right="2098" w:bottom="1531" w:left="1984" w:header="851" w:footer="992" w:gutter="0"/>
          <w:pgNumType w:fmt="numberInDash"/>
          <w:cols w:space="720" w:num="1"/>
          <w:docGrid w:type="lines" w:linePitch="312" w:charSpace="0"/>
        </w:sectPr>
      </w:pPr>
      <w:r>
        <w:rPr>
          <w:rFonts w:hint="default" w:ascii="Times New Roman" w:hAnsi="Times New Roman" w:eastAsia="仿宋_GB2312" w:cs="Times New Roman"/>
          <w:color w:val="auto"/>
          <w:sz w:val="28"/>
          <w:szCs w:val="28"/>
          <w:lang w:val="en-US" w:eastAsia="zh-CN" w:bidi="zh-CN"/>
        </w:rPr>
        <w:drawing>
          <wp:anchor distT="0" distB="0" distL="114300" distR="114300" simplePos="0" relativeHeight="251670528" behindDoc="0" locked="0" layoutInCell="1" allowOverlap="1">
            <wp:simplePos x="0" y="0"/>
            <wp:positionH relativeFrom="column">
              <wp:posOffset>-643255</wp:posOffset>
            </wp:positionH>
            <wp:positionV relativeFrom="paragraph">
              <wp:posOffset>-85090</wp:posOffset>
            </wp:positionV>
            <wp:extent cx="9633585" cy="6811010"/>
            <wp:effectExtent l="0" t="0" r="5715" b="8890"/>
            <wp:wrapTopAndBottom/>
            <wp:docPr id="22" name="图片 22" descr="附表1商服用地宗地地价修正系数及说明表_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图片 22" descr="附表1商服用地宗地地价修正系数及说明表_08"/>
                    <pic:cNvPicPr>
                      <a:picLocks noChangeAspect="1"/>
                    </pic:cNvPicPr>
                  </pic:nvPicPr>
                  <pic:blipFill>
                    <a:blip r:embed="rId22"/>
                    <a:stretch>
                      <a:fillRect/>
                    </a:stretch>
                  </pic:blipFill>
                  <pic:spPr>
                    <a:xfrm>
                      <a:off x="0" y="0"/>
                      <a:ext cx="9633585" cy="6811010"/>
                    </a:xfrm>
                    <a:prstGeom prst="rect">
                      <a:avLst/>
                    </a:prstGeom>
                  </pic:spPr>
                </pic:pic>
              </a:graphicData>
            </a:graphic>
          </wp:anchor>
        </w:drawing>
      </w:r>
    </w:p>
    <w:p w14:paraId="0C4ABDFC">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right="0" w:rightChars="0"/>
        <w:jc w:val="left"/>
        <w:textAlignment w:val="auto"/>
        <w:outlineLvl w:val="9"/>
        <w:rPr>
          <w:rFonts w:hint="default" w:ascii="Times New Roman" w:hAnsi="Times New Roman" w:eastAsia="仿宋_GB2312" w:cs="Times New Roman"/>
          <w:color w:val="auto"/>
          <w:sz w:val="28"/>
          <w:szCs w:val="28"/>
          <w:lang w:val="en-US" w:eastAsia="zh-CN" w:bidi="zh-CN"/>
        </w:rPr>
        <w:sectPr>
          <w:pgSz w:w="16838" w:h="11906" w:orient="landscape"/>
          <w:pgMar w:top="1531" w:right="2098" w:bottom="1531" w:left="1984" w:header="851" w:footer="992" w:gutter="0"/>
          <w:pgNumType w:fmt="numberInDash"/>
          <w:cols w:space="720" w:num="1"/>
          <w:docGrid w:type="lines" w:linePitch="312" w:charSpace="0"/>
        </w:sectPr>
      </w:pPr>
      <w:r>
        <w:rPr>
          <w:rFonts w:hint="default" w:ascii="Times New Roman" w:hAnsi="Times New Roman" w:eastAsia="仿宋_GB2312" w:cs="Times New Roman"/>
          <w:color w:val="auto"/>
          <w:sz w:val="28"/>
          <w:szCs w:val="28"/>
          <w:lang w:val="en-US" w:eastAsia="zh-CN" w:bidi="zh-CN"/>
        </w:rPr>
        <w:drawing>
          <wp:anchor distT="0" distB="0" distL="114300" distR="114300" simplePos="0" relativeHeight="251671552" behindDoc="0" locked="0" layoutInCell="1" allowOverlap="1">
            <wp:simplePos x="0" y="0"/>
            <wp:positionH relativeFrom="column">
              <wp:posOffset>-490220</wp:posOffset>
            </wp:positionH>
            <wp:positionV relativeFrom="paragraph">
              <wp:posOffset>-471170</wp:posOffset>
            </wp:positionV>
            <wp:extent cx="9514205" cy="6727190"/>
            <wp:effectExtent l="0" t="0" r="10795" b="3810"/>
            <wp:wrapTopAndBottom/>
            <wp:docPr id="23" name="图片 23" descr="附表1商服用地宗地地价修正系数及说明表_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图片 23" descr="附表1商服用地宗地地价修正系数及说明表_09"/>
                    <pic:cNvPicPr>
                      <a:picLocks noChangeAspect="1"/>
                    </pic:cNvPicPr>
                  </pic:nvPicPr>
                  <pic:blipFill>
                    <a:blip r:embed="rId23"/>
                    <a:stretch>
                      <a:fillRect/>
                    </a:stretch>
                  </pic:blipFill>
                  <pic:spPr>
                    <a:xfrm>
                      <a:off x="0" y="0"/>
                      <a:ext cx="9514205" cy="6727190"/>
                    </a:xfrm>
                    <a:prstGeom prst="rect">
                      <a:avLst/>
                    </a:prstGeom>
                  </pic:spPr>
                </pic:pic>
              </a:graphicData>
            </a:graphic>
          </wp:anchor>
        </w:drawing>
      </w:r>
    </w:p>
    <w:p w14:paraId="36F0DA45">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right="0" w:rightChars="0"/>
        <w:jc w:val="left"/>
        <w:textAlignment w:val="auto"/>
        <w:outlineLvl w:val="9"/>
        <w:rPr>
          <w:rFonts w:hint="default" w:ascii="Times New Roman" w:hAnsi="Times New Roman" w:eastAsia="仿宋_GB2312" w:cs="Times New Roman"/>
          <w:color w:val="auto"/>
          <w:sz w:val="28"/>
          <w:szCs w:val="28"/>
          <w:lang w:val="en-US" w:eastAsia="zh-CN" w:bidi="zh-CN"/>
        </w:rPr>
        <w:sectPr>
          <w:pgSz w:w="16838" w:h="11906" w:orient="landscape"/>
          <w:pgMar w:top="1531" w:right="2098" w:bottom="1531" w:left="1984" w:header="851" w:footer="992" w:gutter="0"/>
          <w:pgNumType w:fmt="numberInDash"/>
          <w:cols w:space="720" w:num="1"/>
          <w:docGrid w:type="lines" w:linePitch="312" w:charSpace="0"/>
        </w:sectPr>
      </w:pPr>
      <w:r>
        <w:rPr>
          <w:rFonts w:hint="default" w:ascii="Times New Roman" w:hAnsi="Times New Roman" w:eastAsia="仿宋_GB2312" w:cs="Times New Roman"/>
          <w:color w:val="auto"/>
          <w:sz w:val="28"/>
          <w:szCs w:val="28"/>
          <w:lang w:val="en-US" w:eastAsia="zh-CN" w:bidi="zh-CN"/>
        </w:rPr>
        <w:drawing>
          <wp:anchor distT="0" distB="0" distL="114300" distR="114300" simplePos="0" relativeHeight="251672576" behindDoc="0" locked="0" layoutInCell="1" allowOverlap="1">
            <wp:simplePos x="0" y="0"/>
            <wp:positionH relativeFrom="column">
              <wp:posOffset>-580390</wp:posOffset>
            </wp:positionH>
            <wp:positionV relativeFrom="paragraph">
              <wp:posOffset>-491490</wp:posOffset>
            </wp:positionV>
            <wp:extent cx="9492615" cy="6711950"/>
            <wp:effectExtent l="0" t="0" r="6985" b="6350"/>
            <wp:wrapTopAndBottom/>
            <wp:docPr id="24" name="图片 24" descr="附表1商服用地宗地地价修正系数及说明表_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图片 24" descr="附表1商服用地宗地地价修正系数及说明表_10"/>
                    <pic:cNvPicPr>
                      <a:picLocks noChangeAspect="1"/>
                    </pic:cNvPicPr>
                  </pic:nvPicPr>
                  <pic:blipFill>
                    <a:blip r:embed="rId24"/>
                    <a:stretch>
                      <a:fillRect/>
                    </a:stretch>
                  </pic:blipFill>
                  <pic:spPr>
                    <a:xfrm>
                      <a:off x="0" y="0"/>
                      <a:ext cx="9492615" cy="6711950"/>
                    </a:xfrm>
                    <a:prstGeom prst="rect">
                      <a:avLst/>
                    </a:prstGeom>
                  </pic:spPr>
                </pic:pic>
              </a:graphicData>
            </a:graphic>
          </wp:anchor>
        </w:drawing>
      </w:r>
    </w:p>
    <w:p w14:paraId="5A70F96C">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right="0" w:rightChars="0"/>
        <w:jc w:val="left"/>
        <w:textAlignment w:val="auto"/>
        <w:outlineLvl w:val="9"/>
        <w:rPr>
          <w:rFonts w:hint="default" w:ascii="Times New Roman" w:hAnsi="Times New Roman" w:eastAsia="仿宋_GB2312" w:cs="Times New Roman"/>
          <w:color w:val="auto"/>
          <w:sz w:val="28"/>
          <w:szCs w:val="28"/>
          <w:lang w:val="en-US" w:eastAsia="zh-CN" w:bidi="zh-CN"/>
        </w:rPr>
        <w:sectPr>
          <w:pgSz w:w="16838" w:h="11906" w:orient="landscape"/>
          <w:pgMar w:top="1531" w:right="2098" w:bottom="1531" w:left="1984" w:header="851" w:footer="992" w:gutter="0"/>
          <w:pgNumType w:fmt="numberInDash"/>
          <w:cols w:space="720" w:num="1"/>
          <w:docGrid w:type="lines" w:linePitch="312" w:charSpace="0"/>
        </w:sectPr>
      </w:pPr>
      <w:r>
        <w:rPr>
          <w:rFonts w:hint="default" w:ascii="Times New Roman" w:hAnsi="Times New Roman" w:eastAsia="仿宋_GB2312" w:cs="Times New Roman"/>
          <w:color w:val="auto"/>
          <w:sz w:val="28"/>
          <w:szCs w:val="28"/>
          <w:lang w:val="en-US" w:eastAsia="zh-CN" w:bidi="zh-CN"/>
        </w:rPr>
        <w:drawing>
          <wp:anchor distT="0" distB="0" distL="114300" distR="114300" simplePos="0" relativeHeight="251673600" behindDoc="0" locked="0" layoutInCell="1" allowOverlap="1">
            <wp:simplePos x="0" y="0"/>
            <wp:positionH relativeFrom="column">
              <wp:posOffset>-632460</wp:posOffset>
            </wp:positionH>
            <wp:positionV relativeFrom="paragraph">
              <wp:posOffset>-247015</wp:posOffset>
            </wp:positionV>
            <wp:extent cx="9606280" cy="6792595"/>
            <wp:effectExtent l="0" t="0" r="7620" b="1905"/>
            <wp:wrapTopAndBottom/>
            <wp:docPr id="25" name="图片 25" descr="附表1商服用地宗地地价修正系数及说明表_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图片 25" descr="附表1商服用地宗地地价修正系数及说明表_11"/>
                    <pic:cNvPicPr>
                      <a:picLocks noChangeAspect="1"/>
                    </pic:cNvPicPr>
                  </pic:nvPicPr>
                  <pic:blipFill>
                    <a:blip r:embed="rId25"/>
                    <a:stretch>
                      <a:fillRect/>
                    </a:stretch>
                  </pic:blipFill>
                  <pic:spPr>
                    <a:xfrm>
                      <a:off x="0" y="0"/>
                      <a:ext cx="9606280" cy="6792595"/>
                    </a:xfrm>
                    <a:prstGeom prst="rect">
                      <a:avLst/>
                    </a:prstGeom>
                  </pic:spPr>
                </pic:pic>
              </a:graphicData>
            </a:graphic>
          </wp:anchor>
        </w:drawing>
      </w:r>
    </w:p>
    <w:p w14:paraId="28177A75">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right="0" w:rightChars="0"/>
        <w:jc w:val="left"/>
        <w:textAlignment w:val="auto"/>
        <w:outlineLvl w:val="9"/>
        <w:rPr>
          <w:rFonts w:hint="default" w:ascii="Times New Roman" w:hAnsi="Times New Roman" w:eastAsia="仿宋_GB2312" w:cs="Times New Roman"/>
          <w:color w:val="auto"/>
          <w:sz w:val="28"/>
          <w:szCs w:val="28"/>
          <w:lang w:val="en-US" w:eastAsia="zh-CN" w:bidi="zh-CN"/>
        </w:rPr>
        <w:sectPr>
          <w:pgSz w:w="16838" w:h="11906" w:orient="landscape"/>
          <w:pgMar w:top="1531" w:right="2098" w:bottom="1531" w:left="1984" w:header="851" w:footer="992" w:gutter="0"/>
          <w:pgNumType w:fmt="numberInDash"/>
          <w:cols w:space="720" w:num="1"/>
          <w:docGrid w:type="lines" w:linePitch="312" w:charSpace="0"/>
        </w:sectPr>
      </w:pPr>
      <w:r>
        <w:rPr>
          <w:rFonts w:hint="default" w:ascii="Times New Roman" w:hAnsi="Times New Roman" w:eastAsia="仿宋_GB2312" w:cs="Times New Roman"/>
          <w:color w:val="auto"/>
          <w:sz w:val="28"/>
          <w:szCs w:val="28"/>
          <w:lang w:val="en-US" w:eastAsia="zh-CN" w:bidi="zh-CN"/>
        </w:rPr>
        <w:drawing>
          <wp:anchor distT="0" distB="0" distL="114300" distR="114300" simplePos="0" relativeHeight="251674624" behindDoc="0" locked="0" layoutInCell="1" allowOverlap="1">
            <wp:simplePos x="0" y="0"/>
            <wp:positionH relativeFrom="column">
              <wp:posOffset>-635000</wp:posOffset>
            </wp:positionH>
            <wp:positionV relativeFrom="paragraph">
              <wp:posOffset>-309880</wp:posOffset>
            </wp:positionV>
            <wp:extent cx="9647555" cy="6821170"/>
            <wp:effectExtent l="0" t="0" r="4445" b="11430"/>
            <wp:wrapTopAndBottom/>
            <wp:docPr id="26" name="图片 26" descr="附表1商服用地宗地地价修正系数及说明表_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图片 26" descr="附表1商服用地宗地地价修正系数及说明表_12"/>
                    <pic:cNvPicPr>
                      <a:picLocks noChangeAspect="1"/>
                    </pic:cNvPicPr>
                  </pic:nvPicPr>
                  <pic:blipFill>
                    <a:blip r:embed="rId26"/>
                    <a:stretch>
                      <a:fillRect/>
                    </a:stretch>
                  </pic:blipFill>
                  <pic:spPr>
                    <a:xfrm>
                      <a:off x="0" y="0"/>
                      <a:ext cx="9647555" cy="6821170"/>
                    </a:xfrm>
                    <a:prstGeom prst="rect">
                      <a:avLst/>
                    </a:prstGeom>
                  </pic:spPr>
                </pic:pic>
              </a:graphicData>
            </a:graphic>
          </wp:anchor>
        </w:drawing>
      </w:r>
    </w:p>
    <w:p w14:paraId="052840F5">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right="0" w:rightChars="0"/>
        <w:jc w:val="left"/>
        <w:textAlignment w:val="auto"/>
        <w:outlineLvl w:val="9"/>
        <w:rPr>
          <w:rFonts w:hint="default" w:ascii="Times New Roman" w:hAnsi="Times New Roman" w:eastAsia="仿宋_GB2312" w:cs="Times New Roman"/>
          <w:color w:val="auto"/>
          <w:sz w:val="28"/>
          <w:szCs w:val="28"/>
          <w:lang w:val="en-US" w:eastAsia="zh-CN" w:bidi="zh-CN"/>
        </w:rPr>
        <w:sectPr>
          <w:pgSz w:w="16838" w:h="11906" w:orient="landscape"/>
          <w:pgMar w:top="1531" w:right="2098" w:bottom="1531" w:left="1984" w:header="851" w:footer="992" w:gutter="0"/>
          <w:pgNumType w:fmt="numberInDash"/>
          <w:cols w:space="720" w:num="1"/>
          <w:docGrid w:type="lines" w:linePitch="312" w:charSpace="0"/>
        </w:sectPr>
      </w:pPr>
      <w:r>
        <w:rPr>
          <w:rFonts w:hint="default" w:ascii="Times New Roman" w:hAnsi="Times New Roman" w:eastAsia="仿宋_GB2312" w:cs="Times New Roman"/>
          <w:color w:val="auto"/>
          <w:sz w:val="28"/>
          <w:szCs w:val="28"/>
          <w:lang w:val="en-US" w:eastAsia="zh-CN" w:bidi="zh-CN"/>
        </w:rPr>
        <w:drawing>
          <wp:anchor distT="0" distB="0" distL="114300" distR="114300" simplePos="0" relativeHeight="251675648" behindDoc="0" locked="0" layoutInCell="1" allowOverlap="1">
            <wp:simplePos x="0" y="0"/>
            <wp:positionH relativeFrom="column">
              <wp:posOffset>-589280</wp:posOffset>
            </wp:positionH>
            <wp:positionV relativeFrom="paragraph">
              <wp:posOffset>-292100</wp:posOffset>
            </wp:positionV>
            <wp:extent cx="9523730" cy="6733540"/>
            <wp:effectExtent l="0" t="0" r="1270" b="10160"/>
            <wp:wrapTopAndBottom/>
            <wp:docPr id="27" name="图片 27" descr="附表1商服用地宗地地价修正系数及说明表_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图片 27" descr="附表1商服用地宗地地价修正系数及说明表_13"/>
                    <pic:cNvPicPr>
                      <a:picLocks noChangeAspect="1"/>
                    </pic:cNvPicPr>
                  </pic:nvPicPr>
                  <pic:blipFill>
                    <a:blip r:embed="rId27"/>
                    <a:stretch>
                      <a:fillRect/>
                    </a:stretch>
                  </pic:blipFill>
                  <pic:spPr>
                    <a:xfrm>
                      <a:off x="0" y="0"/>
                      <a:ext cx="9523730" cy="6733540"/>
                    </a:xfrm>
                    <a:prstGeom prst="rect">
                      <a:avLst/>
                    </a:prstGeom>
                  </pic:spPr>
                </pic:pic>
              </a:graphicData>
            </a:graphic>
          </wp:anchor>
        </w:drawing>
      </w:r>
    </w:p>
    <w:p w14:paraId="769DBB48">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right="0" w:rightChars="0"/>
        <w:jc w:val="left"/>
        <w:textAlignment w:val="auto"/>
        <w:outlineLvl w:val="9"/>
        <w:rPr>
          <w:rFonts w:hint="default" w:ascii="Times New Roman" w:hAnsi="Times New Roman" w:eastAsia="仿宋_GB2312" w:cs="Times New Roman"/>
          <w:color w:val="auto"/>
          <w:sz w:val="28"/>
          <w:szCs w:val="28"/>
          <w:lang w:val="en-US" w:eastAsia="zh-CN" w:bidi="zh-CN"/>
        </w:rPr>
        <w:sectPr>
          <w:pgSz w:w="16838" w:h="11906" w:orient="landscape"/>
          <w:pgMar w:top="1531" w:right="2098" w:bottom="1531" w:left="1984" w:header="851" w:footer="992" w:gutter="0"/>
          <w:pgNumType w:fmt="numberInDash"/>
          <w:cols w:space="720" w:num="1"/>
          <w:docGrid w:type="lines" w:linePitch="312" w:charSpace="0"/>
        </w:sectPr>
      </w:pPr>
      <w:r>
        <w:rPr>
          <w:rFonts w:hint="default" w:ascii="Times New Roman" w:hAnsi="Times New Roman" w:eastAsia="仿宋_GB2312" w:cs="Times New Roman"/>
          <w:color w:val="auto"/>
          <w:sz w:val="28"/>
          <w:szCs w:val="28"/>
          <w:lang w:val="en-US" w:eastAsia="zh-CN" w:bidi="zh-CN"/>
        </w:rPr>
        <w:drawing>
          <wp:anchor distT="0" distB="0" distL="114300" distR="114300" simplePos="0" relativeHeight="251676672" behindDoc="0" locked="0" layoutInCell="1" allowOverlap="1">
            <wp:simplePos x="0" y="0"/>
            <wp:positionH relativeFrom="column">
              <wp:posOffset>-509905</wp:posOffset>
            </wp:positionH>
            <wp:positionV relativeFrom="paragraph">
              <wp:posOffset>-633095</wp:posOffset>
            </wp:positionV>
            <wp:extent cx="9479280" cy="6701790"/>
            <wp:effectExtent l="0" t="0" r="7620" b="3810"/>
            <wp:wrapTopAndBottom/>
            <wp:docPr id="28" name="图片 28" descr="附表1商服用地宗地地价修正系数及说明表_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图片 28" descr="附表1商服用地宗地地价修正系数及说明表_14"/>
                    <pic:cNvPicPr>
                      <a:picLocks noChangeAspect="1"/>
                    </pic:cNvPicPr>
                  </pic:nvPicPr>
                  <pic:blipFill>
                    <a:blip r:embed="rId28"/>
                    <a:stretch>
                      <a:fillRect/>
                    </a:stretch>
                  </pic:blipFill>
                  <pic:spPr>
                    <a:xfrm>
                      <a:off x="0" y="0"/>
                      <a:ext cx="9479280" cy="6701790"/>
                    </a:xfrm>
                    <a:prstGeom prst="rect">
                      <a:avLst/>
                    </a:prstGeom>
                  </pic:spPr>
                </pic:pic>
              </a:graphicData>
            </a:graphic>
          </wp:anchor>
        </w:drawing>
      </w:r>
    </w:p>
    <w:p w14:paraId="4C4E1257">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right="0" w:rightChars="0"/>
        <w:jc w:val="left"/>
        <w:textAlignment w:val="auto"/>
        <w:outlineLvl w:val="9"/>
        <w:rPr>
          <w:rFonts w:hint="default" w:ascii="Times New Roman" w:hAnsi="Times New Roman" w:eastAsia="仿宋_GB2312" w:cs="Times New Roman"/>
          <w:color w:val="auto"/>
          <w:sz w:val="28"/>
          <w:szCs w:val="28"/>
          <w:lang w:val="en-US" w:eastAsia="zh-CN" w:bidi="zh-CN"/>
        </w:rPr>
        <w:sectPr>
          <w:pgSz w:w="16838" w:h="11906" w:orient="landscape"/>
          <w:pgMar w:top="1531" w:right="2098" w:bottom="1531" w:left="1984" w:header="851" w:footer="992" w:gutter="0"/>
          <w:pgNumType w:fmt="numberInDash"/>
          <w:cols w:space="720" w:num="1"/>
          <w:docGrid w:type="lines" w:linePitch="312" w:charSpace="0"/>
        </w:sectPr>
      </w:pPr>
      <w:bookmarkStart w:id="10" w:name="_GoBack"/>
      <w:r>
        <w:rPr>
          <w:rFonts w:hint="default" w:ascii="Times New Roman" w:hAnsi="Times New Roman" w:eastAsia="仿宋_GB2312" w:cs="Times New Roman"/>
          <w:color w:val="auto"/>
          <w:sz w:val="28"/>
          <w:szCs w:val="28"/>
          <w:lang w:val="en-US" w:eastAsia="zh-CN" w:bidi="zh-CN"/>
        </w:rPr>
        <w:drawing>
          <wp:anchor distT="0" distB="0" distL="114300" distR="114300" simplePos="0" relativeHeight="251677696" behindDoc="0" locked="0" layoutInCell="1" allowOverlap="1">
            <wp:simplePos x="0" y="0"/>
            <wp:positionH relativeFrom="column">
              <wp:posOffset>-486410</wp:posOffset>
            </wp:positionH>
            <wp:positionV relativeFrom="paragraph">
              <wp:posOffset>-41910</wp:posOffset>
            </wp:positionV>
            <wp:extent cx="9378950" cy="6488430"/>
            <wp:effectExtent l="0" t="0" r="6350" b="1270"/>
            <wp:wrapTopAndBottom/>
            <wp:docPr id="29" name="图片 29" descr="附表1商服用地宗地地价修正系数及说明表_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图片 29" descr="附表1商服用地宗地地价修正系数及说明表_15"/>
                    <pic:cNvPicPr>
                      <a:picLocks noChangeAspect="1"/>
                    </pic:cNvPicPr>
                  </pic:nvPicPr>
                  <pic:blipFill>
                    <a:blip r:embed="rId29"/>
                    <a:stretch>
                      <a:fillRect/>
                    </a:stretch>
                  </pic:blipFill>
                  <pic:spPr>
                    <a:xfrm>
                      <a:off x="0" y="0"/>
                      <a:ext cx="9378950" cy="6488430"/>
                    </a:xfrm>
                    <a:prstGeom prst="rect">
                      <a:avLst/>
                    </a:prstGeom>
                  </pic:spPr>
                </pic:pic>
              </a:graphicData>
            </a:graphic>
          </wp:anchor>
        </w:drawing>
      </w:r>
      <w:bookmarkEnd w:id="10"/>
    </w:p>
    <w:p w14:paraId="3CF87F28">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right="0" w:rightChars="0"/>
        <w:jc w:val="left"/>
        <w:textAlignment w:val="auto"/>
        <w:outlineLvl w:val="9"/>
        <w:rPr>
          <w:rFonts w:hint="default" w:ascii="Times New Roman" w:hAnsi="Times New Roman" w:eastAsia="仿宋_GB2312" w:cs="Times New Roman"/>
          <w:color w:val="auto"/>
          <w:sz w:val="28"/>
          <w:szCs w:val="28"/>
          <w:lang w:val="en-US" w:eastAsia="zh-CN" w:bidi="zh-CN"/>
        </w:rPr>
        <w:sectPr>
          <w:pgSz w:w="16838" w:h="11906" w:orient="landscape"/>
          <w:pgMar w:top="1531" w:right="2098" w:bottom="1531" w:left="1984" w:header="851" w:footer="992" w:gutter="0"/>
          <w:pgNumType w:fmt="numberInDash"/>
          <w:cols w:space="720" w:num="1"/>
          <w:docGrid w:type="lines" w:linePitch="312" w:charSpace="0"/>
        </w:sectPr>
      </w:pPr>
      <w:r>
        <w:rPr>
          <w:rFonts w:hint="default" w:ascii="Times New Roman" w:hAnsi="Times New Roman" w:eastAsia="仿宋_GB2312" w:cs="Times New Roman"/>
          <w:color w:val="auto"/>
          <w:sz w:val="28"/>
          <w:szCs w:val="28"/>
          <w:lang w:val="en-US" w:eastAsia="zh-CN" w:bidi="zh-CN"/>
        </w:rPr>
        <w:drawing>
          <wp:anchor distT="0" distB="0" distL="114300" distR="114300" simplePos="0" relativeHeight="251678720" behindDoc="0" locked="0" layoutInCell="1" allowOverlap="1">
            <wp:simplePos x="0" y="0"/>
            <wp:positionH relativeFrom="column">
              <wp:posOffset>-623570</wp:posOffset>
            </wp:positionH>
            <wp:positionV relativeFrom="paragraph">
              <wp:posOffset>-644525</wp:posOffset>
            </wp:positionV>
            <wp:extent cx="9431020" cy="6668135"/>
            <wp:effectExtent l="0" t="0" r="5080" b="12065"/>
            <wp:wrapTopAndBottom/>
            <wp:docPr id="30" name="图片 30" descr="附表1商服用地宗地地价修正系数及说明表_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图片 30" descr="附表1商服用地宗地地价修正系数及说明表_16"/>
                    <pic:cNvPicPr>
                      <a:picLocks noChangeAspect="1"/>
                    </pic:cNvPicPr>
                  </pic:nvPicPr>
                  <pic:blipFill>
                    <a:blip r:embed="rId30"/>
                    <a:stretch>
                      <a:fillRect/>
                    </a:stretch>
                  </pic:blipFill>
                  <pic:spPr>
                    <a:xfrm>
                      <a:off x="0" y="0"/>
                      <a:ext cx="9431020" cy="6668135"/>
                    </a:xfrm>
                    <a:prstGeom prst="rect">
                      <a:avLst/>
                    </a:prstGeom>
                  </pic:spPr>
                </pic:pic>
              </a:graphicData>
            </a:graphic>
          </wp:anchor>
        </w:drawing>
      </w:r>
    </w:p>
    <w:p w14:paraId="1D1613DC">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right="0" w:rightChars="0"/>
        <w:jc w:val="left"/>
        <w:textAlignment w:val="auto"/>
        <w:outlineLvl w:val="9"/>
        <w:rPr>
          <w:rFonts w:hint="default" w:ascii="Times New Roman" w:hAnsi="Times New Roman" w:eastAsia="仿宋_GB2312" w:cs="Times New Roman"/>
          <w:color w:val="auto"/>
          <w:sz w:val="28"/>
          <w:szCs w:val="28"/>
          <w:lang w:val="en-US" w:eastAsia="zh-CN" w:bidi="zh-CN"/>
        </w:rPr>
        <w:sectPr>
          <w:pgSz w:w="16838" w:h="11906" w:orient="landscape"/>
          <w:pgMar w:top="1531" w:right="2098" w:bottom="1531" w:left="1984" w:header="851" w:footer="992" w:gutter="0"/>
          <w:pgNumType w:fmt="numberInDash"/>
          <w:cols w:space="720" w:num="1"/>
          <w:docGrid w:type="lines" w:linePitch="312" w:charSpace="0"/>
        </w:sectPr>
      </w:pPr>
      <w:r>
        <w:rPr>
          <w:rFonts w:hint="default" w:ascii="Times New Roman" w:hAnsi="Times New Roman" w:eastAsia="仿宋_GB2312" w:cs="Times New Roman"/>
          <w:color w:val="auto"/>
          <w:sz w:val="28"/>
          <w:szCs w:val="28"/>
          <w:lang w:val="en-US" w:eastAsia="zh-CN" w:bidi="zh-CN"/>
        </w:rPr>
        <w:drawing>
          <wp:anchor distT="0" distB="0" distL="114300" distR="114300" simplePos="0" relativeHeight="251679744" behindDoc="0" locked="0" layoutInCell="1" allowOverlap="1">
            <wp:simplePos x="0" y="0"/>
            <wp:positionH relativeFrom="column">
              <wp:posOffset>-461645</wp:posOffset>
            </wp:positionH>
            <wp:positionV relativeFrom="paragraph">
              <wp:posOffset>-210185</wp:posOffset>
            </wp:positionV>
            <wp:extent cx="9173210" cy="6278880"/>
            <wp:effectExtent l="0" t="0" r="8890" b="7620"/>
            <wp:wrapTopAndBottom/>
            <wp:docPr id="31" name="图片 31" descr="附表1商服用地宗地地价修正系数及说明表_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 name="图片 31" descr="附表1商服用地宗地地价修正系数及说明表_17"/>
                    <pic:cNvPicPr>
                      <a:picLocks noChangeAspect="1"/>
                    </pic:cNvPicPr>
                  </pic:nvPicPr>
                  <pic:blipFill>
                    <a:blip r:embed="rId31"/>
                    <a:stretch>
                      <a:fillRect/>
                    </a:stretch>
                  </pic:blipFill>
                  <pic:spPr>
                    <a:xfrm>
                      <a:off x="0" y="0"/>
                      <a:ext cx="9173210" cy="6278880"/>
                    </a:xfrm>
                    <a:prstGeom prst="rect">
                      <a:avLst/>
                    </a:prstGeom>
                  </pic:spPr>
                </pic:pic>
              </a:graphicData>
            </a:graphic>
          </wp:anchor>
        </w:drawing>
      </w:r>
    </w:p>
    <w:p w14:paraId="04FAC16D">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right="0" w:rightChars="0"/>
        <w:jc w:val="left"/>
        <w:textAlignment w:val="auto"/>
        <w:outlineLvl w:val="9"/>
        <w:rPr>
          <w:rFonts w:hint="default" w:ascii="Times New Roman" w:hAnsi="Times New Roman" w:eastAsia="仿宋_GB2312" w:cs="Times New Roman"/>
          <w:color w:val="auto"/>
          <w:sz w:val="28"/>
          <w:szCs w:val="28"/>
          <w:lang w:val="en-US" w:eastAsia="zh-CN" w:bidi="zh-CN"/>
        </w:rPr>
        <w:sectPr>
          <w:pgSz w:w="16838" w:h="11906" w:orient="landscape"/>
          <w:pgMar w:top="1531" w:right="2098" w:bottom="1531" w:left="1984" w:header="851" w:footer="992" w:gutter="0"/>
          <w:pgNumType w:fmt="numberInDash"/>
          <w:cols w:space="720" w:num="1"/>
          <w:docGrid w:type="lines" w:linePitch="312" w:charSpace="0"/>
        </w:sectPr>
      </w:pPr>
      <w:r>
        <w:rPr>
          <w:rFonts w:hint="default" w:ascii="Times New Roman" w:hAnsi="Times New Roman" w:eastAsia="仿宋_GB2312" w:cs="Times New Roman"/>
          <w:color w:val="auto"/>
          <w:sz w:val="28"/>
          <w:szCs w:val="28"/>
          <w:lang w:val="en-US" w:eastAsia="zh-CN" w:bidi="zh-CN"/>
        </w:rPr>
        <w:drawing>
          <wp:anchor distT="0" distB="0" distL="114300" distR="114300" simplePos="0" relativeHeight="251680768" behindDoc="0" locked="0" layoutInCell="1" allowOverlap="1">
            <wp:simplePos x="0" y="0"/>
            <wp:positionH relativeFrom="column">
              <wp:posOffset>-528955</wp:posOffset>
            </wp:positionH>
            <wp:positionV relativeFrom="paragraph">
              <wp:posOffset>-411480</wp:posOffset>
            </wp:positionV>
            <wp:extent cx="9293225" cy="6570980"/>
            <wp:effectExtent l="0" t="0" r="3175" b="7620"/>
            <wp:wrapTopAndBottom/>
            <wp:docPr id="32" name="图片 32" descr="附表1商服用地宗地地价修正系数及说明表_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图片 32" descr="附表1商服用地宗地地价修正系数及说明表_18"/>
                    <pic:cNvPicPr>
                      <a:picLocks noChangeAspect="1"/>
                    </pic:cNvPicPr>
                  </pic:nvPicPr>
                  <pic:blipFill>
                    <a:blip r:embed="rId32"/>
                    <a:stretch>
                      <a:fillRect/>
                    </a:stretch>
                  </pic:blipFill>
                  <pic:spPr>
                    <a:xfrm>
                      <a:off x="0" y="0"/>
                      <a:ext cx="9293225" cy="6570980"/>
                    </a:xfrm>
                    <a:prstGeom prst="rect">
                      <a:avLst/>
                    </a:prstGeom>
                  </pic:spPr>
                </pic:pic>
              </a:graphicData>
            </a:graphic>
          </wp:anchor>
        </w:drawing>
      </w:r>
    </w:p>
    <w:p w14:paraId="45C497C9">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right="0" w:rightChars="0"/>
        <w:jc w:val="left"/>
        <w:textAlignment w:val="auto"/>
        <w:outlineLvl w:val="9"/>
        <w:rPr>
          <w:rFonts w:hint="default" w:ascii="Times New Roman" w:hAnsi="Times New Roman" w:eastAsia="仿宋_GB2312" w:cs="Times New Roman"/>
          <w:color w:val="auto"/>
          <w:sz w:val="28"/>
          <w:szCs w:val="28"/>
          <w:lang w:val="en-US" w:eastAsia="zh-CN" w:bidi="zh-CN"/>
        </w:rPr>
        <w:sectPr>
          <w:pgSz w:w="16838" w:h="11906" w:orient="landscape"/>
          <w:pgMar w:top="1531" w:right="2098" w:bottom="1531" w:left="1984" w:header="851" w:footer="992" w:gutter="0"/>
          <w:pgNumType w:fmt="numberInDash"/>
          <w:cols w:space="720" w:num="1"/>
          <w:docGrid w:type="lines" w:linePitch="312" w:charSpace="0"/>
        </w:sectPr>
      </w:pPr>
      <w:r>
        <w:rPr>
          <w:rFonts w:hint="default" w:ascii="Times New Roman" w:hAnsi="Times New Roman" w:eastAsia="仿宋_GB2312" w:cs="Times New Roman"/>
          <w:color w:val="auto"/>
          <w:sz w:val="28"/>
          <w:szCs w:val="28"/>
          <w:lang w:val="en-US" w:eastAsia="zh-CN" w:bidi="zh-CN"/>
        </w:rPr>
        <w:drawing>
          <wp:anchor distT="0" distB="0" distL="114300" distR="114300" simplePos="0" relativeHeight="251681792" behindDoc="0" locked="0" layoutInCell="1" allowOverlap="1">
            <wp:simplePos x="0" y="0"/>
            <wp:positionH relativeFrom="column">
              <wp:posOffset>-367665</wp:posOffset>
            </wp:positionH>
            <wp:positionV relativeFrom="paragraph">
              <wp:posOffset>-161290</wp:posOffset>
            </wp:positionV>
            <wp:extent cx="9050655" cy="6282690"/>
            <wp:effectExtent l="0" t="0" r="4445" b="3810"/>
            <wp:wrapTopAndBottom/>
            <wp:docPr id="33" name="图片 33" descr="附表1商服用地宗地地价修正系数及说明表_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 name="图片 33" descr="附表1商服用地宗地地价修正系数及说明表_19"/>
                    <pic:cNvPicPr>
                      <a:picLocks noChangeAspect="1"/>
                    </pic:cNvPicPr>
                  </pic:nvPicPr>
                  <pic:blipFill>
                    <a:blip r:embed="rId33"/>
                    <a:stretch>
                      <a:fillRect/>
                    </a:stretch>
                  </pic:blipFill>
                  <pic:spPr>
                    <a:xfrm>
                      <a:off x="0" y="0"/>
                      <a:ext cx="9050655" cy="6282690"/>
                    </a:xfrm>
                    <a:prstGeom prst="rect">
                      <a:avLst/>
                    </a:prstGeom>
                  </pic:spPr>
                </pic:pic>
              </a:graphicData>
            </a:graphic>
          </wp:anchor>
        </w:drawing>
      </w:r>
    </w:p>
    <w:p w14:paraId="741BCBED">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right="0" w:rightChars="0"/>
        <w:jc w:val="left"/>
        <w:textAlignment w:val="auto"/>
        <w:outlineLvl w:val="9"/>
        <w:rPr>
          <w:rFonts w:hint="default" w:ascii="Times New Roman" w:hAnsi="Times New Roman" w:eastAsia="仿宋_GB2312" w:cs="Times New Roman"/>
          <w:color w:val="auto"/>
          <w:sz w:val="28"/>
          <w:szCs w:val="28"/>
          <w:lang w:val="en-US" w:eastAsia="zh-CN" w:bidi="zh-CN"/>
        </w:rPr>
        <w:sectPr>
          <w:pgSz w:w="16838" w:h="11906" w:orient="landscape"/>
          <w:pgMar w:top="1531" w:right="2098" w:bottom="1531" w:left="1984" w:header="851" w:footer="992" w:gutter="0"/>
          <w:pgNumType w:fmt="numberInDash"/>
          <w:cols w:space="720" w:num="1"/>
          <w:docGrid w:type="lines" w:linePitch="312" w:charSpace="0"/>
        </w:sectPr>
      </w:pPr>
      <w:r>
        <w:rPr>
          <w:rFonts w:hint="default" w:ascii="Times New Roman" w:hAnsi="Times New Roman" w:eastAsia="仿宋_GB2312" w:cs="Times New Roman"/>
          <w:color w:val="auto"/>
          <w:sz w:val="28"/>
          <w:szCs w:val="28"/>
          <w:lang w:val="en-US" w:eastAsia="zh-CN" w:bidi="zh-CN"/>
        </w:rPr>
        <w:drawing>
          <wp:anchor distT="0" distB="0" distL="114300" distR="114300" simplePos="0" relativeHeight="251682816" behindDoc="0" locked="0" layoutInCell="1" allowOverlap="1">
            <wp:simplePos x="0" y="0"/>
            <wp:positionH relativeFrom="column">
              <wp:posOffset>-597535</wp:posOffset>
            </wp:positionH>
            <wp:positionV relativeFrom="paragraph">
              <wp:posOffset>-596900</wp:posOffset>
            </wp:positionV>
            <wp:extent cx="9700895" cy="6859270"/>
            <wp:effectExtent l="0" t="0" r="1905" b="11430"/>
            <wp:wrapTopAndBottom/>
            <wp:docPr id="34" name="图片 34" descr="附表1商服用地宗地地价修正系数及说明表_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 name="图片 34" descr="附表1商服用地宗地地价修正系数及说明表_20"/>
                    <pic:cNvPicPr>
                      <a:picLocks noChangeAspect="1"/>
                    </pic:cNvPicPr>
                  </pic:nvPicPr>
                  <pic:blipFill>
                    <a:blip r:embed="rId34"/>
                    <a:stretch>
                      <a:fillRect/>
                    </a:stretch>
                  </pic:blipFill>
                  <pic:spPr>
                    <a:xfrm>
                      <a:off x="0" y="0"/>
                      <a:ext cx="9700895" cy="6859270"/>
                    </a:xfrm>
                    <a:prstGeom prst="rect">
                      <a:avLst/>
                    </a:prstGeom>
                  </pic:spPr>
                </pic:pic>
              </a:graphicData>
            </a:graphic>
          </wp:anchor>
        </w:drawing>
      </w:r>
    </w:p>
    <w:p w14:paraId="45B26F3C">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right="0" w:rightChars="0"/>
        <w:jc w:val="left"/>
        <w:textAlignment w:val="auto"/>
        <w:outlineLvl w:val="9"/>
        <w:rPr>
          <w:rFonts w:hint="default" w:ascii="Times New Roman" w:hAnsi="Times New Roman" w:eastAsia="仿宋_GB2312" w:cs="Times New Roman"/>
          <w:color w:val="auto"/>
          <w:sz w:val="28"/>
          <w:szCs w:val="28"/>
          <w:lang w:val="en-US" w:eastAsia="zh-CN" w:bidi="zh-CN"/>
        </w:rPr>
        <w:sectPr>
          <w:pgSz w:w="16838" w:h="11906" w:orient="landscape"/>
          <w:pgMar w:top="1531" w:right="2098" w:bottom="1531" w:left="1984" w:header="851" w:footer="992" w:gutter="0"/>
          <w:pgNumType w:fmt="numberInDash"/>
          <w:cols w:space="720" w:num="1"/>
          <w:docGrid w:type="lines" w:linePitch="312" w:charSpace="0"/>
        </w:sectPr>
      </w:pPr>
      <w:r>
        <w:rPr>
          <w:rFonts w:hint="default" w:ascii="Times New Roman" w:hAnsi="Times New Roman" w:eastAsia="仿宋_GB2312" w:cs="Times New Roman"/>
          <w:color w:val="auto"/>
          <w:sz w:val="28"/>
          <w:szCs w:val="28"/>
          <w:lang w:val="en-US" w:eastAsia="zh-CN" w:bidi="zh-CN"/>
        </w:rPr>
        <w:drawing>
          <wp:anchor distT="0" distB="0" distL="114300" distR="114300" simplePos="0" relativeHeight="251683840" behindDoc="0" locked="0" layoutInCell="1" allowOverlap="1">
            <wp:simplePos x="0" y="0"/>
            <wp:positionH relativeFrom="column">
              <wp:posOffset>-570865</wp:posOffset>
            </wp:positionH>
            <wp:positionV relativeFrom="paragraph">
              <wp:posOffset>-146685</wp:posOffset>
            </wp:positionV>
            <wp:extent cx="9631680" cy="6693535"/>
            <wp:effectExtent l="0" t="0" r="7620" b="12065"/>
            <wp:wrapTopAndBottom/>
            <wp:docPr id="35" name="图片 35" descr="附表1商服用地宗地地价修正系数及说明表_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 name="图片 35" descr="附表1商服用地宗地地价修正系数及说明表_21"/>
                    <pic:cNvPicPr>
                      <a:picLocks noChangeAspect="1"/>
                    </pic:cNvPicPr>
                  </pic:nvPicPr>
                  <pic:blipFill>
                    <a:blip r:embed="rId35"/>
                    <a:stretch>
                      <a:fillRect/>
                    </a:stretch>
                  </pic:blipFill>
                  <pic:spPr>
                    <a:xfrm>
                      <a:off x="0" y="0"/>
                      <a:ext cx="9631680" cy="6693535"/>
                    </a:xfrm>
                    <a:prstGeom prst="rect">
                      <a:avLst/>
                    </a:prstGeom>
                  </pic:spPr>
                </pic:pic>
              </a:graphicData>
            </a:graphic>
          </wp:anchor>
        </w:drawing>
      </w:r>
    </w:p>
    <w:p w14:paraId="76C79A9F">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right="0" w:rightChars="0"/>
        <w:jc w:val="left"/>
        <w:textAlignment w:val="auto"/>
        <w:outlineLvl w:val="9"/>
        <w:rPr>
          <w:rFonts w:hint="default" w:ascii="Times New Roman" w:hAnsi="Times New Roman" w:eastAsia="仿宋_GB2312" w:cs="Times New Roman"/>
          <w:color w:val="auto"/>
          <w:sz w:val="28"/>
          <w:szCs w:val="28"/>
          <w:lang w:val="en-US" w:eastAsia="zh-CN" w:bidi="zh-CN"/>
        </w:rPr>
        <w:sectPr>
          <w:pgSz w:w="16838" w:h="11906" w:orient="landscape"/>
          <w:pgMar w:top="1531" w:right="2098" w:bottom="1531" w:left="1984" w:header="851" w:footer="992" w:gutter="0"/>
          <w:pgNumType w:fmt="numberInDash"/>
          <w:cols w:space="720" w:num="1"/>
          <w:docGrid w:type="lines" w:linePitch="312" w:charSpace="0"/>
        </w:sectPr>
      </w:pPr>
      <w:r>
        <w:rPr>
          <w:rFonts w:hint="default" w:ascii="Times New Roman" w:hAnsi="Times New Roman" w:eastAsia="仿宋_GB2312" w:cs="Times New Roman"/>
          <w:color w:val="auto"/>
          <w:sz w:val="28"/>
          <w:szCs w:val="28"/>
          <w:lang w:val="en-US" w:eastAsia="zh-CN" w:bidi="zh-CN"/>
        </w:rPr>
        <w:drawing>
          <wp:anchor distT="0" distB="0" distL="114300" distR="114300" simplePos="0" relativeHeight="251684864" behindDoc="0" locked="0" layoutInCell="1" allowOverlap="1">
            <wp:simplePos x="0" y="0"/>
            <wp:positionH relativeFrom="column">
              <wp:posOffset>-760730</wp:posOffset>
            </wp:positionH>
            <wp:positionV relativeFrom="paragraph">
              <wp:posOffset>-654050</wp:posOffset>
            </wp:positionV>
            <wp:extent cx="9843135" cy="6959600"/>
            <wp:effectExtent l="0" t="0" r="12065" b="0"/>
            <wp:wrapTopAndBottom/>
            <wp:docPr id="36" name="图片 36" descr="附表1商服用地宗地地价修正系数及说明表_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 name="图片 36" descr="附表1商服用地宗地地价修正系数及说明表_22"/>
                    <pic:cNvPicPr>
                      <a:picLocks noChangeAspect="1"/>
                    </pic:cNvPicPr>
                  </pic:nvPicPr>
                  <pic:blipFill>
                    <a:blip r:embed="rId36"/>
                    <a:stretch>
                      <a:fillRect/>
                    </a:stretch>
                  </pic:blipFill>
                  <pic:spPr>
                    <a:xfrm>
                      <a:off x="0" y="0"/>
                      <a:ext cx="9843135" cy="6959600"/>
                    </a:xfrm>
                    <a:prstGeom prst="rect">
                      <a:avLst/>
                    </a:prstGeom>
                  </pic:spPr>
                </pic:pic>
              </a:graphicData>
            </a:graphic>
          </wp:anchor>
        </w:drawing>
      </w:r>
    </w:p>
    <w:p w14:paraId="52EC8AB0">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right="0" w:rightChars="0"/>
        <w:jc w:val="left"/>
        <w:textAlignment w:val="auto"/>
        <w:outlineLvl w:val="9"/>
        <w:rPr>
          <w:rFonts w:hint="default" w:ascii="Times New Roman" w:hAnsi="Times New Roman" w:eastAsia="仿宋_GB2312" w:cs="Times New Roman"/>
          <w:color w:val="auto"/>
          <w:sz w:val="28"/>
          <w:szCs w:val="28"/>
          <w:lang w:val="en-US" w:eastAsia="zh-CN" w:bidi="zh-CN"/>
        </w:rPr>
        <w:sectPr>
          <w:pgSz w:w="16838" w:h="11906" w:orient="landscape"/>
          <w:pgMar w:top="1531" w:right="2098" w:bottom="1531" w:left="1984" w:header="851" w:footer="992" w:gutter="0"/>
          <w:pgNumType w:fmt="numberInDash"/>
          <w:cols w:space="720" w:num="1"/>
          <w:docGrid w:type="lines" w:linePitch="312" w:charSpace="0"/>
        </w:sectPr>
      </w:pPr>
      <w:r>
        <w:rPr>
          <w:rFonts w:hint="default" w:ascii="Times New Roman" w:hAnsi="Times New Roman" w:eastAsia="仿宋_GB2312" w:cs="Times New Roman"/>
          <w:color w:val="auto"/>
          <w:sz w:val="28"/>
          <w:szCs w:val="28"/>
          <w:lang w:val="en-US" w:eastAsia="zh-CN" w:bidi="zh-CN"/>
        </w:rPr>
        <w:drawing>
          <wp:anchor distT="0" distB="0" distL="114300" distR="114300" simplePos="0" relativeHeight="251685888" behindDoc="0" locked="0" layoutInCell="1" allowOverlap="1">
            <wp:simplePos x="0" y="0"/>
            <wp:positionH relativeFrom="column">
              <wp:posOffset>-740410</wp:posOffset>
            </wp:positionH>
            <wp:positionV relativeFrom="paragraph">
              <wp:posOffset>-477520</wp:posOffset>
            </wp:positionV>
            <wp:extent cx="9550400" cy="6753225"/>
            <wp:effectExtent l="0" t="0" r="0" b="3175"/>
            <wp:wrapTopAndBottom/>
            <wp:docPr id="37" name="图片 37" descr="附表1商服用地宗地地价修正系数及说明表_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 name="图片 37" descr="附表1商服用地宗地地价修正系数及说明表_23"/>
                    <pic:cNvPicPr>
                      <a:picLocks noChangeAspect="1"/>
                    </pic:cNvPicPr>
                  </pic:nvPicPr>
                  <pic:blipFill>
                    <a:blip r:embed="rId37"/>
                    <a:stretch>
                      <a:fillRect/>
                    </a:stretch>
                  </pic:blipFill>
                  <pic:spPr>
                    <a:xfrm>
                      <a:off x="0" y="0"/>
                      <a:ext cx="9550400" cy="6753225"/>
                    </a:xfrm>
                    <a:prstGeom prst="rect">
                      <a:avLst/>
                    </a:prstGeom>
                  </pic:spPr>
                </pic:pic>
              </a:graphicData>
            </a:graphic>
          </wp:anchor>
        </w:drawing>
      </w:r>
    </w:p>
    <w:p w14:paraId="2CE46402">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right="0" w:rightChars="0"/>
        <w:jc w:val="left"/>
        <w:textAlignment w:val="auto"/>
        <w:outlineLvl w:val="9"/>
        <w:rPr>
          <w:rFonts w:hint="default" w:ascii="Times New Roman" w:hAnsi="Times New Roman" w:eastAsia="仿宋_GB2312" w:cs="Times New Roman"/>
          <w:color w:val="auto"/>
          <w:sz w:val="28"/>
          <w:szCs w:val="28"/>
          <w:lang w:val="en-US" w:eastAsia="zh-CN" w:bidi="zh-CN"/>
        </w:rPr>
        <w:sectPr>
          <w:pgSz w:w="16838" w:h="11906" w:orient="landscape"/>
          <w:pgMar w:top="1531" w:right="2098" w:bottom="1531" w:left="1984" w:header="851" w:footer="992" w:gutter="0"/>
          <w:pgNumType w:fmt="numberInDash"/>
          <w:cols w:space="720" w:num="1"/>
          <w:docGrid w:type="lines" w:linePitch="312" w:charSpace="0"/>
        </w:sectPr>
      </w:pPr>
      <w:r>
        <w:rPr>
          <w:rFonts w:hint="default" w:ascii="Times New Roman" w:hAnsi="Times New Roman" w:eastAsia="仿宋_GB2312" w:cs="Times New Roman"/>
          <w:color w:val="auto"/>
          <w:sz w:val="28"/>
          <w:szCs w:val="28"/>
          <w:lang w:val="en-US" w:eastAsia="zh-CN" w:bidi="zh-CN"/>
        </w:rPr>
        <w:drawing>
          <wp:anchor distT="0" distB="0" distL="114300" distR="114300" simplePos="0" relativeHeight="251686912" behindDoc="0" locked="0" layoutInCell="1" allowOverlap="1">
            <wp:simplePos x="0" y="0"/>
            <wp:positionH relativeFrom="column">
              <wp:posOffset>-711200</wp:posOffset>
            </wp:positionH>
            <wp:positionV relativeFrom="paragraph">
              <wp:posOffset>-527685</wp:posOffset>
            </wp:positionV>
            <wp:extent cx="9879330" cy="6985000"/>
            <wp:effectExtent l="0" t="0" r="1270" b="0"/>
            <wp:wrapTopAndBottom/>
            <wp:docPr id="38" name="图片 38" descr="附表1商服用地宗地地价修正系数及说明表_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 name="图片 38" descr="附表1商服用地宗地地价修正系数及说明表_24"/>
                    <pic:cNvPicPr>
                      <a:picLocks noChangeAspect="1"/>
                    </pic:cNvPicPr>
                  </pic:nvPicPr>
                  <pic:blipFill>
                    <a:blip r:embed="rId38"/>
                    <a:stretch>
                      <a:fillRect/>
                    </a:stretch>
                  </pic:blipFill>
                  <pic:spPr>
                    <a:xfrm>
                      <a:off x="0" y="0"/>
                      <a:ext cx="9879330" cy="6985000"/>
                    </a:xfrm>
                    <a:prstGeom prst="rect">
                      <a:avLst/>
                    </a:prstGeom>
                  </pic:spPr>
                </pic:pic>
              </a:graphicData>
            </a:graphic>
          </wp:anchor>
        </w:drawing>
      </w:r>
    </w:p>
    <w:p w14:paraId="1A8771E9">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right="0" w:rightChars="0"/>
        <w:jc w:val="left"/>
        <w:textAlignment w:val="auto"/>
        <w:outlineLvl w:val="9"/>
        <w:rPr>
          <w:rFonts w:hint="default" w:ascii="Times New Roman" w:hAnsi="Times New Roman" w:eastAsia="仿宋_GB2312" w:cs="Times New Roman"/>
          <w:color w:val="auto"/>
          <w:sz w:val="28"/>
          <w:szCs w:val="28"/>
          <w:lang w:val="en-US" w:eastAsia="zh-CN" w:bidi="zh-CN"/>
        </w:rPr>
        <w:sectPr>
          <w:pgSz w:w="16838" w:h="11906" w:orient="landscape"/>
          <w:pgMar w:top="1531" w:right="2098" w:bottom="1531" w:left="1984" w:header="851" w:footer="992" w:gutter="0"/>
          <w:pgNumType w:fmt="numberInDash"/>
          <w:cols w:space="720" w:num="1"/>
          <w:docGrid w:type="lines" w:linePitch="312" w:charSpace="0"/>
        </w:sectPr>
      </w:pPr>
      <w:r>
        <w:rPr>
          <w:rFonts w:hint="default" w:ascii="Times New Roman" w:hAnsi="Times New Roman" w:eastAsia="仿宋_GB2312" w:cs="Times New Roman"/>
          <w:color w:val="auto"/>
          <w:sz w:val="28"/>
          <w:szCs w:val="28"/>
          <w:lang w:val="en-US" w:eastAsia="zh-CN" w:bidi="zh-CN"/>
        </w:rPr>
        <w:drawing>
          <wp:anchor distT="0" distB="0" distL="114300" distR="114300" simplePos="0" relativeHeight="251687936" behindDoc="0" locked="0" layoutInCell="1" allowOverlap="1">
            <wp:simplePos x="0" y="0"/>
            <wp:positionH relativeFrom="column">
              <wp:posOffset>-710565</wp:posOffset>
            </wp:positionH>
            <wp:positionV relativeFrom="paragraph">
              <wp:posOffset>-485775</wp:posOffset>
            </wp:positionV>
            <wp:extent cx="9752965" cy="6896100"/>
            <wp:effectExtent l="0" t="0" r="635" b="0"/>
            <wp:wrapTopAndBottom/>
            <wp:docPr id="39" name="图片 39" descr="附表1商服用地宗地地价修正系数及说明表_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 name="图片 39" descr="附表1商服用地宗地地价修正系数及说明表_25"/>
                    <pic:cNvPicPr>
                      <a:picLocks noChangeAspect="1"/>
                    </pic:cNvPicPr>
                  </pic:nvPicPr>
                  <pic:blipFill>
                    <a:blip r:embed="rId39"/>
                    <a:stretch>
                      <a:fillRect/>
                    </a:stretch>
                  </pic:blipFill>
                  <pic:spPr>
                    <a:xfrm>
                      <a:off x="0" y="0"/>
                      <a:ext cx="9752965" cy="6896100"/>
                    </a:xfrm>
                    <a:prstGeom prst="rect">
                      <a:avLst/>
                    </a:prstGeom>
                  </pic:spPr>
                </pic:pic>
              </a:graphicData>
            </a:graphic>
          </wp:anchor>
        </w:drawing>
      </w:r>
    </w:p>
    <w:p w14:paraId="6F696A50">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right="0" w:rightChars="0"/>
        <w:jc w:val="left"/>
        <w:textAlignment w:val="auto"/>
        <w:outlineLvl w:val="9"/>
        <w:rPr>
          <w:rFonts w:hint="default" w:ascii="Times New Roman" w:hAnsi="Times New Roman" w:eastAsia="仿宋_GB2312" w:cs="Times New Roman"/>
          <w:color w:val="auto"/>
          <w:sz w:val="28"/>
          <w:szCs w:val="28"/>
          <w:lang w:val="en-US" w:eastAsia="zh-CN" w:bidi="zh-CN"/>
        </w:rPr>
        <w:sectPr>
          <w:pgSz w:w="16838" w:h="11906" w:orient="landscape"/>
          <w:pgMar w:top="1531" w:right="2098" w:bottom="1531" w:left="1984" w:header="851" w:footer="992" w:gutter="0"/>
          <w:pgNumType w:fmt="numberInDash"/>
          <w:cols w:space="720" w:num="1"/>
          <w:docGrid w:type="lines" w:linePitch="312" w:charSpace="0"/>
        </w:sectPr>
      </w:pPr>
      <w:r>
        <w:rPr>
          <w:rFonts w:hint="default" w:ascii="Times New Roman" w:hAnsi="Times New Roman" w:eastAsia="仿宋_GB2312" w:cs="Times New Roman"/>
          <w:color w:val="auto"/>
          <w:sz w:val="28"/>
          <w:szCs w:val="28"/>
          <w:lang w:val="en-US" w:eastAsia="zh-CN" w:bidi="zh-CN"/>
        </w:rPr>
        <w:drawing>
          <wp:anchor distT="0" distB="0" distL="114300" distR="114300" simplePos="0" relativeHeight="251688960" behindDoc="0" locked="0" layoutInCell="1" allowOverlap="1">
            <wp:simplePos x="0" y="0"/>
            <wp:positionH relativeFrom="column">
              <wp:posOffset>-529590</wp:posOffset>
            </wp:positionH>
            <wp:positionV relativeFrom="paragraph">
              <wp:posOffset>-781685</wp:posOffset>
            </wp:positionV>
            <wp:extent cx="9643110" cy="6817995"/>
            <wp:effectExtent l="0" t="0" r="8890" b="1905"/>
            <wp:wrapTopAndBottom/>
            <wp:docPr id="40" name="图片 40" descr="附表1商服用地宗地地价修正系数及说明表_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 name="图片 40" descr="附表1商服用地宗地地价修正系数及说明表_26"/>
                    <pic:cNvPicPr>
                      <a:picLocks noChangeAspect="1"/>
                    </pic:cNvPicPr>
                  </pic:nvPicPr>
                  <pic:blipFill>
                    <a:blip r:embed="rId40"/>
                    <a:stretch>
                      <a:fillRect/>
                    </a:stretch>
                  </pic:blipFill>
                  <pic:spPr>
                    <a:xfrm>
                      <a:off x="0" y="0"/>
                      <a:ext cx="9643110" cy="6817995"/>
                    </a:xfrm>
                    <a:prstGeom prst="rect">
                      <a:avLst/>
                    </a:prstGeom>
                  </pic:spPr>
                </pic:pic>
              </a:graphicData>
            </a:graphic>
          </wp:anchor>
        </w:drawing>
      </w:r>
    </w:p>
    <w:p w14:paraId="3C00AAAB">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right="0" w:rightChars="0"/>
        <w:jc w:val="left"/>
        <w:textAlignment w:val="auto"/>
        <w:outlineLvl w:val="9"/>
        <w:rPr>
          <w:rFonts w:hint="default" w:ascii="Times New Roman" w:hAnsi="Times New Roman" w:eastAsia="仿宋_GB2312" w:cs="Times New Roman"/>
          <w:color w:val="auto"/>
          <w:sz w:val="28"/>
          <w:szCs w:val="28"/>
          <w:lang w:val="en-US" w:eastAsia="zh-CN" w:bidi="zh-CN"/>
        </w:rPr>
        <w:sectPr>
          <w:pgSz w:w="16838" w:h="11906" w:orient="landscape"/>
          <w:pgMar w:top="1531" w:right="2098" w:bottom="1531" w:left="1984" w:header="851" w:footer="992" w:gutter="0"/>
          <w:pgNumType w:fmt="numberInDash"/>
          <w:cols w:space="720" w:num="1"/>
          <w:docGrid w:type="lines" w:linePitch="312" w:charSpace="0"/>
        </w:sectPr>
      </w:pPr>
      <w:r>
        <w:rPr>
          <w:rFonts w:hint="default" w:ascii="Times New Roman" w:hAnsi="Times New Roman" w:eastAsia="仿宋_GB2312" w:cs="Times New Roman"/>
          <w:color w:val="auto"/>
          <w:sz w:val="28"/>
          <w:szCs w:val="28"/>
          <w:lang w:val="en-US" w:eastAsia="zh-CN" w:bidi="zh-CN"/>
        </w:rPr>
        <w:drawing>
          <wp:anchor distT="0" distB="0" distL="114300" distR="114300" simplePos="0" relativeHeight="251689984" behindDoc="0" locked="0" layoutInCell="1" allowOverlap="1">
            <wp:simplePos x="0" y="0"/>
            <wp:positionH relativeFrom="column">
              <wp:posOffset>-486410</wp:posOffset>
            </wp:positionH>
            <wp:positionV relativeFrom="paragraph">
              <wp:posOffset>-188595</wp:posOffset>
            </wp:positionV>
            <wp:extent cx="9157335" cy="6474460"/>
            <wp:effectExtent l="0" t="0" r="12065" b="2540"/>
            <wp:wrapTopAndBottom/>
            <wp:docPr id="41" name="图片 41" descr="附表1商服用地宗地地价修正系数及说明表_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 name="图片 41" descr="附表1商服用地宗地地价修正系数及说明表_27"/>
                    <pic:cNvPicPr>
                      <a:picLocks noChangeAspect="1"/>
                    </pic:cNvPicPr>
                  </pic:nvPicPr>
                  <pic:blipFill>
                    <a:blip r:embed="rId41"/>
                    <a:stretch>
                      <a:fillRect/>
                    </a:stretch>
                  </pic:blipFill>
                  <pic:spPr>
                    <a:xfrm>
                      <a:off x="0" y="0"/>
                      <a:ext cx="9157335" cy="6474460"/>
                    </a:xfrm>
                    <a:prstGeom prst="rect">
                      <a:avLst/>
                    </a:prstGeom>
                  </pic:spPr>
                </pic:pic>
              </a:graphicData>
            </a:graphic>
          </wp:anchor>
        </w:drawing>
      </w:r>
    </w:p>
    <w:p w14:paraId="265FDF59">
      <w:pPr>
        <w:rPr>
          <w:rFonts w:hint="eastAsia" w:eastAsia="仿宋_GB2312"/>
          <w:color w:val="auto"/>
          <w:lang w:eastAsia="zh-CN"/>
        </w:rPr>
      </w:pPr>
    </w:p>
    <w:p w14:paraId="72CE2D95">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right="0" w:rightChars="0"/>
        <w:jc w:val="left"/>
        <w:textAlignment w:val="auto"/>
        <w:outlineLvl w:val="9"/>
        <w:rPr>
          <w:rFonts w:hint="default" w:ascii="Times New Roman" w:hAnsi="Times New Roman" w:eastAsia="仿宋_GB2312" w:cs="Times New Roman"/>
          <w:color w:val="auto"/>
          <w:sz w:val="28"/>
          <w:szCs w:val="28"/>
          <w:lang w:val="en-US" w:eastAsia="zh-CN" w:bidi="zh-CN"/>
        </w:rPr>
      </w:pPr>
      <w:r>
        <w:rPr>
          <w:rFonts w:hint="default" w:ascii="方正黑体_GBK" w:hAnsi="方正黑体_GBK" w:eastAsia="方正黑体_GBK" w:cs="方正黑体_GBK"/>
          <w:b w:val="0"/>
          <w:bCs/>
          <w:sz w:val="32"/>
          <w:szCs w:val="32"/>
          <w:lang w:val="en-US" w:eastAsia="zh-CN"/>
        </w:rPr>
        <w:drawing>
          <wp:anchor distT="0" distB="0" distL="114300" distR="114300" simplePos="0" relativeHeight="251663360" behindDoc="0" locked="0" layoutInCell="1" allowOverlap="1">
            <wp:simplePos x="0" y="0"/>
            <wp:positionH relativeFrom="column">
              <wp:posOffset>57150</wp:posOffset>
            </wp:positionH>
            <wp:positionV relativeFrom="page">
              <wp:posOffset>2105025</wp:posOffset>
            </wp:positionV>
            <wp:extent cx="5135245" cy="7271385"/>
            <wp:effectExtent l="0" t="0" r="8255" b="5715"/>
            <wp:wrapTopAndBottom/>
            <wp:docPr id="5" name="图片 5" descr="石家庄装备制造产业园土地级别与基准地价图"/>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5" descr="石家庄装备制造产业园土地级别与基准地价图"/>
                    <pic:cNvPicPr>
                      <a:picLocks noChangeAspect="1"/>
                    </pic:cNvPicPr>
                  </pic:nvPicPr>
                  <pic:blipFill>
                    <a:blip r:embed="rId42"/>
                    <a:stretch>
                      <a:fillRect/>
                    </a:stretch>
                  </pic:blipFill>
                  <pic:spPr>
                    <a:xfrm>
                      <a:off x="0" y="0"/>
                      <a:ext cx="5135245" cy="7271385"/>
                    </a:xfrm>
                    <a:prstGeom prst="rect">
                      <a:avLst/>
                    </a:prstGeom>
                  </pic:spPr>
                </pic:pic>
              </a:graphicData>
            </a:graphic>
          </wp:anchor>
        </w:drawing>
      </w:r>
      <w:r>
        <w:rPr>
          <w:rFonts w:hint="eastAsia" w:ascii="Times New Roman" w:hAnsi="Times New Roman" w:eastAsia="仿宋_GB2312" w:cs="Times New Roman"/>
          <w:color w:val="auto"/>
          <w:sz w:val="28"/>
          <w:szCs w:val="28"/>
          <w:lang w:val="en-US" w:eastAsia="zh-CN" w:bidi="zh-CN"/>
        </w:rPr>
        <w:t>附件4</w:t>
      </w:r>
      <w:r>
        <w:rPr>
          <w:rFonts w:hint="default" w:ascii="Times New Roman" w:hAnsi="Times New Roman" w:eastAsia="仿宋_GB2312" w:cs="Times New Roman"/>
          <w:color w:val="auto"/>
          <w:sz w:val="28"/>
          <w:szCs w:val="28"/>
          <w:lang w:val="en-US" w:eastAsia="zh-CN" w:bidi="zh-CN"/>
        </w:rPr>
        <w:t xml:space="preserve">   </w:t>
      </w:r>
      <w:r>
        <w:rPr>
          <w:rFonts w:hint="eastAsia" w:ascii="Times New Roman" w:hAnsi="Times New Roman" w:eastAsia="仿宋_GB2312" w:cs="Times New Roman"/>
          <w:color w:val="auto"/>
          <w:sz w:val="28"/>
          <w:szCs w:val="28"/>
          <w:lang w:val="en-US" w:eastAsia="zh-CN" w:bidi="zh-CN"/>
        </w:rPr>
        <w:t>石家庄装备制造产业园</w:t>
      </w:r>
      <w:r>
        <w:rPr>
          <w:rFonts w:hint="default" w:ascii="Times New Roman" w:hAnsi="Times New Roman" w:eastAsia="方正仿宋_GBK" w:cs="Times New Roman"/>
          <w:color w:val="auto"/>
          <w:sz w:val="28"/>
          <w:szCs w:val="28"/>
          <w:lang w:val="en-US" w:eastAsia="zh-CN"/>
        </w:rPr>
        <w:t>土地级别与基准地价</w:t>
      </w:r>
      <w:r>
        <w:rPr>
          <w:rFonts w:hint="default" w:ascii="Times New Roman" w:hAnsi="Times New Roman" w:eastAsia="仿宋_GB2312" w:cs="Times New Roman"/>
          <w:color w:val="auto"/>
          <w:sz w:val="28"/>
          <w:szCs w:val="28"/>
          <w:lang w:val="en-US" w:eastAsia="zh-CN" w:bidi="zh-CN"/>
        </w:rPr>
        <w:t>图</w:t>
      </w:r>
    </w:p>
    <w:p w14:paraId="7BAE3F43">
      <w:pPr>
        <w:spacing w:line="360" w:lineRule="auto"/>
        <w:jc w:val="left"/>
        <w:rPr>
          <w:rFonts w:hint="default" w:ascii="方正黑体_GBK" w:hAnsi="方正黑体_GBK" w:eastAsia="方正黑体_GBK" w:cs="方正黑体_GBK"/>
          <w:b w:val="0"/>
          <w:bCs/>
          <w:sz w:val="32"/>
          <w:szCs w:val="32"/>
          <w:lang w:val="en-US" w:eastAsia="zh-CN"/>
        </w:rPr>
      </w:pPr>
    </w:p>
    <w:p w14:paraId="63C4BCCC">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right="0" w:rightChars="0"/>
        <w:jc w:val="left"/>
        <w:textAlignment w:val="auto"/>
        <w:outlineLvl w:val="9"/>
        <w:rPr>
          <w:rFonts w:hint="default" w:ascii="Times New Roman" w:hAnsi="Times New Roman" w:eastAsia="仿宋_GB2312" w:cs="Times New Roman"/>
          <w:color w:val="auto"/>
          <w:sz w:val="28"/>
          <w:szCs w:val="28"/>
          <w:lang w:val="en-US" w:eastAsia="zh-CN" w:bidi="zh-CN"/>
        </w:rPr>
      </w:pPr>
      <w:r>
        <w:rPr>
          <w:rFonts w:hint="eastAsia" w:ascii="Times New Roman" w:hAnsi="Times New Roman" w:eastAsia="仿宋_GB2312" w:cs="Times New Roman"/>
          <w:color w:val="auto"/>
          <w:sz w:val="28"/>
          <w:szCs w:val="28"/>
          <w:lang w:val="en-US" w:eastAsia="zh-CN" w:bidi="zh-CN"/>
        </w:rPr>
        <w:t>附件5  石家庄装备制造产业园</w:t>
      </w:r>
      <w:r>
        <w:rPr>
          <w:rFonts w:hint="default" w:ascii="Times New Roman" w:hAnsi="Times New Roman" w:eastAsia="仿宋_GB2312" w:cs="Times New Roman"/>
          <w:color w:val="auto"/>
          <w:sz w:val="28"/>
          <w:szCs w:val="28"/>
          <w:lang w:val="en-US" w:eastAsia="zh-CN" w:bidi="zh-CN"/>
        </w:rPr>
        <w:t>土地级别与基准地价</w:t>
      </w:r>
      <w:r>
        <w:rPr>
          <w:rFonts w:hint="eastAsia" w:ascii="Times New Roman" w:hAnsi="Times New Roman" w:eastAsia="仿宋_GB2312" w:cs="Times New Roman"/>
          <w:color w:val="auto"/>
          <w:sz w:val="28"/>
          <w:szCs w:val="28"/>
          <w:lang w:val="en-US" w:eastAsia="zh-CN" w:bidi="zh-CN"/>
        </w:rPr>
        <w:t>表</w:t>
      </w:r>
    </w:p>
    <w:p w14:paraId="69FD237E">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right="0" w:rightChars="0"/>
        <w:jc w:val="center"/>
        <w:textAlignment w:val="auto"/>
        <w:outlineLvl w:val="9"/>
        <w:rPr>
          <w:rFonts w:hint="default" w:ascii="Times New Roman" w:hAnsi="Times New Roman" w:eastAsia="仿宋_GB2312" w:cs="Times New Roman"/>
          <w:color w:val="auto"/>
          <w:sz w:val="24"/>
          <w:szCs w:val="24"/>
          <w:lang w:val="en-US" w:eastAsia="zh-CN" w:bidi="zh-CN"/>
        </w:rPr>
      </w:pPr>
      <w:r>
        <w:rPr>
          <w:rFonts w:hint="eastAsia" w:ascii="Times New Roman" w:hAnsi="Times New Roman" w:eastAsia="仿宋_GB2312" w:cs="Times New Roman"/>
          <w:color w:val="auto"/>
          <w:sz w:val="24"/>
          <w:szCs w:val="24"/>
          <w:lang w:val="en-US" w:eastAsia="zh-CN" w:bidi="zh-CN"/>
        </w:rPr>
        <w:t>石家庄装备制造产业园</w:t>
      </w:r>
      <w:r>
        <w:rPr>
          <w:rFonts w:hint="default" w:ascii="Times New Roman" w:hAnsi="Times New Roman" w:eastAsia="仿宋_GB2312" w:cs="Times New Roman"/>
          <w:color w:val="auto"/>
          <w:sz w:val="24"/>
          <w:szCs w:val="24"/>
          <w:lang w:val="en-US" w:eastAsia="zh-CN" w:bidi="zh-CN"/>
        </w:rPr>
        <w:t>土地级别与基准地价表</w:t>
      </w:r>
    </w:p>
    <w:tbl>
      <w:tblPr>
        <w:tblStyle w:val="107"/>
        <w:tblW w:w="5022" w:type="pct"/>
        <w:tblInd w:w="0" w:type="dxa"/>
        <w:tblBorders>
          <w:top w:val="single" w:color="auto" w:sz="8" w:space="0"/>
          <w:left w:val="single" w:color="auto" w:sz="8" w:space="0"/>
          <w:bottom w:val="single" w:color="auto" w:sz="8" w:space="0"/>
          <w:right w:val="single" w:color="auto" w:sz="8" w:space="0"/>
          <w:insideH w:val="single" w:color="auto" w:sz="6" w:space="0"/>
          <w:insideV w:val="single" w:color="auto" w:sz="6" w:space="0"/>
        </w:tblBorders>
        <w:tblLayout w:type="autofit"/>
        <w:tblCellMar>
          <w:top w:w="0" w:type="dxa"/>
          <w:left w:w="0" w:type="dxa"/>
          <w:bottom w:w="0" w:type="dxa"/>
          <w:right w:w="0" w:type="dxa"/>
        </w:tblCellMar>
      </w:tblPr>
      <w:tblGrid>
        <w:gridCol w:w="987"/>
        <w:gridCol w:w="989"/>
        <w:gridCol w:w="990"/>
        <w:gridCol w:w="990"/>
        <w:gridCol w:w="990"/>
        <w:gridCol w:w="990"/>
        <w:gridCol w:w="990"/>
        <w:gridCol w:w="975"/>
        <w:gridCol w:w="1002"/>
      </w:tblGrid>
      <w:tr w14:paraId="0C65927C">
        <w:tblPrEx>
          <w:tblBorders>
            <w:top w:val="single" w:color="auto" w:sz="8" w:space="0"/>
            <w:left w:val="single" w:color="auto" w:sz="8" w:space="0"/>
            <w:bottom w:val="single" w:color="auto" w:sz="8" w:space="0"/>
            <w:right w:val="single" w:color="auto" w:sz="8" w:space="0"/>
            <w:insideH w:val="single" w:color="auto" w:sz="6" w:space="0"/>
            <w:insideV w:val="single" w:color="auto" w:sz="6" w:space="0"/>
          </w:tblBorders>
          <w:tblCellMar>
            <w:top w:w="0" w:type="dxa"/>
            <w:left w:w="0" w:type="dxa"/>
            <w:bottom w:w="0" w:type="dxa"/>
            <w:right w:w="0" w:type="dxa"/>
          </w:tblCellMar>
        </w:tblPrEx>
        <w:trPr>
          <w:trHeight w:val="405" w:hRule="atLeast"/>
        </w:trPr>
        <w:tc>
          <w:tcPr>
            <w:tcW w:w="554" w:type="pct"/>
            <w:vMerge w:val="restart"/>
            <w:noWrap w:val="0"/>
            <w:vAlign w:val="center"/>
          </w:tcPr>
          <w:p w14:paraId="5D7D7B53">
            <w:pPr>
              <w:widowControl/>
              <w:autoSpaceDE/>
              <w:autoSpaceDN/>
              <w:jc w:val="center"/>
              <w:rPr>
                <w:rFonts w:ascii="Times New Roman" w:hAnsi="Times New Roman" w:cs="Times New Roman"/>
                <w:color w:val="auto"/>
                <w:sz w:val="24"/>
                <w:szCs w:val="24"/>
                <w:lang w:eastAsia="zh-CN"/>
              </w:rPr>
            </w:pPr>
            <w:r>
              <w:rPr>
                <w:rFonts w:ascii="Times New Roman" w:hAnsi="Times New Roman" w:cs="Times New Roman"/>
                <w:color w:val="auto"/>
                <w:sz w:val="24"/>
                <w:szCs w:val="24"/>
                <w:lang w:eastAsia="zh-CN"/>
              </w:rPr>
              <w:t>级别</w:t>
            </w:r>
          </w:p>
        </w:tc>
        <w:tc>
          <w:tcPr>
            <w:tcW w:w="1111" w:type="pct"/>
            <w:gridSpan w:val="2"/>
            <w:noWrap w:val="0"/>
            <w:vAlign w:val="center"/>
          </w:tcPr>
          <w:p w14:paraId="63BE7E92">
            <w:pPr>
              <w:widowControl/>
              <w:autoSpaceDE/>
              <w:autoSpaceDN/>
              <w:jc w:val="center"/>
              <w:rPr>
                <w:rFonts w:ascii="Times New Roman" w:hAnsi="Times New Roman" w:cs="Times New Roman"/>
                <w:color w:val="auto"/>
                <w:sz w:val="24"/>
                <w:szCs w:val="24"/>
                <w:lang w:eastAsia="zh-CN"/>
              </w:rPr>
            </w:pPr>
            <w:r>
              <w:rPr>
                <w:rFonts w:ascii="Times New Roman" w:hAnsi="Times New Roman" w:cs="Times New Roman"/>
                <w:color w:val="auto"/>
                <w:sz w:val="24"/>
                <w:szCs w:val="24"/>
                <w:lang w:eastAsia="zh-CN"/>
              </w:rPr>
              <w:t>商服用地</w:t>
            </w:r>
          </w:p>
        </w:tc>
        <w:tc>
          <w:tcPr>
            <w:tcW w:w="1112" w:type="pct"/>
            <w:gridSpan w:val="2"/>
            <w:noWrap w:val="0"/>
            <w:vAlign w:val="center"/>
          </w:tcPr>
          <w:p w14:paraId="0D1868BF">
            <w:pPr>
              <w:widowControl/>
              <w:autoSpaceDE/>
              <w:autoSpaceDN/>
              <w:jc w:val="center"/>
              <w:rPr>
                <w:rFonts w:ascii="Times New Roman" w:hAnsi="Times New Roman" w:cs="Times New Roman"/>
                <w:color w:val="auto"/>
                <w:sz w:val="24"/>
                <w:szCs w:val="24"/>
                <w:lang w:eastAsia="zh-CN"/>
              </w:rPr>
            </w:pPr>
            <w:r>
              <w:rPr>
                <w:rFonts w:ascii="Times New Roman" w:hAnsi="Times New Roman" w:cs="Times New Roman"/>
                <w:color w:val="auto"/>
                <w:sz w:val="24"/>
                <w:szCs w:val="24"/>
                <w:lang w:eastAsia="zh-CN"/>
              </w:rPr>
              <w:t>住宅用地</w:t>
            </w:r>
          </w:p>
        </w:tc>
        <w:tc>
          <w:tcPr>
            <w:tcW w:w="1112" w:type="pct"/>
            <w:gridSpan w:val="2"/>
            <w:noWrap w:val="0"/>
            <w:vAlign w:val="center"/>
          </w:tcPr>
          <w:p w14:paraId="2528534F">
            <w:pPr>
              <w:widowControl/>
              <w:autoSpaceDE/>
              <w:autoSpaceDN/>
              <w:jc w:val="center"/>
              <w:rPr>
                <w:rFonts w:ascii="Times New Roman" w:hAnsi="Times New Roman" w:cs="Times New Roman"/>
                <w:color w:val="auto"/>
                <w:sz w:val="24"/>
                <w:szCs w:val="24"/>
                <w:lang w:eastAsia="zh-CN"/>
              </w:rPr>
            </w:pPr>
            <w:r>
              <w:rPr>
                <w:rFonts w:ascii="Times New Roman" w:hAnsi="Times New Roman" w:cs="Times New Roman"/>
                <w:color w:val="auto"/>
                <w:sz w:val="24"/>
                <w:szCs w:val="24"/>
                <w:lang w:eastAsia="zh-CN"/>
              </w:rPr>
              <w:t>工业用地</w:t>
            </w:r>
          </w:p>
        </w:tc>
        <w:tc>
          <w:tcPr>
            <w:tcW w:w="1109" w:type="pct"/>
            <w:gridSpan w:val="2"/>
            <w:noWrap w:val="0"/>
            <w:vAlign w:val="center"/>
          </w:tcPr>
          <w:p w14:paraId="6A4D77D6">
            <w:pPr>
              <w:widowControl/>
              <w:autoSpaceDE/>
              <w:autoSpaceDN/>
              <w:jc w:val="center"/>
              <w:rPr>
                <w:rFonts w:ascii="Times New Roman" w:hAnsi="Times New Roman" w:cs="Times New Roman"/>
                <w:color w:val="auto"/>
                <w:sz w:val="24"/>
                <w:szCs w:val="24"/>
                <w:lang w:eastAsia="zh-CN"/>
              </w:rPr>
            </w:pPr>
            <w:r>
              <w:rPr>
                <w:rFonts w:ascii="Times New Roman" w:hAnsi="Times New Roman" w:cs="Times New Roman"/>
                <w:color w:val="auto"/>
                <w:sz w:val="24"/>
                <w:szCs w:val="24"/>
                <w:lang w:eastAsia="zh-CN"/>
              </w:rPr>
              <w:t>公共管理与公共服务用地</w:t>
            </w:r>
          </w:p>
        </w:tc>
      </w:tr>
      <w:tr w14:paraId="5647F66A">
        <w:tblPrEx>
          <w:tblBorders>
            <w:top w:val="single" w:color="auto" w:sz="8" w:space="0"/>
            <w:left w:val="single" w:color="auto" w:sz="8" w:space="0"/>
            <w:bottom w:val="single" w:color="auto" w:sz="8" w:space="0"/>
            <w:right w:val="single" w:color="auto" w:sz="8" w:space="0"/>
            <w:insideH w:val="single" w:color="auto" w:sz="6" w:space="0"/>
            <w:insideV w:val="single" w:color="auto" w:sz="6" w:space="0"/>
          </w:tblBorders>
          <w:tblCellMar>
            <w:top w:w="0" w:type="dxa"/>
            <w:left w:w="0" w:type="dxa"/>
            <w:bottom w:w="0" w:type="dxa"/>
            <w:right w:w="0" w:type="dxa"/>
          </w:tblCellMar>
        </w:tblPrEx>
        <w:trPr>
          <w:trHeight w:val="405" w:hRule="atLeast"/>
        </w:trPr>
        <w:tc>
          <w:tcPr>
            <w:tcW w:w="554" w:type="pct"/>
            <w:vMerge w:val="continue"/>
            <w:noWrap w:val="0"/>
            <w:vAlign w:val="center"/>
          </w:tcPr>
          <w:p w14:paraId="7A72E754">
            <w:pPr>
              <w:widowControl/>
              <w:autoSpaceDE/>
              <w:autoSpaceDN/>
              <w:jc w:val="center"/>
              <w:rPr>
                <w:rFonts w:ascii="Times New Roman" w:hAnsi="Times New Roman" w:cs="Times New Roman"/>
                <w:color w:val="auto"/>
                <w:sz w:val="24"/>
                <w:szCs w:val="24"/>
                <w:lang w:eastAsia="zh-CN"/>
              </w:rPr>
            </w:pPr>
          </w:p>
        </w:tc>
        <w:tc>
          <w:tcPr>
            <w:tcW w:w="555" w:type="pct"/>
            <w:noWrap w:val="0"/>
            <w:vAlign w:val="center"/>
          </w:tcPr>
          <w:p w14:paraId="193682A6">
            <w:pPr>
              <w:widowControl/>
              <w:autoSpaceDE/>
              <w:autoSpaceDN/>
              <w:jc w:val="center"/>
              <w:rPr>
                <w:rFonts w:ascii="Times New Roman" w:hAnsi="Times New Roman" w:cs="Times New Roman"/>
                <w:color w:val="auto"/>
                <w:sz w:val="24"/>
                <w:szCs w:val="24"/>
                <w:lang w:eastAsia="zh-CN"/>
              </w:rPr>
            </w:pPr>
            <w:r>
              <w:rPr>
                <w:rFonts w:ascii="Times New Roman" w:hAnsi="Times New Roman" w:cs="Times New Roman"/>
                <w:color w:val="auto"/>
                <w:sz w:val="24"/>
                <w:szCs w:val="24"/>
                <w:lang w:eastAsia="zh-CN"/>
              </w:rPr>
              <w:t>元/m</w:t>
            </w:r>
            <w:r>
              <w:rPr>
                <w:rFonts w:ascii="Times New Roman" w:hAnsi="Times New Roman" w:cs="Times New Roman"/>
                <w:color w:val="auto"/>
                <w:sz w:val="24"/>
                <w:szCs w:val="24"/>
                <w:vertAlign w:val="superscript"/>
                <w:lang w:eastAsia="zh-CN"/>
              </w:rPr>
              <w:t>2</w:t>
            </w:r>
          </w:p>
        </w:tc>
        <w:tc>
          <w:tcPr>
            <w:tcW w:w="556" w:type="pct"/>
            <w:noWrap w:val="0"/>
            <w:vAlign w:val="center"/>
          </w:tcPr>
          <w:p w14:paraId="7F30E2AC">
            <w:pPr>
              <w:widowControl/>
              <w:autoSpaceDE/>
              <w:autoSpaceDN/>
              <w:jc w:val="center"/>
              <w:rPr>
                <w:rFonts w:ascii="Times New Roman" w:hAnsi="Times New Roman" w:cs="Times New Roman"/>
                <w:color w:val="auto"/>
                <w:sz w:val="24"/>
                <w:szCs w:val="24"/>
                <w:lang w:eastAsia="zh-CN"/>
              </w:rPr>
            </w:pPr>
            <w:r>
              <w:rPr>
                <w:rFonts w:ascii="Times New Roman" w:hAnsi="Times New Roman" w:cs="Times New Roman"/>
                <w:color w:val="auto"/>
                <w:sz w:val="24"/>
                <w:szCs w:val="24"/>
                <w:lang w:eastAsia="zh-CN"/>
              </w:rPr>
              <w:t>万元/亩</w:t>
            </w:r>
          </w:p>
        </w:tc>
        <w:tc>
          <w:tcPr>
            <w:tcW w:w="556" w:type="pct"/>
            <w:noWrap w:val="0"/>
            <w:vAlign w:val="center"/>
          </w:tcPr>
          <w:p w14:paraId="064E46D3">
            <w:pPr>
              <w:widowControl/>
              <w:autoSpaceDE/>
              <w:autoSpaceDN/>
              <w:jc w:val="center"/>
              <w:rPr>
                <w:rFonts w:ascii="Times New Roman" w:hAnsi="Times New Roman" w:cs="Times New Roman"/>
                <w:color w:val="auto"/>
                <w:sz w:val="24"/>
                <w:szCs w:val="24"/>
                <w:lang w:eastAsia="zh-CN"/>
              </w:rPr>
            </w:pPr>
            <w:r>
              <w:rPr>
                <w:rFonts w:ascii="Times New Roman" w:hAnsi="Times New Roman" w:cs="Times New Roman"/>
                <w:color w:val="auto"/>
                <w:sz w:val="24"/>
                <w:szCs w:val="24"/>
                <w:lang w:eastAsia="zh-CN"/>
              </w:rPr>
              <w:t>元/m</w:t>
            </w:r>
            <w:r>
              <w:rPr>
                <w:rFonts w:ascii="Times New Roman" w:hAnsi="Times New Roman" w:cs="Times New Roman"/>
                <w:color w:val="auto"/>
                <w:sz w:val="24"/>
                <w:szCs w:val="24"/>
                <w:vertAlign w:val="superscript"/>
                <w:lang w:eastAsia="zh-CN"/>
              </w:rPr>
              <w:t>2</w:t>
            </w:r>
          </w:p>
        </w:tc>
        <w:tc>
          <w:tcPr>
            <w:tcW w:w="556" w:type="pct"/>
            <w:noWrap w:val="0"/>
            <w:vAlign w:val="center"/>
          </w:tcPr>
          <w:p w14:paraId="4626A101">
            <w:pPr>
              <w:widowControl/>
              <w:autoSpaceDE/>
              <w:autoSpaceDN/>
              <w:jc w:val="center"/>
              <w:rPr>
                <w:rFonts w:ascii="Times New Roman" w:hAnsi="Times New Roman" w:cs="Times New Roman"/>
                <w:color w:val="auto"/>
                <w:sz w:val="24"/>
                <w:szCs w:val="24"/>
                <w:lang w:eastAsia="zh-CN"/>
              </w:rPr>
            </w:pPr>
            <w:r>
              <w:rPr>
                <w:rFonts w:ascii="Times New Roman" w:hAnsi="Times New Roman" w:cs="Times New Roman"/>
                <w:color w:val="auto"/>
                <w:sz w:val="24"/>
                <w:szCs w:val="24"/>
                <w:lang w:eastAsia="zh-CN"/>
              </w:rPr>
              <w:t>万元/亩</w:t>
            </w:r>
          </w:p>
        </w:tc>
        <w:tc>
          <w:tcPr>
            <w:tcW w:w="556" w:type="pct"/>
            <w:noWrap w:val="0"/>
            <w:vAlign w:val="center"/>
          </w:tcPr>
          <w:p w14:paraId="58F29DCB">
            <w:pPr>
              <w:widowControl/>
              <w:autoSpaceDE/>
              <w:autoSpaceDN/>
              <w:jc w:val="center"/>
              <w:rPr>
                <w:rFonts w:ascii="Times New Roman" w:hAnsi="Times New Roman" w:cs="Times New Roman"/>
                <w:color w:val="auto"/>
                <w:sz w:val="24"/>
                <w:szCs w:val="24"/>
                <w:lang w:eastAsia="zh-CN"/>
              </w:rPr>
            </w:pPr>
            <w:r>
              <w:rPr>
                <w:rFonts w:ascii="Times New Roman" w:hAnsi="Times New Roman" w:cs="Times New Roman"/>
                <w:color w:val="auto"/>
                <w:sz w:val="24"/>
                <w:szCs w:val="24"/>
                <w:lang w:eastAsia="zh-CN"/>
              </w:rPr>
              <w:t>元/m</w:t>
            </w:r>
            <w:r>
              <w:rPr>
                <w:rFonts w:ascii="Times New Roman" w:hAnsi="Times New Roman" w:cs="Times New Roman"/>
                <w:color w:val="auto"/>
                <w:sz w:val="24"/>
                <w:szCs w:val="24"/>
                <w:vertAlign w:val="superscript"/>
                <w:lang w:eastAsia="zh-CN"/>
              </w:rPr>
              <w:t>2</w:t>
            </w:r>
          </w:p>
        </w:tc>
        <w:tc>
          <w:tcPr>
            <w:tcW w:w="556" w:type="pct"/>
            <w:noWrap w:val="0"/>
            <w:vAlign w:val="center"/>
          </w:tcPr>
          <w:p w14:paraId="35E256B4">
            <w:pPr>
              <w:widowControl/>
              <w:autoSpaceDE/>
              <w:autoSpaceDN/>
              <w:jc w:val="center"/>
              <w:rPr>
                <w:rFonts w:ascii="Times New Roman" w:hAnsi="Times New Roman" w:cs="Times New Roman"/>
                <w:color w:val="auto"/>
                <w:sz w:val="24"/>
                <w:szCs w:val="24"/>
                <w:lang w:eastAsia="zh-CN"/>
              </w:rPr>
            </w:pPr>
            <w:r>
              <w:rPr>
                <w:rFonts w:ascii="Times New Roman" w:hAnsi="Times New Roman" w:cs="Times New Roman"/>
                <w:color w:val="auto"/>
                <w:sz w:val="24"/>
                <w:szCs w:val="24"/>
                <w:lang w:eastAsia="zh-CN"/>
              </w:rPr>
              <w:t>万元/亩</w:t>
            </w:r>
          </w:p>
        </w:tc>
        <w:tc>
          <w:tcPr>
            <w:tcW w:w="547" w:type="pct"/>
            <w:noWrap w:val="0"/>
            <w:vAlign w:val="center"/>
          </w:tcPr>
          <w:p w14:paraId="56ED376E">
            <w:pPr>
              <w:widowControl/>
              <w:autoSpaceDE/>
              <w:autoSpaceDN/>
              <w:jc w:val="center"/>
              <w:rPr>
                <w:rFonts w:ascii="Times New Roman" w:hAnsi="Times New Roman" w:cs="Times New Roman"/>
                <w:color w:val="auto"/>
                <w:sz w:val="24"/>
                <w:szCs w:val="24"/>
                <w:lang w:eastAsia="zh-CN"/>
              </w:rPr>
            </w:pPr>
            <w:r>
              <w:rPr>
                <w:rFonts w:ascii="Times New Roman" w:hAnsi="Times New Roman" w:cs="Times New Roman"/>
                <w:color w:val="auto"/>
                <w:sz w:val="24"/>
                <w:szCs w:val="24"/>
                <w:lang w:eastAsia="zh-CN"/>
              </w:rPr>
              <w:t>元/m</w:t>
            </w:r>
            <w:r>
              <w:rPr>
                <w:rFonts w:ascii="Times New Roman" w:hAnsi="Times New Roman" w:cs="Times New Roman"/>
                <w:color w:val="auto"/>
                <w:sz w:val="24"/>
                <w:szCs w:val="24"/>
                <w:vertAlign w:val="superscript"/>
                <w:lang w:eastAsia="zh-CN"/>
              </w:rPr>
              <w:t>2</w:t>
            </w:r>
          </w:p>
        </w:tc>
        <w:tc>
          <w:tcPr>
            <w:tcW w:w="562" w:type="pct"/>
            <w:noWrap w:val="0"/>
            <w:vAlign w:val="center"/>
          </w:tcPr>
          <w:p w14:paraId="3E8EEDFA">
            <w:pPr>
              <w:widowControl/>
              <w:autoSpaceDE/>
              <w:autoSpaceDN/>
              <w:jc w:val="center"/>
              <w:rPr>
                <w:rFonts w:ascii="Times New Roman" w:hAnsi="Times New Roman" w:cs="Times New Roman"/>
                <w:color w:val="auto"/>
                <w:sz w:val="24"/>
                <w:szCs w:val="24"/>
                <w:lang w:eastAsia="zh-CN"/>
              </w:rPr>
            </w:pPr>
            <w:r>
              <w:rPr>
                <w:rFonts w:ascii="Times New Roman" w:hAnsi="Times New Roman" w:cs="Times New Roman"/>
                <w:color w:val="auto"/>
                <w:sz w:val="24"/>
                <w:szCs w:val="24"/>
                <w:lang w:eastAsia="zh-CN"/>
              </w:rPr>
              <w:t>万元/亩</w:t>
            </w:r>
          </w:p>
        </w:tc>
      </w:tr>
      <w:tr w14:paraId="743FBD2F">
        <w:tblPrEx>
          <w:tblBorders>
            <w:top w:val="single" w:color="auto" w:sz="8" w:space="0"/>
            <w:left w:val="single" w:color="auto" w:sz="8" w:space="0"/>
            <w:bottom w:val="single" w:color="auto" w:sz="8" w:space="0"/>
            <w:right w:val="single" w:color="auto" w:sz="8" w:space="0"/>
            <w:insideH w:val="single" w:color="auto" w:sz="6" w:space="0"/>
            <w:insideV w:val="single" w:color="auto" w:sz="6" w:space="0"/>
          </w:tblBorders>
          <w:tblCellMar>
            <w:top w:w="0" w:type="dxa"/>
            <w:left w:w="0" w:type="dxa"/>
            <w:bottom w:w="0" w:type="dxa"/>
            <w:right w:w="0" w:type="dxa"/>
          </w:tblCellMar>
        </w:tblPrEx>
        <w:trPr>
          <w:trHeight w:val="405" w:hRule="atLeast"/>
        </w:trPr>
        <w:tc>
          <w:tcPr>
            <w:tcW w:w="554" w:type="pct"/>
            <w:noWrap w:val="0"/>
            <w:vAlign w:val="center"/>
          </w:tcPr>
          <w:p w14:paraId="4711755A">
            <w:pPr>
              <w:widowControl/>
              <w:autoSpaceDE/>
              <w:jc w:val="center"/>
              <w:rPr>
                <w:rFonts w:ascii="Times New Roman" w:hAnsi="Times New Roman" w:cs="Times New Roman"/>
                <w:color w:val="auto"/>
                <w:sz w:val="24"/>
                <w:szCs w:val="24"/>
                <w:lang w:eastAsia="zh-CN"/>
              </w:rPr>
            </w:pPr>
            <w:r>
              <w:rPr>
                <w:rFonts w:ascii="Times New Roman" w:hAnsi="Times New Roman" w:cs="Times New Roman"/>
                <w:color w:val="auto"/>
                <w:sz w:val="24"/>
                <w:szCs w:val="24"/>
                <w:lang w:eastAsia="zh-CN" w:bidi="ar"/>
              </w:rPr>
              <w:t>Ⅰ</w:t>
            </w:r>
          </w:p>
        </w:tc>
        <w:tc>
          <w:tcPr>
            <w:tcW w:w="555" w:type="pct"/>
            <w:noWrap w:val="0"/>
            <w:vAlign w:val="center"/>
          </w:tcPr>
          <w:p w14:paraId="6DCD25BE">
            <w:pPr>
              <w:widowControl/>
              <w:autoSpaceDE/>
              <w:autoSpaceDN/>
              <w:jc w:val="center"/>
              <w:rPr>
                <w:rFonts w:ascii="Times New Roman" w:hAnsi="Times New Roman" w:cs="Times New Roman"/>
                <w:color w:val="auto"/>
                <w:sz w:val="24"/>
                <w:szCs w:val="24"/>
                <w:lang w:eastAsia="zh-CN"/>
              </w:rPr>
            </w:pPr>
            <w:r>
              <w:rPr>
                <w:rFonts w:ascii="Times New Roman" w:hAnsi="Times New Roman" w:cs="Times New Roman"/>
                <w:color w:val="auto"/>
                <w:sz w:val="24"/>
                <w:szCs w:val="24"/>
              </w:rPr>
              <w:t>1200</w:t>
            </w:r>
          </w:p>
        </w:tc>
        <w:tc>
          <w:tcPr>
            <w:tcW w:w="556" w:type="pct"/>
            <w:noWrap w:val="0"/>
            <w:vAlign w:val="center"/>
          </w:tcPr>
          <w:p w14:paraId="7CE28AF5">
            <w:pPr>
              <w:widowControl/>
              <w:autoSpaceDE/>
              <w:autoSpaceDN/>
              <w:jc w:val="center"/>
              <w:rPr>
                <w:rFonts w:ascii="Times New Roman" w:hAnsi="Times New Roman" w:cs="Times New Roman"/>
                <w:color w:val="auto"/>
                <w:sz w:val="24"/>
                <w:szCs w:val="24"/>
                <w:lang w:eastAsia="zh-CN"/>
              </w:rPr>
            </w:pPr>
            <w:r>
              <w:rPr>
                <w:rFonts w:ascii="Times New Roman" w:hAnsi="Times New Roman" w:cs="Times New Roman"/>
                <w:color w:val="auto"/>
                <w:sz w:val="24"/>
                <w:szCs w:val="24"/>
              </w:rPr>
              <w:t>80</w:t>
            </w:r>
          </w:p>
        </w:tc>
        <w:tc>
          <w:tcPr>
            <w:tcW w:w="556" w:type="pct"/>
            <w:noWrap w:val="0"/>
            <w:vAlign w:val="center"/>
          </w:tcPr>
          <w:p w14:paraId="1CF6A1F8">
            <w:pPr>
              <w:widowControl/>
              <w:autoSpaceDE/>
              <w:autoSpaceDN/>
              <w:jc w:val="center"/>
              <w:rPr>
                <w:rFonts w:hint="default" w:ascii="Times New Roman" w:hAnsi="Times New Roman" w:eastAsia="仿宋_GB2312" w:cs="Times New Roman"/>
                <w:color w:val="auto"/>
                <w:sz w:val="24"/>
                <w:szCs w:val="24"/>
                <w:lang w:val="en-US" w:eastAsia="zh-CN"/>
              </w:rPr>
            </w:pPr>
            <w:r>
              <w:rPr>
                <w:rFonts w:hint="eastAsia" w:ascii="Times New Roman" w:hAnsi="Times New Roman" w:cs="Times New Roman"/>
                <w:color w:val="auto"/>
                <w:sz w:val="24"/>
                <w:szCs w:val="24"/>
                <w:lang w:val="en-US" w:eastAsia="zh-CN"/>
              </w:rPr>
              <w:t>2250</w:t>
            </w:r>
          </w:p>
        </w:tc>
        <w:tc>
          <w:tcPr>
            <w:tcW w:w="556" w:type="pct"/>
            <w:noWrap w:val="0"/>
            <w:vAlign w:val="center"/>
          </w:tcPr>
          <w:p w14:paraId="7F95E53D">
            <w:pPr>
              <w:widowControl/>
              <w:autoSpaceDE/>
              <w:autoSpaceDN/>
              <w:jc w:val="center"/>
              <w:rPr>
                <w:rFonts w:hint="default" w:ascii="Times New Roman" w:hAnsi="Times New Roman" w:eastAsia="仿宋_GB2312" w:cs="Times New Roman"/>
                <w:color w:val="auto"/>
                <w:sz w:val="24"/>
                <w:szCs w:val="24"/>
                <w:lang w:val="en-US" w:eastAsia="zh-CN"/>
              </w:rPr>
            </w:pPr>
            <w:r>
              <w:rPr>
                <w:rFonts w:hint="eastAsia" w:ascii="Times New Roman" w:hAnsi="Times New Roman" w:cs="Times New Roman"/>
                <w:color w:val="auto"/>
                <w:sz w:val="24"/>
                <w:szCs w:val="24"/>
                <w:lang w:val="en-US" w:eastAsia="zh-CN"/>
              </w:rPr>
              <w:t>150</w:t>
            </w:r>
          </w:p>
        </w:tc>
        <w:tc>
          <w:tcPr>
            <w:tcW w:w="556" w:type="pct"/>
            <w:noWrap w:val="0"/>
            <w:vAlign w:val="center"/>
          </w:tcPr>
          <w:p w14:paraId="788B8BD3">
            <w:pPr>
              <w:widowControl/>
              <w:autoSpaceDE/>
              <w:autoSpaceDN/>
              <w:jc w:val="center"/>
              <w:rPr>
                <w:rFonts w:ascii="Times New Roman" w:hAnsi="Times New Roman" w:cs="Times New Roman"/>
                <w:color w:val="auto"/>
                <w:sz w:val="24"/>
                <w:szCs w:val="24"/>
                <w:lang w:eastAsia="zh-CN"/>
              </w:rPr>
            </w:pPr>
            <w:r>
              <w:rPr>
                <w:rFonts w:ascii="Times New Roman" w:hAnsi="Times New Roman" w:cs="Times New Roman"/>
                <w:color w:val="auto"/>
                <w:sz w:val="24"/>
                <w:szCs w:val="24"/>
              </w:rPr>
              <w:t>630</w:t>
            </w:r>
          </w:p>
        </w:tc>
        <w:tc>
          <w:tcPr>
            <w:tcW w:w="556" w:type="pct"/>
            <w:noWrap w:val="0"/>
            <w:vAlign w:val="center"/>
          </w:tcPr>
          <w:p w14:paraId="564DB9A1">
            <w:pPr>
              <w:widowControl/>
              <w:autoSpaceDE/>
              <w:autoSpaceDN/>
              <w:jc w:val="center"/>
              <w:rPr>
                <w:rFonts w:ascii="Times New Roman" w:hAnsi="Times New Roman" w:cs="Times New Roman"/>
                <w:color w:val="auto"/>
                <w:sz w:val="24"/>
                <w:szCs w:val="24"/>
                <w:lang w:eastAsia="zh-CN"/>
              </w:rPr>
            </w:pPr>
            <w:r>
              <w:rPr>
                <w:rFonts w:ascii="Times New Roman" w:hAnsi="Times New Roman" w:cs="Times New Roman"/>
                <w:color w:val="auto"/>
                <w:sz w:val="24"/>
                <w:szCs w:val="24"/>
              </w:rPr>
              <w:t>42</w:t>
            </w:r>
          </w:p>
        </w:tc>
        <w:tc>
          <w:tcPr>
            <w:tcW w:w="547" w:type="pct"/>
            <w:noWrap w:val="0"/>
            <w:vAlign w:val="center"/>
          </w:tcPr>
          <w:p w14:paraId="12B16CDB">
            <w:pPr>
              <w:widowControl/>
              <w:autoSpaceDE/>
              <w:autoSpaceDN/>
              <w:jc w:val="center"/>
              <w:rPr>
                <w:rFonts w:ascii="Times New Roman" w:hAnsi="Times New Roman" w:cs="Times New Roman"/>
                <w:color w:val="auto"/>
                <w:sz w:val="24"/>
                <w:szCs w:val="24"/>
                <w:lang w:eastAsia="zh-CN"/>
              </w:rPr>
            </w:pPr>
            <w:r>
              <w:rPr>
                <w:rFonts w:ascii="Times New Roman" w:hAnsi="Times New Roman" w:cs="Times New Roman"/>
                <w:color w:val="auto"/>
                <w:sz w:val="24"/>
                <w:szCs w:val="24"/>
              </w:rPr>
              <w:t>615</w:t>
            </w:r>
          </w:p>
        </w:tc>
        <w:tc>
          <w:tcPr>
            <w:tcW w:w="562" w:type="pct"/>
            <w:noWrap w:val="0"/>
            <w:vAlign w:val="center"/>
          </w:tcPr>
          <w:p w14:paraId="6994BD9B">
            <w:pPr>
              <w:widowControl/>
              <w:autoSpaceDE/>
              <w:autoSpaceDN/>
              <w:jc w:val="center"/>
              <w:rPr>
                <w:rFonts w:ascii="Times New Roman" w:hAnsi="Times New Roman" w:cs="Times New Roman"/>
                <w:color w:val="auto"/>
                <w:sz w:val="24"/>
                <w:szCs w:val="24"/>
                <w:lang w:eastAsia="zh-CN"/>
              </w:rPr>
            </w:pPr>
            <w:r>
              <w:rPr>
                <w:rFonts w:ascii="Times New Roman" w:hAnsi="Times New Roman" w:cs="Times New Roman"/>
                <w:color w:val="auto"/>
                <w:sz w:val="24"/>
                <w:szCs w:val="24"/>
              </w:rPr>
              <w:t>41</w:t>
            </w:r>
          </w:p>
        </w:tc>
      </w:tr>
      <w:tr w14:paraId="154A8220">
        <w:tblPrEx>
          <w:tblBorders>
            <w:top w:val="single" w:color="auto" w:sz="8" w:space="0"/>
            <w:left w:val="single" w:color="auto" w:sz="8" w:space="0"/>
            <w:bottom w:val="single" w:color="auto" w:sz="8" w:space="0"/>
            <w:right w:val="single" w:color="auto" w:sz="8" w:space="0"/>
            <w:insideH w:val="single" w:color="auto" w:sz="6" w:space="0"/>
            <w:insideV w:val="single" w:color="auto" w:sz="6" w:space="0"/>
          </w:tblBorders>
          <w:tblCellMar>
            <w:top w:w="0" w:type="dxa"/>
            <w:left w:w="0" w:type="dxa"/>
            <w:bottom w:w="0" w:type="dxa"/>
            <w:right w:w="0" w:type="dxa"/>
          </w:tblCellMar>
        </w:tblPrEx>
        <w:trPr>
          <w:trHeight w:val="405" w:hRule="atLeast"/>
        </w:trPr>
        <w:tc>
          <w:tcPr>
            <w:tcW w:w="554" w:type="pct"/>
            <w:noWrap w:val="0"/>
            <w:vAlign w:val="center"/>
          </w:tcPr>
          <w:p w14:paraId="149D8D03">
            <w:pPr>
              <w:widowControl/>
              <w:autoSpaceDE/>
              <w:jc w:val="center"/>
              <w:rPr>
                <w:rFonts w:ascii="Times New Roman" w:hAnsi="Times New Roman" w:cs="Times New Roman"/>
                <w:color w:val="auto"/>
                <w:sz w:val="24"/>
                <w:szCs w:val="24"/>
                <w:lang w:eastAsia="zh-CN"/>
              </w:rPr>
            </w:pPr>
            <w:r>
              <w:rPr>
                <w:rFonts w:ascii="Times New Roman" w:hAnsi="Times New Roman" w:cs="Times New Roman"/>
                <w:color w:val="auto"/>
                <w:sz w:val="24"/>
                <w:szCs w:val="24"/>
                <w:lang w:eastAsia="zh-CN" w:bidi="ar"/>
              </w:rPr>
              <w:t>Ⅱ</w:t>
            </w:r>
          </w:p>
        </w:tc>
        <w:tc>
          <w:tcPr>
            <w:tcW w:w="555" w:type="pct"/>
            <w:noWrap w:val="0"/>
            <w:vAlign w:val="center"/>
          </w:tcPr>
          <w:p w14:paraId="35AA1E59">
            <w:pPr>
              <w:widowControl/>
              <w:autoSpaceDE/>
              <w:autoSpaceDN/>
              <w:jc w:val="center"/>
              <w:rPr>
                <w:rFonts w:ascii="Times New Roman" w:hAnsi="Times New Roman" w:cs="Times New Roman"/>
                <w:color w:val="auto"/>
                <w:sz w:val="24"/>
                <w:szCs w:val="24"/>
                <w:lang w:eastAsia="zh-CN"/>
              </w:rPr>
            </w:pPr>
            <w:r>
              <w:rPr>
                <w:rFonts w:ascii="Times New Roman" w:hAnsi="Times New Roman" w:cs="Times New Roman"/>
                <w:color w:val="auto"/>
                <w:sz w:val="24"/>
                <w:szCs w:val="24"/>
              </w:rPr>
              <w:t>1050</w:t>
            </w:r>
          </w:p>
        </w:tc>
        <w:tc>
          <w:tcPr>
            <w:tcW w:w="556" w:type="pct"/>
            <w:noWrap w:val="0"/>
            <w:vAlign w:val="center"/>
          </w:tcPr>
          <w:p w14:paraId="54F064AB">
            <w:pPr>
              <w:widowControl/>
              <w:autoSpaceDE/>
              <w:autoSpaceDN/>
              <w:jc w:val="center"/>
              <w:rPr>
                <w:rFonts w:ascii="Times New Roman" w:hAnsi="Times New Roman" w:cs="Times New Roman"/>
                <w:color w:val="auto"/>
                <w:sz w:val="24"/>
                <w:szCs w:val="24"/>
                <w:lang w:eastAsia="zh-CN"/>
              </w:rPr>
            </w:pPr>
            <w:r>
              <w:rPr>
                <w:rFonts w:ascii="Times New Roman" w:hAnsi="Times New Roman" w:cs="Times New Roman"/>
                <w:color w:val="auto"/>
                <w:sz w:val="24"/>
                <w:szCs w:val="24"/>
              </w:rPr>
              <w:t>70</w:t>
            </w:r>
          </w:p>
        </w:tc>
        <w:tc>
          <w:tcPr>
            <w:tcW w:w="556" w:type="pct"/>
            <w:noWrap w:val="0"/>
            <w:vAlign w:val="center"/>
          </w:tcPr>
          <w:p w14:paraId="015FD6DC">
            <w:pPr>
              <w:widowControl/>
              <w:autoSpaceDE/>
              <w:autoSpaceDN/>
              <w:jc w:val="center"/>
              <w:rPr>
                <w:rFonts w:hint="default" w:ascii="Times New Roman" w:hAnsi="Times New Roman" w:eastAsia="仿宋_GB2312" w:cs="Times New Roman"/>
                <w:color w:val="auto"/>
                <w:sz w:val="24"/>
                <w:szCs w:val="24"/>
                <w:lang w:val="en-US" w:eastAsia="zh-CN"/>
              </w:rPr>
            </w:pPr>
            <w:r>
              <w:rPr>
                <w:rFonts w:hint="eastAsia" w:ascii="Times New Roman" w:hAnsi="Times New Roman" w:cs="Times New Roman"/>
                <w:color w:val="auto"/>
                <w:sz w:val="24"/>
                <w:szCs w:val="24"/>
                <w:lang w:val="en-US" w:eastAsia="zh-CN"/>
              </w:rPr>
              <w:t>1935</w:t>
            </w:r>
          </w:p>
        </w:tc>
        <w:tc>
          <w:tcPr>
            <w:tcW w:w="556" w:type="pct"/>
            <w:noWrap w:val="0"/>
            <w:vAlign w:val="center"/>
          </w:tcPr>
          <w:p w14:paraId="50153877">
            <w:pPr>
              <w:widowControl/>
              <w:autoSpaceDE/>
              <w:autoSpaceDN/>
              <w:jc w:val="center"/>
              <w:rPr>
                <w:rFonts w:hint="default" w:ascii="Times New Roman" w:hAnsi="Times New Roman" w:eastAsia="仿宋_GB2312" w:cs="Times New Roman"/>
                <w:color w:val="auto"/>
                <w:sz w:val="24"/>
                <w:szCs w:val="24"/>
                <w:lang w:val="en-US" w:eastAsia="zh-CN"/>
              </w:rPr>
            </w:pPr>
            <w:r>
              <w:rPr>
                <w:rFonts w:hint="eastAsia" w:ascii="Times New Roman" w:hAnsi="Times New Roman" w:cs="Times New Roman"/>
                <w:color w:val="auto"/>
                <w:sz w:val="24"/>
                <w:szCs w:val="24"/>
                <w:lang w:val="en-US" w:eastAsia="zh-CN"/>
              </w:rPr>
              <w:t>129</w:t>
            </w:r>
          </w:p>
        </w:tc>
        <w:tc>
          <w:tcPr>
            <w:tcW w:w="556" w:type="pct"/>
            <w:noWrap w:val="0"/>
            <w:vAlign w:val="center"/>
          </w:tcPr>
          <w:p w14:paraId="75CBF13B">
            <w:pPr>
              <w:widowControl/>
              <w:autoSpaceDE/>
              <w:autoSpaceDN/>
              <w:jc w:val="center"/>
              <w:rPr>
                <w:rFonts w:ascii="Times New Roman" w:hAnsi="Times New Roman" w:cs="Times New Roman"/>
                <w:color w:val="auto"/>
                <w:sz w:val="24"/>
                <w:szCs w:val="24"/>
                <w:lang w:eastAsia="zh-CN"/>
              </w:rPr>
            </w:pPr>
            <w:r>
              <w:rPr>
                <w:rFonts w:ascii="Times New Roman" w:hAnsi="Times New Roman" w:cs="Times New Roman"/>
                <w:color w:val="auto"/>
                <w:sz w:val="24"/>
                <w:szCs w:val="24"/>
              </w:rPr>
              <w:t>525</w:t>
            </w:r>
          </w:p>
        </w:tc>
        <w:tc>
          <w:tcPr>
            <w:tcW w:w="556" w:type="pct"/>
            <w:noWrap w:val="0"/>
            <w:vAlign w:val="center"/>
          </w:tcPr>
          <w:p w14:paraId="5550DB99">
            <w:pPr>
              <w:widowControl/>
              <w:autoSpaceDE/>
              <w:autoSpaceDN/>
              <w:jc w:val="center"/>
              <w:rPr>
                <w:rFonts w:ascii="Times New Roman" w:hAnsi="Times New Roman" w:cs="Times New Roman"/>
                <w:color w:val="auto"/>
                <w:sz w:val="24"/>
                <w:szCs w:val="24"/>
                <w:lang w:eastAsia="zh-CN"/>
              </w:rPr>
            </w:pPr>
            <w:r>
              <w:rPr>
                <w:rFonts w:ascii="Times New Roman" w:hAnsi="Times New Roman" w:cs="Times New Roman"/>
                <w:color w:val="auto"/>
                <w:sz w:val="24"/>
                <w:szCs w:val="24"/>
              </w:rPr>
              <w:t>35</w:t>
            </w:r>
          </w:p>
        </w:tc>
        <w:tc>
          <w:tcPr>
            <w:tcW w:w="547" w:type="pct"/>
            <w:noWrap w:val="0"/>
            <w:vAlign w:val="center"/>
          </w:tcPr>
          <w:p w14:paraId="698EB7E4">
            <w:pPr>
              <w:widowControl/>
              <w:autoSpaceDE/>
              <w:autoSpaceDN/>
              <w:jc w:val="center"/>
              <w:rPr>
                <w:rFonts w:ascii="Times New Roman" w:hAnsi="Times New Roman" w:cs="Times New Roman"/>
                <w:color w:val="auto"/>
                <w:sz w:val="24"/>
                <w:szCs w:val="24"/>
                <w:lang w:eastAsia="zh-CN"/>
              </w:rPr>
            </w:pPr>
            <w:r>
              <w:rPr>
                <w:rFonts w:ascii="Times New Roman" w:hAnsi="Times New Roman" w:cs="Times New Roman"/>
                <w:color w:val="auto"/>
                <w:sz w:val="24"/>
                <w:szCs w:val="24"/>
              </w:rPr>
              <w:t>555</w:t>
            </w:r>
          </w:p>
        </w:tc>
        <w:tc>
          <w:tcPr>
            <w:tcW w:w="562" w:type="pct"/>
            <w:noWrap w:val="0"/>
            <w:vAlign w:val="center"/>
          </w:tcPr>
          <w:p w14:paraId="16FC5563">
            <w:pPr>
              <w:widowControl/>
              <w:autoSpaceDE/>
              <w:autoSpaceDN/>
              <w:jc w:val="center"/>
              <w:rPr>
                <w:rFonts w:ascii="Times New Roman" w:hAnsi="Times New Roman" w:cs="Times New Roman"/>
                <w:color w:val="auto"/>
                <w:sz w:val="24"/>
                <w:szCs w:val="24"/>
                <w:lang w:eastAsia="zh-CN"/>
              </w:rPr>
            </w:pPr>
            <w:r>
              <w:rPr>
                <w:rFonts w:ascii="Times New Roman" w:hAnsi="Times New Roman" w:cs="Times New Roman"/>
                <w:color w:val="auto"/>
                <w:sz w:val="24"/>
                <w:szCs w:val="24"/>
              </w:rPr>
              <w:t>37</w:t>
            </w:r>
          </w:p>
        </w:tc>
      </w:tr>
      <w:tr w14:paraId="4E20079C">
        <w:tblPrEx>
          <w:tblBorders>
            <w:top w:val="single" w:color="auto" w:sz="8" w:space="0"/>
            <w:left w:val="single" w:color="auto" w:sz="8" w:space="0"/>
            <w:bottom w:val="single" w:color="auto" w:sz="8" w:space="0"/>
            <w:right w:val="single" w:color="auto" w:sz="8" w:space="0"/>
            <w:insideH w:val="single" w:color="auto" w:sz="6" w:space="0"/>
            <w:insideV w:val="single" w:color="auto" w:sz="6" w:space="0"/>
          </w:tblBorders>
          <w:tblCellMar>
            <w:top w:w="0" w:type="dxa"/>
            <w:left w:w="0" w:type="dxa"/>
            <w:bottom w:w="0" w:type="dxa"/>
            <w:right w:w="0" w:type="dxa"/>
          </w:tblCellMar>
        </w:tblPrEx>
        <w:trPr>
          <w:trHeight w:val="405" w:hRule="atLeast"/>
        </w:trPr>
        <w:tc>
          <w:tcPr>
            <w:tcW w:w="554" w:type="pct"/>
            <w:noWrap w:val="0"/>
            <w:vAlign w:val="center"/>
          </w:tcPr>
          <w:p w14:paraId="1D691435">
            <w:pPr>
              <w:widowControl/>
              <w:autoSpaceDE/>
              <w:jc w:val="center"/>
              <w:rPr>
                <w:rFonts w:ascii="Times New Roman" w:hAnsi="Times New Roman" w:cs="Times New Roman"/>
                <w:color w:val="auto"/>
                <w:sz w:val="24"/>
                <w:szCs w:val="24"/>
                <w:lang w:eastAsia="zh-CN"/>
              </w:rPr>
            </w:pPr>
            <w:r>
              <w:rPr>
                <w:rFonts w:ascii="Times New Roman" w:hAnsi="Times New Roman" w:cs="Times New Roman"/>
                <w:color w:val="auto"/>
                <w:sz w:val="24"/>
                <w:szCs w:val="24"/>
                <w:lang w:eastAsia="zh-CN" w:bidi="ar"/>
              </w:rPr>
              <w:t>Ⅲ</w:t>
            </w:r>
          </w:p>
        </w:tc>
        <w:tc>
          <w:tcPr>
            <w:tcW w:w="555" w:type="pct"/>
            <w:noWrap w:val="0"/>
            <w:vAlign w:val="center"/>
          </w:tcPr>
          <w:p w14:paraId="62602E81">
            <w:pPr>
              <w:widowControl/>
              <w:autoSpaceDE/>
              <w:autoSpaceDN/>
              <w:jc w:val="center"/>
              <w:rPr>
                <w:rFonts w:ascii="Times New Roman" w:hAnsi="Times New Roman" w:cs="Times New Roman"/>
                <w:color w:val="auto"/>
                <w:sz w:val="24"/>
                <w:szCs w:val="24"/>
                <w:lang w:eastAsia="zh-CN"/>
              </w:rPr>
            </w:pPr>
            <w:r>
              <w:rPr>
                <w:rFonts w:ascii="Times New Roman" w:hAnsi="Times New Roman" w:cs="Times New Roman"/>
                <w:color w:val="auto"/>
                <w:sz w:val="24"/>
                <w:szCs w:val="24"/>
              </w:rPr>
              <w:t>900</w:t>
            </w:r>
          </w:p>
        </w:tc>
        <w:tc>
          <w:tcPr>
            <w:tcW w:w="556" w:type="pct"/>
            <w:noWrap w:val="0"/>
            <w:vAlign w:val="center"/>
          </w:tcPr>
          <w:p w14:paraId="7F43EF0F">
            <w:pPr>
              <w:widowControl/>
              <w:autoSpaceDE/>
              <w:autoSpaceDN/>
              <w:jc w:val="center"/>
              <w:rPr>
                <w:rFonts w:ascii="Times New Roman" w:hAnsi="Times New Roman" w:cs="Times New Roman"/>
                <w:color w:val="auto"/>
                <w:sz w:val="24"/>
                <w:szCs w:val="24"/>
                <w:lang w:eastAsia="zh-CN"/>
              </w:rPr>
            </w:pPr>
            <w:r>
              <w:rPr>
                <w:rFonts w:ascii="Times New Roman" w:hAnsi="Times New Roman" w:cs="Times New Roman"/>
                <w:color w:val="auto"/>
                <w:sz w:val="24"/>
                <w:szCs w:val="24"/>
              </w:rPr>
              <w:t>60</w:t>
            </w:r>
          </w:p>
        </w:tc>
        <w:tc>
          <w:tcPr>
            <w:tcW w:w="556" w:type="pct"/>
            <w:noWrap w:val="0"/>
            <w:vAlign w:val="center"/>
          </w:tcPr>
          <w:p w14:paraId="2B17F380">
            <w:pPr>
              <w:widowControl/>
              <w:autoSpaceDE/>
              <w:autoSpaceDN/>
              <w:jc w:val="center"/>
              <w:rPr>
                <w:rFonts w:hint="default" w:ascii="Times New Roman" w:hAnsi="Times New Roman" w:eastAsia="仿宋_GB2312" w:cs="Times New Roman"/>
                <w:color w:val="auto"/>
                <w:sz w:val="24"/>
                <w:szCs w:val="24"/>
                <w:lang w:val="en-US" w:eastAsia="zh-CN"/>
              </w:rPr>
            </w:pPr>
            <w:r>
              <w:rPr>
                <w:rFonts w:hint="eastAsia" w:ascii="Times New Roman" w:hAnsi="Times New Roman" w:cs="Times New Roman"/>
                <w:color w:val="auto"/>
                <w:sz w:val="24"/>
                <w:szCs w:val="24"/>
                <w:lang w:val="en-US" w:eastAsia="zh-CN"/>
              </w:rPr>
              <w:t>1665</w:t>
            </w:r>
          </w:p>
        </w:tc>
        <w:tc>
          <w:tcPr>
            <w:tcW w:w="556" w:type="pct"/>
            <w:noWrap w:val="0"/>
            <w:vAlign w:val="center"/>
          </w:tcPr>
          <w:p w14:paraId="46504700">
            <w:pPr>
              <w:widowControl/>
              <w:autoSpaceDE/>
              <w:autoSpaceDN/>
              <w:jc w:val="center"/>
              <w:rPr>
                <w:rFonts w:hint="default" w:ascii="Times New Roman" w:hAnsi="Times New Roman" w:eastAsia="仿宋_GB2312" w:cs="Times New Roman"/>
                <w:color w:val="auto"/>
                <w:sz w:val="24"/>
                <w:szCs w:val="24"/>
                <w:lang w:val="en-US" w:eastAsia="zh-CN"/>
              </w:rPr>
            </w:pPr>
            <w:r>
              <w:rPr>
                <w:rFonts w:hint="eastAsia" w:ascii="Times New Roman" w:hAnsi="Times New Roman" w:cs="Times New Roman"/>
                <w:color w:val="auto"/>
                <w:sz w:val="24"/>
                <w:szCs w:val="24"/>
                <w:lang w:val="en-US" w:eastAsia="zh-CN"/>
              </w:rPr>
              <w:t>111</w:t>
            </w:r>
          </w:p>
        </w:tc>
        <w:tc>
          <w:tcPr>
            <w:tcW w:w="556" w:type="pct"/>
            <w:noWrap w:val="0"/>
            <w:vAlign w:val="center"/>
          </w:tcPr>
          <w:p w14:paraId="7B5AAC6C">
            <w:pPr>
              <w:widowControl/>
              <w:autoSpaceDE/>
              <w:autoSpaceDN/>
              <w:jc w:val="center"/>
              <w:rPr>
                <w:rFonts w:ascii="Times New Roman" w:hAnsi="Times New Roman" w:cs="Times New Roman"/>
                <w:color w:val="auto"/>
                <w:sz w:val="24"/>
                <w:szCs w:val="24"/>
                <w:lang w:eastAsia="zh-CN"/>
              </w:rPr>
            </w:pPr>
            <w:r>
              <w:rPr>
                <w:rFonts w:ascii="Times New Roman" w:hAnsi="Times New Roman" w:cs="Times New Roman"/>
                <w:color w:val="auto"/>
                <w:sz w:val="24"/>
                <w:szCs w:val="24"/>
              </w:rPr>
              <w:t>450</w:t>
            </w:r>
          </w:p>
        </w:tc>
        <w:tc>
          <w:tcPr>
            <w:tcW w:w="556" w:type="pct"/>
            <w:noWrap w:val="0"/>
            <w:vAlign w:val="center"/>
          </w:tcPr>
          <w:p w14:paraId="46401AC2">
            <w:pPr>
              <w:widowControl/>
              <w:autoSpaceDE/>
              <w:autoSpaceDN/>
              <w:jc w:val="center"/>
              <w:rPr>
                <w:rFonts w:ascii="Times New Roman" w:hAnsi="Times New Roman" w:cs="Times New Roman"/>
                <w:color w:val="auto"/>
                <w:sz w:val="24"/>
                <w:szCs w:val="24"/>
                <w:lang w:eastAsia="zh-CN"/>
              </w:rPr>
            </w:pPr>
            <w:r>
              <w:rPr>
                <w:rFonts w:ascii="Times New Roman" w:hAnsi="Times New Roman" w:cs="Times New Roman"/>
                <w:color w:val="auto"/>
                <w:sz w:val="24"/>
                <w:szCs w:val="24"/>
              </w:rPr>
              <w:t>30</w:t>
            </w:r>
          </w:p>
        </w:tc>
        <w:tc>
          <w:tcPr>
            <w:tcW w:w="547" w:type="pct"/>
            <w:noWrap w:val="0"/>
            <w:vAlign w:val="center"/>
          </w:tcPr>
          <w:p w14:paraId="73A5AF64">
            <w:pPr>
              <w:widowControl/>
              <w:autoSpaceDE/>
              <w:autoSpaceDN/>
              <w:jc w:val="center"/>
              <w:rPr>
                <w:rFonts w:ascii="Times New Roman" w:hAnsi="Times New Roman" w:cs="Times New Roman"/>
                <w:color w:val="auto"/>
                <w:sz w:val="24"/>
                <w:szCs w:val="24"/>
                <w:lang w:eastAsia="zh-CN"/>
              </w:rPr>
            </w:pPr>
            <w:r>
              <w:rPr>
                <w:rFonts w:ascii="Times New Roman" w:hAnsi="Times New Roman" w:cs="Times New Roman"/>
                <w:color w:val="auto"/>
                <w:sz w:val="24"/>
                <w:szCs w:val="24"/>
              </w:rPr>
              <w:t>480</w:t>
            </w:r>
          </w:p>
        </w:tc>
        <w:tc>
          <w:tcPr>
            <w:tcW w:w="562" w:type="pct"/>
            <w:noWrap w:val="0"/>
            <w:vAlign w:val="center"/>
          </w:tcPr>
          <w:p w14:paraId="07696364">
            <w:pPr>
              <w:widowControl/>
              <w:autoSpaceDE/>
              <w:autoSpaceDN/>
              <w:jc w:val="center"/>
              <w:rPr>
                <w:rFonts w:ascii="Times New Roman" w:hAnsi="Times New Roman" w:cs="Times New Roman"/>
                <w:color w:val="auto"/>
                <w:sz w:val="24"/>
                <w:szCs w:val="24"/>
                <w:lang w:eastAsia="zh-CN"/>
              </w:rPr>
            </w:pPr>
            <w:r>
              <w:rPr>
                <w:rFonts w:ascii="Times New Roman" w:hAnsi="Times New Roman" w:cs="Times New Roman"/>
                <w:color w:val="auto"/>
                <w:sz w:val="24"/>
                <w:szCs w:val="24"/>
              </w:rPr>
              <w:t>32</w:t>
            </w:r>
          </w:p>
        </w:tc>
      </w:tr>
    </w:tbl>
    <w:p w14:paraId="465763DB">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right="0" w:rightChars="0"/>
        <w:jc w:val="both"/>
        <w:textAlignment w:val="auto"/>
        <w:outlineLvl w:val="9"/>
        <w:rPr>
          <w:rFonts w:hint="eastAsia" w:ascii="Times New Roman" w:hAnsi="Times New Roman" w:eastAsia="仿宋_GB2312" w:cs="Times New Roman"/>
          <w:color w:val="auto"/>
          <w:sz w:val="28"/>
          <w:szCs w:val="28"/>
          <w:lang w:val="en-US" w:eastAsia="zh-CN" w:bidi="zh-CN"/>
        </w:rPr>
      </w:pPr>
      <w:r>
        <w:rPr>
          <w:rFonts w:hint="eastAsia" w:ascii="Times New Roman" w:hAnsi="Times New Roman" w:eastAsia="仿宋_GB2312" w:cs="Times New Roman"/>
          <w:color w:val="auto"/>
          <w:sz w:val="28"/>
          <w:szCs w:val="28"/>
          <w:lang w:val="en-US" w:eastAsia="zh-CN" w:bidi="zh-CN"/>
        </w:rPr>
        <w:t>附件</w:t>
      </w:r>
      <w:r>
        <w:rPr>
          <w:rFonts w:hint="eastAsia" w:ascii="Times New Roman" w:hAnsi="Times New Roman" w:cs="Times New Roman"/>
          <w:color w:val="auto"/>
          <w:sz w:val="28"/>
          <w:szCs w:val="28"/>
          <w:lang w:val="en-US" w:eastAsia="zh-CN" w:bidi="zh-CN"/>
        </w:rPr>
        <w:t>6</w:t>
      </w:r>
      <w:r>
        <w:rPr>
          <w:rFonts w:hint="eastAsia" w:ascii="Times New Roman" w:hAnsi="Times New Roman" w:eastAsia="仿宋_GB2312" w:cs="Times New Roman"/>
          <w:color w:val="auto"/>
          <w:sz w:val="28"/>
          <w:szCs w:val="28"/>
          <w:lang w:val="en-US" w:eastAsia="zh-CN" w:bidi="zh-CN"/>
        </w:rPr>
        <w:t xml:space="preserve"> 石家庄装备制造产业园</w:t>
      </w:r>
      <w:r>
        <w:rPr>
          <w:rFonts w:hint="default" w:ascii="Times New Roman" w:hAnsi="Times New Roman" w:eastAsia="方正仿宋_GBK" w:cs="Times New Roman"/>
          <w:color w:val="auto"/>
          <w:sz w:val="28"/>
          <w:szCs w:val="28"/>
          <w:lang w:val="en-US" w:eastAsia="zh-CN"/>
        </w:rPr>
        <w:t>土地级别与基准地</w:t>
      </w:r>
      <w:r>
        <w:rPr>
          <w:rFonts w:hint="eastAsia" w:ascii="Times New Roman" w:hAnsi="Times New Roman" w:eastAsia="方正仿宋_GBK" w:cs="Times New Roman"/>
          <w:color w:val="auto"/>
          <w:sz w:val="28"/>
          <w:szCs w:val="28"/>
          <w:lang w:val="en-US" w:eastAsia="zh-CN"/>
        </w:rPr>
        <w:t>价</w:t>
      </w:r>
      <w:r>
        <w:rPr>
          <w:rFonts w:hint="default" w:ascii="Times New Roman" w:hAnsi="Times New Roman" w:eastAsia="仿宋_GB2312" w:cs="Times New Roman"/>
          <w:color w:val="auto"/>
          <w:sz w:val="28"/>
          <w:szCs w:val="28"/>
          <w:lang w:val="en-US" w:eastAsia="zh-CN" w:bidi="zh-CN"/>
        </w:rPr>
        <w:t>修正体系</w:t>
      </w:r>
      <w:r>
        <w:rPr>
          <w:rFonts w:hint="eastAsia" w:ascii="Times New Roman" w:hAnsi="Times New Roman" w:eastAsia="仿宋_GB2312" w:cs="Times New Roman"/>
          <w:color w:val="auto"/>
          <w:sz w:val="28"/>
          <w:szCs w:val="28"/>
          <w:lang w:val="en-US" w:eastAsia="zh-CN" w:bidi="zh-CN"/>
        </w:rPr>
        <w:t>说明</w:t>
      </w:r>
    </w:p>
    <w:p w14:paraId="22BAFDAD">
      <w:pPr>
        <w:spacing w:before="240" w:beforeLines="100" w:after="120" w:afterLines="50" w:line="360" w:lineRule="auto"/>
        <w:ind w:firstLine="562"/>
        <w:rPr>
          <w:rFonts w:hint="default" w:ascii="Times New Roman" w:hAnsi="Times New Roman" w:cs="Times New Roman"/>
          <w:b/>
          <w:sz w:val="28"/>
          <w:szCs w:val="28"/>
        </w:rPr>
      </w:pPr>
      <w:r>
        <w:rPr>
          <w:rFonts w:hint="default" w:ascii="Times New Roman" w:hAnsi="Times New Roman" w:cs="Times New Roman"/>
          <w:b/>
          <w:sz w:val="28"/>
          <w:szCs w:val="28"/>
        </w:rPr>
        <w:t>一、适用范围</w:t>
      </w:r>
    </w:p>
    <w:p w14:paraId="084184C5">
      <w:pPr>
        <w:pStyle w:val="33"/>
        <w:ind w:firstLine="560"/>
        <w:rPr>
          <w:rFonts w:hAnsi="Times New Roman" w:cs="Times New Roman"/>
          <w:color w:val="auto"/>
        </w:rPr>
      </w:pPr>
      <w:r>
        <w:rPr>
          <w:rFonts w:hint="default" w:ascii="Times New Roman" w:hAnsi="Times New Roman" w:cs="Times New Roman"/>
        </w:rPr>
        <w:t>本次公布的</w:t>
      </w:r>
      <w:r>
        <w:rPr>
          <w:rFonts w:hAnsi="Times New Roman" w:cs="Times New Roman"/>
          <w:color w:val="auto"/>
        </w:rPr>
        <w:t>定级总面积为</w:t>
      </w:r>
      <w:r>
        <w:rPr>
          <w:rFonts w:hAnsi="Times New Roman" w:cs="Times New Roman"/>
          <w:color w:val="auto"/>
          <w:spacing w:val="-3"/>
        </w:rPr>
        <w:t>3954.03</w:t>
      </w:r>
      <w:r>
        <w:rPr>
          <w:rFonts w:hAnsi="Times New Roman" w:cs="Times New Roman"/>
          <w:color w:val="auto"/>
        </w:rPr>
        <w:t>公顷，具体边界为：</w:t>
      </w:r>
      <w:r>
        <w:rPr>
          <w:rFonts w:hAnsi="Times New Roman" w:cs="Times New Roman"/>
          <w:color w:val="auto"/>
          <w:spacing w:val="-3"/>
        </w:rPr>
        <w:t>东至方西线，南至梅家村村北，西至京港线，北至南三环。</w:t>
      </w:r>
      <w:r>
        <w:rPr>
          <w:rFonts w:hAnsi="Times New Roman" w:cs="Times New Roman"/>
          <w:color w:val="auto"/>
        </w:rPr>
        <w:t>完整覆盖规划确定的城镇建设用地范围，同时严格衔接“三区三线”管控要求，无超规划、超管控范围的情况。</w:t>
      </w:r>
    </w:p>
    <w:p w14:paraId="5C848D8D">
      <w:pPr>
        <w:spacing w:before="240" w:beforeLines="100" w:after="120" w:afterLines="50" w:line="360" w:lineRule="auto"/>
        <w:ind w:firstLine="562"/>
        <w:rPr>
          <w:rFonts w:hint="default" w:ascii="Times New Roman" w:hAnsi="Times New Roman" w:cs="Times New Roman"/>
          <w:b/>
          <w:sz w:val="28"/>
          <w:szCs w:val="28"/>
        </w:rPr>
      </w:pPr>
      <w:r>
        <w:rPr>
          <w:rFonts w:hint="default" w:ascii="Times New Roman" w:hAnsi="Times New Roman" w:cs="Times New Roman"/>
          <w:b/>
          <w:sz w:val="28"/>
          <w:szCs w:val="28"/>
        </w:rPr>
        <w:t>二、基准地价内涵</w:t>
      </w:r>
    </w:p>
    <w:p w14:paraId="7FBF7D6D">
      <w:pPr>
        <w:pStyle w:val="33"/>
        <w:ind w:firstLine="560"/>
        <w:rPr>
          <w:rFonts w:hAnsi="Times New Roman" w:cs="Times New Roman"/>
          <w:color w:val="auto"/>
        </w:rPr>
      </w:pPr>
      <w:r>
        <w:rPr>
          <w:rFonts w:hint="eastAsia" w:hAnsi="Times New Roman" w:cs="Times New Roman"/>
          <w:color w:val="auto"/>
          <w:lang w:val="en-US" w:eastAsia="zh-CN"/>
        </w:rPr>
        <w:t>1.</w:t>
      </w:r>
      <w:r>
        <w:rPr>
          <w:rFonts w:hAnsi="Times New Roman" w:cs="Times New Roman"/>
          <w:color w:val="auto"/>
        </w:rPr>
        <w:t>本次更新后的</w:t>
      </w:r>
      <w:r>
        <w:rPr>
          <w:rFonts w:hAnsi="Times New Roman" w:cs="Times New Roman"/>
          <w:color w:val="auto"/>
          <w:lang w:val="en-US"/>
        </w:rPr>
        <w:t>土地级别与</w:t>
      </w:r>
      <w:r>
        <w:rPr>
          <w:rFonts w:hAnsi="Times New Roman" w:cs="Times New Roman"/>
          <w:color w:val="auto"/>
        </w:rPr>
        <w:t>基准地价为</w:t>
      </w:r>
      <w:r>
        <w:rPr>
          <w:rFonts w:hint="eastAsia" w:hAnsi="Times New Roman" w:cs="Times New Roman"/>
          <w:color w:val="auto"/>
          <w:lang w:eastAsia="zh-CN"/>
        </w:rPr>
        <w:t>石家庄装备制造产业园</w:t>
      </w:r>
      <w:r>
        <w:rPr>
          <w:rFonts w:hAnsi="Times New Roman" w:cs="Times New Roman"/>
          <w:color w:val="auto"/>
        </w:rPr>
        <w:t>范围内，按用途分级别在以下设定条件下的国有建设用地使用权平均价格：</w:t>
      </w:r>
    </w:p>
    <w:p w14:paraId="7E77AF09">
      <w:pPr>
        <w:pStyle w:val="33"/>
        <w:ind w:firstLine="560"/>
        <w:rPr>
          <w:rFonts w:hAnsi="Times New Roman" w:cs="Times New Roman"/>
          <w:color w:val="auto"/>
        </w:rPr>
      </w:pPr>
      <w:r>
        <w:rPr>
          <w:rFonts w:hAnsi="Times New Roman" w:cs="Times New Roman"/>
          <w:color w:val="auto"/>
        </w:rPr>
        <w:t>（1）基准地价评估期日为2025年1月1日；</w:t>
      </w:r>
    </w:p>
    <w:p w14:paraId="6365E307">
      <w:pPr>
        <w:pStyle w:val="33"/>
        <w:ind w:firstLine="560"/>
        <w:rPr>
          <w:rFonts w:hAnsi="Times New Roman" w:cs="Times New Roman"/>
          <w:color w:val="auto"/>
        </w:rPr>
      </w:pPr>
      <w:r>
        <w:rPr>
          <w:rFonts w:hAnsi="Times New Roman" w:cs="Times New Roman"/>
          <w:color w:val="auto"/>
        </w:rPr>
        <w:t>（2）土地使用年限为各用途法定最高出让年限（商服用地40年、住宅用地70年、工业用地50年、公共管理与公共服务用地50年）；</w:t>
      </w:r>
    </w:p>
    <w:p w14:paraId="1B6002E1">
      <w:pPr>
        <w:pStyle w:val="33"/>
        <w:ind w:firstLine="560"/>
        <w:rPr>
          <w:rFonts w:hAnsi="Times New Roman" w:cs="Times New Roman"/>
          <w:color w:val="auto"/>
        </w:rPr>
      </w:pPr>
      <w:r>
        <w:rPr>
          <w:rFonts w:hAnsi="Times New Roman" w:cs="Times New Roman"/>
          <w:color w:val="auto"/>
        </w:rPr>
        <w:t>（3）容积率为各用途的平均容积率，容积率统一设定为商服用地2.0、住宅用地2.0、工业用地1.</w:t>
      </w:r>
      <w:r>
        <w:rPr>
          <w:rFonts w:hAnsi="Times New Roman" w:cs="Times New Roman"/>
          <w:color w:val="auto"/>
          <w:lang w:val="en-US"/>
        </w:rPr>
        <w:t>3</w:t>
      </w:r>
      <w:r>
        <w:rPr>
          <w:rFonts w:hAnsi="Times New Roman" w:cs="Times New Roman"/>
          <w:color w:val="auto"/>
        </w:rPr>
        <w:t>、公共管理与公共服务用地1.5；</w:t>
      </w:r>
    </w:p>
    <w:p w14:paraId="612FA3AA">
      <w:pPr>
        <w:pStyle w:val="33"/>
        <w:ind w:firstLine="560"/>
        <w:rPr>
          <w:rFonts w:hAnsi="Times New Roman" w:cs="Times New Roman"/>
          <w:color w:val="auto"/>
        </w:rPr>
      </w:pPr>
      <w:r>
        <w:rPr>
          <w:rFonts w:hAnsi="Times New Roman" w:cs="Times New Roman"/>
          <w:color w:val="auto"/>
        </w:rPr>
        <w:t>（4）土地开发程度为“</w:t>
      </w:r>
      <w:r>
        <w:rPr>
          <w:rFonts w:hint="eastAsia" w:hAnsi="Times New Roman" w:cs="Times New Roman"/>
          <w:color w:val="auto"/>
          <w:lang w:eastAsia="zh-CN"/>
        </w:rPr>
        <w:t>六</w:t>
      </w:r>
      <w:r>
        <w:rPr>
          <w:rFonts w:hAnsi="Times New Roman" w:cs="Times New Roman"/>
          <w:color w:val="auto"/>
        </w:rPr>
        <w:t>通一平”（宗地外通路、通电、通讯、排水、供水</w:t>
      </w:r>
      <w:r>
        <w:rPr>
          <w:rFonts w:hint="eastAsia" w:hAnsi="Times New Roman" w:cs="Times New Roman"/>
          <w:color w:val="auto"/>
          <w:lang w:eastAsia="zh-CN"/>
        </w:rPr>
        <w:t>、</w:t>
      </w:r>
      <w:r>
        <w:rPr>
          <w:rFonts w:hint="eastAsia" w:hAnsi="Times New Roman" w:cs="Times New Roman"/>
          <w:color w:val="auto"/>
          <w:lang w:val="en-US" w:eastAsia="zh-CN"/>
        </w:rPr>
        <w:t>通气</w:t>
      </w:r>
      <w:r>
        <w:rPr>
          <w:rFonts w:hAnsi="Times New Roman" w:cs="Times New Roman"/>
          <w:color w:val="auto"/>
        </w:rPr>
        <w:t>及宗地内场地平整）。</w:t>
      </w:r>
    </w:p>
    <w:p w14:paraId="1DB13123">
      <w:pPr>
        <w:pStyle w:val="23"/>
        <w:widowControl w:val="0"/>
        <w:autoSpaceDE w:val="0"/>
        <w:autoSpaceDN w:val="0"/>
        <w:spacing w:before="120" w:beforeAutospacing="0" w:after="120" w:afterAutospacing="0" w:line="560" w:lineRule="exact"/>
        <w:ind w:firstLine="560" w:firstLineChars="200"/>
        <w:contextualSpacing/>
        <w:jc w:val="both"/>
        <w:rPr>
          <w:rFonts w:ascii="Times New Roman" w:hAnsi="Times New Roman"/>
          <w:color w:val="auto"/>
        </w:rPr>
      </w:pPr>
      <w:r>
        <w:rPr>
          <w:rFonts w:ascii="Times New Roman" w:hAnsi="Times New Roman" w:eastAsia="仿宋_GB2312"/>
          <w:color w:val="auto"/>
          <w:sz w:val="28"/>
          <w:szCs w:val="28"/>
          <w:lang w:bidi="ar"/>
        </w:rPr>
        <w:t>2.按照《国土空间调查、规划、用途管制用地用海分类指南》（自然资发〔2023〕234号），公共管理与公共服务用地包括机关团体用地、科研用地、文化用地、教育用地、体育用地、医疗卫生用地、社会福利用地等7个类别。</w:t>
      </w:r>
    </w:p>
    <w:p w14:paraId="546F3BBC">
      <w:pPr>
        <w:pStyle w:val="33"/>
        <w:ind w:firstLine="560"/>
        <w:rPr>
          <w:rFonts w:hAnsi="Times New Roman" w:cs="Times New Roman"/>
          <w:color w:val="auto"/>
        </w:rPr>
      </w:pPr>
      <w:r>
        <w:rPr>
          <w:rFonts w:hAnsi="Times New Roman" w:cs="Times New Roman"/>
          <w:color w:val="auto"/>
          <w:lang w:val="en-US"/>
        </w:rPr>
        <w:t>3</w:t>
      </w:r>
      <w:r>
        <w:rPr>
          <w:rFonts w:hAnsi="Times New Roman" w:cs="Times New Roman"/>
          <w:color w:val="auto"/>
        </w:rPr>
        <w:t>.楼面地价是特殊的土地单价，即单位建筑面积平均分摊的土地价格。楼面地价是房价的主要组成部分之一，与建造成本、开发利润、相关税费等共同构成了商品房的市场价值。</w:t>
      </w:r>
    </w:p>
    <w:p w14:paraId="0DAFF6F8">
      <w:pPr>
        <w:pStyle w:val="33"/>
        <w:ind w:firstLine="560"/>
        <w:rPr>
          <w:rFonts w:hAnsi="Times New Roman" w:cs="Times New Roman"/>
          <w:color w:val="auto"/>
          <w:lang w:val="en-US"/>
        </w:rPr>
      </w:pPr>
      <w:r>
        <w:rPr>
          <w:rFonts w:hAnsi="Times New Roman" w:cs="Times New Roman"/>
          <w:color w:val="auto"/>
        </w:rPr>
        <w:t>楼面地价的计算公式：楼面地价=土地总价÷规划建筑面积=土地单价/规划容积率。</w:t>
      </w:r>
    </w:p>
    <w:p w14:paraId="054315AD">
      <w:pPr>
        <w:spacing w:before="240" w:beforeLines="100" w:after="120" w:afterLines="50" w:line="360" w:lineRule="auto"/>
        <w:ind w:firstLine="562"/>
        <w:rPr>
          <w:rFonts w:hint="default" w:ascii="Times New Roman" w:hAnsi="Times New Roman" w:cs="Times New Roman"/>
          <w:b/>
          <w:color w:val="000000"/>
          <w:sz w:val="28"/>
          <w:szCs w:val="28"/>
        </w:rPr>
      </w:pPr>
      <w:r>
        <w:rPr>
          <w:rFonts w:hint="default" w:ascii="Times New Roman" w:hAnsi="Times New Roman" w:cs="Times New Roman"/>
          <w:b/>
          <w:color w:val="000000"/>
          <w:sz w:val="28"/>
          <w:szCs w:val="28"/>
        </w:rPr>
        <w:t>三、基准地价的应用</w:t>
      </w:r>
    </w:p>
    <w:p w14:paraId="79A7EF74">
      <w:pPr>
        <w:pStyle w:val="33"/>
        <w:spacing w:before="0" w:after="0"/>
        <w:ind w:firstLine="548"/>
        <w:rPr>
          <w:rFonts w:hAnsi="Times New Roman" w:cs="Times New Roman"/>
          <w:color w:val="auto"/>
          <w:spacing w:val="-3"/>
        </w:rPr>
      </w:pPr>
      <w:r>
        <w:rPr>
          <w:rFonts w:hAnsi="Times New Roman" w:cs="Times New Roman"/>
          <w:color w:val="auto"/>
          <w:spacing w:val="-3"/>
        </w:rPr>
        <w:t>基准地价修正系数表是采用替代原理，建立基准地价、宗地地价及其影响因素之间相关关系的表格体系，编制基准地价在不同因素条件下修正为宗地地价的系数体系便于在宗地条件调查的基础上，按对应的修正系数，快速、高效地评估宗地地价。</w:t>
      </w:r>
    </w:p>
    <w:p w14:paraId="79503EC5">
      <w:pPr>
        <w:pStyle w:val="48"/>
        <w:numPr>
          <w:ilvl w:val="2"/>
          <w:numId w:val="0"/>
        </w:numPr>
        <w:ind w:left="-142" w:leftChars="0"/>
        <w:rPr>
          <w:rFonts w:hAnsi="Times New Roman" w:cs="Times New Roman"/>
          <w:color w:val="auto"/>
        </w:rPr>
      </w:pPr>
      <w:r>
        <w:rPr>
          <w:rFonts w:hint="eastAsia" w:ascii="Times New Roman" w:hAnsi="Times New Roman" w:cs="Times New Roman"/>
          <w:color w:val="000000"/>
          <w:szCs w:val="28"/>
          <w:lang w:val="en-US" w:eastAsia="zh-CN"/>
        </w:rPr>
        <w:t>1.</w:t>
      </w:r>
      <w:r>
        <w:rPr>
          <w:rFonts w:hAnsi="Times New Roman" w:cs="Times New Roman"/>
          <w:color w:val="auto"/>
        </w:rPr>
        <w:t>宗地地价影响因素的选择及权重的确定</w:t>
      </w:r>
    </w:p>
    <w:p w14:paraId="70AA1E03">
      <w:pPr>
        <w:pStyle w:val="33"/>
        <w:spacing w:before="0" w:after="0"/>
        <w:ind w:firstLine="520"/>
        <w:rPr>
          <w:rFonts w:hAnsi="Times New Roman" w:cs="Times New Roman"/>
          <w:color w:val="auto"/>
          <w:spacing w:val="-5"/>
        </w:rPr>
      </w:pPr>
      <w:r>
        <w:rPr>
          <w:rFonts w:hAnsi="Times New Roman" w:cs="Times New Roman"/>
          <w:color w:val="auto"/>
          <w:spacing w:val="-10"/>
        </w:rPr>
        <w:t>在参考《城镇土地分等定级规程》（GB/T18507-2014）中相关要求的基础上，根据石家庄市栾城区城区实际情况，确定各类用地的影响因素因子。根据实际情况，采用特尔斐法确定宗地地价修正因素及权重</w:t>
      </w:r>
      <w:r>
        <w:rPr>
          <w:rFonts w:hAnsi="Times New Roman" w:cs="Times New Roman"/>
          <w:color w:val="auto"/>
          <w:spacing w:val="-5"/>
        </w:rPr>
        <w:t>。</w:t>
      </w:r>
    </w:p>
    <w:p w14:paraId="0BF28AD4">
      <w:pPr>
        <w:pStyle w:val="48"/>
        <w:numPr>
          <w:ilvl w:val="2"/>
          <w:numId w:val="0"/>
        </w:numPr>
        <w:ind w:left="-142" w:leftChars="0"/>
        <w:rPr>
          <w:rFonts w:hAnsi="Times New Roman" w:cs="Times New Roman"/>
          <w:color w:val="auto"/>
        </w:rPr>
      </w:pPr>
      <w:r>
        <w:rPr>
          <w:rFonts w:hint="eastAsia" w:ascii="Times New Roman" w:hAnsi="Times New Roman" w:cs="Times New Roman"/>
          <w:color w:val="000000"/>
          <w:szCs w:val="28"/>
          <w:lang w:val="en-US" w:eastAsia="zh-CN"/>
        </w:rPr>
        <w:t>2.</w:t>
      </w:r>
      <w:r>
        <w:rPr>
          <w:rFonts w:hAnsi="Times New Roman" w:cs="Times New Roman"/>
          <w:color w:val="auto"/>
        </w:rPr>
        <w:t>地价修正幅度</w:t>
      </w:r>
    </w:p>
    <w:p w14:paraId="3A5981CA">
      <w:pPr>
        <w:pStyle w:val="33"/>
        <w:spacing w:before="0" w:after="0"/>
        <w:ind w:firstLine="560"/>
        <w:rPr>
          <w:rFonts w:hAnsi="Times New Roman" w:cs="Times New Roman"/>
          <w:color w:val="auto"/>
        </w:rPr>
      </w:pPr>
      <w:r>
        <w:rPr>
          <w:rFonts w:hAnsi="Times New Roman" w:cs="Times New Roman"/>
          <w:color w:val="auto"/>
        </w:rPr>
        <w:t>根据《城镇土地估价规程》（GB/T 18508—2014），因素修正总幅度值确定以级别为单位，调查各级别内正常地价的最高样点组平均值、最低样点组平均值</w:t>
      </w:r>
      <w:r>
        <w:rPr>
          <w:rFonts w:hAnsi="Times New Roman" w:cs="Times New Roman"/>
          <w:color w:val="auto"/>
          <w:spacing w:val="-4"/>
        </w:rPr>
        <w:t>与基准地价作相对值比较确定。计算公式如下：</w:t>
      </w:r>
    </w:p>
    <w:p w14:paraId="494F4964">
      <w:pPr>
        <w:pStyle w:val="33"/>
        <w:spacing w:before="0" w:after="0"/>
        <w:ind w:firstLine="560"/>
        <w:rPr>
          <w:rFonts w:hAnsi="Times New Roman" w:cs="Times New Roman"/>
          <w:color w:val="auto"/>
        </w:rPr>
      </w:pPr>
      <w:r>
        <w:rPr>
          <w:rFonts w:hAnsi="Times New Roman" w:cs="Times New Roman"/>
          <w:color w:val="auto"/>
        </w:rPr>
        <w:t>上调最大幅度的计算公式为：优</w:t>
      </w:r>
    </w:p>
    <w:p w14:paraId="74613A8B">
      <w:pPr>
        <w:pStyle w:val="33"/>
        <w:spacing w:before="0" w:after="0" w:line="240" w:lineRule="auto"/>
        <w:ind w:firstLine="0" w:firstLineChars="0"/>
        <w:jc w:val="center"/>
        <w:rPr>
          <w:rFonts w:hAnsi="Times New Roman" w:cs="Times New Roman"/>
          <w:color w:val="auto"/>
        </w:rPr>
      </w:pPr>
      <w:r>
        <w:rPr>
          <w:rFonts w:hAnsi="Times New Roman" w:cs="Times New Roman"/>
          <w:color w:val="auto"/>
          <w:lang w:val="en-US" w:bidi="ar-SA"/>
        </w:rPr>
        <w:drawing>
          <wp:inline distT="0" distB="0" distL="114300" distR="114300">
            <wp:extent cx="1645920" cy="499745"/>
            <wp:effectExtent l="0" t="0" r="11430" b="14605"/>
            <wp:docPr id="18" name="图片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图片 31"/>
                    <pic:cNvPicPr>
                      <a:picLocks noChangeAspect="1"/>
                    </pic:cNvPicPr>
                  </pic:nvPicPr>
                  <pic:blipFill>
                    <a:blip r:embed="rId11"/>
                    <a:stretch>
                      <a:fillRect/>
                    </a:stretch>
                  </pic:blipFill>
                  <pic:spPr>
                    <a:xfrm>
                      <a:off x="0" y="0"/>
                      <a:ext cx="1645920" cy="499745"/>
                    </a:xfrm>
                    <a:prstGeom prst="rect">
                      <a:avLst/>
                    </a:prstGeom>
                    <a:noFill/>
                    <a:ln>
                      <a:noFill/>
                    </a:ln>
                  </pic:spPr>
                </pic:pic>
              </a:graphicData>
            </a:graphic>
          </wp:inline>
        </w:drawing>
      </w:r>
    </w:p>
    <w:p w14:paraId="3463A69D">
      <w:pPr>
        <w:pStyle w:val="33"/>
        <w:spacing w:before="0" w:after="0"/>
        <w:ind w:firstLine="560"/>
        <w:rPr>
          <w:rFonts w:hAnsi="Times New Roman" w:cs="Times New Roman"/>
          <w:color w:val="auto"/>
        </w:rPr>
      </w:pPr>
      <w:r>
        <w:rPr>
          <w:rFonts w:hAnsi="Times New Roman" w:cs="Times New Roman"/>
          <w:color w:val="auto"/>
        </w:rPr>
        <w:t>下调最大幅度的计算公式为：劣</w:t>
      </w:r>
    </w:p>
    <w:p w14:paraId="488D1F51">
      <w:pPr>
        <w:pStyle w:val="33"/>
        <w:spacing w:before="0" w:after="0" w:line="240" w:lineRule="auto"/>
        <w:ind w:firstLine="0" w:firstLineChars="0"/>
        <w:jc w:val="center"/>
        <w:rPr>
          <w:rFonts w:hAnsi="Times New Roman" w:cs="Times New Roman"/>
          <w:color w:val="auto"/>
          <w:spacing w:val="-4"/>
        </w:rPr>
      </w:pPr>
      <w:r>
        <w:rPr>
          <w:rFonts w:hAnsi="Times New Roman" w:cs="Times New Roman"/>
          <w:color w:val="auto"/>
          <w:lang w:val="en-US" w:bidi="ar-SA"/>
        </w:rPr>
        <w:drawing>
          <wp:inline distT="0" distB="0" distL="114300" distR="114300">
            <wp:extent cx="1590040" cy="567690"/>
            <wp:effectExtent l="0" t="0" r="10160" b="3810"/>
            <wp:docPr id="17" name="图片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图片 32"/>
                    <pic:cNvPicPr>
                      <a:picLocks noChangeAspect="1"/>
                    </pic:cNvPicPr>
                  </pic:nvPicPr>
                  <pic:blipFill>
                    <a:blip r:embed="rId12"/>
                    <a:stretch>
                      <a:fillRect/>
                    </a:stretch>
                  </pic:blipFill>
                  <pic:spPr>
                    <a:xfrm>
                      <a:off x="0" y="0"/>
                      <a:ext cx="1590040" cy="567690"/>
                    </a:xfrm>
                    <a:prstGeom prst="rect">
                      <a:avLst/>
                    </a:prstGeom>
                    <a:noFill/>
                    <a:ln>
                      <a:noFill/>
                    </a:ln>
                  </pic:spPr>
                </pic:pic>
              </a:graphicData>
            </a:graphic>
          </wp:inline>
        </w:drawing>
      </w:r>
    </w:p>
    <w:p w14:paraId="47FEE294">
      <w:pPr>
        <w:pStyle w:val="33"/>
        <w:spacing w:before="0" w:after="0"/>
        <w:ind w:firstLine="560"/>
        <w:rPr>
          <w:rFonts w:hAnsi="Times New Roman" w:cs="Times New Roman"/>
          <w:color w:val="auto"/>
        </w:rPr>
      </w:pPr>
      <w:r>
        <w:rPr>
          <w:rFonts w:hAnsi="Times New Roman" w:cs="Times New Roman"/>
          <w:color w:val="auto"/>
        </w:rPr>
        <w:t>式中：</w:t>
      </w:r>
      <w:r>
        <w:rPr>
          <w:rFonts w:hAnsi="Times New Roman" w:cs="Times New Roman"/>
          <w:i/>
          <w:iCs/>
          <w:color w:val="auto"/>
        </w:rPr>
        <w:t>F</w:t>
      </w:r>
      <w:r>
        <w:rPr>
          <w:rFonts w:hAnsi="Times New Roman" w:cs="Times New Roman"/>
          <w:color w:val="auto"/>
        </w:rPr>
        <w:t>—基准地价上调最大幅度；</w:t>
      </w:r>
    </w:p>
    <w:p w14:paraId="0EEEC97F">
      <w:pPr>
        <w:pStyle w:val="33"/>
        <w:spacing w:before="0" w:after="0"/>
        <w:ind w:firstLine="1400" w:firstLineChars="500"/>
        <w:rPr>
          <w:rFonts w:hAnsi="Times New Roman" w:cs="Times New Roman"/>
          <w:color w:val="auto"/>
        </w:rPr>
      </w:pPr>
      <w:r>
        <w:rPr>
          <w:rFonts w:hAnsi="Times New Roman" w:cs="Times New Roman"/>
          <w:i/>
          <w:iCs/>
          <w:color w:val="auto"/>
        </w:rPr>
        <w:t>F</w:t>
      </w:r>
      <w:r>
        <w:rPr>
          <w:rFonts w:hAnsi="Times New Roman" w:cs="Times New Roman"/>
          <w:i/>
          <w:iCs/>
          <w:color w:val="auto"/>
          <w:vertAlign w:val="subscript"/>
        </w:rPr>
        <w:t>2</w:t>
      </w:r>
      <w:r>
        <w:rPr>
          <w:rFonts w:hAnsi="Times New Roman" w:cs="Times New Roman"/>
          <w:color w:val="auto"/>
        </w:rPr>
        <w:t>—基准地价下调最大幅度；</w:t>
      </w:r>
    </w:p>
    <w:p w14:paraId="238A02AD">
      <w:pPr>
        <w:pStyle w:val="33"/>
        <w:spacing w:before="0" w:after="0"/>
        <w:ind w:firstLine="1400" w:firstLineChars="500"/>
        <w:rPr>
          <w:rFonts w:hAnsi="Times New Roman" w:cs="Times New Roman"/>
          <w:color w:val="auto"/>
        </w:rPr>
      </w:pPr>
      <w:r>
        <w:rPr>
          <w:rFonts w:hAnsi="Times New Roman" w:cs="Times New Roman"/>
          <w:i/>
          <w:iCs/>
          <w:color w:val="auto"/>
        </w:rPr>
        <w:t>I</w:t>
      </w:r>
      <w:r>
        <w:rPr>
          <w:rFonts w:hAnsi="Times New Roman" w:cs="Times New Roman"/>
          <w:i/>
          <w:iCs/>
          <w:color w:val="auto"/>
          <w:vertAlign w:val="subscript"/>
        </w:rPr>
        <w:t>nh</w:t>
      </w:r>
      <w:r>
        <w:rPr>
          <w:rFonts w:hAnsi="Times New Roman" w:cs="Times New Roman"/>
          <w:color w:val="auto"/>
        </w:rPr>
        <w:t>—级别正常样本地价最高值；</w:t>
      </w:r>
    </w:p>
    <w:p w14:paraId="742111CF">
      <w:pPr>
        <w:pStyle w:val="33"/>
        <w:spacing w:before="0" w:after="0"/>
        <w:ind w:firstLine="1400" w:firstLineChars="500"/>
        <w:rPr>
          <w:rFonts w:hAnsi="Times New Roman" w:cs="Times New Roman"/>
          <w:color w:val="auto"/>
        </w:rPr>
      </w:pPr>
      <w:r>
        <w:rPr>
          <w:rFonts w:hAnsi="Times New Roman" w:cs="Times New Roman"/>
          <w:i/>
          <w:iCs/>
          <w:color w:val="auto"/>
        </w:rPr>
        <w:t>I</w:t>
      </w:r>
      <w:r>
        <w:rPr>
          <w:rFonts w:hAnsi="Times New Roman" w:cs="Times New Roman"/>
          <w:i/>
          <w:iCs/>
          <w:color w:val="auto"/>
          <w:vertAlign w:val="subscript"/>
        </w:rPr>
        <w:t>nl</w:t>
      </w:r>
      <w:r>
        <w:rPr>
          <w:rFonts w:hAnsi="Times New Roman" w:cs="Times New Roman"/>
          <w:color w:val="auto"/>
        </w:rPr>
        <w:t>—级别正常样本地价最低值；</w:t>
      </w:r>
    </w:p>
    <w:p w14:paraId="7202BB89">
      <w:pPr>
        <w:pStyle w:val="33"/>
        <w:spacing w:before="0" w:after="0"/>
        <w:ind w:firstLine="1400" w:firstLineChars="500"/>
        <w:rPr>
          <w:rFonts w:hAnsi="Times New Roman" w:cs="Times New Roman"/>
          <w:color w:val="auto"/>
        </w:rPr>
      </w:pPr>
      <w:r>
        <w:rPr>
          <w:rFonts w:hAnsi="Times New Roman" w:cs="Times New Roman"/>
          <w:i/>
          <w:iCs/>
          <w:color w:val="auto"/>
        </w:rPr>
        <w:t>I</w:t>
      </w:r>
      <w:r>
        <w:rPr>
          <w:rFonts w:hAnsi="Times New Roman" w:cs="Times New Roman"/>
          <w:i/>
          <w:iCs/>
          <w:color w:val="auto"/>
          <w:vertAlign w:val="subscript"/>
        </w:rPr>
        <w:t>lb</w:t>
      </w:r>
      <w:r>
        <w:rPr>
          <w:rFonts w:hAnsi="Times New Roman" w:cs="Times New Roman"/>
          <w:color w:val="auto"/>
        </w:rPr>
        <w:t>—基准地价。</w:t>
      </w:r>
    </w:p>
    <w:p w14:paraId="4E08562E">
      <w:pPr>
        <w:pStyle w:val="48"/>
        <w:numPr>
          <w:ilvl w:val="2"/>
          <w:numId w:val="0"/>
        </w:numPr>
        <w:rPr>
          <w:rFonts w:hAnsi="Times New Roman" w:cs="Times New Roman"/>
          <w:color w:val="auto"/>
          <w:lang w:val="en-US"/>
        </w:rPr>
      </w:pPr>
      <w:r>
        <w:rPr>
          <w:rFonts w:hint="eastAsia" w:hAnsi="Times New Roman" w:cs="Times New Roman"/>
          <w:color w:val="000000"/>
          <w:szCs w:val="28"/>
          <w:lang w:val="en-US" w:eastAsia="zh-CN"/>
        </w:rPr>
        <w:t>3.</w:t>
      </w:r>
      <w:r>
        <w:rPr>
          <w:rFonts w:hAnsi="Times New Roman" w:cs="Times New Roman"/>
          <w:color w:val="auto"/>
        </w:rPr>
        <w:t>各因素修正幅度值确定</w:t>
      </w:r>
    </w:p>
    <w:p w14:paraId="61854DD6">
      <w:pPr>
        <w:pStyle w:val="33"/>
        <w:spacing w:before="0" w:after="0"/>
        <w:ind w:firstLine="572"/>
        <w:rPr>
          <w:rFonts w:hAnsi="Times New Roman" w:cs="Times New Roman"/>
          <w:color w:val="auto"/>
        </w:rPr>
      </w:pPr>
      <w:r>
        <w:rPr>
          <w:rFonts w:hAnsi="Times New Roman" w:cs="Times New Roman"/>
          <w:color w:val="auto"/>
          <w:spacing w:val="3"/>
        </w:rPr>
        <w:t>各因素修正幅度值确定，根据不同用途各因素对地价的影响程</w:t>
      </w:r>
      <w:r>
        <w:rPr>
          <w:rFonts w:hAnsi="Times New Roman" w:cs="Times New Roman"/>
          <w:color w:val="auto"/>
        </w:rPr>
        <w:t>度，按以下公式计算各因素的修正幅度，并通过样本地价的检验、校</w:t>
      </w:r>
      <w:r>
        <w:rPr>
          <w:rFonts w:hAnsi="Times New Roman" w:cs="Times New Roman"/>
          <w:color w:val="auto"/>
          <w:spacing w:val="-4"/>
        </w:rPr>
        <w:t>正。计算公式如下：</w:t>
      </w:r>
    </w:p>
    <w:p w14:paraId="029A46BB">
      <w:pPr>
        <w:spacing w:line="560" w:lineRule="exact"/>
        <w:jc w:val="center"/>
        <w:rPr>
          <w:rFonts w:ascii="Times New Roman" w:hAnsi="Times New Roman" w:cs="Times New Roman"/>
          <w:i/>
          <w:color w:val="auto"/>
          <w:sz w:val="24"/>
          <w:szCs w:val="24"/>
          <w:lang w:eastAsia="zh-CN"/>
        </w:rPr>
      </w:pPr>
      <w:r>
        <w:rPr>
          <w:rFonts w:ascii="Times New Roman" w:hAnsi="Times New Roman" w:cs="Times New Roman"/>
          <w:i/>
          <w:color w:val="auto"/>
          <w:sz w:val="24"/>
          <w:szCs w:val="24"/>
          <w:lang w:eastAsia="zh-CN"/>
        </w:rPr>
        <w:t>F</w:t>
      </w:r>
      <w:r>
        <w:rPr>
          <w:rFonts w:ascii="Times New Roman" w:hAnsi="Times New Roman" w:cs="Times New Roman"/>
          <w:color w:val="auto"/>
          <w:position w:val="-5"/>
          <w:sz w:val="24"/>
          <w:szCs w:val="24"/>
          <w:lang w:eastAsia="zh-CN"/>
        </w:rPr>
        <w:t>1</w:t>
      </w:r>
      <w:r>
        <w:rPr>
          <w:rFonts w:ascii="Times New Roman" w:hAnsi="Times New Roman" w:cs="Times New Roman"/>
          <w:i/>
          <w:color w:val="auto"/>
          <w:position w:val="-5"/>
          <w:sz w:val="24"/>
          <w:szCs w:val="24"/>
          <w:lang w:eastAsia="zh-CN"/>
        </w:rPr>
        <w:t>i</w:t>
      </w:r>
      <w:r>
        <w:rPr>
          <w:rFonts w:ascii="Times New Roman" w:hAnsi="Times New Roman" w:cs="Times New Roman"/>
          <w:color w:val="auto"/>
          <w:sz w:val="24"/>
          <w:szCs w:val="24"/>
          <w:lang w:eastAsia="zh-CN"/>
        </w:rPr>
        <w:t>=</w:t>
      </w:r>
      <w:r>
        <w:rPr>
          <w:rFonts w:ascii="Times New Roman" w:hAnsi="Times New Roman" w:cs="Times New Roman"/>
          <w:i/>
          <w:color w:val="auto"/>
          <w:sz w:val="24"/>
          <w:szCs w:val="24"/>
          <w:lang w:eastAsia="zh-CN"/>
        </w:rPr>
        <w:t>F</w:t>
      </w:r>
      <w:r>
        <w:rPr>
          <w:rFonts w:ascii="Times New Roman" w:hAnsi="Times New Roman" w:cs="Times New Roman"/>
          <w:color w:val="auto"/>
          <w:position w:val="-5"/>
          <w:sz w:val="24"/>
          <w:szCs w:val="24"/>
          <w:lang w:eastAsia="zh-CN"/>
        </w:rPr>
        <w:t>1</w:t>
      </w:r>
      <w:r>
        <w:rPr>
          <w:rFonts w:ascii="Times New Roman" w:hAnsi="Times New Roman" w:cs="Times New Roman"/>
          <w:color w:val="auto"/>
          <w:sz w:val="24"/>
          <w:szCs w:val="24"/>
          <w:lang w:eastAsia="zh-CN"/>
        </w:rPr>
        <w:t>*</w:t>
      </w:r>
      <w:r>
        <w:rPr>
          <w:rFonts w:ascii="Times New Roman" w:hAnsi="Times New Roman" w:cs="Times New Roman"/>
          <w:i/>
          <w:color w:val="auto"/>
          <w:sz w:val="24"/>
          <w:szCs w:val="24"/>
          <w:lang w:eastAsia="zh-CN"/>
        </w:rPr>
        <w:t>W</w:t>
      </w:r>
      <w:r>
        <w:rPr>
          <w:rFonts w:ascii="Times New Roman" w:hAnsi="Times New Roman" w:cs="Times New Roman"/>
          <w:i/>
          <w:color w:val="auto"/>
          <w:position w:val="-5"/>
          <w:sz w:val="24"/>
          <w:szCs w:val="24"/>
          <w:lang w:eastAsia="zh-CN"/>
        </w:rPr>
        <w:t>i</w:t>
      </w:r>
    </w:p>
    <w:p w14:paraId="14FF7CC2">
      <w:pPr>
        <w:spacing w:line="560" w:lineRule="exact"/>
        <w:jc w:val="center"/>
        <w:rPr>
          <w:rFonts w:ascii="Times New Roman" w:hAnsi="Times New Roman" w:cs="Times New Roman"/>
          <w:i/>
          <w:color w:val="auto"/>
          <w:sz w:val="24"/>
          <w:szCs w:val="24"/>
          <w:lang w:eastAsia="zh-CN"/>
        </w:rPr>
      </w:pPr>
      <w:r>
        <w:rPr>
          <w:rFonts w:ascii="Times New Roman" w:hAnsi="Times New Roman" w:cs="Times New Roman"/>
          <w:i/>
          <w:color w:val="auto"/>
          <w:sz w:val="24"/>
          <w:szCs w:val="24"/>
          <w:lang w:eastAsia="zh-CN"/>
        </w:rPr>
        <w:t>F</w:t>
      </w:r>
      <w:r>
        <w:rPr>
          <w:rFonts w:ascii="Times New Roman" w:hAnsi="Times New Roman" w:cs="Times New Roman"/>
          <w:color w:val="auto"/>
          <w:position w:val="-5"/>
          <w:sz w:val="24"/>
          <w:szCs w:val="24"/>
          <w:lang w:eastAsia="zh-CN"/>
        </w:rPr>
        <w:t>2</w:t>
      </w:r>
      <w:r>
        <w:rPr>
          <w:rFonts w:ascii="Times New Roman" w:hAnsi="Times New Roman" w:cs="Times New Roman"/>
          <w:i/>
          <w:color w:val="auto"/>
          <w:position w:val="-5"/>
          <w:sz w:val="24"/>
          <w:szCs w:val="24"/>
          <w:lang w:eastAsia="zh-CN"/>
        </w:rPr>
        <w:t>i</w:t>
      </w:r>
      <w:r>
        <w:rPr>
          <w:rFonts w:ascii="Times New Roman" w:hAnsi="Times New Roman" w:cs="Times New Roman"/>
          <w:color w:val="auto"/>
          <w:sz w:val="24"/>
          <w:szCs w:val="24"/>
          <w:lang w:eastAsia="zh-CN"/>
        </w:rPr>
        <w:t>=</w:t>
      </w:r>
      <w:r>
        <w:rPr>
          <w:rFonts w:ascii="Times New Roman" w:hAnsi="Times New Roman" w:cs="Times New Roman"/>
          <w:i/>
          <w:color w:val="auto"/>
          <w:sz w:val="24"/>
          <w:szCs w:val="24"/>
          <w:lang w:eastAsia="zh-CN"/>
        </w:rPr>
        <w:t>F</w:t>
      </w:r>
      <w:r>
        <w:rPr>
          <w:rFonts w:ascii="Times New Roman" w:hAnsi="Times New Roman" w:cs="Times New Roman"/>
          <w:color w:val="auto"/>
          <w:position w:val="-5"/>
          <w:sz w:val="24"/>
          <w:szCs w:val="24"/>
          <w:lang w:eastAsia="zh-CN"/>
        </w:rPr>
        <w:t>2</w:t>
      </w:r>
      <w:r>
        <w:rPr>
          <w:rFonts w:ascii="Times New Roman" w:hAnsi="Times New Roman" w:cs="Times New Roman"/>
          <w:color w:val="auto"/>
          <w:sz w:val="24"/>
          <w:szCs w:val="24"/>
          <w:lang w:eastAsia="zh-CN"/>
        </w:rPr>
        <w:t>*</w:t>
      </w:r>
      <w:r>
        <w:rPr>
          <w:rFonts w:ascii="Times New Roman" w:hAnsi="Times New Roman" w:cs="Times New Roman"/>
          <w:i/>
          <w:color w:val="auto"/>
          <w:sz w:val="24"/>
          <w:szCs w:val="24"/>
          <w:lang w:eastAsia="zh-CN"/>
        </w:rPr>
        <w:t>W</w:t>
      </w:r>
      <w:r>
        <w:rPr>
          <w:rFonts w:ascii="Times New Roman" w:hAnsi="Times New Roman" w:cs="Times New Roman"/>
          <w:i/>
          <w:color w:val="auto"/>
          <w:position w:val="-5"/>
          <w:sz w:val="24"/>
          <w:szCs w:val="24"/>
          <w:lang w:eastAsia="zh-CN"/>
        </w:rPr>
        <w:t>i</w:t>
      </w:r>
    </w:p>
    <w:p w14:paraId="693D9E71">
      <w:pPr>
        <w:pStyle w:val="33"/>
        <w:spacing w:before="0" w:after="0"/>
        <w:ind w:firstLine="560"/>
        <w:rPr>
          <w:rFonts w:hAnsi="Times New Roman" w:cs="Times New Roman"/>
          <w:color w:val="auto"/>
        </w:rPr>
      </w:pPr>
      <w:r>
        <w:rPr>
          <w:rFonts w:hAnsi="Times New Roman" w:cs="Times New Roman"/>
          <w:color w:val="auto"/>
        </w:rPr>
        <w:t>式中</w:t>
      </w:r>
      <w:r>
        <w:rPr>
          <w:rFonts w:hAnsi="Times New Roman" w:cs="Times New Roman"/>
          <w:i/>
          <w:iCs/>
          <w:color w:val="auto"/>
        </w:rPr>
        <w:t>F</w:t>
      </w:r>
      <w:r>
        <w:rPr>
          <w:rFonts w:hAnsi="Times New Roman" w:cs="Times New Roman"/>
          <w:i/>
          <w:iCs/>
          <w:color w:val="auto"/>
          <w:vertAlign w:val="subscript"/>
        </w:rPr>
        <w:t>1</w:t>
      </w:r>
      <w:r>
        <w:rPr>
          <w:rFonts w:hAnsi="Times New Roman" w:cs="Times New Roman"/>
          <w:color w:val="auto"/>
        </w:rPr>
        <w:t>—某因素的上调幅度；</w:t>
      </w:r>
    </w:p>
    <w:p w14:paraId="50C1C56D">
      <w:pPr>
        <w:pStyle w:val="33"/>
        <w:spacing w:before="0" w:after="0"/>
        <w:ind w:firstLine="1120" w:firstLineChars="400"/>
        <w:rPr>
          <w:rFonts w:hAnsi="Times New Roman" w:cs="Times New Roman"/>
          <w:color w:val="auto"/>
        </w:rPr>
      </w:pPr>
      <w:r>
        <w:rPr>
          <w:rFonts w:hAnsi="Times New Roman" w:cs="Times New Roman"/>
          <w:i/>
          <w:iCs/>
          <w:color w:val="auto"/>
        </w:rPr>
        <w:t>F</w:t>
      </w:r>
      <w:r>
        <w:rPr>
          <w:rFonts w:hAnsi="Times New Roman" w:cs="Times New Roman"/>
          <w:i/>
          <w:iCs/>
          <w:color w:val="auto"/>
          <w:vertAlign w:val="subscript"/>
        </w:rPr>
        <w:t>1</w:t>
      </w:r>
      <w:r>
        <w:rPr>
          <w:rFonts w:hAnsi="Times New Roman" w:cs="Times New Roman"/>
          <w:color w:val="auto"/>
        </w:rPr>
        <w:t>—基准地价上调最大幅度；</w:t>
      </w:r>
    </w:p>
    <w:p w14:paraId="68BC3050">
      <w:pPr>
        <w:pStyle w:val="33"/>
        <w:spacing w:before="0" w:after="0"/>
        <w:ind w:firstLine="1120" w:firstLineChars="400"/>
        <w:rPr>
          <w:rFonts w:hAnsi="Times New Roman" w:cs="Times New Roman"/>
          <w:color w:val="auto"/>
        </w:rPr>
      </w:pPr>
      <w:r>
        <w:rPr>
          <w:rFonts w:hAnsi="Times New Roman" w:cs="Times New Roman"/>
          <w:i/>
          <w:iCs/>
          <w:color w:val="auto"/>
        </w:rPr>
        <w:t>F</w:t>
      </w:r>
      <w:r>
        <w:rPr>
          <w:rFonts w:hAnsi="Times New Roman" w:cs="Times New Roman"/>
          <w:i/>
          <w:iCs/>
          <w:color w:val="auto"/>
          <w:vertAlign w:val="subscript"/>
        </w:rPr>
        <w:t>2i</w:t>
      </w:r>
      <w:r>
        <w:rPr>
          <w:rFonts w:hAnsi="Times New Roman" w:cs="Times New Roman"/>
          <w:color w:val="auto"/>
        </w:rPr>
        <w:t>—某因素的下调幅度；</w:t>
      </w:r>
    </w:p>
    <w:p w14:paraId="4D1694A9">
      <w:pPr>
        <w:pStyle w:val="33"/>
        <w:spacing w:before="0" w:after="0"/>
        <w:ind w:firstLine="1120" w:firstLineChars="400"/>
        <w:rPr>
          <w:rFonts w:hAnsi="Times New Roman" w:cs="Times New Roman"/>
          <w:color w:val="auto"/>
        </w:rPr>
      </w:pPr>
      <w:r>
        <w:rPr>
          <w:rFonts w:hAnsi="Times New Roman" w:cs="Times New Roman"/>
          <w:i/>
          <w:iCs/>
          <w:color w:val="auto"/>
        </w:rPr>
        <w:t>F</w:t>
      </w:r>
      <w:r>
        <w:rPr>
          <w:rFonts w:hAnsi="Times New Roman" w:cs="Times New Roman"/>
          <w:i/>
          <w:iCs/>
          <w:color w:val="auto"/>
          <w:vertAlign w:val="subscript"/>
        </w:rPr>
        <w:t>2</w:t>
      </w:r>
      <w:r>
        <w:rPr>
          <w:rFonts w:hAnsi="Times New Roman" w:cs="Times New Roman"/>
          <w:color w:val="auto"/>
        </w:rPr>
        <w:t>—基准地价下调最大幅度；</w:t>
      </w:r>
    </w:p>
    <w:p w14:paraId="5F5BCE8D">
      <w:pPr>
        <w:pStyle w:val="33"/>
        <w:spacing w:before="0" w:after="0"/>
        <w:ind w:firstLine="1120" w:firstLineChars="400"/>
        <w:rPr>
          <w:rFonts w:hAnsi="Times New Roman" w:cs="Times New Roman"/>
          <w:color w:val="auto"/>
        </w:rPr>
      </w:pPr>
      <w:r>
        <w:rPr>
          <w:rFonts w:hAnsi="Times New Roman" w:cs="Times New Roman"/>
          <w:i/>
          <w:iCs/>
          <w:color w:val="auto"/>
        </w:rPr>
        <w:t>W</w:t>
      </w:r>
      <w:r>
        <w:rPr>
          <w:rFonts w:hAnsi="Times New Roman" w:cs="Times New Roman"/>
          <w:color w:val="auto"/>
        </w:rPr>
        <w:t>—某因素对宗地地价的影响权重值。</w:t>
      </w:r>
    </w:p>
    <w:p w14:paraId="17019A75">
      <w:pPr>
        <w:pStyle w:val="48"/>
        <w:numPr>
          <w:ilvl w:val="2"/>
          <w:numId w:val="0"/>
        </w:numPr>
        <w:rPr>
          <w:rFonts w:hAnsi="Times New Roman" w:cs="Times New Roman"/>
          <w:color w:val="auto"/>
        </w:rPr>
      </w:pPr>
      <w:r>
        <w:rPr>
          <w:rFonts w:hint="eastAsia" w:hAnsi="Times New Roman" w:cs="Times New Roman"/>
          <w:color w:val="auto"/>
          <w:lang w:val="en-US" w:eastAsia="zh-CN"/>
        </w:rPr>
        <w:t>4.</w:t>
      </w:r>
      <w:r>
        <w:rPr>
          <w:rFonts w:hAnsi="Times New Roman" w:cs="Times New Roman"/>
          <w:color w:val="auto"/>
        </w:rPr>
        <w:t>因素修正系数表与因素指标说明表</w:t>
      </w:r>
    </w:p>
    <w:p w14:paraId="2E11A02E">
      <w:pPr>
        <w:pStyle w:val="33"/>
        <w:ind w:firstLine="560"/>
        <w:rPr>
          <w:rFonts w:hAnsi="Times New Roman" w:cs="Times New Roman"/>
          <w:color w:val="auto"/>
        </w:rPr>
      </w:pPr>
      <w:r>
        <w:rPr>
          <w:rFonts w:hAnsi="Times New Roman" w:cs="Times New Roman"/>
          <w:color w:val="auto"/>
        </w:rPr>
        <w:t>根据三类用地修正因素体系及不同级别各因素的修正幅度值，编制各因素修正系数表，并相应编制因素指标说明表。</w:t>
      </w:r>
    </w:p>
    <w:p w14:paraId="51BA892E">
      <w:pPr>
        <w:pStyle w:val="48"/>
        <w:numPr>
          <w:ilvl w:val="2"/>
          <w:numId w:val="0"/>
        </w:numPr>
        <w:rPr>
          <w:rFonts w:hAnsi="Times New Roman" w:cs="Times New Roman"/>
          <w:color w:val="auto"/>
        </w:rPr>
      </w:pPr>
      <w:r>
        <w:rPr>
          <w:rFonts w:hint="eastAsia" w:hAnsi="Times New Roman" w:cs="Times New Roman"/>
          <w:color w:val="auto"/>
          <w:lang w:val="en-US" w:eastAsia="zh-CN"/>
        </w:rPr>
        <w:t>5.</w:t>
      </w:r>
      <w:r>
        <w:rPr>
          <w:rFonts w:hAnsi="Times New Roman" w:cs="Times New Roman"/>
          <w:color w:val="auto"/>
        </w:rPr>
        <w:t>期日修正</w:t>
      </w:r>
    </w:p>
    <w:p w14:paraId="6520DAE0">
      <w:pPr>
        <w:pStyle w:val="33"/>
        <w:spacing w:before="0" w:after="0"/>
        <w:ind w:firstLine="560"/>
        <w:rPr>
          <w:rFonts w:hAnsi="Times New Roman" w:cs="Times New Roman"/>
          <w:color w:val="auto"/>
          <w:spacing w:val="-5"/>
        </w:rPr>
      </w:pPr>
      <w:r>
        <w:rPr>
          <w:rFonts w:hAnsi="Times New Roman" w:cs="Times New Roman"/>
          <w:color w:val="auto"/>
        </w:rPr>
        <w:t>土地价格是经常变化的，其变动幅度往往大于总体物价变动的水</w:t>
      </w:r>
      <w:r>
        <w:rPr>
          <w:rFonts w:hAnsi="Times New Roman" w:cs="Times New Roman"/>
          <w:color w:val="auto"/>
          <w:spacing w:val="-10"/>
        </w:rPr>
        <w:t>平，评估期日修正可采用地价指数或地价监测指数修正。在尚未编制</w:t>
      </w:r>
      <w:r>
        <w:rPr>
          <w:rFonts w:hAnsi="Times New Roman" w:cs="Times New Roman"/>
          <w:color w:val="auto"/>
        </w:rPr>
        <w:t>地价指数时，则应选择与待估宗地地块类似的样本，调查估价期日与原样</w:t>
      </w:r>
      <w:r>
        <w:rPr>
          <w:rFonts w:hAnsi="Times New Roman" w:cs="Times New Roman"/>
          <w:color w:val="auto"/>
          <w:spacing w:val="-5"/>
        </w:rPr>
        <w:t>本地价的变动关系，确定评估期日的修正系数。公式为：</w:t>
      </w:r>
    </w:p>
    <w:p w14:paraId="28F68AE8">
      <w:pPr>
        <w:pStyle w:val="33"/>
        <w:spacing w:before="0" w:after="0" w:line="240" w:lineRule="auto"/>
        <w:ind w:firstLine="560"/>
        <w:rPr>
          <w:rFonts w:hAnsi="Times New Roman" w:cs="Times New Roman"/>
          <w:color w:val="auto"/>
        </w:rPr>
      </w:pPr>
      <m:oMathPara>
        <m:oMathParaPr>
          <m:jc m:val="center"/>
        </m:oMathParaPr>
        <m:oMath>
          <m:r>
            <m:rPr>
              <m:sty m:val="p"/>
            </m:rPr>
            <w:rPr>
              <w:rFonts w:hint="default" w:ascii="Cambria Math" w:hAnsi="Cambria Math" w:cs="Times New Roman"/>
              <w:color w:val="auto"/>
            </w:rPr>
            <m:t>期日修正系数＝</m:t>
          </m:r>
          <m:f>
            <m:fPr>
              <m:ctrlPr>
                <w:rPr>
                  <w:rFonts w:hint="default" w:ascii="Cambria Math" w:hAnsi="Cambria Math" w:cs="Times New Roman"/>
                  <w:color w:val="auto"/>
                </w:rPr>
              </m:ctrlPr>
            </m:fPr>
            <m:num>
              <m:r>
                <m:rPr>
                  <m:sty m:val="p"/>
                </m:rPr>
                <w:rPr>
                  <w:rFonts w:hint="default" w:ascii="Cambria Math" w:hAnsi="Cambria Math" w:cs="Times New Roman"/>
                  <w:color w:val="auto"/>
                </w:rPr>
                <m:t>待估宗地评估期日的地价指数</m:t>
              </m:r>
              <m:ctrlPr>
                <w:rPr>
                  <w:rFonts w:hint="default" w:ascii="Cambria Math" w:hAnsi="Cambria Math" w:cs="Times New Roman"/>
                  <w:color w:val="auto"/>
                </w:rPr>
              </m:ctrlPr>
            </m:num>
            <m:den>
              <m:r>
                <m:rPr>
                  <m:sty m:val="p"/>
                </m:rPr>
                <w:rPr>
                  <w:rFonts w:hint="default" w:ascii="Cambria Math" w:hAnsi="Cambria Math" w:cs="Times New Roman"/>
                  <w:color w:val="auto"/>
                </w:rPr>
                <m:t>基准地价评估时点的地价指数</m:t>
              </m:r>
              <m:ctrlPr>
                <w:rPr>
                  <w:rFonts w:hint="default" w:ascii="Cambria Math" w:hAnsi="Cambria Math" w:cs="Times New Roman"/>
                  <w:color w:val="auto"/>
                </w:rPr>
              </m:ctrlPr>
            </m:den>
          </m:f>
        </m:oMath>
      </m:oMathPara>
    </w:p>
    <w:p w14:paraId="44A58608">
      <w:pPr>
        <w:pStyle w:val="33"/>
        <w:spacing w:before="0" w:after="0"/>
        <w:ind w:firstLine="1400" w:firstLineChars="500"/>
        <w:rPr>
          <w:rFonts w:hAnsi="Times New Roman" w:cs="Times New Roman"/>
          <w:color w:val="auto"/>
        </w:rPr>
      </w:pPr>
      <w:r>
        <w:rPr>
          <w:rFonts w:hAnsi="Times New Roman" w:cs="Times New Roman"/>
          <w:color w:val="auto"/>
        </w:rPr>
        <w:t>修正后地价=宗地地价×期日修正系数</w:t>
      </w:r>
    </w:p>
    <w:p w14:paraId="0095F2DF">
      <w:pPr>
        <w:pStyle w:val="48"/>
        <w:numPr>
          <w:ilvl w:val="2"/>
          <w:numId w:val="0"/>
        </w:numPr>
        <w:rPr>
          <w:rFonts w:hAnsi="Times New Roman" w:cs="Times New Roman"/>
          <w:color w:val="auto"/>
        </w:rPr>
      </w:pPr>
      <w:r>
        <w:rPr>
          <w:rFonts w:hint="eastAsia" w:hAnsi="Times New Roman" w:cs="Times New Roman"/>
          <w:color w:val="auto"/>
          <w:lang w:val="en-US" w:eastAsia="zh-CN"/>
        </w:rPr>
        <w:t>6.</w:t>
      </w:r>
      <w:r>
        <w:rPr>
          <w:rFonts w:hAnsi="Times New Roman" w:cs="Times New Roman"/>
          <w:color w:val="auto"/>
        </w:rPr>
        <w:t>年期修正</w:t>
      </w:r>
    </w:p>
    <w:p w14:paraId="2AEE67D0">
      <w:pPr>
        <w:pStyle w:val="33"/>
        <w:spacing w:before="0" w:after="0"/>
        <w:ind w:firstLine="560"/>
        <w:rPr>
          <w:rFonts w:hAnsi="Times New Roman" w:cs="Times New Roman"/>
          <w:color w:val="auto"/>
        </w:rPr>
      </w:pPr>
      <w:r>
        <w:rPr>
          <w:rFonts w:hAnsi="Times New Roman" w:cs="Times New Roman"/>
          <w:color w:val="auto"/>
        </w:rPr>
        <w:t>基准地价对应的使用年期，是各用途土地使用权的最高出让年期，而具体宗地的使用年期可能各不相同，因此必须进行年期修正。土地使用年期修正系数可按下式计算：</w:t>
      </w:r>
    </w:p>
    <w:p w14:paraId="73685A77">
      <w:pPr>
        <w:pStyle w:val="33"/>
        <w:spacing w:before="0" w:after="0" w:line="240" w:lineRule="auto"/>
        <w:ind w:firstLine="0" w:firstLineChars="0"/>
        <w:jc w:val="center"/>
        <w:rPr>
          <w:rFonts w:hAnsi="Times New Roman" w:cs="Times New Roman"/>
          <w:color w:val="auto"/>
        </w:rPr>
      </w:pPr>
      <w:r>
        <w:rPr>
          <w:rFonts w:hAnsi="Times New Roman" w:cs="Times New Roman"/>
          <w:color w:val="auto"/>
          <w:lang w:val="en-US" w:bidi="ar-SA"/>
        </w:rPr>
        <w:drawing>
          <wp:inline distT="0" distB="0" distL="114300" distR="114300">
            <wp:extent cx="1243330" cy="934085"/>
            <wp:effectExtent l="0" t="0" r="13970" b="18415"/>
            <wp:docPr id="19" name="图片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图片 34"/>
                    <pic:cNvPicPr>
                      <a:picLocks noChangeAspect="1"/>
                    </pic:cNvPicPr>
                  </pic:nvPicPr>
                  <pic:blipFill>
                    <a:blip r:embed="rId13"/>
                    <a:stretch>
                      <a:fillRect/>
                    </a:stretch>
                  </pic:blipFill>
                  <pic:spPr>
                    <a:xfrm>
                      <a:off x="0" y="0"/>
                      <a:ext cx="1243330" cy="934085"/>
                    </a:xfrm>
                    <a:prstGeom prst="rect">
                      <a:avLst/>
                    </a:prstGeom>
                    <a:noFill/>
                    <a:ln>
                      <a:noFill/>
                    </a:ln>
                  </pic:spPr>
                </pic:pic>
              </a:graphicData>
            </a:graphic>
          </wp:inline>
        </w:drawing>
      </w:r>
    </w:p>
    <w:p w14:paraId="602D191C">
      <w:pPr>
        <w:pStyle w:val="33"/>
        <w:spacing w:before="0" w:after="0"/>
        <w:ind w:firstLine="560"/>
        <w:rPr>
          <w:rFonts w:hAnsi="Times New Roman" w:cs="Times New Roman"/>
          <w:color w:val="auto"/>
        </w:rPr>
      </w:pPr>
      <w:r>
        <w:rPr>
          <w:rFonts w:hAnsi="Times New Roman" w:cs="Times New Roman"/>
          <w:color w:val="auto"/>
        </w:rPr>
        <w:t>式中：</w:t>
      </w:r>
      <w:r>
        <w:rPr>
          <w:rFonts w:hAnsi="Times New Roman" w:cs="Times New Roman"/>
          <w:i/>
          <w:iCs/>
          <w:color w:val="auto"/>
        </w:rPr>
        <w:t>K</w:t>
      </w:r>
      <w:r>
        <w:rPr>
          <w:rFonts w:hAnsi="Times New Roman" w:cs="Times New Roman"/>
          <w:i/>
          <w:iCs/>
          <w:color w:val="auto"/>
          <w:vertAlign w:val="subscript"/>
        </w:rPr>
        <w:t>2</w:t>
      </w:r>
      <w:r>
        <w:rPr>
          <w:rFonts w:hAnsi="Times New Roman" w:eastAsia="Times New Roman" w:cs="Times New Roman"/>
          <w:color w:val="auto"/>
        </w:rPr>
        <w:t>—</w:t>
      </w:r>
      <w:r>
        <w:rPr>
          <w:rFonts w:hAnsi="Times New Roman" w:cs="Times New Roman"/>
          <w:color w:val="auto"/>
        </w:rPr>
        <w:t>宗地使用年期修正系数；</w:t>
      </w:r>
    </w:p>
    <w:p w14:paraId="732768CC">
      <w:pPr>
        <w:pStyle w:val="33"/>
        <w:spacing w:before="0" w:after="0"/>
        <w:ind w:firstLine="1400" w:firstLineChars="500"/>
        <w:rPr>
          <w:rFonts w:hAnsi="Times New Roman" w:cs="Times New Roman"/>
          <w:color w:val="auto"/>
        </w:rPr>
      </w:pPr>
      <w:r>
        <w:rPr>
          <w:rFonts w:hAnsi="Times New Roman" w:eastAsia="Times New Roman" w:cs="Times New Roman"/>
          <w:i/>
          <w:iCs/>
          <w:color w:val="auto"/>
          <w:position w:val="4"/>
        </w:rPr>
        <w:t>r</w:t>
      </w:r>
      <w:r>
        <w:rPr>
          <w:rFonts w:hAnsi="Times New Roman" w:eastAsia="Times New Roman" w:cs="Times New Roman"/>
          <w:color w:val="auto"/>
        </w:rPr>
        <w:t>—</w:t>
      </w:r>
      <w:r>
        <w:rPr>
          <w:rFonts w:hAnsi="Times New Roman" w:cs="Times New Roman"/>
          <w:color w:val="auto"/>
        </w:rPr>
        <w:t>土地还原率；</w:t>
      </w:r>
    </w:p>
    <w:p w14:paraId="5F6269E0">
      <w:pPr>
        <w:pStyle w:val="33"/>
        <w:spacing w:before="0" w:after="0"/>
        <w:ind w:firstLine="1400" w:firstLineChars="500"/>
        <w:rPr>
          <w:rFonts w:hAnsi="Times New Roman" w:cs="Times New Roman"/>
          <w:color w:val="auto"/>
        </w:rPr>
      </w:pPr>
      <w:r>
        <w:rPr>
          <w:rFonts w:hAnsi="Times New Roman" w:eastAsia="Times New Roman" w:cs="Times New Roman"/>
          <w:i/>
          <w:iCs/>
          <w:color w:val="auto"/>
          <w:position w:val="4"/>
        </w:rPr>
        <w:t>m</w:t>
      </w:r>
      <w:r>
        <w:rPr>
          <w:rFonts w:hAnsi="Times New Roman" w:eastAsia="Times New Roman" w:cs="Times New Roman"/>
          <w:color w:val="auto"/>
        </w:rPr>
        <w:t>—</w:t>
      </w:r>
      <w:r>
        <w:rPr>
          <w:rFonts w:hAnsi="Times New Roman" w:cs="Times New Roman"/>
          <w:color w:val="auto"/>
        </w:rPr>
        <w:t>待估宗地可使用年期；</w:t>
      </w:r>
    </w:p>
    <w:p w14:paraId="5EAC17BD">
      <w:pPr>
        <w:pStyle w:val="33"/>
        <w:spacing w:before="0" w:after="0"/>
        <w:ind w:firstLine="1400" w:firstLineChars="500"/>
        <w:rPr>
          <w:rFonts w:hAnsi="Times New Roman" w:cs="Times New Roman"/>
          <w:color w:val="auto"/>
        </w:rPr>
      </w:pPr>
      <w:r>
        <w:rPr>
          <w:rFonts w:hAnsi="Times New Roman" w:eastAsia="Times New Roman" w:cs="Times New Roman"/>
          <w:i/>
          <w:iCs/>
          <w:color w:val="auto"/>
          <w:position w:val="4"/>
        </w:rPr>
        <w:t>n</w:t>
      </w:r>
      <w:r>
        <w:rPr>
          <w:rFonts w:hAnsi="Times New Roman" w:eastAsia="Times New Roman" w:cs="Times New Roman"/>
          <w:color w:val="auto"/>
        </w:rPr>
        <w:t>—</w:t>
      </w:r>
      <w:r>
        <w:rPr>
          <w:rFonts w:hAnsi="Times New Roman" w:cs="Times New Roman"/>
          <w:color w:val="auto"/>
        </w:rPr>
        <w:t>该用途土地法定最高出让年期（商服用地</w:t>
      </w:r>
      <w:r>
        <w:rPr>
          <w:rFonts w:hAnsi="Times New Roman" w:eastAsia="Times New Roman" w:cs="Times New Roman"/>
          <w:color w:val="auto"/>
        </w:rPr>
        <w:t>40</w:t>
      </w:r>
      <w:r>
        <w:rPr>
          <w:rFonts w:hAnsi="Times New Roman" w:cs="Times New Roman"/>
          <w:color w:val="auto"/>
        </w:rPr>
        <w:t>年，住宅用地</w:t>
      </w:r>
      <w:r>
        <w:rPr>
          <w:rFonts w:hAnsi="Times New Roman" w:eastAsia="Times New Roman" w:cs="Times New Roman"/>
          <w:color w:val="auto"/>
        </w:rPr>
        <w:t>70</w:t>
      </w:r>
      <w:r>
        <w:rPr>
          <w:rFonts w:hAnsi="Times New Roman" w:cs="Times New Roman"/>
          <w:color w:val="auto"/>
        </w:rPr>
        <w:t>年、工业用地</w:t>
      </w:r>
      <w:r>
        <w:rPr>
          <w:rFonts w:hAnsi="Times New Roman" w:eastAsia="Times New Roman" w:cs="Times New Roman"/>
          <w:color w:val="auto"/>
        </w:rPr>
        <w:t>50</w:t>
      </w:r>
      <w:r>
        <w:rPr>
          <w:rFonts w:hAnsi="Times New Roman" w:cs="Times New Roman"/>
          <w:color w:val="auto"/>
        </w:rPr>
        <w:t>年、公共管理与公共服务用地50年、公用设施用地50年）。</w:t>
      </w:r>
    </w:p>
    <w:p w14:paraId="5C37BA0B">
      <w:pPr>
        <w:pStyle w:val="33"/>
        <w:spacing w:before="0" w:after="0"/>
        <w:ind w:left="0" w:leftChars="0" w:firstLine="0" w:firstLineChars="0"/>
        <w:rPr>
          <w:rFonts w:hint="eastAsia" w:hAnsi="Times New Roman" w:eastAsia="仿宋_GB2312" w:cs="Times New Roman"/>
          <w:color w:val="auto"/>
          <w:lang w:val="en-US" w:eastAsia="zh-CN"/>
        </w:rPr>
      </w:pPr>
      <w:r>
        <w:rPr>
          <w:rFonts w:hint="eastAsia" w:hAnsi="Times New Roman" w:cs="Times New Roman"/>
          <w:color w:val="auto"/>
          <w:lang w:val="en-US" w:eastAsia="zh-CN"/>
        </w:rPr>
        <w:t>7.</w:t>
      </w:r>
      <w:r>
        <w:rPr>
          <w:rFonts w:hAnsi="Times New Roman" w:cs="Times New Roman"/>
          <w:color w:val="auto"/>
        </w:rPr>
        <w:t>容积率</w:t>
      </w:r>
      <w:r>
        <w:rPr>
          <w:rFonts w:hint="eastAsia" w:hAnsi="Times New Roman" w:cs="Times New Roman"/>
          <w:color w:val="auto"/>
          <w:lang w:eastAsia="zh-CN"/>
        </w:rPr>
        <w:t>修正</w:t>
      </w:r>
    </w:p>
    <w:p w14:paraId="4547FEE0">
      <w:pPr>
        <w:pStyle w:val="33"/>
        <w:spacing w:before="0" w:after="0"/>
        <w:ind w:firstLine="528"/>
        <w:rPr>
          <w:rFonts w:hAnsi="Times New Roman" w:cs="Times New Roman"/>
          <w:color w:val="auto"/>
        </w:rPr>
      </w:pPr>
      <w:r>
        <w:rPr>
          <w:rFonts w:hAnsi="Times New Roman" w:cs="Times New Roman"/>
          <w:color w:val="auto"/>
          <w:spacing w:val="-8"/>
        </w:rPr>
        <w:t>在采用基准地价系数修正法进行宗地评估时，待估宗地与基准地</w:t>
      </w:r>
      <w:r>
        <w:rPr>
          <w:rFonts w:hAnsi="Times New Roman" w:cs="Times New Roman"/>
          <w:color w:val="auto"/>
        </w:rPr>
        <w:t>价内涵之间的容积率差异通过容积率与地价之间的回归方程确定容</w:t>
      </w:r>
      <w:r>
        <w:rPr>
          <w:rFonts w:hAnsi="Times New Roman" w:cs="Times New Roman"/>
          <w:color w:val="auto"/>
          <w:spacing w:val="-3"/>
        </w:rPr>
        <w:t>积率修正系数。计算方式如下：</w:t>
      </w:r>
    </w:p>
    <w:p w14:paraId="72F6C82D">
      <w:pPr>
        <w:pStyle w:val="33"/>
        <w:spacing w:before="0" w:after="0" w:line="360" w:lineRule="auto"/>
        <w:ind w:firstLine="560"/>
        <w:rPr>
          <w:rFonts w:hAnsi="Times New Roman" w:cs="Times New Roman"/>
          <w:iCs/>
          <w:color w:val="auto"/>
        </w:rPr>
      </w:pPr>
      <m:oMathPara>
        <m:oMath>
          <m:r>
            <m:rPr>
              <m:sty m:val="p"/>
            </m:rPr>
            <w:rPr>
              <w:rFonts w:hint="default" w:ascii="Cambria Math" w:hAnsi="Cambria Math" w:cs="Times New Roman"/>
              <w:color w:val="auto"/>
            </w:rPr>
            <m:t>容积率修正系数＝</m:t>
          </m:r>
          <m:f>
            <m:fPr>
              <m:ctrlPr>
                <w:rPr>
                  <w:rFonts w:hint="default" w:ascii="Cambria Math" w:hAnsi="Cambria Math" w:cs="Times New Roman"/>
                  <w:iCs/>
                  <w:color w:val="auto"/>
                </w:rPr>
              </m:ctrlPr>
            </m:fPr>
            <m:num>
              <m:r>
                <m:rPr>
                  <m:sty m:val="p"/>
                </m:rPr>
                <w:rPr>
                  <w:rFonts w:hint="default" w:ascii="Cambria Math" w:hAnsi="Cambria Math" w:cs="Times New Roman"/>
                  <w:color w:val="auto"/>
                </w:rPr>
                <m:t>待估算容积率下的回归方程计算的地价</m:t>
              </m:r>
              <m:ctrlPr>
                <w:rPr>
                  <w:rFonts w:hint="default" w:ascii="Cambria Math" w:hAnsi="Cambria Math" w:cs="Times New Roman"/>
                  <w:iCs/>
                  <w:color w:val="auto"/>
                </w:rPr>
              </m:ctrlPr>
            </m:num>
            <m:den>
              <m:r>
                <m:rPr>
                  <m:sty m:val="p"/>
                </m:rPr>
                <w:rPr>
                  <w:rFonts w:hint="default" w:ascii="Cambria Math" w:hAnsi="Cambria Math" w:cs="Times New Roman"/>
                  <w:color w:val="auto"/>
                </w:rPr>
                <m:t>标准容积率下的回归方程计算的地价</m:t>
              </m:r>
              <m:ctrlPr>
                <w:rPr>
                  <w:rFonts w:hint="default" w:ascii="Cambria Math" w:hAnsi="Cambria Math" w:cs="Times New Roman"/>
                  <w:iCs/>
                  <w:color w:val="auto"/>
                </w:rPr>
              </m:ctrlPr>
            </m:den>
          </m:f>
        </m:oMath>
      </m:oMathPara>
    </w:p>
    <w:p w14:paraId="2BFC14E7">
      <w:pPr>
        <w:pStyle w:val="33"/>
        <w:spacing w:before="0" w:after="0"/>
        <w:ind w:firstLine="560"/>
        <w:rPr>
          <w:rFonts w:hAnsi="Times New Roman" w:cs="Times New Roman"/>
          <w:color w:val="auto"/>
        </w:rPr>
      </w:pPr>
      <w:r>
        <w:rPr>
          <w:rFonts w:hAnsi="Times New Roman" w:cs="Times New Roman"/>
          <w:color w:val="auto"/>
        </w:rPr>
        <w:t>修正后地价＝宗地地价</w:t>
      </w:r>
      <w:r>
        <w:rPr>
          <w:rFonts w:hAnsi="Times New Roman" w:eastAsia="Times New Roman" w:cs="Times New Roman"/>
          <w:color w:val="auto"/>
        </w:rPr>
        <w:t>×</w:t>
      </w:r>
      <w:r>
        <w:rPr>
          <w:rFonts w:hAnsi="Times New Roman" w:cs="Times New Roman"/>
          <w:color w:val="auto"/>
        </w:rPr>
        <w:t>容积率修正系数。</w:t>
      </w:r>
    </w:p>
    <w:p w14:paraId="4F370764">
      <w:pPr>
        <w:pStyle w:val="48"/>
        <w:numPr>
          <w:ilvl w:val="2"/>
          <w:numId w:val="0"/>
        </w:numPr>
        <w:rPr>
          <w:rFonts w:hAnsi="Times New Roman" w:cs="Times New Roman"/>
          <w:color w:val="auto"/>
        </w:rPr>
      </w:pPr>
      <w:r>
        <w:rPr>
          <w:rFonts w:hint="eastAsia" w:hAnsi="Times New Roman" w:cs="Times New Roman"/>
          <w:color w:val="auto"/>
          <w:lang w:val="en-US" w:eastAsia="zh-CN"/>
        </w:rPr>
        <w:t>8.</w:t>
      </w:r>
      <w:r>
        <w:rPr>
          <w:rFonts w:hAnsi="Times New Roman" w:cs="Times New Roman"/>
          <w:color w:val="auto"/>
        </w:rPr>
        <w:t>开发程度修正</w:t>
      </w:r>
    </w:p>
    <w:p w14:paraId="6875481C">
      <w:pPr>
        <w:pStyle w:val="33"/>
        <w:spacing w:before="0" w:after="0"/>
        <w:rPr>
          <w:rFonts w:hint="default" w:hAnsi="Times New Roman" w:cs="Times New Roman"/>
          <w:color w:val="auto"/>
          <w:lang w:val="en-US" w:eastAsia="zh-CN"/>
        </w:rPr>
      </w:pPr>
      <w:r>
        <w:rPr>
          <w:rFonts w:hAnsi="Times New Roman" w:cs="Times New Roman"/>
          <w:color w:val="auto"/>
        </w:rPr>
        <w:t>开发程度修正公式：修正后宗地地价=基准地价+开发程度修正值本次石家庄市栾城区基准地价设定土地开发程度为七通一平，依照基准地价内涵，确定基础设施修正幅度</w:t>
      </w:r>
    </w:p>
    <w:p w14:paraId="437A4B97">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right="0" w:rightChars="0"/>
        <w:jc w:val="left"/>
        <w:textAlignment w:val="auto"/>
        <w:outlineLvl w:val="9"/>
        <w:rPr>
          <w:rFonts w:hint="default" w:ascii="Times New Roman" w:hAnsi="Times New Roman" w:eastAsia="仿宋_GB2312" w:cs="Times New Roman"/>
          <w:color w:val="auto"/>
          <w:sz w:val="28"/>
          <w:szCs w:val="28"/>
          <w:lang w:val="en-US" w:eastAsia="zh-CN" w:bidi="zh-CN"/>
        </w:rPr>
      </w:pPr>
      <w:r>
        <w:rPr>
          <w:rFonts w:hint="default" w:ascii="Times New Roman" w:hAnsi="Times New Roman" w:eastAsia="仿宋_GB2312" w:cs="Times New Roman"/>
          <w:color w:val="auto"/>
          <w:sz w:val="28"/>
          <w:szCs w:val="28"/>
          <w:lang w:val="en-US" w:eastAsia="zh-CN" w:bidi="zh-CN"/>
        </w:rPr>
        <w:t>附表：</w:t>
      </w:r>
      <w:r>
        <w:rPr>
          <w:rFonts w:hint="eastAsia" w:ascii="Times New Roman" w:hAnsi="Times New Roman" w:eastAsia="仿宋_GB2312" w:cs="Times New Roman"/>
          <w:color w:val="auto"/>
          <w:sz w:val="28"/>
          <w:szCs w:val="28"/>
          <w:lang w:val="en-US" w:eastAsia="zh-CN" w:bidi="zh-CN"/>
        </w:rPr>
        <w:t>6.</w:t>
      </w:r>
      <w:r>
        <w:rPr>
          <w:rFonts w:hint="default" w:ascii="Times New Roman" w:hAnsi="Times New Roman" w:eastAsia="仿宋_GB2312" w:cs="Times New Roman"/>
          <w:color w:val="auto"/>
          <w:sz w:val="28"/>
          <w:szCs w:val="28"/>
          <w:lang w:val="en-US" w:eastAsia="zh-CN" w:bidi="zh-CN"/>
        </w:rPr>
        <w:t>1</w:t>
      </w:r>
      <w:r>
        <w:rPr>
          <w:rFonts w:hint="eastAsia" w:ascii="Times New Roman" w:hAnsi="Times New Roman" w:eastAsia="仿宋_GB2312" w:cs="Times New Roman"/>
          <w:color w:val="auto"/>
          <w:sz w:val="28"/>
          <w:szCs w:val="28"/>
          <w:lang w:val="en-US" w:eastAsia="zh-CN" w:bidi="zh-CN"/>
        </w:rPr>
        <w:t>石家庄装备制造产业园</w:t>
      </w:r>
      <w:r>
        <w:rPr>
          <w:rFonts w:hint="default" w:ascii="Times New Roman" w:hAnsi="Times New Roman" w:eastAsia="仿宋_GB2312" w:cs="Times New Roman"/>
          <w:color w:val="auto"/>
          <w:sz w:val="28"/>
          <w:szCs w:val="28"/>
          <w:lang w:val="en-US" w:eastAsia="zh-CN" w:bidi="zh-CN"/>
        </w:rPr>
        <w:t>基准地价修正幅度统计表</w:t>
      </w:r>
    </w:p>
    <w:p w14:paraId="5AEAF7FE">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right="0" w:rightChars="0" w:firstLine="840" w:firstLineChars="300"/>
        <w:jc w:val="left"/>
        <w:textAlignment w:val="auto"/>
        <w:outlineLvl w:val="9"/>
        <w:rPr>
          <w:rFonts w:hint="default" w:ascii="Times New Roman" w:hAnsi="Times New Roman" w:eastAsia="仿宋_GB2312" w:cs="Times New Roman"/>
          <w:color w:val="auto"/>
          <w:sz w:val="28"/>
          <w:szCs w:val="28"/>
          <w:lang w:val="en-US" w:eastAsia="zh-CN" w:bidi="zh-CN"/>
        </w:rPr>
      </w:pPr>
      <w:r>
        <w:rPr>
          <w:rFonts w:hint="eastAsia" w:ascii="Times New Roman" w:hAnsi="Times New Roman" w:eastAsia="仿宋_GB2312" w:cs="Times New Roman"/>
          <w:color w:val="auto"/>
          <w:sz w:val="28"/>
          <w:szCs w:val="28"/>
          <w:lang w:val="en-US" w:eastAsia="zh-CN" w:bidi="zh-CN"/>
        </w:rPr>
        <w:t>6.</w:t>
      </w:r>
      <w:r>
        <w:rPr>
          <w:rFonts w:hint="default" w:ascii="Times New Roman" w:hAnsi="Times New Roman" w:eastAsia="仿宋_GB2312" w:cs="Times New Roman"/>
          <w:color w:val="auto"/>
          <w:sz w:val="28"/>
          <w:szCs w:val="28"/>
          <w:lang w:val="en-US" w:eastAsia="zh-CN" w:bidi="zh-CN"/>
        </w:rPr>
        <w:t>2容积率修正系数表</w:t>
      </w:r>
    </w:p>
    <w:p w14:paraId="34A4F7B8">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right="0" w:rightChars="0" w:firstLine="840" w:firstLineChars="300"/>
        <w:jc w:val="left"/>
        <w:textAlignment w:val="auto"/>
        <w:outlineLvl w:val="9"/>
        <w:rPr>
          <w:rFonts w:hint="default" w:ascii="Times New Roman" w:hAnsi="Times New Roman" w:eastAsia="仿宋_GB2312" w:cs="Times New Roman"/>
          <w:color w:val="auto"/>
          <w:sz w:val="28"/>
          <w:szCs w:val="28"/>
          <w:lang w:val="en-US" w:eastAsia="zh-CN" w:bidi="zh-CN"/>
        </w:rPr>
      </w:pPr>
      <w:r>
        <w:rPr>
          <w:rFonts w:hint="eastAsia" w:ascii="Times New Roman" w:hAnsi="Times New Roman" w:eastAsia="仿宋_GB2312" w:cs="Times New Roman"/>
          <w:color w:val="auto"/>
          <w:sz w:val="28"/>
          <w:szCs w:val="28"/>
          <w:lang w:val="en-US" w:eastAsia="zh-CN" w:bidi="zh-CN"/>
        </w:rPr>
        <w:t>6.</w:t>
      </w:r>
      <w:r>
        <w:rPr>
          <w:rFonts w:hint="default" w:ascii="Times New Roman" w:hAnsi="Times New Roman" w:eastAsia="仿宋_GB2312" w:cs="Times New Roman"/>
          <w:color w:val="auto"/>
          <w:sz w:val="28"/>
          <w:szCs w:val="28"/>
          <w:lang w:val="en-US" w:eastAsia="zh-CN" w:bidi="zh-CN"/>
        </w:rPr>
        <w:t>3基准地价宗地评估开发程度修正</w:t>
      </w:r>
    </w:p>
    <w:p w14:paraId="038FA6E9">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right="0" w:rightChars="0" w:firstLine="840" w:firstLineChars="300"/>
        <w:jc w:val="left"/>
        <w:textAlignment w:val="auto"/>
        <w:outlineLvl w:val="9"/>
        <w:rPr>
          <w:rFonts w:hint="default" w:ascii="Times New Roman" w:hAnsi="Times New Roman" w:eastAsia="仿宋_GB2312" w:cs="Times New Roman"/>
          <w:color w:val="auto"/>
          <w:sz w:val="28"/>
          <w:szCs w:val="28"/>
          <w:lang w:val="en-US" w:eastAsia="zh-CN" w:bidi="zh-CN"/>
        </w:rPr>
      </w:pPr>
      <w:r>
        <w:rPr>
          <w:rFonts w:hint="eastAsia" w:ascii="Times New Roman" w:hAnsi="Times New Roman" w:eastAsia="仿宋_GB2312" w:cs="Times New Roman"/>
          <w:color w:val="auto"/>
          <w:sz w:val="28"/>
          <w:szCs w:val="28"/>
          <w:lang w:val="en-US" w:eastAsia="zh-CN" w:bidi="zh-CN"/>
        </w:rPr>
        <w:t>6.</w:t>
      </w:r>
      <w:r>
        <w:rPr>
          <w:rFonts w:hint="default" w:ascii="Times New Roman" w:hAnsi="Times New Roman" w:eastAsia="仿宋_GB2312" w:cs="Times New Roman"/>
          <w:color w:val="auto"/>
          <w:sz w:val="28"/>
          <w:szCs w:val="28"/>
          <w:lang w:val="en-US" w:eastAsia="zh-CN" w:bidi="zh-CN"/>
        </w:rPr>
        <w:t>4宗地地价修正系数及说明表</w:t>
      </w:r>
    </w:p>
    <w:p w14:paraId="0DA0B807">
      <w:pPr>
        <w:spacing w:line="360" w:lineRule="auto"/>
        <w:jc w:val="center"/>
        <w:rPr>
          <w:rFonts w:hint="default" w:ascii="方正黑体_GBK" w:hAnsi="方正黑体_GBK" w:eastAsia="方正黑体_GBK" w:cs="方正黑体_GBK"/>
          <w:b w:val="0"/>
          <w:bCs/>
          <w:sz w:val="32"/>
          <w:szCs w:val="32"/>
          <w:lang w:val="en-US" w:eastAsia="zh-CN"/>
        </w:rPr>
      </w:pPr>
    </w:p>
    <w:p w14:paraId="63F57509">
      <w:pPr>
        <w:spacing w:line="360" w:lineRule="auto"/>
        <w:jc w:val="center"/>
        <w:rPr>
          <w:rFonts w:hint="default" w:ascii="方正黑体_GBK" w:hAnsi="方正黑体_GBK" w:eastAsia="方正黑体_GBK" w:cs="方正黑体_GBK"/>
          <w:b w:val="0"/>
          <w:bCs/>
          <w:sz w:val="32"/>
          <w:szCs w:val="32"/>
          <w:lang w:val="en-US" w:eastAsia="zh-CN"/>
        </w:rPr>
      </w:pPr>
    </w:p>
    <w:p w14:paraId="537A28B5">
      <w:pPr>
        <w:spacing w:line="360" w:lineRule="auto"/>
        <w:jc w:val="center"/>
        <w:rPr>
          <w:rFonts w:hint="default" w:ascii="方正黑体_GBK" w:hAnsi="方正黑体_GBK" w:eastAsia="方正黑体_GBK" w:cs="方正黑体_GBK"/>
          <w:b w:val="0"/>
          <w:bCs/>
          <w:sz w:val="32"/>
          <w:szCs w:val="32"/>
          <w:lang w:val="en-US" w:eastAsia="zh-CN"/>
        </w:rPr>
      </w:pPr>
    </w:p>
    <w:p w14:paraId="2452E9F8">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right="0" w:rightChars="0"/>
        <w:jc w:val="center"/>
        <w:textAlignment w:val="auto"/>
        <w:outlineLvl w:val="9"/>
        <w:rPr>
          <w:rFonts w:hint="default" w:ascii="Times New Roman" w:hAnsi="Times New Roman" w:eastAsia="仿宋_GB2312" w:cs="Times New Roman"/>
          <w:color w:val="auto"/>
          <w:sz w:val="28"/>
          <w:szCs w:val="28"/>
          <w:lang w:val="en-US" w:eastAsia="zh-CN" w:bidi="zh-CN"/>
        </w:rPr>
      </w:pPr>
      <w:r>
        <w:rPr>
          <w:rFonts w:hint="default" w:ascii="Times New Roman" w:hAnsi="Times New Roman" w:eastAsia="仿宋_GB2312" w:cs="Times New Roman"/>
          <w:color w:val="auto"/>
          <w:sz w:val="28"/>
          <w:szCs w:val="28"/>
          <w:lang w:val="en-US" w:eastAsia="zh-CN" w:bidi="zh-CN"/>
        </w:rPr>
        <w:t>附表</w:t>
      </w:r>
      <w:r>
        <w:rPr>
          <w:rFonts w:hint="eastAsia" w:ascii="Times New Roman" w:hAnsi="Times New Roman" w:eastAsia="仿宋_GB2312" w:cs="Times New Roman"/>
          <w:color w:val="auto"/>
          <w:sz w:val="28"/>
          <w:szCs w:val="28"/>
          <w:lang w:val="en-US" w:eastAsia="zh-CN" w:bidi="zh-CN"/>
        </w:rPr>
        <w:t>6.1石家庄装备制造产业园</w:t>
      </w:r>
      <w:r>
        <w:rPr>
          <w:rFonts w:hint="default" w:ascii="Times New Roman" w:hAnsi="Times New Roman" w:eastAsia="仿宋_GB2312" w:cs="Times New Roman"/>
          <w:color w:val="auto"/>
          <w:sz w:val="28"/>
          <w:szCs w:val="28"/>
          <w:lang w:val="en-US" w:eastAsia="zh-CN" w:bidi="zh-CN"/>
        </w:rPr>
        <w:t>基准地价修正幅度统计表</w:t>
      </w:r>
    </w:p>
    <w:tbl>
      <w:tblPr>
        <w:tblStyle w:val="107"/>
        <w:tblW w:w="5000" w:type="pct"/>
        <w:tblInd w:w="0" w:type="dxa"/>
        <w:tblBorders>
          <w:top w:val="single" w:color="auto" w:sz="8" w:space="0"/>
          <w:left w:val="single" w:color="auto" w:sz="8" w:space="0"/>
          <w:bottom w:val="single" w:color="auto" w:sz="8" w:space="0"/>
          <w:right w:val="single" w:color="auto" w:sz="8" w:space="0"/>
          <w:insideH w:val="single" w:color="auto" w:sz="6" w:space="0"/>
          <w:insideV w:val="single" w:color="auto" w:sz="6" w:space="0"/>
        </w:tblBorders>
        <w:tblLayout w:type="autofit"/>
        <w:tblCellMar>
          <w:top w:w="0" w:type="dxa"/>
          <w:left w:w="0" w:type="dxa"/>
          <w:bottom w:w="0" w:type="dxa"/>
          <w:right w:w="0" w:type="dxa"/>
        </w:tblCellMar>
      </w:tblPr>
      <w:tblGrid>
        <w:gridCol w:w="1267"/>
        <w:gridCol w:w="1267"/>
        <w:gridCol w:w="1266"/>
        <w:gridCol w:w="1266"/>
        <w:gridCol w:w="1266"/>
        <w:gridCol w:w="1266"/>
        <w:gridCol w:w="1266"/>
      </w:tblGrid>
      <w:tr w14:paraId="03B5D703">
        <w:tblPrEx>
          <w:tblBorders>
            <w:top w:val="single" w:color="auto" w:sz="8" w:space="0"/>
            <w:left w:val="single" w:color="auto" w:sz="8" w:space="0"/>
            <w:bottom w:val="single" w:color="auto" w:sz="8" w:space="0"/>
            <w:right w:val="single" w:color="auto" w:sz="8" w:space="0"/>
            <w:insideH w:val="single" w:color="auto" w:sz="6" w:space="0"/>
            <w:insideV w:val="single" w:color="auto" w:sz="6" w:space="0"/>
          </w:tblBorders>
          <w:tblCellMar>
            <w:top w:w="0" w:type="dxa"/>
            <w:left w:w="0" w:type="dxa"/>
            <w:bottom w:w="0" w:type="dxa"/>
            <w:right w:w="0" w:type="dxa"/>
          </w:tblCellMar>
        </w:tblPrEx>
        <w:trPr>
          <w:trHeight w:val="405" w:hRule="atLeast"/>
        </w:trPr>
        <w:tc>
          <w:tcPr>
            <w:tcW w:w="1429" w:type="pct"/>
            <w:gridSpan w:val="2"/>
            <w:noWrap/>
            <w:vAlign w:val="center"/>
          </w:tcPr>
          <w:p w14:paraId="6ACDE291">
            <w:pPr>
              <w:widowControl/>
              <w:autoSpaceDE/>
              <w:autoSpaceDN/>
              <w:jc w:val="center"/>
              <w:rPr>
                <w:rFonts w:ascii="Times New Roman" w:hAnsi="Times New Roman" w:cs="Times New Roman"/>
                <w:color w:val="auto"/>
                <w:sz w:val="24"/>
                <w:szCs w:val="24"/>
                <w:lang w:eastAsia="zh-CN"/>
              </w:rPr>
            </w:pPr>
            <w:r>
              <w:rPr>
                <w:rFonts w:ascii="Times New Roman" w:hAnsi="Times New Roman" w:cs="Times New Roman"/>
                <w:color w:val="auto"/>
                <w:sz w:val="24"/>
                <w:szCs w:val="24"/>
                <w:lang w:eastAsia="zh-CN"/>
              </w:rPr>
              <w:t>土地级别</w:t>
            </w:r>
          </w:p>
        </w:tc>
        <w:tc>
          <w:tcPr>
            <w:tcW w:w="714" w:type="pct"/>
            <w:noWrap w:val="0"/>
            <w:vAlign w:val="center"/>
          </w:tcPr>
          <w:p w14:paraId="19F6585E">
            <w:pPr>
              <w:widowControl/>
              <w:autoSpaceDE/>
              <w:autoSpaceDN/>
              <w:jc w:val="center"/>
              <w:rPr>
                <w:rFonts w:ascii="Times New Roman" w:hAnsi="Times New Roman" w:cs="Times New Roman"/>
                <w:color w:val="auto"/>
                <w:sz w:val="24"/>
                <w:szCs w:val="24"/>
                <w:lang w:eastAsia="zh-CN"/>
              </w:rPr>
            </w:pPr>
            <w:r>
              <w:rPr>
                <w:rFonts w:ascii="Times New Roman" w:hAnsi="Times New Roman" w:cs="Times New Roman"/>
                <w:color w:val="auto"/>
                <w:sz w:val="24"/>
                <w:szCs w:val="24"/>
                <w:lang w:eastAsia="zh-CN"/>
              </w:rPr>
              <w:t>优</w:t>
            </w:r>
          </w:p>
        </w:tc>
        <w:tc>
          <w:tcPr>
            <w:tcW w:w="714" w:type="pct"/>
            <w:noWrap/>
            <w:vAlign w:val="center"/>
          </w:tcPr>
          <w:p w14:paraId="2EE46693">
            <w:pPr>
              <w:widowControl/>
              <w:autoSpaceDE/>
              <w:autoSpaceDN/>
              <w:jc w:val="center"/>
              <w:rPr>
                <w:rFonts w:ascii="Times New Roman" w:hAnsi="Times New Roman" w:cs="Times New Roman"/>
                <w:color w:val="auto"/>
                <w:sz w:val="24"/>
                <w:szCs w:val="24"/>
                <w:lang w:eastAsia="zh-CN"/>
              </w:rPr>
            </w:pPr>
            <w:r>
              <w:rPr>
                <w:rFonts w:ascii="Times New Roman" w:hAnsi="Times New Roman" w:cs="Times New Roman"/>
                <w:color w:val="auto"/>
                <w:sz w:val="24"/>
                <w:szCs w:val="24"/>
                <w:lang w:eastAsia="zh-CN"/>
              </w:rPr>
              <w:t>较优</w:t>
            </w:r>
          </w:p>
        </w:tc>
        <w:tc>
          <w:tcPr>
            <w:tcW w:w="714" w:type="pct"/>
            <w:noWrap/>
            <w:vAlign w:val="center"/>
          </w:tcPr>
          <w:p w14:paraId="390934BA">
            <w:pPr>
              <w:widowControl/>
              <w:autoSpaceDE/>
              <w:autoSpaceDN/>
              <w:jc w:val="center"/>
              <w:rPr>
                <w:rFonts w:ascii="Times New Roman" w:hAnsi="Times New Roman" w:cs="Times New Roman"/>
                <w:color w:val="auto"/>
                <w:sz w:val="24"/>
                <w:szCs w:val="24"/>
                <w:lang w:eastAsia="zh-CN"/>
              </w:rPr>
            </w:pPr>
            <w:r>
              <w:rPr>
                <w:rFonts w:ascii="Times New Roman" w:hAnsi="Times New Roman" w:cs="Times New Roman"/>
                <w:color w:val="auto"/>
                <w:sz w:val="24"/>
                <w:szCs w:val="24"/>
                <w:lang w:eastAsia="zh-CN"/>
              </w:rPr>
              <w:t>一般</w:t>
            </w:r>
          </w:p>
        </w:tc>
        <w:tc>
          <w:tcPr>
            <w:tcW w:w="714" w:type="pct"/>
            <w:noWrap/>
            <w:vAlign w:val="center"/>
          </w:tcPr>
          <w:p w14:paraId="670C59F4">
            <w:pPr>
              <w:widowControl/>
              <w:autoSpaceDE/>
              <w:autoSpaceDN/>
              <w:jc w:val="center"/>
              <w:rPr>
                <w:rFonts w:ascii="Times New Roman" w:hAnsi="Times New Roman" w:cs="Times New Roman"/>
                <w:color w:val="auto"/>
                <w:sz w:val="24"/>
                <w:szCs w:val="24"/>
                <w:lang w:eastAsia="zh-CN"/>
              </w:rPr>
            </w:pPr>
            <w:r>
              <w:rPr>
                <w:rFonts w:ascii="Times New Roman" w:hAnsi="Times New Roman" w:cs="Times New Roman"/>
                <w:color w:val="auto"/>
                <w:sz w:val="24"/>
                <w:szCs w:val="24"/>
                <w:lang w:eastAsia="zh-CN"/>
              </w:rPr>
              <w:t>较劣</w:t>
            </w:r>
          </w:p>
        </w:tc>
        <w:tc>
          <w:tcPr>
            <w:tcW w:w="714" w:type="pct"/>
            <w:noWrap/>
            <w:vAlign w:val="center"/>
          </w:tcPr>
          <w:p w14:paraId="52D51530">
            <w:pPr>
              <w:widowControl/>
              <w:autoSpaceDE/>
              <w:autoSpaceDN/>
              <w:jc w:val="center"/>
              <w:rPr>
                <w:rFonts w:ascii="Times New Roman" w:hAnsi="Times New Roman" w:cs="Times New Roman"/>
                <w:color w:val="auto"/>
                <w:sz w:val="24"/>
                <w:szCs w:val="24"/>
                <w:lang w:eastAsia="zh-CN"/>
              </w:rPr>
            </w:pPr>
            <w:r>
              <w:rPr>
                <w:rFonts w:ascii="Times New Roman" w:hAnsi="Times New Roman" w:cs="Times New Roman"/>
                <w:color w:val="auto"/>
                <w:sz w:val="24"/>
                <w:szCs w:val="24"/>
                <w:lang w:eastAsia="zh-CN"/>
              </w:rPr>
              <w:t>劣</w:t>
            </w:r>
          </w:p>
        </w:tc>
      </w:tr>
      <w:tr w14:paraId="04CC482B">
        <w:tblPrEx>
          <w:tblBorders>
            <w:top w:val="single" w:color="auto" w:sz="8" w:space="0"/>
            <w:left w:val="single" w:color="auto" w:sz="8" w:space="0"/>
            <w:bottom w:val="single" w:color="auto" w:sz="8" w:space="0"/>
            <w:right w:val="single" w:color="auto" w:sz="8" w:space="0"/>
            <w:insideH w:val="single" w:color="auto" w:sz="6" w:space="0"/>
            <w:insideV w:val="single" w:color="auto" w:sz="6" w:space="0"/>
          </w:tblBorders>
          <w:tblCellMar>
            <w:top w:w="0" w:type="dxa"/>
            <w:left w:w="0" w:type="dxa"/>
            <w:bottom w:w="0" w:type="dxa"/>
            <w:right w:w="0" w:type="dxa"/>
          </w:tblCellMar>
        </w:tblPrEx>
        <w:trPr>
          <w:trHeight w:val="405" w:hRule="atLeast"/>
        </w:trPr>
        <w:tc>
          <w:tcPr>
            <w:tcW w:w="715" w:type="pct"/>
            <w:vMerge w:val="restart"/>
            <w:noWrap/>
            <w:vAlign w:val="center"/>
          </w:tcPr>
          <w:p w14:paraId="0054B5BE">
            <w:pPr>
              <w:widowControl/>
              <w:autoSpaceDE/>
              <w:autoSpaceDN/>
              <w:jc w:val="center"/>
              <w:rPr>
                <w:rFonts w:ascii="Times New Roman" w:hAnsi="Times New Roman" w:cs="Times New Roman"/>
                <w:color w:val="auto"/>
                <w:sz w:val="24"/>
                <w:szCs w:val="24"/>
                <w:lang w:eastAsia="zh-CN"/>
              </w:rPr>
            </w:pPr>
            <w:r>
              <w:rPr>
                <w:rFonts w:ascii="Times New Roman" w:hAnsi="Times New Roman" w:cs="Times New Roman"/>
                <w:color w:val="auto"/>
                <w:sz w:val="24"/>
                <w:szCs w:val="24"/>
                <w:lang w:eastAsia="zh-CN"/>
              </w:rPr>
              <w:t>商服用地</w:t>
            </w:r>
          </w:p>
        </w:tc>
        <w:tc>
          <w:tcPr>
            <w:tcW w:w="715" w:type="pct"/>
            <w:noWrap w:val="0"/>
            <w:vAlign w:val="center"/>
          </w:tcPr>
          <w:p w14:paraId="44B12CC0">
            <w:pPr>
              <w:widowControl/>
              <w:autoSpaceDE/>
              <w:autoSpaceDN/>
              <w:jc w:val="center"/>
              <w:rPr>
                <w:rFonts w:ascii="Times New Roman" w:hAnsi="Times New Roman" w:cs="Times New Roman"/>
                <w:color w:val="auto"/>
                <w:sz w:val="24"/>
                <w:szCs w:val="24"/>
                <w:lang w:eastAsia="zh-CN"/>
              </w:rPr>
            </w:pPr>
            <w:r>
              <w:rPr>
                <w:rFonts w:ascii="Times New Roman" w:hAnsi="Times New Roman" w:cs="Times New Roman"/>
                <w:color w:val="auto"/>
                <w:sz w:val="24"/>
                <w:szCs w:val="24"/>
                <w:lang w:eastAsia="zh-CN"/>
              </w:rPr>
              <w:t>Ⅰ级</w:t>
            </w:r>
          </w:p>
        </w:tc>
        <w:tc>
          <w:tcPr>
            <w:tcW w:w="1266" w:type="dxa"/>
            <w:noWrap/>
            <w:vAlign w:val="center"/>
          </w:tcPr>
          <w:p w14:paraId="30ABA41A">
            <w:pPr>
              <w:widowControl/>
              <w:autoSpaceDE/>
              <w:autoSpaceDN/>
              <w:jc w:val="center"/>
              <w:rPr>
                <w:rFonts w:ascii="Times New Roman" w:hAnsi="Times New Roman" w:cs="Times New Roman"/>
                <w:color w:val="auto"/>
                <w:sz w:val="24"/>
                <w:szCs w:val="24"/>
                <w:lang w:eastAsia="zh-CN"/>
              </w:rPr>
            </w:pPr>
            <w:r>
              <w:rPr>
                <w:rFonts w:ascii="Times New Roman" w:hAnsi="Times New Roman" w:cs="Times New Roman"/>
                <w:sz w:val="24"/>
                <w:szCs w:val="24"/>
              </w:rPr>
              <w:t>12.50%</w:t>
            </w:r>
          </w:p>
        </w:tc>
        <w:tc>
          <w:tcPr>
            <w:tcW w:w="1266" w:type="dxa"/>
            <w:noWrap/>
            <w:vAlign w:val="center"/>
          </w:tcPr>
          <w:p w14:paraId="10ED0DE7">
            <w:pPr>
              <w:widowControl/>
              <w:autoSpaceDE/>
              <w:autoSpaceDN/>
              <w:jc w:val="center"/>
              <w:rPr>
                <w:rFonts w:ascii="Times New Roman" w:hAnsi="Times New Roman" w:cs="Times New Roman"/>
                <w:color w:val="auto"/>
                <w:sz w:val="24"/>
                <w:szCs w:val="24"/>
                <w:lang w:eastAsia="zh-CN"/>
              </w:rPr>
            </w:pPr>
            <w:r>
              <w:rPr>
                <w:rFonts w:ascii="Times New Roman" w:hAnsi="Times New Roman" w:cs="Times New Roman"/>
                <w:sz w:val="24"/>
                <w:szCs w:val="24"/>
              </w:rPr>
              <w:t>6.25%</w:t>
            </w:r>
          </w:p>
        </w:tc>
        <w:tc>
          <w:tcPr>
            <w:tcW w:w="1266" w:type="dxa"/>
            <w:noWrap/>
            <w:vAlign w:val="center"/>
          </w:tcPr>
          <w:p w14:paraId="48681EC1">
            <w:pPr>
              <w:widowControl/>
              <w:autoSpaceDE/>
              <w:autoSpaceDN/>
              <w:jc w:val="center"/>
              <w:rPr>
                <w:rFonts w:ascii="Times New Roman" w:hAnsi="Times New Roman" w:cs="Times New Roman"/>
                <w:color w:val="auto"/>
                <w:sz w:val="24"/>
                <w:szCs w:val="24"/>
                <w:lang w:eastAsia="zh-CN"/>
              </w:rPr>
            </w:pPr>
            <w:r>
              <w:rPr>
                <w:rFonts w:ascii="Times New Roman" w:hAnsi="Times New Roman" w:cs="Times New Roman"/>
                <w:sz w:val="24"/>
                <w:szCs w:val="24"/>
              </w:rPr>
              <w:t>0</w:t>
            </w:r>
          </w:p>
        </w:tc>
        <w:tc>
          <w:tcPr>
            <w:tcW w:w="1266" w:type="dxa"/>
            <w:noWrap/>
            <w:vAlign w:val="center"/>
          </w:tcPr>
          <w:p w14:paraId="6F1D84F3">
            <w:pPr>
              <w:widowControl/>
              <w:autoSpaceDE/>
              <w:autoSpaceDN/>
              <w:jc w:val="center"/>
              <w:rPr>
                <w:rFonts w:ascii="Times New Roman" w:hAnsi="Times New Roman" w:cs="Times New Roman"/>
                <w:color w:val="auto"/>
                <w:sz w:val="24"/>
                <w:szCs w:val="24"/>
                <w:lang w:eastAsia="zh-CN"/>
              </w:rPr>
            </w:pPr>
            <w:r>
              <w:rPr>
                <w:rFonts w:ascii="Times New Roman" w:hAnsi="Times New Roman" w:cs="Times New Roman"/>
                <w:sz w:val="24"/>
                <w:szCs w:val="24"/>
              </w:rPr>
              <w:t>-6.21%</w:t>
            </w:r>
          </w:p>
        </w:tc>
        <w:tc>
          <w:tcPr>
            <w:tcW w:w="1266" w:type="dxa"/>
            <w:noWrap/>
            <w:vAlign w:val="center"/>
          </w:tcPr>
          <w:p w14:paraId="43CA0C1E">
            <w:pPr>
              <w:widowControl/>
              <w:autoSpaceDE/>
              <w:autoSpaceDN/>
              <w:jc w:val="center"/>
              <w:rPr>
                <w:rFonts w:ascii="Times New Roman" w:hAnsi="Times New Roman" w:cs="Times New Roman"/>
                <w:color w:val="auto"/>
                <w:sz w:val="24"/>
                <w:szCs w:val="24"/>
                <w:lang w:eastAsia="zh-CN"/>
              </w:rPr>
            </w:pPr>
            <w:r>
              <w:rPr>
                <w:rFonts w:ascii="Times New Roman" w:hAnsi="Times New Roman" w:cs="Times New Roman"/>
                <w:sz w:val="24"/>
                <w:szCs w:val="24"/>
              </w:rPr>
              <w:t>-12.42%</w:t>
            </w:r>
          </w:p>
        </w:tc>
      </w:tr>
      <w:tr w14:paraId="0CDB27D7">
        <w:tblPrEx>
          <w:tblBorders>
            <w:top w:val="single" w:color="auto" w:sz="8" w:space="0"/>
            <w:left w:val="single" w:color="auto" w:sz="8" w:space="0"/>
            <w:bottom w:val="single" w:color="auto" w:sz="8" w:space="0"/>
            <w:right w:val="single" w:color="auto" w:sz="8" w:space="0"/>
            <w:insideH w:val="single" w:color="auto" w:sz="6" w:space="0"/>
            <w:insideV w:val="single" w:color="auto" w:sz="6" w:space="0"/>
          </w:tblBorders>
          <w:tblCellMar>
            <w:top w:w="0" w:type="dxa"/>
            <w:left w:w="0" w:type="dxa"/>
            <w:bottom w:w="0" w:type="dxa"/>
            <w:right w:w="0" w:type="dxa"/>
          </w:tblCellMar>
        </w:tblPrEx>
        <w:trPr>
          <w:trHeight w:val="405" w:hRule="atLeast"/>
        </w:trPr>
        <w:tc>
          <w:tcPr>
            <w:tcW w:w="715" w:type="pct"/>
            <w:vMerge w:val="continue"/>
            <w:noWrap w:val="0"/>
            <w:vAlign w:val="center"/>
          </w:tcPr>
          <w:p w14:paraId="381BACE7">
            <w:pPr>
              <w:widowControl/>
              <w:autoSpaceDE/>
              <w:autoSpaceDN/>
              <w:jc w:val="center"/>
              <w:rPr>
                <w:rFonts w:ascii="Times New Roman" w:hAnsi="Times New Roman" w:cs="Times New Roman"/>
                <w:color w:val="auto"/>
                <w:sz w:val="24"/>
                <w:szCs w:val="24"/>
                <w:lang w:eastAsia="zh-CN"/>
              </w:rPr>
            </w:pPr>
          </w:p>
        </w:tc>
        <w:tc>
          <w:tcPr>
            <w:tcW w:w="715" w:type="pct"/>
            <w:noWrap w:val="0"/>
            <w:vAlign w:val="center"/>
          </w:tcPr>
          <w:p w14:paraId="2FD86F04">
            <w:pPr>
              <w:widowControl/>
              <w:autoSpaceDE/>
              <w:autoSpaceDN/>
              <w:jc w:val="center"/>
              <w:rPr>
                <w:rFonts w:ascii="Times New Roman" w:hAnsi="Times New Roman" w:cs="Times New Roman"/>
                <w:color w:val="auto"/>
                <w:sz w:val="24"/>
                <w:szCs w:val="24"/>
                <w:lang w:eastAsia="zh-CN"/>
              </w:rPr>
            </w:pPr>
            <w:r>
              <w:rPr>
                <w:rFonts w:ascii="Times New Roman" w:hAnsi="Times New Roman" w:cs="Times New Roman"/>
                <w:color w:val="auto"/>
                <w:sz w:val="24"/>
                <w:szCs w:val="24"/>
                <w:lang w:eastAsia="zh-CN"/>
              </w:rPr>
              <w:t>Ⅱ级</w:t>
            </w:r>
          </w:p>
        </w:tc>
        <w:tc>
          <w:tcPr>
            <w:tcW w:w="1266" w:type="dxa"/>
            <w:noWrap/>
            <w:vAlign w:val="center"/>
          </w:tcPr>
          <w:p w14:paraId="7884F3A3">
            <w:pPr>
              <w:widowControl/>
              <w:autoSpaceDE/>
              <w:autoSpaceDN/>
              <w:jc w:val="center"/>
              <w:rPr>
                <w:rFonts w:ascii="Times New Roman" w:hAnsi="Times New Roman" w:cs="Times New Roman"/>
                <w:color w:val="auto"/>
                <w:sz w:val="24"/>
                <w:szCs w:val="24"/>
                <w:lang w:eastAsia="zh-CN"/>
              </w:rPr>
            </w:pPr>
            <w:r>
              <w:rPr>
                <w:rFonts w:ascii="Times New Roman" w:hAnsi="Times New Roman" w:cs="Times New Roman"/>
                <w:sz w:val="24"/>
                <w:szCs w:val="24"/>
              </w:rPr>
              <w:t>12.95%</w:t>
            </w:r>
          </w:p>
        </w:tc>
        <w:tc>
          <w:tcPr>
            <w:tcW w:w="1266" w:type="dxa"/>
            <w:noWrap/>
            <w:vAlign w:val="center"/>
          </w:tcPr>
          <w:p w14:paraId="077E3E6A">
            <w:pPr>
              <w:widowControl/>
              <w:autoSpaceDE/>
              <w:autoSpaceDN/>
              <w:jc w:val="center"/>
              <w:rPr>
                <w:rFonts w:ascii="Times New Roman" w:hAnsi="Times New Roman" w:cs="Times New Roman"/>
                <w:color w:val="auto"/>
                <w:sz w:val="24"/>
                <w:szCs w:val="24"/>
                <w:lang w:eastAsia="zh-CN"/>
              </w:rPr>
            </w:pPr>
            <w:r>
              <w:rPr>
                <w:rFonts w:ascii="Times New Roman" w:hAnsi="Times New Roman" w:cs="Times New Roman"/>
                <w:sz w:val="24"/>
                <w:szCs w:val="24"/>
              </w:rPr>
              <w:t>6.48%</w:t>
            </w:r>
          </w:p>
        </w:tc>
        <w:tc>
          <w:tcPr>
            <w:tcW w:w="1266" w:type="dxa"/>
            <w:noWrap/>
            <w:vAlign w:val="center"/>
          </w:tcPr>
          <w:p w14:paraId="287C3F41">
            <w:pPr>
              <w:widowControl/>
              <w:autoSpaceDE/>
              <w:autoSpaceDN/>
              <w:jc w:val="center"/>
              <w:rPr>
                <w:rFonts w:ascii="Times New Roman" w:hAnsi="Times New Roman" w:cs="Times New Roman"/>
                <w:color w:val="auto"/>
                <w:sz w:val="24"/>
                <w:szCs w:val="24"/>
                <w:lang w:eastAsia="zh-CN"/>
              </w:rPr>
            </w:pPr>
            <w:r>
              <w:rPr>
                <w:rFonts w:ascii="Times New Roman" w:hAnsi="Times New Roman" w:cs="Times New Roman"/>
                <w:sz w:val="24"/>
                <w:szCs w:val="24"/>
              </w:rPr>
              <w:t>0</w:t>
            </w:r>
          </w:p>
        </w:tc>
        <w:tc>
          <w:tcPr>
            <w:tcW w:w="1266" w:type="dxa"/>
            <w:noWrap/>
            <w:vAlign w:val="center"/>
          </w:tcPr>
          <w:p w14:paraId="69DB0BEA">
            <w:pPr>
              <w:widowControl/>
              <w:autoSpaceDE/>
              <w:autoSpaceDN/>
              <w:jc w:val="center"/>
              <w:rPr>
                <w:rFonts w:ascii="Times New Roman" w:hAnsi="Times New Roman" w:cs="Times New Roman"/>
                <w:color w:val="auto"/>
                <w:sz w:val="24"/>
                <w:szCs w:val="24"/>
                <w:lang w:eastAsia="zh-CN"/>
              </w:rPr>
            </w:pPr>
            <w:r>
              <w:rPr>
                <w:rFonts w:ascii="Times New Roman" w:hAnsi="Times New Roman" w:cs="Times New Roman"/>
                <w:sz w:val="24"/>
                <w:szCs w:val="24"/>
              </w:rPr>
              <w:t>-6.90%</w:t>
            </w:r>
          </w:p>
        </w:tc>
        <w:tc>
          <w:tcPr>
            <w:tcW w:w="1266" w:type="dxa"/>
            <w:noWrap/>
            <w:vAlign w:val="center"/>
          </w:tcPr>
          <w:p w14:paraId="0A7CD2BF">
            <w:pPr>
              <w:widowControl/>
              <w:autoSpaceDE/>
              <w:autoSpaceDN/>
              <w:jc w:val="center"/>
              <w:rPr>
                <w:rFonts w:ascii="Times New Roman" w:hAnsi="Times New Roman" w:cs="Times New Roman"/>
                <w:color w:val="auto"/>
                <w:sz w:val="24"/>
                <w:szCs w:val="24"/>
                <w:lang w:eastAsia="zh-CN"/>
              </w:rPr>
            </w:pPr>
            <w:r>
              <w:rPr>
                <w:rFonts w:ascii="Times New Roman" w:hAnsi="Times New Roman" w:cs="Times New Roman"/>
                <w:sz w:val="24"/>
                <w:szCs w:val="24"/>
              </w:rPr>
              <w:t>-13.81%</w:t>
            </w:r>
          </w:p>
        </w:tc>
      </w:tr>
      <w:tr w14:paraId="09B678ED">
        <w:tblPrEx>
          <w:tblBorders>
            <w:top w:val="single" w:color="auto" w:sz="8" w:space="0"/>
            <w:left w:val="single" w:color="auto" w:sz="8" w:space="0"/>
            <w:bottom w:val="single" w:color="auto" w:sz="8" w:space="0"/>
            <w:right w:val="single" w:color="auto" w:sz="8" w:space="0"/>
            <w:insideH w:val="single" w:color="auto" w:sz="6" w:space="0"/>
            <w:insideV w:val="single" w:color="auto" w:sz="6" w:space="0"/>
          </w:tblBorders>
          <w:tblCellMar>
            <w:top w:w="0" w:type="dxa"/>
            <w:left w:w="0" w:type="dxa"/>
            <w:bottom w:w="0" w:type="dxa"/>
            <w:right w:w="0" w:type="dxa"/>
          </w:tblCellMar>
        </w:tblPrEx>
        <w:trPr>
          <w:trHeight w:val="405" w:hRule="atLeast"/>
        </w:trPr>
        <w:tc>
          <w:tcPr>
            <w:tcW w:w="715" w:type="pct"/>
            <w:vMerge w:val="continue"/>
            <w:noWrap w:val="0"/>
            <w:vAlign w:val="center"/>
          </w:tcPr>
          <w:p w14:paraId="22E3CD8D">
            <w:pPr>
              <w:widowControl/>
              <w:autoSpaceDE/>
              <w:autoSpaceDN/>
              <w:jc w:val="center"/>
              <w:rPr>
                <w:rFonts w:ascii="Times New Roman" w:hAnsi="Times New Roman" w:cs="Times New Roman"/>
                <w:color w:val="auto"/>
                <w:sz w:val="24"/>
                <w:szCs w:val="24"/>
                <w:lang w:eastAsia="zh-CN"/>
              </w:rPr>
            </w:pPr>
          </w:p>
        </w:tc>
        <w:tc>
          <w:tcPr>
            <w:tcW w:w="715" w:type="pct"/>
            <w:noWrap w:val="0"/>
            <w:vAlign w:val="center"/>
          </w:tcPr>
          <w:p w14:paraId="0D5B6AEB">
            <w:pPr>
              <w:widowControl/>
              <w:autoSpaceDE/>
              <w:autoSpaceDN/>
              <w:jc w:val="center"/>
              <w:rPr>
                <w:rFonts w:ascii="Times New Roman" w:hAnsi="Times New Roman" w:cs="Times New Roman"/>
                <w:color w:val="auto"/>
                <w:sz w:val="24"/>
                <w:szCs w:val="24"/>
                <w:lang w:eastAsia="zh-CN"/>
              </w:rPr>
            </w:pPr>
            <w:r>
              <w:rPr>
                <w:rFonts w:ascii="Times New Roman" w:hAnsi="Times New Roman" w:cs="Times New Roman"/>
                <w:color w:val="auto"/>
                <w:sz w:val="24"/>
                <w:szCs w:val="24"/>
                <w:lang w:eastAsia="zh-CN"/>
              </w:rPr>
              <w:t>Ⅲ</w:t>
            </w:r>
            <w:r>
              <w:rPr>
                <w:rFonts w:ascii="Times New Roman" w:hAnsi="Times New Roman" w:eastAsia="宋体" w:cs="Times New Roman"/>
                <w:color w:val="auto"/>
                <w:sz w:val="24"/>
                <w:szCs w:val="24"/>
                <w:lang w:eastAsia="zh-CN"/>
              </w:rPr>
              <w:t>级</w:t>
            </w:r>
          </w:p>
        </w:tc>
        <w:tc>
          <w:tcPr>
            <w:tcW w:w="1266" w:type="dxa"/>
            <w:noWrap/>
            <w:vAlign w:val="center"/>
          </w:tcPr>
          <w:p w14:paraId="789E8051">
            <w:pPr>
              <w:widowControl/>
              <w:autoSpaceDE/>
              <w:autoSpaceDN/>
              <w:jc w:val="center"/>
              <w:rPr>
                <w:rFonts w:ascii="Times New Roman" w:hAnsi="Times New Roman" w:cs="Times New Roman"/>
                <w:color w:val="auto"/>
                <w:sz w:val="24"/>
                <w:szCs w:val="24"/>
                <w:lang w:eastAsia="zh-CN"/>
              </w:rPr>
            </w:pPr>
            <w:r>
              <w:rPr>
                <w:rFonts w:ascii="Times New Roman" w:hAnsi="Times New Roman" w:cs="Times New Roman"/>
                <w:sz w:val="24"/>
                <w:szCs w:val="24"/>
              </w:rPr>
              <w:t>13.44%</w:t>
            </w:r>
          </w:p>
        </w:tc>
        <w:tc>
          <w:tcPr>
            <w:tcW w:w="1266" w:type="dxa"/>
            <w:noWrap/>
            <w:vAlign w:val="center"/>
          </w:tcPr>
          <w:p w14:paraId="0B93C4F7">
            <w:pPr>
              <w:widowControl/>
              <w:autoSpaceDE/>
              <w:autoSpaceDN/>
              <w:jc w:val="center"/>
              <w:rPr>
                <w:rFonts w:ascii="Times New Roman" w:hAnsi="Times New Roman" w:cs="Times New Roman"/>
                <w:color w:val="auto"/>
                <w:sz w:val="24"/>
                <w:szCs w:val="24"/>
                <w:lang w:eastAsia="zh-CN"/>
              </w:rPr>
            </w:pPr>
            <w:r>
              <w:rPr>
                <w:rFonts w:ascii="Times New Roman" w:hAnsi="Times New Roman" w:cs="Times New Roman"/>
                <w:sz w:val="24"/>
                <w:szCs w:val="24"/>
              </w:rPr>
              <w:t>6.72%</w:t>
            </w:r>
          </w:p>
        </w:tc>
        <w:tc>
          <w:tcPr>
            <w:tcW w:w="1266" w:type="dxa"/>
            <w:noWrap/>
            <w:vAlign w:val="center"/>
          </w:tcPr>
          <w:p w14:paraId="518491ED">
            <w:pPr>
              <w:widowControl/>
              <w:autoSpaceDE/>
              <w:autoSpaceDN/>
              <w:jc w:val="center"/>
              <w:rPr>
                <w:rFonts w:ascii="Times New Roman" w:hAnsi="Times New Roman" w:cs="Times New Roman"/>
                <w:color w:val="auto"/>
                <w:sz w:val="24"/>
                <w:szCs w:val="24"/>
                <w:lang w:eastAsia="zh-CN"/>
              </w:rPr>
            </w:pPr>
            <w:r>
              <w:rPr>
                <w:rFonts w:ascii="Times New Roman" w:hAnsi="Times New Roman" w:cs="Times New Roman"/>
                <w:sz w:val="24"/>
                <w:szCs w:val="24"/>
              </w:rPr>
              <w:t>0</w:t>
            </w:r>
          </w:p>
        </w:tc>
        <w:tc>
          <w:tcPr>
            <w:tcW w:w="1266" w:type="dxa"/>
            <w:noWrap/>
            <w:vAlign w:val="center"/>
          </w:tcPr>
          <w:p w14:paraId="4B314DBB">
            <w:pPr>
              <w:widowControl/>
              <w:autoSpaceDE/>
              <w:autoSpaceDN/>
              <w:jc w:val="center"/>
              <w:rPr>
                <w:rFonts w:ascii="Times New Roman" w:hAnsi="Times New Roman" w:cs="Times New Roman"/>
                <w:color w:val="auto"/>
                <w:sz w:val="24"/>
                <w:szCs w:val="24"/>
                <w:lang w:eastAsia="zh-CN"/>
              </w:rPr>
            </w:pPr>
            <w:r>
              <w:rPr>
                <w:rFonts w:ascii="Times New Roman" w:hAnsi="Times New Roman" w:cs="Times New Roman"/>
                <w:sz w:val="24"/>
                <w:szCs w:val="24"/>
              </w:rPr>
              <w:t>-6.67%</w:t>
            </w:r>
          </w:p>
        </w:tc>
        <w:tc>
          <w:tcPr>
            <w:tcW w:w="1266" w:type="dxa"/>
            <w:noWrap/>
            <w:vAlign w:val="center"/>
          </w:tcPr>
          <w:p w14:paraId="38D3D1B6">
            <w:pPr>
              <w:widowControl/>
              <w:autoSpaceDE/>
              <w:autoSpaceDN/>
              <w:jc w:val="center"/>
              <w:rPr>
                <w:rFonts w:ascii="Times New Roman" w:hAnsi="Times New Roman" w:cs="Times New Roman"/>
                <w:color w:val="auto"/>
                <w:sz w:val="24"/>
                <w:szCs w:val="24"/>
                <w:lang w:eastAsia="zh-CN"/>
              </w:rPr>
            </w:pPr>
            <w:r>
              <w:rPr>
                <w:rFonts w:ascii="Times New Roman" w:hAnsi="Times New Roman" w:cs="Times New Roman"/>
                <w:sz w:val="24"/>
                <w:szCs w:val="24"/>
              </w:rPr>
              <w:t>-13.33%</w:t>
            </w:r>
          </w:p>
        </w:tc>
      </w:tr>
      <w:tr w14:paraId="5F381C36">
        <w:tblPrEx>
          <w:tblBorders>
            <w:top w:val="single" w:color="auto" w:sz="8" w:space="0"/>
            <w:left w:val="single" w:color="auto" w:sz="8" w:space="0"/>
            <w:bottom w:val="single" w:color="auto" w:sz="8" w:space="0"/>
            <w:right w:val="single" w:color="auto" w:sz="8" w:space="0"/>
            <w:insideH w:val="single" w:color="auto" w:sz="6" w:space="0"/>
            <w:insideV w:val="single" w:color="auto" w:sz="6" w:space="0"/>
          </w:tblBorders>
          <w:tblCellMar>
            <w:top w:w="0" w:type="dxa"/>
            <w:left w:w="0" w:type="dxa"/>
            <w:bottom w:w="0" w:type="dxa"/>
            <w:right w:w="0" w:type="dxa"/>
          </w:tblCellMar>
        </w:tblPrEx>
        <w:trPr>
          <w:trHeight w:val="405" w:hRule="atLeast"/>
        </w:trPr>
        <w:tc>
          <w:tcPr>
            <w:tcW w:w="715" w:type="pct"/>
            <w:vMerge w:val="restart"/>
            <w:noWrap w:val="0"/>
            <w:vAlign w:val="center"/>
          </w:tcPr>
          <w:p w14:paraId="56C8DD6E">
            <w:pPr>
              <w:widowControl/>
              <w:autoSpaceDE/>
              <w:autoSpaceDN/>
              <w:jc w:val="center"/>
              <w:rPr>
                <w:rFonts w:ascii="Times New Roman" w:hAnsi="Times New Roman" w:cs="Times New Roman"/>
                <w:color w:val="auto"/>
                <w:sz w:val="24"/>
                <w:szCs w:val="24"/>
                <w:lang w:eastAsia="zh-CN"/>
              </w:rPr>
            </w:pPr>
            <w:r>
              <w:rPr>
                <w:rFonts w:ascii="Times New Roman" w:hAnsi="Times New Roman" w:cs="Times New Roman"/>
                <w:color w:val="auto"/>
                <w:sz w:val="24"/>
                <w:szCs w:val="24"/>
                <w:lang w:eastAsia="zh-CN"/>
              </w:rPr>
              <w:t>住宅用地</w:t>
            </w:r>
          </w:p>
        </w:tc>
        <w:tc>
          <w:tcPr>
            <w:tcW w:w="715" w:type="pct"/>
            <w:noWrap w:val="0"/>
            <w:vAlign w:val="center"/>
          </w:tcPr>
          <w:p w14:paraId="0D0EF902">
            <w:pPr>
              <w:widowControl/>
              <w:autoSpaceDE/>
              <w:autoSpaceDN/>
              <w:jc w:val="center"/>
              <w:rPr>
                <w:rFonts w:ascii="Times New Roman" w:hAnsi="Times New Roman" w:cs="Times New Roman"/>
                <w:color w:val="auto"/>
                <w:sz w:val="24"/>
                <w:szCs w:val="24"/>
                <w:lang w:eastAsia="zh-CN"/>
              </w:rPr>
            </w:pPr>
            <w:r>
              <w:rPr>
                <w:rFonts w:ascii="Times New Roman" w:hAnsi="Times New Roman" w:cs="Times New Roman"/>
                <w:color w:val="auto"/>
                <w:sz w:val="24"/>
                <w:szCs w:val="24"/>
                <w:lang w:eastAsia="zh-CN"/>
              </w:rPr>
              <w:t>Ⅰ级</w:t>
            </w:r>
          </w:p>
        </w:tc>
        <w:tc>
          <w:tcPr>
            <w:tcW w:w="1266" w:type="dxa"/>
            <w:noWrap/>
            <w:vAlign w:val="center"/>
          </w:tcPr>
          <w:p w14:paraId="4DC03459">
            <w:pPr>
              <w:widowControl/>
              <w:autoSpaceDE/>
              <w:autoSpaceDN/>
              <w:jc w:val="center"/>
              <w:rPr>
                <w:rFonts w:ascii="Times New Roman" w:hAnsi="Times New Roman" w:cs="Times New Roman"/>
                <w:color w:val="auto"/>
                <w:sz w:val="24"/>
                <w:szCs w:val="24"/>
                <w:lang w:eastAsia="zh-CN"/>
              </w:rPr>
            </w:pPr>
            <w:r>
              <w:rPr>
                <w:rFonts w:ascii="Times New Roman" w:hAnsi="Times New Roman" w:cs="Times New Roman"/>
                <w:color w:val="333333"/>
                <w:sz w:val="24"/>
                <w:szCs w:val="24"/>
              </w:rPr>
              <w:t>13.69%</w:t>
            </w:r>
          </w:p>
        </w:tc>
        <w:tc>
          <w:tcPr>
            <w:tcW w:w="1266" w:type="dxa"/>
            <w:noWrap/>
            <w:vAlign w:val="center"/>
          </w:tcPr>
          <w:p w14:paraId="572C0390">
            <w:pPr>
              <w:widowControl/>
              <w:autoSpaceDE/>
              <w:autoSpaceDN/>
              <w:jc w:val="center"/>
              <w:rPr>
                <w:rFonts w:ascii="Times New Roman" w:hAnsi="Times New Roman" w:cs="Times New Roman"/>
                <w:color w:val="auto"/>
                <w:sz w:val="24"/>
                <w:szCs w:val="24"/>
                <w:lang w:eastAsia="zh-CN"/>
              </w:rPr>
            </w:pPr>
            <w:r>
              <w:rPr>
                <w:rFonts w:ascii="Times New Roman" w:hAnsi="Times New Roman" w:cs="Times New Roman"/>
                <w:color w:val="333333"/>
                <w:sz w:val="24"/>
                <w:szCs w:val="24"/>
              </w:rPr>
              <w:t>6.84%</w:t>
            </w:r>
          </w:p>
        </w:tc>
        <w:tc>
          <w:tcPr>
            <w:tcW w:w="1266" w:type="dxa"/>
            <w:noWrap/>
            <w:vAlign w:val="center"/>
          </w:tcPr>
          <w:p w14:paraId="7313B266">
            <w:pPr>
              <w:widowControl/>
              <w:autoSpaceDE/>
              <w:autoSpaceDN/>
              <w:jc w:val="center"/>
              <w:rPr>
                <w:rFonts w:ascii="Times New Roman" w:hAnsi="Times New Roman" w:cs="Times New Roman"/>
                <w:color w:val="auto"/>
                <w:sz w:val="24"/>
                <w:szCs w:val="24"/>
                <w:lang w:eastAsia="zh-CN"/>
              </w:rPr>
            </w:pPr>
            <w:r>
              <w:rPr>
                <w:rFonts w:ascii="Times New Roman" w:hAnsi="Times New Roman" w:cs="Times New Roman"/>
                <w:color w:val="333333"/>
                <w:sz w:val="24"/>
                <w:szCs w:val="24"/>
              </w:rPr>
              <w:t>0</w:t>
            </w:r>
          </w:p>
        </w:tc>
        <w:tc>
          <w:tcPr>
            <w:tcW w:w="1266" w:type="dxa"/>
            <w:noWrap/>
            <w:vAlign w:val="center"/>
          </w:tcPr>
          <w:p w14:paraId="5694439F">
            <w:pPr>
              <w:widowControl/>
              <w:autoSpaceDE/>
              <w:autoSpaceDN/>
              <w:jc w:val="center"/>
              <w:rPr>
                <w:rFonts w:ascii="Times New Roman" w:hAnsi="Times New Roman" w:cs="Times New Roman"/>
                <w:color w:val="auto"/>
                <w:sz w:val="24"/>
                <w:szCs w:val="24"/>
                <w:lang w:eastAsia="zh-CN"/>
              </w:rPr>
            </w:pPr>
            <w:r>
              <w:rPr>
                <w:rFonts w:ascii="Times New Roman" w:hAnsi="Times New Roman" w:cs="Times New Roman"/>
                <w:color w:val="333333"/>
                <w:sz w:val="24"/>
                <w:szCs w:val="24"/>
              </w:rPr>
              <w:t>-6.58%</w:t>
            </w:r>
          </w:p>
        </w:tc>
        <w:tc>
          <w:tcPr>
            <w:tcW w:w="1266" w:type="dxa"/>
            <w:noWrap/>
            <w:vAlign w:val="center"/>
          </w:tcPr>
          <w:p w14:paraId="58019D8F">
            <w:pPr>
              <w:widowControl/>
              <w:autoSpaceDE/>
              <w:autoSpaceDN/>
              <w:jc w:val="center"/>
              <w:rPr>
                <w:rFonts w:ascii="Times New Roman" w:hAnsi="Times New Roman" w:cs="Times New Roman"/>
                <w:color w:val="auto"/>
                <w:sz w:val="24"/>
                <w:szCs w:val="24"/>
                <w:lang w:eastAsia="zh-CN"/>
              </w:rPr>
            </w:pPr>
            <w:r>
              <w:rPr>
                <w:rFonts w:ascii="Times New Roman" w:hAnsi="Times New Roman" w:cs="Times New Roman"/>
                <w:color w:val="333333"/>
                <w:sz w:val="24"/>
                <w:szCs w:val="24"/>
              </w:rPr>
              <w:t>-13.16%</w:t>
            </w:r>
          </w:p>
        </w:tc>
      </w:tr>
      <w:tr w14:paraId="2E550E16">
        <w:tblPrEx>
          <w:tblBorders>
            <w:top w:val="single" w:color="auto" w:sz="8" w:space="0"/>
            <w:left w:val="single" w:color="auto" w:sz="8" w:space="0"/>
            <w:bottom w:val="single" w:color="auto" w:sz="8" w:space="0"/>
            <w:right w:val="single" w:color="auto" w:sz="8" w:space="0"/>
            <w:insideH w:val="single" w:color="auto" w:sz="6" w:space="0"/>
            <w:insideV w:val="single" w:color="auto" w:sz="6" w:space="0"/>
          </w:tblBorders>
          <w:tblCellMar>
            <w:top w:w="0" w:type="dxa"/>
            <w:left w:w="0" w:type="dxa"/>
            <w:bottom w:w="0" w:type="dxa"/>
            <w:right w:w="0" w:type="dxa"/>
          </w:tblCellMar>
        </w:tblPrEx>
        <w:trPr>
          <w:trHeight w:val="405" w:hRule="atLeast"/>
        </w:trPr>
        <w:tc>
          <w:tcPr>
            <w:tcW w:w="715" w:type="pct"/>
            <w:vMerge w:val="continue"/>
            <w:noWrap w:val="0"/>
            <w:vAlign w:val="center"/>
          </w:tcPr>
          <w:p w14:paraId="0BACE10C">
            <w:pPr>
              <w:widowControl/>
              <w:autoSpaceDE/>
              <w:autoSpaceDN/>
              <w:jc w:val="center"/>
              <w:rPr>
                <w:rFonts w:ascii="Times New Roman" w:hAnsi="Times New Roman" w:cs="Times New Roman"/>
                <w:color w:val="auto"/>
                <w:sz w:val="24"/>
                <w:szCs w:val="24"/>
                <w:lang w:eastAsia="zh-CN"/>
              </w:rPr>
            </w:pPr>
          </w:p>
        </w:tc>
        <w:tc>
          <w:tcPr>
            <w:tcW w:w="715" w:type="pct"/>
            <w:noWrap w:val="0"/>
            <w:vAlign w:val="center"/>
          </w:tcPr>
          <w:p w14:paraId="1431201E">
            <w:pPr>
              <w:widowControl/>
              <w:autoSpaceDE/>
              <w:autoSpaceDN/>
              <w:jc w:val="center"/>
              <w:rPr>
                <w:rFonts w:ascii="Times New Roman" w:hAnsi="Times New Roman" w:cs="Times New Roman"/>
                <w:color w:val="auto"/>
                <w:sz w:val="24"/>
                <w:szCs w:val="24"/>
                <w:lang w:eastAsia="zh-CN"/>
              </w:rPr>
            </w:pPr>
            <w:r>
              <w:rPr>
                <w:rFonts w:ascii="Times New Roman" w:hAnsi="Times New Roman" w:cs="Times New Roman"/>
                <w:color w:val="auto"/>
                <w:sz w:val="24"/>
                <w:szCs w:val="24"/>
                <w:lang w:eastAsia="zh-CN"/>
              </w:rPr>
              <w:t>Ⅱ级</w:t>
            </w:r>
          </w:p>
        </w:tc>
        <w:tc>
          <w:tcPr>
            <w:tcW w:w="1266" w:type="dxa"/>
            <w:noWrap/>
            <w:vAlign w:val="center"/>
          </w:tcPr>
          <w:p w14:paraId="18B2EF01">
            <w:pPr>
              <w:widowControl/>
              <w:autoSpaceDE/>
              <w:autoSpaceDN/>
              <w:jc w:val="center"/>
              <w:rPr>
                <w:rFonts w:ascii="Times New Roman" w:hAnsi="Times New Roman" w:cs="Times New Roman"/>
                <w:color w:val="auto"/>
                <w:sz w:val="24"/>
                <w:szCs w:val="24"/>
                <w:lang w:eastAsia="zh-CN"/>
              </w:rPr>
            </w:pPr>
            <w:r>
              <w:rPr>
                <w:rFonts w:ascii="Times New Roman" w:hAnsi="Times New Roman" w:cs="Times New Roman"/>
                <w:color w:val="333333"/>
                <w:sz w:val="24"/>
                <w:szCs w:val="24"/>
              </w:rPr>
              <w:t>13.85%</w:t>
            </w:r>
          </w:p>
        </w:tc>
        <w:tc>
          <w:tcPr>
            <w:tcW w:w="1266" w:type="dxa"/>
            <w:noWrap/>
            <w:vAlign w:val="center"/>
          </w:tcPr>
          <w:p w14:paraId="14551255">
            <w:pPr>
              <w:widowControl/>
              <w:autoSpaceDE/>
              <w:autoSpaceDN/>
              <w:jc w:val="center"/>
              <w:rPr>
                <w:rFonts w:ascii="Times New Roman" w:hAnsi="Times New Roman" w:cs="Times New Roman"/>
                <w:color w:val="auto"/>
                <w:sz w:val="24"/>
                <w:szCs w:val="24"/>
                <w:lang w:eastAsia="zh-CN"/>
              </w:rPr>
            </w:pPr>
            <w:r>
              <w:rPr>
                <w:rFonts w:ascii="Times New Roman" w:hAnsi="Times New Roman" w:cs="Times New Roman"/>
                <w:color w:val="333333"/>
                <w:sz w:val="24"/>
                <w:szCs w:val="24"/>
              </w:rPr>
              <w:t>6.93%</w:t>
            </w:r>
          </w:p>
        </w:tc>
        <w:tc>
          <w:tcPr>
            <w:tcW w:w="1266" w:type="dxa"/>
            <w:noWrap/>
            <w:vAlign w:val="center"/>
          </w:tcPr>
          <w:p w14:paraId="47B88881">
            <w:pPr>
              <w:widowControl/>
              <w:autoSpaceDE/>
              <w:autoSpaceDN/>
              <w:jc w:val="center"/>
              <w:rPr>
                <w:rFonts w:ascii="Times New Roman" w:hAnsi="Times New Roman" w:cs="Times New Roman"/>
                <w:color w:val="auto"/>
                <w:sz w:val="24"/>
                <w:szCs w:val="24"/>
                <w:lang w:eastAsia="zh-CN"/>
              </w:rPr>
            </w:pPr>
            <w:r>
              <w:rPr>
                <w:rFonts w:ascii="Times New Roman" w:hAnsi="Times New Roman" w:cs="Times New Roman"/>
                <w:color w:val="333333"/>
                <w:sz w:val="24"/>
                <w:szCs w:val="24"/>
              </w:rPr>
              <w:t>0</w:t>
            </w:r>
          </w:p>
        </w:tc>
        <w:tc>
          <w:tcPr>
            <w:tcW w:w="1266" w:type="dxa"/>
            <w:noWrap/>
            <w:vAlign w:val="center"/>
          </w:tcPr>
          <w:p w14:paraId="6AEDB2D3">
            <w:pPr>
              <w:widowControl/>
              <w:autoSpaceDE/>
              <w:autoSpaceDN/>
              <w:jc w:val="center"/>
              <w:rPr>
                <w:rFonts w:ascii="Times New Roman" w:hAnsi="Times New Roman" w:cs="Times New Roman"/>
                <w:color w:val="auto"/>
                <w:sz w:val="24"/>
                <w:szCs w:val="24"/>
                <w:lang w:eastAsia="zh-CN"/>
              </w:rPr>
            </w:pPr>
            <w:r>
              <w:rPr>
                <w:rFonts w:ascii="Times New Roman" w:hAnsi="Times New Roman" w:cs="Times New Roman"/>
                <w:color w:val="333333"/>
                <w:sz w:val="24"/>
                <w:szCs w:val="24"/>
              </w:rPr>
              <w:t>-6.85%</w:t>
            </w:r>
          </w:p>
        </w:tc>
        <w:tc>
          <w:tcPr>
            <w:tcW w:w="1266" w:type="dxa"/>
            <w:noWrap/>
            <w:vAlign w:val="center"/>
          </w:tcPr>
          <w:p w14:paraId="704E4B3A">
            <w:pPr>
              <w:widowControl/>
              <w:autoSpaceDE/>
              <w:autoSpaceDN/>
              <w:jc w:val="center"/>
              <w:rPr>
                <w:rFonts w:ascii="Times New Roman" w:hAnsi="Times New Roman" w:cs="Times New Roman"/>
                <w:color w:val="auto"/>
                <w:sz w:val="24"/>
                <w:szCs w:val="24"/>
                <w:lang w:eastAsia="zh-CN"/>
              </w:rPr>
            </w:pPr>
            <w:r>
              <w:rPr>
                <w:rFonts w:ascii="Times New Roman" w:hAnsi="Times New Roman" w:cs="Times New Roman"/>
                <w:color w:val="333333"/>
                <w:sz w:val="24"/>
                <w:szCs w:val="24"/>
              </w:rPr>
              <w:t>-13.70%</w:t>
            </w:r>
          </w:p>
        </w:tc>
      </w:tr>
      <w:tr w14:paraId="2D8B02BB">
        <w:tblPrEx>
          <w:tblBorders>
            <w:top w:val="single" w:color="auto" w:sz="8" w:space="0"/>
            <w:left w:val="single" w:color="auto" w:sz="8" w:space="0"/>
            <w:bottom w:val="single" w:color="auto" w:sz="8" w:space="0"/>
            <w:right w:val="single" w:color="auto" w:sz="8" w:space="0"/>
            <w:insideH w:val="single" w:color="auto" w:sz="6" w:space="0"/>
            <w:insideV w:val="single" w:color="auto" w:sz="6" w:space="0"/>
          </w:tblBorders>
          <w:tblCellMar>
            <w:top w:w="0" w:type="dxa"/>
            <w:left w:w="0" w:type="dxa"/>
            <w:bottom w:w="0" w:type="dxa"/>
            <w:right w:w="0" w:type="dxa"/>
          </w:tblCellMar>
        </w:tblPrEx>
        <w:trPr>
          <w:trHeight w:val="405" w:hRule="atLeast"/>
        </w:trPr>
        <w:tc>
          <w:tcPr>
            <w:tcW w:w="715" w:type="pct"/>
            <w:vMerge w:val="continue"/>
            <w:noWrap w:val="0"/>
            <w:vAlign w:val="center"/>
          </w:tcPr>
          <w:p w14:paraId="46600DE3">
            <w:pPr>
              <w:widowControl/>
              <w:autoSpaceDE/>
              <w:autoSpaceDN/>
              <w:jc w:val="center"/>
              <w:rPr>
                <w:rFonts w:ascii="Times New Roman" w:hAnsi="Times New Roman" w:cs="Times New Roman"/>
                <w:color w:val="auto"/>
                <w:sz w:val="24"/>
                <w:szCs w:val="24"/>
                <w:lang w:eastAsia="zh-CN"/>
              </w:rPr>
            </w:pPr>
          </w:p>
        </w:tc>
        <w:tc>
          <w:tcPr>
            <w:tcW w:w="715" w:type="pct"/>
            <w:noWrap w:val="0"/>
            <w:vAlign w:val="center"/>
          </w:tcPr>
          <w:p w14:paraId="2FA6362A">
            <w:pPr>
              <w:widowControl/>
              <w:autoSpaceDE/>
              <w:autoSpaceDN/>
              <w:jc w:val="center"/>
              <w:rPr>
                <w:rFonts w:ascii="Times New Roman" w:hAnsi="Times New Roman" w:cs="Times New Roman"/>
                <w:color w:val="auto"/>
                <w:sz w:val="24"/>
                <w:szCs w:val="24"/>
                <w:lang w:eastAsia="zh-CN"/>
              </w:rPr>
            </w:pPr>
            <w:r>
              <w:rPr>
                <w:rFonts w:ascii="Times New Roman" w:hAnsi="Times New Roman" w:cs="Times New Roman"/>
                <w:color w:val="auto"/>
                <w:sz w:val="24"/>
                <w:szCs w:val="24"/>
                <w:lang w:eastAsia="zh-CN"/>
              </w:rPr>
              <w:t>Ⅲ</w:t>
            </w:r>
            <w:r>
              <w:rPr>
                <w:rFonts w:ascii="Times New Roman" w:hAnsi="Times New Roman" w:eastAsia="宋体" w:cs="Times New Roman"/>
                <w:color w:val="auto"/>
                <w:sz w:val="24"/>
                <w:szCs w:val="24"/>
                <w:lang w:eastAsia="zh-CN"/>
              </w:rPr>
              <w:t>级</w:t>
            </w:r>
          </w:p>
        </w:tc>
        <w:tc>
          <w:tcPr>
            <w:tcW w:w="1266" w:type="dxa"/>
            <w:noWrap/>
            <w:vAlign w:val="center"/>
          </w:tcPr>
          <w:p w14:paraId="1BDF7003">
            <w:pPr>
              <w:widowControl/>
              <w:autoSpaceDE/>
              <w:autoSpaceDN/>
              <w:jc w:val="center"/>
              <w:rPr>
                <w:rFonts w:ascii="Times New Roman" w:hAnsi="Times New Roman" w:cs="Times New Roman"/>
                <w:color w:val="auto"/>
                <w:sz w:val="24"/>
                <w:szCs w:val="24"/>
                <w:lang w:eastAsia="zh-CN"/>
              </w:rPr>
            </w:pPr>
            <w:r>
              <w:rPr>
                <w:rFonts w:ascii="Times New Roman" w:hAnsi="Times New Roman" w:cs="Times New Roman"/>
                <w:color w:val="333333"/>
                <w:sz w:val="24"/>
                <w:szCs w:val="24"/>
              </w:rPr>
              <w:t>13.81%</w:t>
            </w:r>
          </w:p>
        </w:tc>
        <w:tc>
          <w:tcPr>
            <w:tcW w:w="1266" w:type="dxa"/>
            <w:noWrap/>
            <w:vAlign w:val="center"/>
          </w:tcPr>
          <w:p w14:paraId="1B42788E">
            <w:pPr>
              <w:widowControl/>
              <w:autoSpaceDE/>
              <w:autoSpaceDN/>
              <w:jc w:val="center"/>
              <w:rPr>
                <w:rFonts w:ascii="Times New Roman" w:hAnsi="Times New Roman" w:cs="Times New Roman"/>
                <w:color w:val="auto"/>
                <w:sz w:val="24"/>
                <w:szCs w:val="24"/>
                <w:lang w:eastAsia="zh-CN"/>
              </w:rPr>
            </w:pPr>
            <w:r>
              <w:rPr>
                <w:rFonts w:ascii="Times New Roman" w:hAnsi="Times New Roman" w:cs="Times New Roman"/>
                <w:color w:val="333333"/>
                <w:sz w:val="24"/>
                <w:szCs w:val="24"/>
              </w:rPr>
              <w:t>6.91%</w:t>
            </w:r>
          </w:p>
        </w:tc>
        <w:tc>
          <w:tcPr>
            <w:tcW w:w="1266" w:type="dxa"/>
            <w:noWrap/>
            <w:vAlign w:val="center"/>
          </w:tcPr>
          <w:p w14:paraId="39C5E776">
            <w:pPr>
              <w:widowControl/>
              <w:autoSpaceDE/>
              <w:autoSpaceDN/>
              <w:jc w:val="center"/>
              <w:rPr>
                <w:rFonts w:ascii="Times New Roman" w:hAnsi="Times New Roman" w:cs="Times New Roman"/>
                <w:color w:val="auto"/>
                <w:sz w:val="24"/>
                <w:szCs w:val="24"/>
                <w:lang w:eastAsia="zh-CN"/>
              </w:rPr>
            </w:pPr>
            <w:r>
              <w:rPr>
                <w:rFonts w:ascii="Times New Roman" w:hAnsi="Times New Roman" w:cs="Times New Roman"/>
                <w:color w:val="333333"/>
                <w:sz w:val="24"/>
                <w:szCs w:val="24"/>
              </w:rPr>
              <w:t>0</w:t>
            </w:r>
          </w:p>
        </w:tc>
        <w:tc>
          <w:tcPr>
            <w:tcW w:w="1266" w:type="dxa"/>
            <w:noWrap/>
            <w:vAlign w:val="center"/>
          </w:tcPr>
          <w:p w14:paraId="42213306">
            <w:pPr>
              <w:widowControl/>
              <w:autoSpaceDE/>
              <w:autoSpaceDN/>
              <w:jc w:val="center"/>
              <w:rPr>
                <w:rFonts w:ascii="Times New Roman" w:hAnsi="Times New Roman" w:cs="Times New Roman"/>
                <w:color w:val="auto"/>
                <w:sz w:val="24"/>
                <w:szCs w:val="24"/>
                <w:lang w:eastAsia="zh-CN"/>
              </w:rPr>
            </w:pPr>
            <w:r>
              <w:rPr>
                <w:rFonts w:ascii="Times New Roman" w:hAnsi="Times New Roman" w:cs="Times New Roman"/>
                <w:color w:val="333333"/>
                <w:sz w:val="24"/>
                <w:szCs w:val="24"/>
              </w:rPr>
              <w:t>-7.03%</w:t>
            </w:r>
          </w:p>
        </w:tc>
        <w:tc>
          <w:tcPr>
            <w:tcW w:w="1266" w:type="dxa"/>
            <w:noWrap/>
            <w:vAlign w:val="center"/>
          </w:tcPr>
          <w:p w14:paraId="37369A45">
            <w:pPr>
              <w:widowControl/>
              <w:autoSpaceDE/>
              <w:autoSpaceDN/>
              <w:jc w:val="center"/>
              <w:rPr>
                <w:rFonts w:ascii="Times New Roman" w:hAnsi="Times New Roman" w:cs="Times New Roman"/>
                <w:color w:val="auto"/>
                <w:sz w:val="24"/>
                <w:szCs w:val="24"/>
                <w:lang w:eastAsia="zh-CN"/>
              </w:rPr>
            </w:pPr>
            <w:r>
              <w:rPr>
                <w:rFonts w:ascii="Times New Roman" w:hAnsi="Times New Roman" w:cs="Times New Roman"/>
                <w:color w:val="333333"/>
                <w:sz w:val="24"/>
                <w:szCs w:val="24"/>
              </w:rPr>
              <w:t>-14.05%</w:t>
            </w:r>
          </w:p>
        </w:tc>
      </w:tr>
      <w:tr w14:paraId="368F0FA1">
        <w:tblPrEx>
          <w:tblBorders>
            <w:top w:val="single" w:color="auto" w:sz="8" w:space="0"/>
            <w:left w:val="single" w:color="auto" w:sz="8" w:space="0"/>
            <w:bottom w:val="single" w:color="auto" w:sz="8" w:space="0"/>
            <w:right w:val="single" w:color="auto" w:sz="8" w:space="0"/>
            <w:insideH w:val="single" w:color="auto" w:sz="6" w:space="0"/>
            <w:insideV w:val="single" w:color="auto" w:sz="6" w:space="0"/>
          </w:tblBorders>
          <w:tblCellMar>
            <w:top w:w="0" w:type="dxa"/>
            <w:left w:w="0" w:type="dxa"/>
            <w:bottom w:w="0" w:type="dxa"/>
            <w:right w:w="0" w:type="dxa"/>
          </w:tblCellMar>
        </w:tblPrEx>
        <w:trPr>
          <w:trHeight w:val="405" w:hRule="atLeast"/>
        </w:trPr>
        <w:tc>
          <w:tcPr>
            <w:tcW w:w="715" w:type="pct"/>
            <w:vMerge w:val="restart"/>
            <w:noWrap w:val="0"/>
            <w:vAlign w:val="center"/>
          </w:tcPr>
          <w:p w14:paraId="00DF21F1">
            <w:pPr>
              <w:widowControl/>
              <w:autoSpaceDE/>
              <w:autoSpaceDN/>
              <w:jc w:val="center"/>
              <w:rPr>
                <w:rFonts w:ascii="Times New Roman" w:hAnsi="Times New Roman" w:cs="Times New Roman"/>
                <w:color w:val="auto"/>
                <w:sz w:val="24"/>
                <w:szCs w:val="24"/>
                <w:lang w:eastAsia="zh-CN"/>
              </w:rPr>
            </w:pPr>
            <w:r>
              <w:rPr>
                <w:rFonts w:ascii="Times New Roman" w:hAnsi="Times New Roman" w:cs="Times New Roman"/>
                <w:color w:val="auto"/>
                <w:sz w:val="24"/>
                <w:szCs w:val="24"/>
                <w:lang w:eastAsia="zh-CN"/>
              </w:rPr>
              <w:t>工业用地</w:t>
            </w:r>
          </w:p>
        </w:tc>
        <w:tc>
          <w:tcPr>
            <w:tcW w:w="715" w:type="pct"/>
            <w:noWrap w:val="0"/>
            <w:vAlign w:val="center"/>
          </w:tcPr>
          <w:p w14:paraId="439E8BCD">
            <w:pPr>
              <w:widowControl/>
              <w:autoSpaceDE/>
              <w:autoSpaceDN/>
              <w:jc w:val="center"/>
              <w:rPr>
                <w:rFonts w:ascii="Times New Roman" w:hAnsi="Times New Roman" w:cs="Times New Roman"/>
                <w:color w:val="auto"/>
                <w:sz w:val="24"/>
                <w:szCs w:val="24"/>
                <w:lang w:eastAsia="zh-CN"/>
              </w:rPr>
            </w:pPr>
            <w:r>
              <w:rPr>
                <w:rFonts w:ascii="Times New Roman" w:hAnsi="Times New Roman" w:cs="Times New Roman"/>
                <w:color w:val="auto"/>
                <w:sz w:val="24"/>
                <w:szCs w:val="24"/>
                <w:lang w:eastAsia="zh-CN"/>
              </w:rPr>
              <w:t>Ⅰ级</w:t>
            </w:r>
          </w:p>
        </w:tc>
        <w:tc>
          <w:tcPr>
            <w:tcW w:w="1266" w:type="dxa"/>
            <w:noWrap/>
            <w:vAlign w:val="center"/>
          </w:tcPr>
          <w:p w14:paraId="0A505376">
            <w:pPr>
              <w:widowControl/>
              <w:autoSpaceDE/>
              <w:autoSpaceDN/>
              <w:jc w:val="center"/>
              <w:rPr>
                <w:rFonts w:ascii="Times New Roman" w:hAnsi="Times New Roman" w:cs="Times New Roman"/>
                <w:color w:val="auto"/>
                <w:sz w:val="24"/>
                <w:szCs w:val="24"/>
                <w:lang w:eastAsia="zh-CN"/>
              </w:rPr>
            </w:pPr>
            <w:r>
              <w:rPr>
                <w:rFonts w:ascii="Times New Roman" w:hAnsi="Times New Roman" w:cs="Times New Roman"/>
                <w:sz w:val="24"/>
                <w:szCs w:val="24"/>
              </w:rPr>
              <w:t>9.52%</w:t>
            </w:r>
          </w:p>
        </w:tc>
        <w:tc>
          <w:tcPr>
            <w:tcW w:w="1266" w:type="dxa"/>
            <w:noWrap/>
            <w:vAlign w:val="center"/>
          </w:tcPr>
          <w:p w14:paraId="234F1E43">
            <w:pPr>
              <w:widowControl/>
              <w:autoSpaceDE/>
              <w:autoSpaceDN/>
              <w:jc w:val="center"/>
              <w:rPr>
                <w:rFonts w:ascii="Times New Roman" w:hAnsi="Times New Roman" w:cs="Times New Roman"/>
                <w:color w:val="auto"/>
                <w:sz w:val="24"/>
                <w:szCs w:val="24"/>
                <w:lang w:eastAsia="zh-CN"/>
              </w:rPr>
            </w:pPr>
            <w:r>
              <w:rPr>
                <w:rFonts w:ascii="Times New Roman" w:hAnsi="Times New Roman" w:cs="Times New Roman"/>
                <w:sz w:val="24"/>
                <w:szCs w:val="24"/>
              </w:rPr>
              <w:t>4.76%</w:t>
            </w:r>
          </w:p>
        </w:tc>
        <w:tc>
          <w:tcPr>
            <w:tcW w:w="1266" w:type="dxa"/>
            <w:noWrap/>
            <w:vAlign w:val="center"/>
          </w:tcPr>
          <w:p w14:paraId="64150DE7">
            <w:pPr>
              <w:widowControl/>
              <w:autoSpaceDE/>
              <w:autoSpaceDN/>
              <w:jc w:val="center"/>
              <w:rPr>
                <w:rFonts w:ascii="Times New Roman" w:hAnsi="Times New Roman" w:cs="Times New Roman"/>
                <w:color w:val="auto"/>
                <w:sz w:val="24"/>
                <w:szCs w:val="24"/>
                <w:lang w:eastAsia="zh-CN"/>
              </w:rPr>
            </w:pPr>
            <w:r>
              <w:rPr>
                <w:rFonts w:ascii="Times New Roman" w:hAnsi="Times New Roman" w:cs="Times New Roman"/>
                <w:sz w:val="24"/>
                <w:szCs w:val="24"/>
              </w:rPr>
              <w:t>0</w:t>
            </w:r>
          </w:p>
        </w:tc>
        <w:tc>
          <w:tcPr>
            <w:tcW w:w="1266" w:type="dxa"/>
            <w:noWrap/>
            <w:vAlign w:val="center"/>
          </w:tcPr>
          <w:p w14:paraId="514E3CCC">
            <w:pPr>
              <w:widowControl/>
              <w:autoSpaceDE/>
              <w:autoSpaceDN/>
              <w:jc w:val="center"/>
              <w:rPr>
                <w:rFonts w:ascii="Times New Roman" w:hAnsi="Times New Roman" w:cs="Times New Roman"/>
                <w:color w:val="auto"/>
                <w:sz w:val="24"/>
                <w:szCs w:val="24"/>
                <w:lang w:eastAsia="zh-CN"/>
              </w:rPr>
            </w:pPr>
            <w:r>
              <w:rPr>
                <w:rFonts w:ascii="Times New Roman" w:hAnsi="Times New Roman" w:cs="Times New Roman"/>
                <w:sz w:val="24"/>
                <w:szCs w:val="24"/>
              </w:rPr>
              <w:t>-4.76%</w:t>
            </w:r>
          </w:p>
        </w:tc>
        <w:tc>
          <w:tcPr>
            <w:tcW w:w="1266" w:type="dxa"/>
            <w:noWrap/>
            <w:vAlign w:val="center"/>
          </w:tcPr>
          <w:p w14:paraId="30DF033D">
            <w:pPr>
              <w:widowControl/>
              <w:autoSpaceDE/>
              <w:autoSpaceDN/>
              <w:jc w:val="center"/>
              <w:rPr>
                <w:rFonts w:ascii="Times New Roman" w:hAnsi="Times New Roman" w:cs="Times New Roman"/>
                <w:color w:val="auto"/>
                <w:sz w:val="24"/>
                <w:szCs w:val="24"/>
                <w:lang w:eastAsia="zh-CN"/>
              </w:rPr>
            </w:pPr>
            <w:r>
              <w:rPr>
                <w:rFonts w:ascii="Times New Roman" w:hAnsi="Times New Roman" w:cs="Times New Roman"/>
                <w:sz w:val="24"/>
                <w:szCs w:val="24"/>
              </w:rPr>
              <w:t>-9.52%</w:t>
            </w:r>
          </w:p>
        </w:tc>
      </w:tr>
      <w:tr w14:paraId="6593A075">
        <w:tblPrEx>
          <w:tblBorders>
            <w:top w:val="single" w:color="auto" w:sz="8" w:space="0"/>
            <w:left w:val="single" w:color="auto" w:sz="8" w:space="0"/>
            <w:bottom w:val="single" w:color="auto" w:sz="8" w:space="0"/>
            <w:right w:val="single" w:color="auto" w:sz="8" w:space="0"/>
            <w:insideH w:val="single" w:color="auto" w:sz="6" w:space="0"/>
            <w:insideV w:val="single" w:color="auto" w:sz="6" w:space="0"/>
          </w:tblBorders>
          <w:tblCellMar>
            <w:top w:w="0" w:type="dxa"/>
            <w:left w:w="0" w:type="dxa"/>
            <w:bottom w:w="0" w:type="dxa"/>
            <w:right w:w="0" w:type="dxa"/>
          </w:tblCellMar>
        </w:tblPrEx>
        <w:trPr>
          <w:trHeight w:val="405" w:hRule="atLeast"/>
        </w:trPr>
        <w:tc>
          <w:tcPr>
            <w:tcW w:w="715" w:type="pct"/>
            <w:vMerge w:val="continue"/>
            <w:noWrap w:val="0"/>
            <w:vAlign w:val="center"/>
          </w:tcPr>
          <w:p w14:paraId="70102B7B">
            <w:pPr>
              <w:widowControl/>
              <w:autoSpaceDE/>
              <w:autoSpaceDN/>
              <w:jc w:val="center"/>
              <w:rPr>
                <w:rFonts w:ascii="Times New Roman" w:hAnsi="Times New Roman" w:cs="Times New Roman"/>
                <w:color w:val="auto"/>
                <w:sz w:val="24"/>
                <w:szCs w:val="24"/>
                <w:lang w:eastAsia="zh-CN"/>
              </w:rPr>
            </w:pPr>
          </w:p>
        </w:tc>
        <w:tc>
          <w:tcPr>
            <w:tcW w:w="715" w:type="pct"/>
            <w:noWrap w:val="0"/>
            <w:vAlign w:val="center"/>
          </w:tcPr>
          <w:p w14:paraId="55E4FAFB">
            <w:pPr>
              <w:widowControl/>
              <w:autoSpaceDE/>
              <w:autoSpaceDN/>
              <w:jc w:val="center"/>
              <w:rPr>
                <w:rFonts w:ascii="Times New Roman" w:hAnsi="Times New Roman" w:cs="Times New Roman"/>
                <w:color w:val="auto"/>
                <w:sz w:val="24"/>
                <w:szCs w:val="24"/>
                <w:lang w:eastAsia="zh-CN"/>
              </w:rPr>
            </w:pPr>
            <w:r>
              <w:rPr>
                <w:rFonts w:ascii="Times New Roman" w:hAnsi="Times New Roman" w:cs="Times New Roman"/>
                <w:color w:val="auto"/>
                <w:sz w:val="24"/>
                <w:szCs w:val="24"/>
                <w:lang w:eastAsia="zh-CN"/>
              </w:rPr>
              <w:t>Ⅱ级</w:t>
            </w:r>
          </w:p>
        </w:tc>
        <w:tc>
          <w:tcPr>
            <w:tcW w:w="1266" w:type="dxa"/>
            <w:noWrap/>
            <w:vAlign w:val="center"/>
          </w:tcPr>
          <w:p w14:paraId="49F4CFEF">
            <w:pPr>
              <w:widowControl/>
              <w:autoSpaceDE/>
              <w:autoSpaceDN/>
              <w:jc w:val="center"/>
              <w:rPr>
                <w:rFonts w:ascii="Times New Roman" w:hAnsi="Times New Roman" w:cs="Times New Roman"/>
                <w:color w:val="auto"/>
                <w:sz w:val="24"/>
                <w:szCs w:val="24"/>
                <w:lang w:eastAsia="zh-CN"/>
              </w:rPr>
            </w:pPr>
            <w:r>
              <w:rPr>
                <w:rFonts w:ascii="Times New Roman" w:hAnsi="Times New Roman" w:cs="Times New Roman"/>
                <w:sz w:val="24"/>
                <w:szCs w:val="24"/>
              </w:rPr>
              <w:t>10.48%</w:t>
            </w:r>
          </w:p>
        </w:tc>
        <w:tc>
          <w:tcPr>
            <w:tcW w:w="1266" w:type="dxa"/>
            <w:noWrap/>
            <w:vAlign w:val="center"/>
          </w:tcPr>
          <w:p w14:paraId="1D118E3B">
            <w:pPr>
              <w:widowControl/>
              <w:autoSpaceDE/>
              <w:autoSpaceDN/>
              <w:jc w:val="center"/>
              <w:rPr>
                <w:rFonts w:ascii="Times New Roman" w:hAnsi="Times New Roman" w:cs="Times New Roman"/>
                <w:color w:val="auto"/>
                <w:sz w:val="24"/>
                <w:szCs w:val="24"/>
                <w:lang w:eastAsia="zh-CN"/>
              </w:rPr>
            </w:pPr>
            <w:r>
              <w:rPr>
                <w:rFonts w:ascii="Times New Roman" w:hAnsi="Times New Roman" w:cs="Times New Roman"/>
                <w:sz w:val="24"/>
                <w:szCs w:val="24"/>
              </w:rPr>
              <w:t>5.24%</w:t>
            </w:r>
          </w:p>
        </w:tc>
        <w:tc>
          <w:tcPr>
            <w:tcW w:w="1266" w:type="dxa"/>
            <w:noWrap/>
            <w:vAlign w:val="center"/>
          </w:tcPr>
          <w:p w14:paraId="35818355">
            <w:pPr>
              <w:widowControl/>
              <w:autoSpaceDE/>
              <w:autoSpaceDN/>
              <w:jc w:val="center"/>
              <w:rPr>
                <w:rFonts w:ascii="Times New Roman" w:hAnsi="Times New Roman" w:cs="Times New Roman"/>
                <w:color w:val="auto"/>
                <w:sz w:val="24"/>
                <w:szCs w:val="24"/>
                <w:lang w:eastAsia="zh-CN"/>
              </w:rPr>
            </w:pPr>
            <w:r>
              <w:rPr>
                <w:rFonts w:ascii="Times New Roman" w:hAnsi="Times New Roman" w:cs="Times New Roman"/>
                <w:sz w:val="24"/>
                <w:szCs w:val="24"/>
              </w:rPr>
              <w:t>0</w:t>
            </w:r>
          </w:p>
        </w:tc>
        <w:tc>
          <w:tcPr>
            <w:tcW w:w="1266" w:type="dxa"/>
            <w:noWrap/>
            <w:vAlign w:val="center"/>
          </w:tcPr>
          <w:p w14:paraId="2CB87678">
            <w:pPr>
              <w:widowControl/>
              <w:autoSpaceDE/>
              <w:autoSpaceDN/>
              <w:jc w:val="center"/>
              <w:rPr>
                <w:rFonts w:ascii="Times New Roman" w:hAnsi="Times New Roman" w:cs="Times New Roman"/>
                <w:color w:val="auto"/>
                <w:sz w:val="24"/>
                <w:szCs w:val="24"/>
                <w:lang w:eastAsia="zh-CN"/>
              </w:rPr>
            </w:pPr>
            <w:r>
              <w:rPr>
                <w:rFonts w:ascii="Times New Roman" w:hAnsi="Times New Roman" w:cs="Times New Roman"/>
                <w:sz w:val="24"/>
                <w:szCs w:val="24"/>
              </w:rPr>
              <w:t>-5.24%</w:t>
            </w:r>
          </w:p>
        </w:tc>
        <w:tc>
          <w:tcPr>
            <w:tcW w:w="1266" w:type="dxa"/>
            <w:noWrap/>
            <w:vAlign w:val="center"/>
          </w:tcPr>
          <w:p w14:paraId="05285A72">
            <w:pPr>
              <w:widowControl/>
              <w:autoSpaceDE/>
              <w:autoSpaceDN/>
              <w:jc w:val="center"/>
              <w:rPr>
                <w:rFonts w:ascii="Times New Roman" w:hAnsi="Times New Roman" w:cs="Times New Roman"/>
                <w:color w:val="auto"/>
                <w:sz w:val="24"/>
                <w:szCs w:val="24"/>
                <w:lang w:eastAsia="zh-CN"/>
              </w:rPr>
            </w:pPr>
            <w:r>
              <w:rPr>
                <w:rFonts w:ascii="Times New Roman" w:hAnsi="Times New Roman" w:cs="Times New Roman"/>
                <w:sz w:val="24"/>
                <w:szCs w:val="24"/>
              </w:rPr>
              <w:t>-10.48%</w:t>
            </w:r>
          </w:p>
        </w:tc>
      </w:tr>
      <w:tr w14:paraId="714E968F">
        <w:tblPrEx>
          <w:tblBorders>
            <w:top w:val="single" w:color="auto" w:sz="8" w:space="0"/>
            <w:left w:val="single" w:color="auto" w:sz="8" w:space="0"/>
            <w:bottom w:val="single" w:color="auto" w:sz="8" w:space="0"/>
            <w:right w:val="single" w:color="auto" w:sz="8" w:space="0"/>
            <w:insideH w:val="single" w:color="auto" w:sz="6" w:space="0"/>
            <w:insideV w:val="single" w:color="auto" w:sz="6" w:space="0"/>
          </w:tblBorders>
          <w:tblCellMar>
            <w:top w:w="0" w:type="dxa"/>
            <w:left w:w="0" w:type="dxa"/>
            <w:bottom w:w="0" w:type="dxa"/>
            <w:right w:w="0" w:type="dxa"/>
          </w:tblCellMar>
        </w:tblPrEx>
        <w:trPr>
          <w:trHeight w:val="405" w:hRule="atLeast"/>
        </w:trPr>
        <w:tc>
          <w:tcPr>
            <w:tcW w:w="715" w:type="pct"/>
            <w:vMerge w:val="continue"/>
            <w:noWrap w:val="0"/>
            <w:vAlign w:val="center"/>
          </w:tcPr>
          <w:p w14:paraId="539C5047">
            <w:pPr>
              <w:widowControl/>
              <w:autoSpaceDE/>
              <w:autoSpaceDN/>
              <w:jc w:val="center"/>
              <w:rPr>
                <w:rFonts w:ascii="Times New Roman" w:hAnsi="Times New Roman" w:cs="Times New Roman"/>
                <w:color w:val="auto"/>
                <w:sz w:val="24"/>
                <w:szCs w:val="24"/>
                <w:lang w:eastAsia="zh-CN"/>
              </w:rPr>
            </w:pPr>
          </w:p>
        </w:tc>
        <w:tc>
          <w:tcPr>
            <w:tcW w:w="715" w:type="pct"/>
            <w:noWrap w:val="0"/>
            <w:vAlign w:val="center"/>
          </w:tcPr>
          <w:p w14:paraId="624DA8D4">
            <w:pPr>
              <w:widowControl/>
              <w:autoSpaceDE/>
              <w:autoSpaceDN/>
              <w:jc w:val="center"/>
              <w:rPr>
                <w:rFonts w:ascii="Times New Roman" w:hAnsi="Times New Roman" w:cs="Times New Roman"/>
                <w:color w:val="auto"/>
                <w:sz w:val="24"/>
                <w:szCs w:val="24"/>
                <w:lang w:eastAsia="zh-CN"/>
              </w:rPr>
            </w:pPr>
            <w:r>
              <w:rPr>
                <w:rFonts w:ascii="Times New Roman" w:hAnsi="Times New Roman" w:cs="Times New Roman"/>
                <w:color w:val="auto"/>
                <w:sz w:val="24"/>
                <w:szCs w:val="24"/>
                <w:lang w:eastAsia="zh-CN"/>
              </w:rPr>
              <w:t>Ⅲ</w:t>
            </w:r>
            <w:r>
              <w:rPr>
                <w:rFonts w:ascii="Times New Roman" w:hAnsi="Times New Roman" w:eastAsia="宋体" w:cs="Times New Roman"/>
                <w:color w:val="auto"/>
                <w:sz w:val="24"/>
                <w:szCs w:val="24"/>
                <w:lang w:eastAsia="zh-CN"/>
              </w:rPr>
              <w:t>级</w:t>
            </w:r>
          </w:p>
        </w:tc>
        <w:tc>
          <w:tcPr>
            <w:tcW w:w="1266" w:type="dxa"/>
            <w:noWrap/>
            <w:vAlign w:val="center"/>
          </w:tcPr>
          <w:p w14:paraId="4D9B9886">
            <w:pPr>
              <w:widowControl/>
              <w:autoSpaceDE/>
              <w:autoSpaceDN/>
              <w:jc w:val="center"/>
              <w:rPr>
                <w:rFonts w:ascii="Times New Roman" w:hAnsi="Times New Roman" w:cs="Times New Roman"/>
                <w:color w:val="auto"/>
                <w:sz w:val="24"/>
                <w:szCs w:val="24"/>
                <w:lang w:eastAsia="zh-CN"/>
              </w:rPr>
            </w:pPr>
            <w:r>
              <w:rPr>
                <w:rFonts w:ascii="Times New Roman" w:hAnsi="Times New Roman" w:cs="Times New Roman"/>
                <w:sz w:val="24"/>
                <w:szCs w:val="24"/>
              </w:rPr>
              <w:t>10.22%</w:t>
            </w:r>
          </w:p>
        </w:tc>
        <w:tc>
          <w:tcPr>
            <w:tcW w:w="1266" w:type="dxa"/>
            <w:noWrap/>
            <w:vAlign w:val="center"/>
          </w:tcPr>
          <w:p w14:paraId="6EB43653">
            <w:pPr>
              <w:widowControl/>
              <w:autoSpaceDE/>
              <w:autoSpaceDN/>
              <w:jc w:val="center"/>
              <w:rPr>
                <w:rFonts w:ascii="Times New Roman" w:hAnsi="Times New Roman" w:cs="Times New Roman"/>
                <w:color w:val="auto"/>
                <w:sz w:val="24"/>
                <w:szCs w:val="24"/>
                <w:lang w:eastAsia="zh-CN"/>
              </w:rPr>
            </w:pPr>
            <w:r>
              <w:rPr>
                <w:rFonts w:ascii="Times New Roman" w:hAnsi="Times New Roman" w:cs="Times New Roman"/>
                <w:sz w:val="24"/>
                <w:szCs w:val="24"/>
              </w:rPr>
              <w:t>5.11%</w:t>
            </w:r>
          </w:p>
        </w:tc>
        <w:tc>
          <w:tcPr>
            <w:tcW w:w="1266" w:type="dxa"/>
            <w:noWrap/>
            <w:vAlign w:val="center"/>
          </w:tcPr>
          <w:p w14:paraId="72BBA195">
            <w:pPr>
              <w:widowControl/>
              <w:autoSpaceDE/>
              <w:autoSpaceDN/>
              <w:jc w:val="center"/>
              <w:rPr>
                <w:rFonts w:ascii="Times New Roman" w:hAnsi="Times New Roman" w:cs="Times New Roman"/>
                <w:color w:val="auto"/>
                <w:sz w:val="24"/>
                <w:szCs w:val="24"/>
                <w:lang w:eastAsia="zh-CN"/>
              </w:rPr>
            </w:pPr>
            <w:r>
              <w:rPr>
                <w:rFonts w:ascii="Times New Roman" w:hAnsi="Times New Roman" w:cs="Times New Roman"/>
                <w:sz w:val="24"/>
                <w:szCs w:val="24"/>
              </w:rPr>
              <w:t>0</w:t>
            </w:r>
          </w:p>
        </w:tc>
        <w:tc>
          <w:tcPr>
            <w:tcW w:w="1266" w:type="dxa"/>
            <w:noWrap/>
            <w:vAlign w:val="center"/>
          </w:tcPr>
          <w:p w14:paraId="766B0B4C">
            <w:pPr>
              <w:widowControl/>
              <w:autoSpaceDE/>
              <w:autoSpaceDN/>
              <w:jc w:val="center"/>
              <w:rPr>
                <w:rFonts w:ascii="Times New Roman" w:hAnsi="Times New Roman" w:cs="Times New Roman"/>
                <w:color w:val="auto"/>
                <w:sz w:val="24"/>
                <w:szCs w:val="24"/>
                <w:lang w:eastAsia="zh-CN"/>
              </w:rPr>
            </w:pPr>
            <w:r>
              <w:rPr>
                <w:rFonts w:ascii="Times New Roman" w:hAnsi="Times New Roman" w:cs="Times New Roman"/>
                <w:sz w:val="24"/>
                <w:szCs w:val="24"/>
              </w:rPr>
              <w:t>-4.67%</w:t>
            </w:r>
          </w:p>
        </w:tc>
        <w:tc>
          <w:tcPr>
            <w:tcW w:w="1266" w:type="dxa"/>
            <w:noWrap/>
            <w:vAlign w:val="center"/>
          </w:tcPr>
          <w:p w14:paraId="41B620D2">
            <w:pPr>
              <w:widowControl/>
              <w:autoSpaceDE/>
              <w:autoSpaceDN/>
              <w:jc w:val="center"/>
              <w:rPr>
                <w:rFonts w:ascii="Times New Roman" w:hAnsi="Times New Roman" w:cs="Times New Roman"/>
                <w:color w:val="auto"/>
                <w:sz w:val="24"/>
                <w:szCs w:val="24"/>
                <w:lang w:eastAsia="zh-CN"/>
              </w:rPr>
            </w:pPr>
            <w:r>
              <w:rPr>
                <w:rFonts w:ascii="Times New Roman" w:hAnsi="Times New Roman" w:cs="Times New Roman"/>
                <w:sz w:val="24"/>
                <w:szCs w:val="24"/>
              </w:rPr>
              <w:t>-9.33%</w:t>
            </w:r>
          </w:p>
        </w:tc>
      </w:tr>
      <w:tr w14:paraId="4F595B57">
        <w:tblPrEx>
          <w:tblBorders>
            <w:top w:val="single" w:color="auto" w:sz="8" w:space="0"/>
            <w:left w:val="single" w:color="auto" w:sz="8" w:space="0"/>
            <w:bottom w:val="single" w:color="auto" w:sz="8" w:space="0"/>
            <w:right w:val="single" w:color="auto" w:sz="8" w:space="0"/>
            <w:insideH w:val="single" w:color="auto" w:sz="6" w:space="0"/>
            <w:insideV w:val="single" w:color="auto" w:sz="6" w:space="0"/>
          </w:tblBorders>
          <w:tblCellMar>
            <w:top w:w="0" w:type="dxa"/>
            <w:left w:w="0" w:type="dxa"/>
            <w:bottom w:w="0" w:type="dxa"/>
            <w:right w:w="0" w:type="dxa"/>
          </w:tblCellMar>
        </w:tblPrEx>
        <w:trPr>
          <w:trHeight w:val="405" w:hRule="atLeast"/>
        </w:trPr>
        <w:tc>
          <w:tcPr>
            <w:tcW w:w="715" w:type="pct"/>
            <w:vMerge w:val="restart"/>
            <w:noWrap w:val="0"/>
            <w:vAlign w:val="center"/>
          </w:tcPr>
          <w:p w14:paraId="639566D9">
            <w:pPr>
              <w:widowControl/>
              <w:autoSpaceDE/>
              <w:autoSpaceDN/>
              <w:jc w:val="center"/>
              <w:rPr>
                <w:rFonts w:ascii="Times New Roman" w:hAnsi="Times New Roman" w:cs="Times New Roman"/>
                <w:color w:val="auto"/>
                <w:sz w:val="24"/>
                <w:szCs w:val="24"/>
                <w:lang w:eastAsia="zh-CN"/>
              </w:rPr>
            </w:pPr>
            <w:r>
              <w:rPr>
                <w:rFonts w:ascii="Times New Roman" w:hAnsi="Times New Roman" w:cs="Times New Roman"/>
                <w:color w:val="auto"/>
                <w:sz w:val="24"/>
                <w:szCs w:val="24"/>
                <w:lang w:eastAsia="zh-CN"/>
              </w:rPr>
              <w:t>公共管理与公共服务用地</w:t>
            </w:r>
          </w:p>
        </w:tc>
        <w:tc>
          <w:tcPr>
            <w:tcW w:w="715" w:type="pct"/>
            <w:noWrap w:val="0"/>
            <w:vAlign w:val="center"/>
          </w:tcPr>
          <w:p w14:paraId="7312EA45">
            <w:pPr>
              <w:widowControl/>
              <w:autoSpaceDE/>
              <w:autoSpaceDN/>
              <w:jc w:val="center"/>
              <w:rPr>
                <w:rFonts w:ascii="Times New Roman" w:hAnsi="Times New Roman" w:cs="Times New Roman"/>
                <w:color w:val="auto"/>
                <w:sz w:val="24"/>
                <w:szCs w:val="24"/>
                <w:lang w:eastAsia="zh-CN"/>
              </w:rPr>
            </w:pPr>
            <w:r>
              <w:rPr>
                <w:rFonts w:ascii="Times New Roman" w:hAnsi="Times New Roman" w:cs="Times New Roman"/>
                <w:color w:val="auto"/>
                <w:sz w:val="24"/>
                <w:szCs w:val="24"/>
                <w:lang w:eastAsia="zh-CN"/>
              </w:rPr>
              <w:t>Ⅰ级</w:t>
            </w:r>
          </w:p>
        </w:tc>
        <w:tc>
          <w:tcPr>
            <w:tcW w:w="1266" w:type="dxa"/>
            <w:noWrap/>
            <w:vAlign w:val="center"/>
          </w:tcPr>
          <w:p w14:paraId="390739EA">
            <w:pPr>
              <w:widowControl/>
              <w:autoSpaceDE/>
              <w:autoSpaceDN/>
              <w:jc w:val="center"/>
              <w:rPr>
                <w:rFonts w:ascii="Times New Roman" w:hAnsi="Times New Roman" w:cs="Times New Roman"/>
                <w:color w:val="auto"/>
                <w:sz w:val="24"/>
                <w:szCs w:val="24"/>
                <w:lang w:eastAsia="zh-CN"/>
              </w:rPr>
            </w:pPr>
            <w:r>
              <w:rPr>
                <w:rFonts w:ascii="Times New Roman" w:hAnsi="Times New Roman" w:cs="Times New Roman"/>
                <w:sz w:val="24"/>
                <w:szCs w:val="24"/>
              </w:rPr>
              <w:t>9.76%</w:t>
            </w:r>
          </w:p>
        </w:tc>
        <w:tc>
          <w:tcPr>
            <w:tcW w:w="1266" w:type="dxa"/>
            <w:noWrap/>
            <w:vAlign w:val="center"/>
          </w:tcPr>
          <w:p w14:paraId="434553F3">
            <w:pPr>
              <w:widowControl/>
              <w:autoSpaceDE/>
              <w:autoSpaceDN/>
              <w:jc w:val="center"/>
              <w:rPr>
                <w:rFonts w:ascii="Times New Roman" w:hAnsi="Times New Roman" w:cs="Times New Roman"/>
                <w:color w:val="auto"/>
                <w:sz w:val="24"/>
                <w:szCs w:val="24"/>
                <w:lang w:eastAsia="zh-CN"/>
              </w:rPr>
            </w:pPr>
            <w:r>
              <w:rPr>
                <w:rFonts w:ascii="Times New Roman" w:hAnsi="Times New Roman" w:cs="Times New Roman"/>
                <w:sz w:val="24"/>
                <w:szCs w:val="24"/>
              </w:rPr>
              <w:t>4.88%</w:t>
            </w:r>
          </w:p>
        </w:tc>
        <w:tc>
          <w:tcPr>
            <w:tcW w:w="1266" w:type="dxa"/>
            <w:noWrap/>
            <w:vAlign w:val="center"/>
          </w:tcPr>
          <w:p w14:paraId="2F80C137">
            <w:pPr>
              <w:widowControl/>
              <w:autoSpaceDE/>
              <w:autoSpaceDN/>
              <w:jc w:val="center"/>
              <w:rPr>
                <w:rFonts w:ascii="Times New Roman" w:hAnsi="Times New Roman" w:cs="Times New Roman"/>
                <w:color w:val="auto"/>
                <w:sz w:val="24"/>
                <w:szCs w:val="24"/>
                <w:lang w:eastAsia="zh-CN"/>
              </w:rPr>
            </w:pPr>
            <w:r>
              <w:rPr>
                <w:rFonts w:ascii="Times New Roman" w:hAnsi="Times New Roman" w:cs="Times New Roman"/>
                <w:sz w:val="24"/>
                <w:szCs w:val="24"/>
              </w:rPr>
              <w:t>0</w:t>
            </w:r>
          </w:p>
        </w:tc>
        <w:tc>
          <w:tcPr>
            <w:tcW w:w="1266" w:type="dxa"/>
            <w:noWrap/>
            <w:vAlign w:val="center"/>
          </w:tcPr>
          <w:p w14:paraId="2952ED73">
            <w:pPr>
              <w:widowControl/>
              <w:autoSpaceDE/>
              <w:autoSpaceDN/>
              <w:jc w:val="center"/>
              <w:rPr>
                <w:rFonts w:ascii="Times New Roman" w:hAnsi="Times New Roman" w:cs="Times New Roman"/>
                <w:color w:val="auto"/>
                <w:sz w:val="24"/>
                <w:szCs w:val="24"/>
                <w:lang w:eastAsia="zh-CN"/>
              </w:rPr>
            </w:pPr>
            <w:r>
              <w:rPr>
                <w:rFonts w:ascii="Times New Roman" w:hAnsi="Times New Roman" w:cs="Times New Roman"/>
                <w:sz w:val="24"/>
                <w:szCs w:val="24"/>
              </w:rPr>
              <w:t>-4.80%</w:t>
            </w:r>
          </w:p>
        </w:tc>
        <w:tc>
          <w:tcPr>
            <w:tcW w:w="1266" w:type="dxa"/>
            <w:noWrap/>
            <w:vAlign w:val="center"/>
          </w:tcPr>
          <w:p w14:paraId="3DCE1F75">
            <w:pPr>
              <w:widowControl/>
              <w:autoSpaceDE/>
              <w:autoSpaceDN/>
              <w:jc w:val="center"/>
              <w:rPr>
                <w:rFonts w:ascii="Times New Roman" w:hAnsi="Times New Roman" w:cs="Times New Roman"/>
                <w:color w:val="auto"/>
                <w:sz w:val="24"/>
                <w:szCs w:val="24"/>
                <w:lang w:eastAsia="zh-CN"/>
              </w:rPr>
            </w:pPr>
            <w:r>
              <w:rPr>
                <w:rFonts w:ascii="Times New Roman" w:hAnsi="Times New Roman" w:cs="Times New Roman"/>
                <w:sz w:val="24"/>
                <w:szCs w:val="24"/>
              </w:rPr>
              <w:t>-9.59%</w:t>
            </w:r>
          </w:p>
        </w:tc>
      </w:tr>
      <w:tr w14:paraId="42715C03">
        <w:tblPrEx>
          <w:tblBorders>
            <w:top w:val="single" w:color="auto" w:sz="8" w:space="0"/>
            <w:left w:val="single" w:color="auto" w:sz="8" w:space="0"/>
            <w:bottom w:val="single" w:color="auto" w:sz="8" w:space="0"/>
            <w:right w:val="single" w:color="auto" w:sz="8" w:space="0"/>
            <w:insideH w:val="single" w:color="auto" w:sz="6" w:space="0"/>
            <w:insideV w:val="single" w:color="auto" w:sz="6" w:space="0"/>
          </w:tblBorders>
          <w:tblCellMar>
            <w:top w:w="0" w:type="dxa"/>
            <w:left w:w="0" w:type="dxa"/>
            <w:bottom w:w="0" w:type="dxa"/>
            <w:right w:w="0" w:type="dxa"/>
          </w:tblCellMar>
        </w:tblPrEx>
        <w:trPr>
          <w:trHeight w:val="405" w:hRule="atLeast"/>
        </w:trPr>
        <w:tc>
          <w:tcPr>
            <w:tcW w:w="715" w:type="pct"/>
            <w:vMerge w:val="continue"/>
            <w:noWrap w:val="0"/>
            <w:vAlign w:val="center"/>
          </w:tcPr>
          <w:p w14:paraId="6225E84A">
            <w:pPr>
              <w:widowControl/>
              <w:autoSpaceDE/>
              <w:autoSpaceDN/>
              <w:jc w:val="center"/>
              <w:rPr>
                <w:rFonts w:ascii="Times New Roman" w:hAnsi="Times New Roman" w:cs="Times New Roman"/>
                <w:color w:val="auto"/>
                <w:sz w:val="24"/>
                <w:szCs w:val="24"/>
                <w:lang w:eastAsia="zh-CN"/>
              </w:rPr>
            </w:pPr>
          </w:p>
        </w:tc>
        <w:tc>
          <w:tcPr>
            <w:tcW w:w="715" w:type="pct"/>
            <w:noWrap w:val="0"/>
            <w:vAlign w:val="center"/>
          </w:tcPr>
          <w:p w14:paraId="10594D83">
            <w:pPr>
              <w:widowControl/>
              <w:autoSpaceDE/>
              <w:autoSpaceDN/>
              <w:jc w:val="center"/>
              <w:rPr>
                <w:rFonts w:ascii="Times New Roman" w:hAnsi="Times New Roman" w:cs="Times New Roman"/>
                <w:color w:val="auto"/>
                <w:sz w:val="24"/>
                <w:szCs w:val="24"/>
                <w:lang w:eastAsia="zh-CN"/>
              </w:rPr>
            </w:pPr>
            <w:r>
              <w:rPr>
                <w:rFonts w:ascii="Times New Roman" w:hAnsi="Times New Roman" w:cs="Times New Roman"/>
                <w:color w:val="auto"/>
                <w:sz w:val="24"/>
                <w:szCs w:val="24"/>
                <w:lang w:eastAsia="zh-CN"/>
              </w:rPr>
              <w:t>Ⅱ级</w:t>
            </w:r>
          </w:p>
        </w:tc>
        <w:tc>
          <w:tcPr>
            <w:tcW w:w="1266" w:type="dxa"/>
            <w:noWrap/>
            <w:vAlign w:val="center"/>
          </w:tcPr>
          <w:p w14:paraId="33BC08DE">
            <w:pPr>
              <w:widowControl/>
              <w:autoSpaceDE/>
              <w:autoSpaceDN/>
              <w:jc w:val="center"/>
              <w:rPr>
                <w:rFonts w:ascii="Times New Roman" w:hAnsi="Times New Roman" w:cs="Times New Roman"/>
                <w:color w:val="auto"/>
                <w:sz w:val="24"/>
                <w:szCs w:val="24"/>
                <w:lang w:eastAsia="zh-CN"/>
              </w:rPr>
            </w:pPr>
            <w:r>
              <w:rPr>
                <w:rFonts w:ascii="Times New Roman" w:hAnsi="Times New Roman" w:cs="Times New Roman"/>
                <w:sz w:val="24"/>
                <w:szCs w:val="24"/>
              </w:rPr>
              <w:t>10.09%</w:t>
            </w:r>
          </w:p>
        </w:tc>
        <w:tc>
          <w:tcPr>
            <w:tcW w:w="1266" w:type="dxa"/>
            <w:noWrap/>
            <w:vAlign w:val="center"/>
          </w:tcPr>
          <w:p w14:paraId="1A2AF88F">
            <w:pPr>
              <w:widowControl/>
              <w:autoSpaceDE/>
              <w:autoSpaceDN/>
              <w:jc w:val="center"/>
              <w:rPr>
                <w:rFonts w:ascii="Times New Roman" w:hAnsi="Times New Roman" w:cs="Times New Roman"/>
                <w:color w:val="auto"/>
                <w:sz w:val="24"/>
                <w:szCs w:val="24"/>
                <w:lang w:eastAsia="zh-CN"/>
              </w:rPr>
            </w:pPr>
            <w:r>
              <w:rPr>
                <w:rFonts w:ascii="Times New Roman" w:hAnsi="Times New Roman" w:cs="Times New Roman"/>
                <w:sz w:val="24"/>
                <w:szCs w:val="24"/>
              </w:rPr>
              <w:t>5.05%</w:t>
            </w:r>
          </w:p>
        </w:tc>
        <w:tc>
          <w:tcPr>
            <w:tcW w:w="1266" w:type="dxa"/>
            <w:noWrap/>
            <w:vAlign w:val="center"/>
          </w:tcPr>
          <w:p w14:paraId="36D57D9A">
            <w:pPr>
              <w:widowControl/>
              <w:autoSpaceDE/>
              <w:autoSpaceDN/>
              <w:jc w:val="center"/>
              <w:rPr>
                <w:rFonts w:ascii="Times New Roman" w:hAnsi="Times New Roman" w:cs="Times New Roman"/>
                <w:color w:val="auto"/>
                <w:sz w:val="24"/>
                <w:szCs w:val="24"/>
                <w:lang w:eastAsia="zh-CN"/>
              </w:rPr>
            </w:pPr>
            <w:r>
              <w:rPr>
                <w:rFonts w:ascii="Times New Roman" w:hAnsi="Times New Roman" w:cs="Times New Roman"/>
                <w:sz w:val="24"/>
                <w:szCs w:val="24"/>
              </w:rPr>
              <w:t>0</w:t>
            </w:r>
          </w:p>
        </w:tc>
        <w:tc>
          <w:tcPr>
            <w:tcW w:w="1266" w:type="dxa"/>
            <w:noWrap/>
            <w:vAlign w:val="center"/>
          </w:tcPr>
          <w:p w14:paraId="79E4DF4C">
            <w:pPr>
              <w:widowControl/>
              <w:autoSpaceDE/>
              <w:autoSpaceDN/>
              <w:jc w:val="center"/>
              <w:rPr>
                <w:rFonts w:ascii="Times New Roman" w:hAnsi="Times New Roman" w:cs="Times New Roman"/>
                <w:color w:val="auto"/>
                <w:sz w:val="24"/>
                <w:szCs w:val="24"/>
                <w:lang w:eastAsia="zh-CN"/>
              </w:rPr>
            </w:pPr>
            <w:r>
              <w:rPr>
                <w:rFonts w:ascii="Times New Roman" w:hAnsi="Times New Roman" w:cs="Times New Roman"/>
                <w:sz w:val="24"/>
                <w:szCs w:val="24"/>
              </w:rPr>
              <w:t>-6.31%</w:t>
            </w:r>
          </w:p>
        </w:tc>
        <w:tc>
          <w:tcPr>
            <w:tcW w:w="1266" w:type="dxa"/>
            <w:noWrap/>
            <w:vAlign w:val="center"/>
          </w:tcPr>
          <w:p w14:paraId="248DC5EE">
            <w:pPr>
              <w:widowControl/>
              <w:autoSpaceDE/>
              <w:autoSpaceDN/>
              <w:jc w:val="center"/>
              <w:rPr>
                <w:rFonts w:ascii="Times New Roman" w:hAnsi="Times New Roman" w:cs="Times New Roman"/>
                <w:color w:val="auto"/>
                <w:sz w:val="24"/>
                <w:szCs w:val="24"/>
                <w:lang w:eastAsia="zh-CN"/>
              </w:rPr>
            </w:pPr>
            <w:r>
              <w:rPr>
                <w:rFonts w:ascii="Times New Roman" w:hAnsi="Times New Roman" w:cs="Times New Roman"/>
                <w:sz w:val="24"/>
                <w:szCs w:val="24"/>
              </w:rPr>
              <w:t>-12.61%</w:t>
            </w:r>
          </w:p>
        </w:tc>
      </w:tr>
      <w:tr w14:paraId="38DB74DE">
        <w:tblPrEx>
          <w:tblBorders>
            <w:top w:val="single" w:color="auto" w:sz="8" w:space="0"/>
            <w:left w:val="single" w:color="auto" w:sz="8" w:space="0"/>
            <w:bottom w:val="single" w:color="auto" w:sz="8" w:space="0"/>
            <w:right w:val="single" w:color="auto" w:sz="8" w:space="0"/>
            <w:insideH w:val="single" w:color="auto" w:sz="6" w:space="0"/>
            <w:insideV w:val="single" w:color="auto" w:sz="6" w:space="0"/>
          </w:tblBorders>
          <w:tblCellMar>
            <w:top w:w="0" w:type="dxa"/>
            <w:left w:w="0" w:type="dxa"/>
            <w:bottom w:w="0" w:type="dxa"/>
            <w:right w:w="0" w:type="dxa"/>
          </w:tblCellMar>
        </w:tblPrEx>
        <w:trPr>
          <w:trHeight w:val="498" w:hRule="atLeast"/>
        </w:trPr>
        <w:tc>
          <w:tcPr>
            <w:tcW w:w="715" w:type="pct"/>
            <w:vMerge w:val="continue"/>
            <w:noWrap w:val="0"/>
            <w:vAlign w:val="center"/>
          </w:tcPr>
          <w:p w14:paraId="41B85677">
            <w:pPr>
              <w:widowControl/>
              <w:autoSpaceDE/>
              <w:autoSpaceDN/>
              <w:jc w:val="center"/>
              <w:rPr>
                <w:rFonts w:ascii="Times New Roman" w:hAnsi="Times New Roman" w:cs="Times New Roman"/>
                <w:color w:val="auto"/>
                <w:sz w:val="24"/>
                <w:szCs w:val="24"/>
                <w:lang w:eastAsia="zh-CN"/>
              </w:rPr>
            </w:pPr>
          </w:p>
        </w:tc>
        <w:tc>
          <w:tcPr>
            <w:tcW w:w="715" w:type="pct"/>
            <w:noWrap w:val="0"/>
            <w:vAlign w:val="center"/>
          </w:tcPr>
          <w:p w14:paraId="7ACE950F">
            <w:pPr>
              <w:widowControl/>
              <w:autoSpaceDE/>
              <w:autoSpaceDN/>
              <w:jc w:val="center"/>
              <w:rPr>
                <w:rFonts w:ascii="Times New Roman" w:hAnsi="Times New Roman" w:cs="Times New Roman"/>
                <w:color w:val="auto"/>
                <w:sz w:val="24"/>
                <w:szCs w:val="24"/>
                <w:lang w:eastAsia="zh-CN"/>
              </w:rPr>
            </w:pPr>
            <w:r>
              <w:rPr>
                <w:rFonts w:ascii="Times New Roman" w:hAnsi="Times New Roman" w:cs="Times New Roman"/>
                <w:color w:val="auto"/>
                <w:sz w:val="24"/>
                <w:szCs w:val="24"/>
                <w:lang w:eastAsia="zh-CN"/>
              </w:rPr>
              <w:t>Ⅲ</w:t>
            </w:r>
            <w:r>
              <w:rPr>
                <w:rFonts w:ascii="Times New Roman" w:hAnsi="Times New Roman" w:eastAsia="宋体" w:cs="Times New Roman"/>
                <w:color w:val="auto"/>
                <w:sz w:val="24"/>
                <w:szCs w:val="24"/>
                <w:lang w:eastAsia="zh-CN"/>
              </w:rPr>
              <w:t>级</w:t>
            </w:r>
          </w:p>
        </w:tc>
        <w:tc>
          <w:tcPr>
            <w:tcW w:w="1266" w:type="dxa"/>
            <w:noWrap/>
            <w:vAlign w:val="center"/>
          </w:tcPr>
          <w:p w14:paraId="06FA2AF1">
            <w:pPr>
              <w:widowControl/>
              <w:autoSpaceDE/>
              <w:autoSpaceDN/>
              <w:jc w:val="center"/>
              <w:rPr>
                <w:rFonts w:ascii="Times New Roman" w:hAnsi="Times New Roman" w:cs="Times New Roman"/>
                <w:color w:val="auto"/>
                <w:sz w:val="24"/>
                <w:szCs w:val="24"/>
                <w:lang w:eastAsia="zh-CN"/>
              </w:rPr>
            </w:pPr>
            <w:r>
              <w:rPr>
                <w:rFonts w:ascii="Times New Roman" w:hAnsi="Times New Roman" w:cs="Times New Roman"/>
                <w:sz w:val="24"/>
                <w:szCs w:val="24"/>
              </w:rPr>
              <w:t>11.67%</w:t>
            </w:r>
          </w:p>
        </w:tc>
        <w:tc>
          <w:tcPr>
            <w:tcW w:w="1266" w:type="dxa"/>
            <w:noWrap/>
            <w:vAlign w:val="center"/>
          </w:tcPr>
          <w:p w14:paraId="2671D347">
            <w:pPr>
              <w:widowControl/>
              <w:autoSpaceDE/>
              <w:autoSpaceDN/>
              <w:jc w:val="center"/>
              <w:rPr>
                <w:rFonts w:ascii="Times New Roman" w:hAnsi="Times New Roman" w:cs="Times New Roman"/>
                <w:color w:val="auto"/>
                <w:sz w:val="24"/>
                <w:szCs w:val="24"/>
                <w:lang w:eastAsia="zh-CN"/>
              </w:rPr>
            </w:pPr>
            <w:r>
              <w:rPr>
                <w:rFonts w:ascii="Times New Roman" w:hAnsi="Times New Roman" w:cs="Times New Roman"/>
                <w:sz w:val="24"/>
                <w:szCs w:val="24"/>
              </w:rPr>
              <w:t>8.72%</w:t>
            </w:r>
          </w:p>
        </w:tc>
        <w:tc>
          <w:tcPr>
            <w:tcW w:w="1266" w:type="dxa"/>
            <w:noWrap/>
            <w:vAlign w:val="center"/>
          </w:tcPr>
          <w:p w14:paraId="2151C114">
            <w:pPr>
              <w:widowControl/>
              <w:autoSpaceDE/>
              <w:autoSpaceDN/>
              <w:jc w:val="center"/>
              <w:rPr>
                <w:rFonts w:ascii="Times New Roman" w:hAnsi="Times New Roman" w:cs="Times New Roman"/>
                <w:color w:val="auto"/>
                <w:sz w:val="24"/>
                <w:szCs w:val="24"/>
                <w:lang w:eastAsia="zh-CN"/>
              </w:rPr>
            </w:pPr>
            <w:r>
              <w:rPr>
                <w:rFonts w:ascii="Times New Roman" w:hAnsi="Times New Roman" w:cs="Times New Roman"/>
                <w:sz w:val="24"/>
                <w:szCs w:val="24"/>
              </w:rPr>
              <w:t>0</w:t>
            </w:r>
          </w:p>
        </w:tc>
        <w:tc>
          <w:tcPr>
            <w:tcW w:w="1266" w:type="dxa"/>
            <w:noWrap/>
            <w:vAlign w:val="center"/>
          </w:tcPr>
          <w:p w14:paraId="12973D56">
            <w:pPr>
              <w:widowControl/>
              <w:autoSpaceDE/>
              <w:autoSpaceDN/>
              <w:jc w:val="center"/>
              <w:rPr>
                <w:rFonts w:ascii="Times New Roman" w:hAnsi="Times New Roman" w:cs="Times New Roman"/>
                <w:color w:val="auto"/>
                <w:sz w:val="24"/>
                <w:szCs w:val="24"/>
                <w:lang w:eastAsia="zh-CN"/>
              </w:rPr>
            </w:pPr>
            <w:r>
              <w:rPr>
                <w:rFonts w:ascii="Times New Roman" w:hAnsi="Times New Roman" w:cs="Times New Roman"/>
                <w:sz w:val="24"/>
                <w:szCs w:val="24"/>
              </w:rPr>
              <w:t>-8.05%</w:t>
            </w:r>
          </w:p>
        </w:tc>
        <w:tc>
          <w:tcPr>
            <w:tcW w:w="1266" w:type="dxa"/>
            <w:noWrap/>
            <w:vAlign w:val="center"/>
          </w:tcPr>
          <w:p w14:paraId="7E862CF7">
            <w:pPr>
              <w:widowControl/>
              <w:autoSpaceDE/>
              <w:autoSpaceDN/>
              <w:jc w:val="center"/>
              <w:rPr>
                <w:rFonts w:ascii="Times New Roman" w:hAnsi="Times New Roman" w:cs="Times New Roman"/>
                <w:color w:val="auto"/>
                <w:sz w:val="24"/>
                <w:szCs w:val="24"/>
                <w:lang w:eastAsia="zh-CN"/>
              </w:rPr>
            </w:pPr>
            <w:r>
              <w:rPr>
                <w:rFonts w:ascii="Times New Roman" w:hAnsi="Times New Roman" w:cs="Times New Roman"/>
                <w:sz w:val="24"/>
                <w:szCs w:val="24"/>
              </w:rPr>
              <w:t>-16.11%</w:t>
            </w:r>
          </w:p>
        </w:tc>
      </w:tr>
    </w:tbl>
    <w:p w14:paraId="25F9ED3C">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right="0" w:rightChars="0"/>
        <w:jc w:val="center"/>
        <w:textAlignment w:val="auto"/>
        <w:outlineLvl w:val="9"/>
        <w:rPr>
          <w:rFonts w:hint="default" w:ascii="Times New Roman" w:hAnsi="Times New Roman" w:eastAsia="仿宋_GB2312" w:cs="Times New Roman"/>
          <w:color w:val="auto"/>
          <w:sz w:val="28"/>
          <w:szCs w:val="28"/>
          <w:lang w:val="en-US" w:eastAsia="zh-CN" w:bidi="zh-CN"/>
        </w:rPr>
      </w:pPr>
      <w:r>
        <w:rPr>
          <w:rFonts w:hint="default" w:ascii="Times New Roman" w:hAnsi="Times New Roman" w:eastAsia="仿宋_GB2312" w:cs="Times New Roman"/>
          <w:color w:val="auto"/>
          <w:sz w:val="28"/>
          <w:szCs w:val="28"/>
          <w:lang w:val="en-US" w:eastAsia="zh-CN" w:bidi="zh-CN"/>
        </w:rPr>
        <w:t>附表</w:t>
      </w:r>
      <w:r>
        <w:rPr>
          <w:rFonts w:hint="eastAsia" w:ascii="Times New Roman" w:hAnsi="Times New Roman" w:eastAsia="仿宋_GB2312" w:cs="Times New Roman"/>
          <w:color w:val="auto"/>
          <w:sz w:val="28"/>
          <w:szCs w:val="28"/>
          <w:lang w:val="en-US" w:eastAsia="zh-CN" w:bidi="zh-CN"/>
        </w:rPr>
        <w:t>6.2</w:t>
      </w:r>
      <w:r>
        <w:rPr>
          <w:rFonts w:hint="default" w:ascii="Times New Roman" w:hAnsi="Times New Roman" w:eastAsia="仿宋_GB2312" w:cs="Times New Roman"/>
          <w:color w:val="auto"/>
          <w:sz w:val="28"/>
          <w:szCs w:val="28"/>
          <w:lang w:val="en-US" w:eastAsia="zh-CN" w:bidi="zh-CN"/>
        </w:rPr>
        <w:t>基准地价容积率修正表</w:t>
      </w:r>
    </w:p>
    <w:tbl>
      <w:tblPr>
        <w:tblStyle w:val="25"/>
        <w:tblW w:w="4997"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297"/>
        <w:gridCol w:w="2103"/>
        <w:gridCol w:w="2076"/>
        <w:gridCol w:w="2579"/>
      </w:tblGrid>
      <w:tr w14:paraId="17B261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3" w:hRule="atLeast"/>
          <w:jc w:val="center"/>
        </w:trPr>
        <w:tc>
          <w:tcPr>
            <w:tcW w:w="1268" w:type="pct"/>
            <w:noWrap w:val="0"/>
            <w:vAlign w:val="center"/>
          </w:tcPr>
          <w:p w14:paraId="40ED7C51">
            <w:pPr>
              <w:widowControl/>
              <w:autoSpaceDE/>
              <w:autoSpaceDN/>
              <w:jc w:val="center"/>
              <w:rPr>
                <w:rFonts w:hint="default" w:ascii="Times New Roman" w:hAnsi="Times New Roman" w:cs="Times New Roman"/>
                <w:color w:val="auto"/>
                <w:sz w:val="24"/>
                <w:szCs w:val="24"/>
                <w:lang w:eastAsia="zh-CN"/>
              </w:rPr>
            </w:pPr>
            <w:r>
              <w:rPr>
                <w:rFonts w:hint="default" w:ascii="Times New Roman" w:hAnsi="Times New Roman" w:cs="Times New Roman"/>
                <w:color w:val="auto"/>
                <w:sz w:val="24"/>
                <w:szCs w:val="24"/>
                <w:lang w:eastAsia="zh-CN"/>
              </w:rPr>
              <w:t>容积率</w:t>
            </w:r>
          </w:p>
        </w:tc>
        <w:tc>
          <w:tcPr>
            <w:tcW w:w="1161" w:type="pct"/>
            <w:noWrap w:val="0"/>
            <w:vAlign w:val="center"/>
          </w:tcPr>
          <w:p w14:paraId="5EC9BD42">
            <w:pPr>
              <w:widowControl/>
              <w:autoSpaceDE/>
              <w:autoSpaceDN/>
              <w:jc w:val="center"/>
              <w:rPr>
                <w:rFonts w:hint="default" w:ascii="Times New Roman" w:hAnsi="Times New Roman" w:cs="Times New Roman"/>
                <w:color w:val="auto"/>
                <w:sz w:val="24"/>
                <w:szCs w:val="24"/>
                <w:lang w:eastAsia="zh-CN"/>
              </w:rPr>
            </w:pPr>
            <w:r>
              <w:rPr>
                <w:rFonts w:hint="default" w:ascii="Times New Roman" w:hAnsi="Times New Roman" w:cs="Times New Roman"/>
                <w:color w:val="auto"/>
                <w:sz w:val="24"/>
                <w:szCs w:val="24"/>
                <w:lang w:eastAsia="zh-CN"/>
              </w:rPr>
              <w:t>商服</w:t>
            </w:r>
          </w:p>
        </w:tc>
        <w:tc>
          <w:tcPr>
            <w:tcW w:w="1146" w:type="pct"/>
            <w:noWrap w:val="0"/>
            <w:vAlign w:val="center"/>
          </w:tcPr>
          <w:p w14:paraId="47DA8319">
            <w:pPr>
              <w:widowControl/>
              <w:autoSpaceDE/>
              <w:autoSpaceDN/>
              <w:jc w:val="center"/>
              <w:rPr>
                <w:rFonts w:hint="eastAsia" w:ascii="Times New Roman" w:hAnsi="Times New Roman" w:cs="Times New Roman"/>
                <w:color w:val="auto"/>
                <w:sz w:val="24"/>
                <w:szCs w:val="24"/>
                <w:lang w:eastAsia="zh-CN"/>
              </w:rPr>
            </w:pPr>
            <w:r>
              <w:rPr>
                <w:rFonts w:hint="eastAsia" w:ascii="Times New Roman" w:hAnsi="Times New Roman" w:cs="Times New Roman"/>
                <w:color w:val="auto"/>
                <w:sz w:val="24"/>
                <w:szCs w:val="24"/>
                <w:lang w:eastAsia="zh-CN"/>
              </w:rPr>
              <w:t>住宅</w:t>
            </w:r>
          </w:p>
        </w:tc>
        <w:tc>
          <w:tcPr>
            <w:tcW w:w="1423" w:type="pct"/>
            <w:noWrap w:val="0"/>
            <w:vAlign w:val="center"/>
          </w:tcPr>
          <w:p w14:paraId="1DE02EBF">
            <w:pPr>
              <w:widowControl/>
              <w:autoSpaceDE/>
              <w:autoSpaceDN/>
              <w:jc w:val="center"/>
              <w:rPr>
                <w:rFonts w:hint="default" w:ascii="Times New Roman" w:hAnsi="Times New Roman" w:cs="Times New Roman"/>
                <w:color w:val="auto"/>
                <w:sz w:val="24"/>
                <w:szCs w:val="24"/>
                <w:lang w:eastAsia="zh-CN"/>
              </w:rPr>
            </w:pPr>
            <w:r>
              <w:rPr>
                <w:rFonts w:hint="default" w:ascii="Times New Roman" w:hAnsi="Times New Roman" w:cs="Times New Roman"/>
                <w:color w:val="auto"/>
                <w:sz w:val="24"/>
                <w:szCs w:val="24"/>
                <w:lang w:eastAsia="zh-CN"/>
              </w:rPr>
              <w:t>公共管理与公共服务</w:t>
            </w:r>
          </w:p>
        </w:tc>
      </w:tr>
      <w:tr w14:paraId="181DC0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3" w:hRule="atLeast"/>
          <w:jc w:val="center"/>
        </w:trPr>
        <w:tc>
          <w:tcPr>
            <w:tcW w:w="1268" w:type="pct"/>
            <w:noWrap w:val="0"/>
            <w:vAlign w:val="center"/>
          </w:tcPr>
          <w:p w14:paraId="09A09068">
            <w:pPr>
              <w:widowControl/>
              <w:autoSpaceDE/>
              <w:autoSpaceDN/>
              <w:jc w:val="center"/>
              <w:rPr>
                <w:rFonts w:hint="default" w:ascii="Times New Roman" w:hAnsi="Times New Roman" w:cs="Times New Roman"/>
                <w:color w:val="auto"/>
                <w:sz w:val="24"/>
                <w:szCs w:val="24"/>
                <w:lang w:eastAsia="zh-CN"/>
              </w:rPr>
            </w:pPr>
            <w:r>
              <w:rPr>
                <w:rFonts w:hint="default" w:ascii="Times New Roman" w:hAnsi="Times New Roman" w:cs="Times New Roman"/>
                <w:color w:val="auto"/>
                <w:sz w:val="24"/>
                <w:szCs w:val="24"/>
                <w:lang w:eastAsia="zh-CN"/>
              </w:rPr>
              <w:t>1及以下</w:t>
            </w:r>
          </w:p>
        </w:tc>
        <w:tc>
          <w:tcPr>
            <w:tcW w:w="1161" w:type="pct"/>
            <w:noWrap w:val="0"/>
            <w:vAlign w:val="center"/>
          </w:tcPr>
          <w:p w14:paraId="19B96B51">
            <w:pPr>
              <w:widowControl/>
              <w:autoSpaceDE/>
              <w:autoSpaceDN/>
              <w:jc w:val="center"/>
              <w:rPr>
                <w:rFonts w:hint="default" w:ascii="Times New Roman" w:hAnsi="Times New Roman" w:cs="Times New Roman"/>
                <w:color w:val="auto"/>
                <w:sz w:val="24"/>
                <w:szCs w:val="24"/>
                <w:lang w:eastAsia="zh-CN"/>
              </w:rPr>
            </w:pPr>
            <w:r>
              <w:rPr>
                <w:rFonts w:ascii="Times New Roman" w:hAnsi="Times New Roman" w:cs="Times New Roman"/>
                <w:color w:val="auto"/>
                <w:sz w:val="24"/>
                <w:szCs w:val="24"/>
                <w:lang w:eastAsia="zh-CN"/>
              </w:rPr>
              <w:t>0.88</w:t>
            </w:r>
          </w:p>
        </w:tc>
        <w:tc>
          <w:tcPr>
            <w:tcW w:w="1146" w:type="pct"/>
            <w:noWrap w:val="0"/>
            <w:vAlign w:val="center"/>
          </w:tcPr>
          <w:p w14:paraId="16522BBA">
            <w:pPr>
              <w:widowControl/>
              <w:autoSpaceDE/>
              <w:autoSpaceDN/>
              <w:jc w:val="center"/>
              <w:rPr>
                <w:rFonts w:hint="default" w:ascii="Times New Roman" w:hAnsi="Times New Roman" w:cs="Times New Roman"/>
                <w:color w:val="auto"/>
                <w:sz w:val="24"/>
                <w:szCs w:val="24"/>
                <w:lang w:val="en-US" w:eastAsia="zh-CN"/>
              </w:rPr>
            </w:pPr>
            <w:r>
              <w:rPr>
                <w:rFonts w:ascii="Times New Roman" w:hAnsi="Times New Roman" w:cs="Times New Roman"/>
                <w:color w:val="auto"/>
                <w:sz w:val="24"/>
                <w:szCs w:val="24"/>
                <w:lang w:eastAsia="zh-CN"/>
              </w:rPr>
              <w:t>0.</w:t>
            </w:r>
            <w:r>
              <w:rPr>
                <w:rFonts w:hint="eastAsia" w:ascii="Times New Roman" w:hAnsi="Times New Roman" w:cs="Times New Roman"/>
                <w:color w:val="auto"/>
                <w:sz w:val="24"/>
                <w:szCs w:val="24"/>
                <w:lang w:val="en-US" w:eastAsia="zh-CN"/>
              </w:rPr>
              <w:t>9</w:t>
            </w:r>
          </w:p>
        </w:tc>
        <w:tc>
          <w:tcPr>
            <w:tcW w:w="1423" w:type="pct"/>
            <w:noWrap w:val="0"/>
            <w:vAlign w:val="center"/>
          </w:tcPr>
          <w:p w14:paraId="5F99ED05">
            <w:pPr>
              <w:widowControl/>
              <w:autoSpaceDE/>
              <w:autoSpaceDN/>
              <w:jc w:val="center"/>
              <w:rPr>
                <w:rFonts w:hint="default" w:ascii="Times New Roman" w:hAnsi="Times New Roman" w:cs="Times New Roman"/>
                <w:color w:val="auto"/>
                <w:sz w:val="24"/>
                <w:szCs w:val="24"/>
                <w:lang w:val="en-US" w:eastAsia="zh-CN"/>
              </w:rPr>
            </w:pPr>
            <w:r>
              <w:rPr>
                <w:rFonts w:hint="eastAsia" w:ascii="Times New Roman" w:hAnsi="Times New Roman" w:cs="Times New Roman"/>
                <w:color w:val="auto"/>
                <w:sz w:val="24"/>
                <w:szCs w:val="24"/>
                <w:lang w:val="en-US" w:eastAsia="zh-CN"/>
              </w:rPr>
              <w:t>0.59</w:t>
            </w:r>
          </w:p>
        </w:tc>
      </w:tr>
      <w:tr w14:paraId="559E0C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3" w:hRule="atLeast"/>
          <w:jc w:val="center"/>
        </w:trPr>
        <w:tc>
          <w:tcPr>
            <w:tcW w:w="1268" w:type="pct"/>
            <w:noWrap w:val="0"/>
            <w:vAlign w:val="center"/>
          </w:tcPr>
          <w:p w14:paraId="27580446">
            <w:pPr>
              <w:widowControl/>
              <w:autoSpaceDE/>
              <w:autoSpaceDN/>
              <w:jc w:val="center"/>
              <w:rPr>
                <w:rFonts w:hint="default" w:ascii="Times New Roman" w:hAnsi="Times New Roman" w:cs="Times New Roman"/>
                <w:color w:val="auto"/>
                <w:sz w:val="24"/>
                <w:szCs w:val="24"/>
                <w:lang w:eastAsia="zh-CN"/>
              </w:rPr>
            </w:pPr>
            <w:r>
              <w:rPr>
                <w:rFonts w:hint="default" w:ascii="Times New Roman" w:hAnsi="Times New Roman" w:cs="Times New Roman"/>
                <w:color w:val="auto"/>
                <w:sz w:val="24"/>
                <w:szCs w:val="24"/>
                <w:lang w:eastAsia="zh-CN"/>
              </w:rPr>
              <w:t>1.5</w:t>
            </w:r>
          </w:p>
        </w:tc>
        <w:tc>
          <w:tcPr>
            <w:tcW w:w="1161" w:type="pct"/>
            <w:noWrap w:val="0"/>
            <w:vAlign w:val="center"/>
          </w:tcPr>
          <w:p w14:paraId="28330E7F">
            <w:pPr>
              <w:widowControl/>
              <w:autoSpaceDE/>
              <w:autoSpaceDN/>
              <w:jc w:val="center"/>
              <w:rPr>
                <w:rFonts w:hint="default" w:ascii="Times New Roman" w:hAnsi="Times New Roman" w:cs="Times New Roman"/>
                <w:color w:val="auto"/>
                <w:sz w:val="24"/>
                <w:szCs w:val="24"/>
                <w:lang w:eastAsia="zh-CN"/>
              </w:rPr>
            </w:pPr>
            <w:r>
              <w:rPr>
                <w:rFonts w:ascii="Times New Roman" w:hAnsi="Times New Roman" w:cs="Times New Roman"/>
                <w:color w:val="auto"/>
                <w:sz w:val="24"/>
                <w:szCs w:val="24"/>
                <w:lang w:eastAsia="zh-CN"/>
              </w:rPr>
              <w:t>0.95</w:t>
            </w:r>
          </w:p>
        </w:tc>
        <w:tc>
          <w:tcPr>
            <w:tcW w:w="1146" w:type="pct"/>
            <w:noWrap w:val="0"/>
            <w:vAlign w:val="center"/>
          </w:tcPr>
          <w:p w14:paraId="524BCF08">
            <w:pPr>
              <w:widowControl/>
              <w:autoSpaceDE/>
              <w:autoSpaceDN/>
              <w:jc w:val="center"/>
              <w:rPr>
                <w:rFonts w:hint="default" w:ascii="Times New Roman" w:hAnsi="Times New Roman" w:cs="Times New Roman"/>
                <w:color w:val="auto"/>
                <w:sz w:val="24"/>
                <w:szCs w:val="24"/>
                <w:lang w:eastAsia="zh-CN"/>
              </w:rPr>
            </w:pPr>
            <w:r>
              <w:rPr>
                <w:rFonts w:ascii="Times New Roman" w:hAnsi="Times New Roman" w:cs="Times New Roman"/>
                <w:color w:val="auto"/>
                <w:sz w:val="24"/>
                <w:szCs w:val="24"/>
                <w:lang w:eastAsia="zh-CN"/>
              </w:rPr>
              <w:t>0.95</w:t>
            </w:r>
          </w:p>
        </w:tc>
        <w:tc>
          <w:tcPr>
            <w:tcW w:w="1423" w:type="pct"/>
            <w:noWrap w:val="0"/>
            <w:vAlign w:val="center"/>
          </w:tcPr>
          <w:p w14:paraId="497FD5AA">
            <w:pPr>
              <w:widowControl/>
              <w:autoSpaceDE/>
              <w:autoSpaceDN/>
              <w:jc w:val="center"/>
              <w:rPr>
                <w:rFonts w:hint="eastAsia" w:ascii="Times New Roman" w:hAnsi="Times New Roman" w:cs="Times New Roman"/>
                <w:color w:val="auto"/>
                <w:sz w:val="24"/>
                <w:szCs w:val="24"/>
                <w:lang w:eastAsia="zh-CN"/>
              </w:rPr>
            </w:pPr>
            <w:r>
              <w:rPr>
                <w:rFonts w:hint="eastAsia" w:ascii="Times New Roman" w:hAnsi="Times New Roman" w:cs="Times New Roman"/>
                <w:color w:val="auto"/>
                <w:sz w:val="24"/>
                <w:szCs w:val="24"/>
                <w:lang w:val="en-US" w:eastAsia="zh-CN"/>
              </w:rPr>
              <w:t>1</w:t>
            </w:r>
          </w:p>
        </w:tc>
      </w:tr>
      <w:tr w14:paraId="63B2F4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3" w:hRule="atLeast"/>
          <w:jc w:val="center"/>
        </w:trPr>
        <w:tc>
          <w:tcPr>
            <w:tcW w:w="1268" w:type="pct"/>
            <w:noWrap w:val="0"/>
            <w:vAlign w:val="center"/>
          </w:tcPr>
          <w:p w14:paraId="62F72634">
            <w:pPr>
              <w:widowControl/>
              <w:autoSpaceDE/>
              <w:autoSpaceDN/>
              <w:jc w:val="center"/>
              <w:rPr>
                <w:rFonts w:hint="default" w:ascii="Times New Roman" w:hAnsi="Times New Roman" w:cs="Times New Roman"/>
                <w:color w:val="auto"/>
                <w:sz w:val="24"/>
                <w:szCs w:val="24"/>
                <w:lang w:eastAsia="zh-CN"/>
              </w:rPr>
            </w:pPr>
            <w:r>
              <w:rPr>
                <w:rFonts w:hint="default" w:ascii="Times New Roman" w:hAnsi="Times New Roman" w:cs="Times New Roman"/>
                <w:color w:val="auto"/>
                <w:sz w:val="24"/>
                <w:szCs w:val="24"/>
                <w:lang w:eastAsia="zh-CN"/>
              </w:rPr>
              <w:t>2</w:t>
            </w:r>
          </w:p>
        </w:tc>
        <w:tc>
          <w:tcPr>
            <w:tcW w:w="1161" w:type="pct"/>
            <w:noWrap w:val="0"/>
            <w:vAlign w:val="center"/>
          </w:tcPr>
          <w:p w14:paraId="6209A7D5">
            <w:pPr>
              <w:widowControl/>
              <w:autoSpaceDE/>
              <w:autoSpaceDN/>
              <w:jc w:val="center"/>
              <w:rPr>
                <w:rFonts w:hint="default" w:ascii="Times New Roman" w:hAnsi="Times New Roman" w:cs="Times New Roman"/>
                <w:color w:val="auto"/>
                <w:sz w:val="24"/>
                <w:szCs w:val="24"/>
                <w:lang w:eastAsia="zh-CN"/>
              </w:rPr>
            </w:pPr>
            <w:r>
              <w:rPr>
                <w:rFonts w:ascii="Times New Roman" w:hAnsi="Times New Roman" w:cs="Times New Roman"/>
                <w:color w:val="auto"/>
                <w:sz w:val="24"/>
                <w:szCs w:val="24"/>
                <w:lang w:eastAsia="zh-CN"/>
              </w:rPr>
              <w:t>1</w:t>
            </w:r>
          </w:p>
        </w:tc>
        <w:tc>
          <w:tcPr>
            <w:tcW w:w="1146" w:type="pct"/>
            <w:noWrap w:val="0"/>
            <w:vAlign w:val="center"/>
          </w:tcPr>
          <w:p w14:paraId="49C424B5">
            <w:pPr>
              <w:widowControl/>
              <w:autoSpaceDE/>
              <w:autoSpaceDN/>
              <w:jc w:val="center"/>
              <w:rPr>
                <w:rFonts w:hint="default" w:ascii="Times New Roman" w:hAnsi="Times New Roman" w:cs="Times New Roman"/>
                <w:color w:val="auto"/>
                <w:sz w:val="24"/>
                <w:szCs w:val="24"/>
                <w:lang w:eastAsia="zh-CN"/>
              </w:rPr>
            </w:pPr>
            <w:r>
              <w:rPr>
                <w:rFonts w:ascii="Times New Roman" w:hAnsi="Times New Roman" w:cs="Times New Roman"/>
                <w:color w:val="auto"/>
                <w:sz w:val="24"/>
                <w:szCs w:val="24"/>
                <w:lang w:eastAsia="zh-CN"/>
              </w:rPr>
              <w:t>1</w:t>
            </w:r>
          </w:p>
        </w:tc>
        <w:tc>
          <w:tcPr>
            <w:tcW w:w="1423" w:type="pct"/>
            <w:noWrap w:val="0"/>
            <w:vAlign w:val="center"/>
          </w:tcPr>
          <w:p w14:paraId="0FACF4A1">
            <w:pPr>
              <w:widowControl/>
              <w:autoSpaceDE/>
              <w:autoSpaceDN/>
              <w:jc w:val="center"/>
              <w:rPr>
                <w:rFonts w:hint="eastAsia" w:ascii="Times New Roman" w:hAnsi="Times New Roman" w:cs="Times New Roman"/>
                <w:color w:val="auto"/>
                <w:sz w:val="24"/>
                <w:szCs w:val="24"/>
                <w:lang w:eastAsia="zh-CN"/>
              </w:rPr>
            </w:pPr>
            <w:r>
              <w:rPr>
                <w:rFonts w:hint="default" w:ascii="Times New Roman" w:hAnsi="Times New Roman" w:cs="Times New Roman"/>
                <w:color w:val="auto"/>
                <w:sz w:val="24"/>
                <w:szCs w:val="24"/>
                <w:lang w:eastAsia="zh-CN"/>
              </w:rPr>
              <w:t>1.0</w:t>
            </w:r>
            <w:r>
              <w:rPr>
                <w:rFonts w:hint="eastAsia" w:ascii="Times New Roman" w:hAnsi="Times New Roman" w:cs="Times New Roman"/>
                <w:color w:val="auto"/>
                <w:sz w:val="24"/>
                <w:szCs w:val="24"/>
                <w:lang w:val="en-US" w:eastAsia="zh-CN"/>
              </w:rPr>
              <w:t>8</w:t>
            </w:r>
          </w:p>
        </w:tc>
      </w:tr>
      <w:tr w14:paraId="2A599E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3" w:hRule="atLeast"/>
          <w:jc w:val="center"/>
        </w:trPr>
        <w:tc>
          <w:tcPr>
            <w:tcW w:w="1268" w:type="pct"/>
            <w:noWrap w:val="0"/>
            <w:vAlign w:val="center"/>
          </w:tcPr>
          <w:p w14:paraId="5CECB059">
            <w:pPr>
              <w:widowControl/>
              <w:autoSpaceDE/>
              <w:autoSpaceDN/>
              <w:jc w:val="center"/>
              <w:rPr>
                <w:rFonts w:hint="default" w:ascii="Times New Roman" w:hAnsi="Times New Roman" w:cs="Times New Roman"/>
                <w:color w:val="auto"/>
                <w:sz w:val="24"/>
                <w:szCs w:val="24"/>
                <w:lang w:eastAsia="zh-CN"/>
              </w:rPr>
            </w:pPr>
            <w:r>
              <w:rPr>
                <w:rFonts w:hint="default" w:ascii="Times New Roman" w:hAnsi="Times New Roman" w:cs="Times New Roman"/>
                <w:color w:val="auto"/>
                <w:sz w:val="24"/>
                <w:szCs w:val="24"/>
                <w:lang w:eastAsia="zh-CN"/>
              </w:rPr>
              <w:t>2.5</w:t>
            </w:r>
          </w:p>
        </w:tc>
        <w:tc>
          <w:tcPr>
            <w:tcW w:w="1161" w:type="pct"/>
            <w:noWrap w:val="0"/>
            <w:vAlign w:val="center"/>
          </w:tcPr>
          <w:p w14:paraId="2B7ACD2B">
            <w:pPr>
              <w:widowControl/>
              <w:autoSpaceDE/>
              <w:autoSpaceDN/>
              <w:jc w:val="center"/>
              <w:rPr>
                <w:rFonts w:hint="default" w:ascii="Times New Roman" w:hAnsi="Times New Roman" w:cs="Times New Roman"/>
                <w:color w:val="auto"/>
                <w:sz w:val="24"/>
                <w:szCs w:val="24"/>
                <w:lang w:eastAsia="zh-CN"/>
              </w:rPr>
            </w:pPr>
            <w:r>
              <w:rPr>
                <w:rFonts w:ascii="Times New Roman" w:hAnsi="Times New Roman" w:cs="Times New Roman"/>
                <w:color w:val="auto"/>
                <w:sz w:val="24"/>
                <w:szCs w:val="24"/>
                <w:lang w:eastAsia="zh-CN"/>
              </w:rPr>
              <w:t>1.05</w:t>
            </w:r>
          </w:p>
        </w:tc>
        <w:tc>
          <w:tcPr>
            <w:tcW w:w="1146" w:type="pct"/>
            <w:noWrap w:val="0"/>
            <w:vAlign w:val="center"/>
          </w:tcPr>
          <w:p w14:paraId="36A379FF">
            <w:pPr>
              <w:widowControl/>
              <w:autoSpaceDE/>
              <w:autoSpaceDN/>
              <w:jc w:val="center"/>
              <w:rPr>
                <w:rFonts w:hint="default" w:ascii="Times New Roman" w:hAnsi="Times New Roman" w:cs="Times New Roman"/>
                <w:color w:val="auto"/>
                <w:sz w:val="24"/>
                <w:szCs w:val="24"/>
                <w:lang w:eastAsia="zh-CN"/>
              </w:rPr>
            </w:pPr>
            <w:r>
              <w:rPr>
                <w:rFonts w:ascii="Times New Roman" w:hAnsi="Times New Roman" w:cs="Times New Roman"/>
                <w:color w:val="auto"/>
                <w:sz w:val="24"/>
                <w:szCs w:val="24"/>
                <w:lang w:eastAsia="zh-CN"/>
              </w:rPr>
              <w:t>1.05</w:t>
            </w:r>
          </w:p>
        </w:tc>
        <w:tc>
          <w:tcPr>
            <w:tcW w:w="1423" w:type="pct"/>
            <w:noWrap w:val="0"/>
            <w:vAlign w:val="center"/>
          </w:tcPr>
          <w:p w14:paraId="5311F86D">
            <w:pPr>
              <w:widowControl/>
              <w:autoSpaceDE/>
              <w:autoSpaceDN/>
              <w:jc w:val="center"/>
              <w:rPr>
                <w:rFonts w:hint="default" w:ascii="Times New Roman" w:hAnsi="Times New Roman" w:cs="Times New Roman"/>
                <w:color w:val="auto"/>
                <w:sz w:val="24"/>
                <w:szCs w:val="24"/>
                <w:lang w:eastAsia="zh-CN"/>
              </w:rPr>
            </w:pPr>
          </w:p>
        </w:tc>
      </w:tr>
      <w:tr w14:paraId="71EBC8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3" w:hRule="atLeast"/>
          <w:jc w:val="center"/>
        </w:trPr>
        <w:tc>
          <w:tcPr>
            <w:tcW w:w="1268" w:type="pct"/>
            <w:noWrap w:val="0"/>
            <w:vAlign w:val="center"/>
          </w:tcPr>
          <w:p w14:paraId="60A9E0D7">
            <w:pPr>
              <w:widowControl/>
              <w:autoSpaceDE/>
              <w:autoSpaceDN/>
              <w:jc w:val="center"/>
              <w:rPr>
                <w:rFonts w:hint="default" w:ascii="Times New Roman" w:hAnsi="Times New Roman" w:cs="Times New Roman"/>
                <w:color w:val="auto"/>
                <w:sz w:val="24"/>
                <w:szCs w:val="24"/>
                <w:lang w:eastAsia="zh-CN"/>
              </w:rPr>
            </w:pPr>
            <w:r>
              <w:rPr>
                <w:rFonts w:hint="default" w:ascii="Times New Roman" w:hAnsi="Times New Roman" w:cs="Times New Roman"/>
                <w:color w:val="auto"/>
                <w:sz w:val="24"/>
                <w:szCs w:val="24"/>
                <w:lang w:eastAsia="zh-CN"/>
              </w:rPr>
              <w:t>3及以上</w:t>
            </w:r>
          </w:p>
        </w:tc>
        <w:tc>
          <w:tcPr>
            <w:tcW w:w="1161" w:type="pct"/>
            <w:noWrap w:val="0"/>
            <w:vAlign w:val="center"/>
          </w:tcPr>
          <w:p w14:paraId="204DE368">
            <w:pPr>
              <w:widowControl/>
              <w:autoSpaceDE/>
              <w:autoSpaceDN/>
              <w:jc w:val="center"/>
              <w:rPr>
                <w:rFonts w:hint="default" w:ascii="Times New Roman" w:hAnsi="Times New Roman" w:cs="Times New Roman"/>
                <w:color w:val="auto"/>
                <w:sz w:val="24"/>
                <w:szCs w:val="24"/>
                <w:lang w:eastAsia="zh-CN"/>
              </w:rPr>
            </w:pPr>
            <w:r>
              <w:rPr>
                <w:rFonts w:hint="default" w:ascii="Times New Roman" w:hAnsi="Times New Roman" w:cs="Times New Roman"/>
                <w:color w:val="auto"/>
                <w:sz w:val="24"/>
                <w:szCs w:val="24"/>
                <w:lang w:eastAsia="zh-CN"/>
              </w:rPr>
              <w:t>1.16</w:t>
            </w:r>
          </w:p>
        </w:tc>
        <w:tc>
          <w:tcPr>
            <w:tcW w:w="1146" w:type="pct"/>
            <w:noWrap w:val="0"/>
            <w:vAlign w:val="center"/>
          </w:tcPr>
          <w:p w14:paraId="1758AC9B">
            <w:pPr>
              <w:widowControl/>
              <w:autoSpaceDE/>
              <w:autoSpaceDN/>
              <w:jc w:val="center"/>
              <w:rPr>
                <w:rFonts w:hint="default" w:ascii="Times New Roman" w:hAnsi="Times New Roman" w:cs="Times New Roman"/>
                <w:color w:val="auto"/>
                <w:sz w:val="24"/>
                <w:szCs w:val="24"/>
                <w:lang w:val="en-US" w:eastAsia="zh-CN"/>
              </w:rPr>
            </w:pPr>
            <w:r>
              <w:rPr>
                <w:rFonts w:hint="default" w:ascii="Times New Roman" w:hAnsi="Times New Roman" w:cs="Times New Roman"/>
                <w:color w:val="auto"/>
                <w:sz w:val="24"/>
                <w:szCs w:val="24"/>
                <w:lang w:eastAsia="zh-CN"/>
              </w:rPr>
              <w:t>1.1</w:t>
            </w:r>
            <w:r>
              <w:rPr>
                <w:rFonts w:hint="eastAsia" w:ascii="Times New Roman" w:hAnsi="Times New Roman" w:cs="Times New Roman"/>
                <w:color w:val="auto"/>
                <w:sz w:val="24"/>
                <w:szCs w:val="24"/>
                <w:lang w:val="en-US" w:eastAsia="zh-CN"/>
              </w:rPr>
              <w:t>8</w:t>
            </w:r>
          </w:p>
        </w:tc>
        <w:tc>
          <w:tcPr>
            <w:tcW w:w="1423" w:type="pct"/>
            <w:noWrap w:val="0"/>
            <w:vAlign w:val="center"/>
          </w:tcPr>
          <w:p w14:paraId="3B405878">
            <w:pPr>
              <w:widowControl/>
              <w:autoSpaceDE/>
              <w:autoSpaceDN/>
              <w:jc w:val="center"/>
              <w:rPr>
                <w:rFonts w:hint="default" w:ascii="Times New Roman" w:hAnsi="Times New Roman" w:cs="Times New Roman"/>
                <w:color w:val="auto"/>
                <w:sz w:val="24"/>
                <w:szCs w:val="24"/>
                <w:lang w:eastAsia="zh-CN"/>
              </w:rPr>
            </w:pPr>
          </w:p>
        </w:tc>
      </w:tr>
    </w:tbl>
    <w:p w14:paraId="253E58C0">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right="0" w:rightChars="0"/>
        <w:jc w:val="center"/>
        <w:textAlignment w:val="auto"/>
        <w:outlineLvl w:val="9"/>
        <w:rPr>
          <w:rFonts w:hint="default" w:ascii="Times New Roman" w:hAnsi="Times New Roman" w:eastAsia="仿宋_GB2312" w:cs="Times New Roman"/>
          <w:color w:val="auto"/>
          <w:sz w:val="28"/>
          <w:szCs w:val="28"/>
          <w:lang w:val="en-US" w:eastAsia="zh-CN" w:bidi="zh-CN"/>
        </w:rPr>
      </w:pPr>
      <w:r>
        <w:rPr>
          <w:rFonts w:hint="default" w:ascii="Times New Roman" w:hAnsi="Times New Roman" w:eastAsia="仿宋_GB2312" w:cs="Times New Roman"/>
          <w:color w:val="auto"/>
          <w:sz w:val="28"/>
          <w:szCs w:val="28"/>
          <w:lang w:val="en-US" w:eastAsia="zh-CN" w:bidi="zh-CN"/>
        </w:rPr>
        <w:t>附表</w:t>
      </w:r>
      <w:r>
        <w:rPr>
          <w:rFonts w:hint="eastAsia" w:ascii="Times New Roman" w:hAnsi="Times New Roman" w:eastAsia="仿宋_GB2312" w:cs="Times New Roman"/>
          <w:color w:val="auto"/>
          <w:sz w:val="28"/>
          <w:szCs w:val="28"/>
          <w:lang w:val="en-US" w:eastAsia="zh-CN" w:bidi="zh-CN"/>
        </w:rPr>
        <w:t>6.</w:t>
      </w:r>
      <w:r>
        <w:rPr>
          <w:rFonts w:hint="default" w:ascii="Times New Roman" w:hAnsi="Times New Roman" w:eastAsia="仿宋_GB2312" w:cs="Times New Roman"/>
          <w:color w:val="auto"/>
          <w:sz w:val="28"/>
          <w:szCs w:val="28"/>
          <w:lang w:val="en-US" w:eastAsia="zh-CN" w:bidi="zh-CN"/>
        </w:rPr>
        <w:t>3基准地价宗地评估开发程度修正</w:t>
      </w:r>
    </w:p>
    <w:tbl>
      <w:tblPr>
        <w:tblStyle w:val="107"/>
        <w:tblW w:w="5022" w:type="pct"/>
        <w:tblInd w:w="0" w:type="dxa"/>
        <w:tblBorders>
          <w:top w:val="single" w:color="auto" w:sz="8" w:space="0"/>
          <w:left w:val="single" w:color="auto" w:sz="8" w:space="0"/>
          <w:bottom w:val="single" w:color="auto" w:sz="8" w:space="0"/>
          <w:right w:val="single" w:color="auto" w:sz="8" w:space="0"/>
          <w:insideH w:val="single" w:color="auto" w:sz="6" w:space="0"/>
          <w:insideV w:val="single" w:color="auto" w:sz="6" w:space="0"/>
        </w:tblBorders>
        <w:tblLayout w:type="autofit"/>
        <w:tblCellMar>
          <w:top w:w="0" w:type="dxa"/>
          <w:left w:w="0" w:type="dxa"/>
          <w:bottom w:w="0" w:type="dxa"/>
          <w:right w:w="0" w:type="dxa"/>
        </w:tblCellMar>
      </w:tblPr>
      <w:tblGrid>
        <w:gridCol w:w="1465"/>
        <w:gridCol w:w="797"/>
        <w:gridCol w:w="1054"/>
        <w:gridCol w:w="797"/>
        <w:gridCol w:w="797"/>
        <w:gridCol w:w="797"/>
        <w:gridCol w:w="801"/>
        <w:gridCol w:w="801"/>
        <w:gridCol w:w="801"/>
        <w:gridCol w:w="793"/>
      </w:tblGrid>
      <w:tr w14:paraId="7B8C5535">
        <w:tblPrEx>
          <w:tblBorders>
            <w:top w:val="single" w:color="auto" w:sz="8" w:space="0"/>
            <w:left w:val="single" w:color="auto" w:sz="8" w:space="0"/>
            <w:bottom w:val="single" w:color="auto" w:sz="8" w:space="0"/>
            <w:right w:val="single" w:color="auto" w:sz="8" w:space="0"/>
            <w:insideH w:val="single" w:color="auto" w:sz="6" w:space="0"/>
            <w:insideV w:val="single" w:color="auto" w:sz="6" w:space="0"/>
          </w:tblBorders>
          <w:tblCellMar>
            <w:top w:w="0" w:type="dxa"/>
            <w:left w:w="0" w:type="dxa"/>
            <w:bottom w:w="0" w:type="dxa"/>
            <w:right w:w="0" w:type="dxa"/>
          </w:tblCellMar>
        </w:tblPrEx>
        <w:trPr>
          <w:trHeight w:val="435" w:hRule="atLeast"/>
        </w:trPr>
        <w:tc>
          <w:tcPr>
            <w:tcW w:w="822" w:type="pct"/>
            <w:noWrap/>
            <w:vAlign w:val="center"/>
          </w:tcPr>
          <w:p w14:paraId="538F54F4">
            <w:pPr>
              <w:widowControl/>
              <w:autoSpaceDE/>
              <w:autoSpaceDN/>
              <w:jc w:val="center"/>
              <w:rPr>
                <w:rFonts w:hint="default" w:ascii="Times New Roman" w:hAnsi="Times New Roman" w:cs="Times New Roman"/>
                <w:color w:val="auto"/>
                <w:sz w:val="24"/>
                <w:szCs w:val="24"/>
                <w:lang w:eastAsia="zh-CN"/>
              </w:rPr>
            </w:pPr>
            <w:r>
              <w:rPr>
                <w:rFonts w:hint="default" w:ascii="Times New Roman" w:hAnsi="Times New Roman" w:cs="Times New Roman"/>
                <w:color w:val="auto"/>
                <w:sz w:val="24"/>
                <w:szCs w:val="24"/>
                <w:lang w:eastAsia="zh-CN"/>
              </w:rPr>
              <w:t>土地开发程度</w:t>
            </w:r>
          </w:p>
        </w:tc>
        <w:tc>
          <w:tcPr>
            <w:tcW w:w="447" w:type="pct"/>
            <w:noWrap w:val="0"/>
            <w:vAlign w:val="center"/>
          </w:tcPr>
          <w:p w14:paraId="16BEA72B">
            <w:pPr>
              <w:widowControl/>
              <w:autoSpaceDE/>
              <w:autoSpaceDN/>
              <w:jc w:val="center"/>
              <w:rPr>
                <w:rFonts w:hint="default" w:ascii="Times New Roman" w:hAnsi="Times New Roman" w:cs="Times New Roman"/>
                <w:color w:val="auto"/>
                <w:sz w:val="24"/>
                <w:szCs w:val="24"/>
                <w:lang w:eastAsia="zh-CN"/>
              </w:rPr>
            </w:pPr>
            <w:r>
              <w:rPr>
                <w:rFonts w:hint="default" w:ascii="Times New Roman" w:hAnsi="Times New Roman" w:cs="Times New Roman"/>
                <w:color w:val="auto"/>
                <w:sz w:val="24"/>
                <w:szCs w:val="24"/>
                <w:lang w:eastAsia="zh-CN"/>
              </w:rPr>
              <w:t>通路</w:t>
            </w:r>
          </w:p>
        </w:tc>
        <w:tc>
          <w:tcPr>
            <w:tcW w:w="591" w:type="pct"/>
            <w:noWrap w:val="0"/>
            <w:vAlign w:val="center"/>
          </w:tcPr>
          <w:p w14:paraId="0DA3C607">
            <w:pPr>
              <w:widowControl/>
              <w:autoSpaceDE/>
              <w:autoSpaceDN/>
              <w:jc w:val="center"/>
              <w:rPr>
                <w:rFonts w:hint="default" w:ascii="Times New Roman" w:hAnsi="Times New Roman" w:cs="Times New Roman"/>
                <w:color w:val="auto"/>
                <w:sz w:val="24"/>
                <w:szCs w:val="24"/>
                <w:lang w:eastAsia="zh-CN"/>
              </w:rPr>
            </w:pPr>
            <w:r>
              <w:rPr>
                <w:rFonts w:hint="default" w:ascii="Times New Roman" w:hAnsi="Times New Roman" w:cs="Times New Roman"/>
                <w:color w:val="auto"/>
                <w:sz w:val="24"/>
                <w:szCs w:val="24"/>
                <w:lang w:eastAsia="zh-CN"/>
              </w:rPr>
              <w:t>通电</w:t>
            </w:r>
          </w:p>
        </w:tc>
        <w:tc>
          <w:tcPr>
            <w:tcW w:w="447" w:type="pct"/>
            <w:noWrap w:val="0"/>
            <w:vAlign w:val="center"/>
          </w:tcPr>
          <w:p w14:paraId="69F08F0A">
            <w:pPr>
              <w:widowControl/>
              <w:autoSpaceDE/>
              <w:autoSpaceDN/>
              <w:jc w:val="center"/>
              <w:rPr>
                <w:rFonts w:hint="default" w:ascii="Times New Roman" w:hAnsi="Times New Roman" w:cs="Times New Roman"/>
                <w:color w:val="auto"/>
                <w:sz w:val="24"/>
                <w:szCs w:val="24"/>
                <w:lang w:eastAsia="zh-CN"/>
              </w:rPr>
            </w:pPr>
            <w:r>
              <w:rPr>
                <w:rFonts w:hint="default" w:ascii="Times New Roman" w:hAnsi="Times New Roman" w:cs="Times New Roman"/>
                <w:color w:val="auto"/>
                <w:sz w:val="24"/>
                <w:szCs w:val="24"/>
                <w:lang w:eastAsia="zh-CN"/>
              </w:rPr>
              <w:t>通上水</w:t>
            </w:r>
          </w:p>
        </w:tc>
        <w:tc>
          <w:tcPr>
            <w:tcW w:w="447" w:type="pct"/>
            <w:noWrap w:val="0"/>
            <w:vAlign w:val="center"/>
          </w:tcPr>
          <w:p w14:paraId="69DCDD4E">
            <w:pPr>
              <w:widowControl/>
              <w:autoSpaceDE/>
              <w:autoSpaceDN/>
              <w:jc w:val="center"/>
              <w:rPr>
                <w:rFonts w:hint="default" w:ascii="Times New Roman" w:hAnsi="Times New Roman" w:cs="Times New Roman"/>
                <w:color w:val="auto"/>
                <w:sz w:val="24"/>
                <w:szCs w:val="24"/>
                <w:lang w:eastAsia="zh-CN"/>
              </w:rPr>
            </w:pPr>
            <w:r>
              <w:rPr>
                <w:rFonts w:hint="default" w:ascii="Times New Roman" w:hAnsi="Times New Roman" w:cs="Times New Roman"/>
                <w:color w:val="auto"/>
                <w:sz w:val="24"/>
                <w:szCs w:val="24"/>
                <w:lang w:eastAsia="zh-CN"/>
              </w:rPr>
              <w:t>通下水</w:t>
            </w:r>
          </w:p>
        </w:tc>
        <w:tc>
          <w:tcPr>
            <w:tcW w:w="447" w:type="pct"/>
            <w:noWrap w:val="0"/>
            <w:vAlign w:val="center"/>
          </w:tcPr>
          <w:p w14:paraId="03B9E145">
            <w:pPr>
              <w:widowControl/>
              <w:autoSpaceDE/>
              <w:autoSpaceDN/>
              <w:jc w:val="center"/>
              <w:rPr>
                <w:rFonts w:hint="default" w:ascii="Times New Roman" w:hAnsi="Times New Roman" w:cs="Times New Roman"/>
                <w:color w:val="auto"/>
                <w:sz w:val="24"/>
                <w:szCs w:val="24"/>
                <w:lang w:eastAsia="zh-CN"/>
              </w:rPr>
            </w:pPr>
            <w:r>
              <w:rPr>
                <w:rFonts w:hint="default" w:ascii="Times New Roman" w:hAnsi="Times New Roman" w:cs="Times New Roman"/>
                <w:color w:val="auto"/>
                <w:sz w:val="24"/>
                <w:szCs w:val="24"/>
                <w:lang w:eastAsia="zh-CN"/>
              </w:rPr>
              <w:t>通讯</w:t>
            </w:r>
          </w:p>
        </w:tc>
        <w:tc>
          <w:tcPr>
            <w:tcW w:w="449" w:type="pct"/>
            <w:noWrap w:val="0"/>
            <w:vAlign w:val="center"/>
          </w:tcPr>
          <w:p w14:paraId="6CD8AB42">
            <w:pPr>
              <w:widowControl/>
              <w:autoSpaceDE/>
              <w:autoSpaceDN/>
              <w:jc w:val="center"/>
              <w:rPr>
                <w:rFonts w:hint="default" w:ascii="Times New Roman" w:hAnsi="Times New Roman" w:cs="Times New Roman"/>
                <w:color w:val="auto"/>
                <w:sz w:val="24"/>
                <w:szCs w:val="24"/>
                <w:lang w:eastAsia="zh-CN"/>
              </w:rPr>
            </w:pPr>
            <w:r>
              <w:rPr>
                <w:rFonts w:hint="default" w:ascii="Times New Roman" w:hAnsi="Times New Roman" w:cs="Times New Roman"/>
                <w:color w:val="auto"/>
                <w:sz w:val="24"/>
                <w:szCs w:val="24"/>
                <w:lang w:eastAsia="zh-CN"/>
              </w:rPr>
              <w:t>通热</w:t>
            </w:r>
          </w:p>
        </w:tc>
        <w:tc>
          <w:tcPr>
            <w:tcW w:w="449" w:type="pct"/>
            <w:noWrap w:val="0"/>
            <w:vAlign w:val="center"/>
          </w:tcPr>
          <w:p w14:paraId="728BEFFC">
            <w:pPr>
              <w:widowControl/>
              <w:autoSpaceDE/>
              <w:autoSpaceDN/>
              <w:jc w:val="center"/>
              <w:rPr>
                <w:rFonts w:hint="default" w:ascii="Times New Roman" w:hAnsi="Times New Roman" w:cs="Times New Roman"/>
                <w:color w:val="auto"/>
                <w:sz w:val="24"/>
                <w:szCs w:val="24"/>
                <w:lang w:eastAsia="zh-CN"/>
              </w:rPr>
            </w:pPr>
            <w:r>
              <w:rPr>
                <w:rFonts w:hint="default" w:ascii="Times New Roman" w:hAnsi="Times New Roman" w:cs="Times New Roman"/>
                <w:color w:val="auto"/>
                <w:sz w:val="24"/>
                <w:szCs w:val="24"/>
                <w:lang w:eastAsia="zh-CN"/>
              </w:rPr>
              <w:t>通气</w:t>
            </w:r>
          </w:p>
        </w:tc>
        <w:tc>
          <w:tcPr>
            <w:tcW w:w="449" w:type="pct"/>
            <w:noWrap w:val="0"/>
            <w:vAlign w:val="center"/>
          </w:tcPr>
          <w:p w14:paraId="61895E57">
            <w:pPr>
              <w:widowControl/>
              <w:autoSpaceDE/>
              <w:autoSpaceDN/>
              <w:jc w:val="center"/>
              <w:rPr>
                <w:rFonts w:hint="default" w:ascii="Times New Roman" w:hAnsi="Times New Roman" w:cs="Times New Roman"/>
                <w:color w:val="auto"/>
                <w:sz w:val="24"/>
                <w:szCs w:val="24"/>
                <w:lang w:eastAsia="zh-CN"/>
              </w:rPr>
            </w:pPr>
            <w:r>
              <w:rPr>
                <w:rFonts w:hint="default" w:ascii="Times New Roman" w:hAnsi="Times New Roman" w:cs="Times New Roman"/>
                <w:color w:val="auto"/>
                <w:sz w:val="24"/>
                <w:szCs w:val="24"/>
                <w:lang w:eastAsia="zh-CN"/>
              </w:rPr>
              <w:t>土地平整</w:t>
            </w:r>
          </w:p>
        </w:tc>
        <w:tc>
          <w:tcPr>
            <w:tcW w:w="445" w:type="pct"/>
            <w:noWrap w:val="0"/>
            <w:vAlign w:val="center"/>
          </w:tcPr>
          <w:p w14:paraId="30FE2C2C">
            <w:pPr>
              <w:widowControl/>
              <w:autoSpaceDE/>
              <w:autoSpaceDN/>
              <w:jc w:val="center"/>
              <w:rPr>
                <w:rFonts w:hint="default" w:ascii="Times New Roman" w:hAnsi="Times New Roman" w:cs="Times New Roman"/>
                <w:color w:val="auto"/>
                <w:sz w:val="24"/>
                <w:szCs w:val="24"/>
                <w:lang w:eastAsia="zh-CN"/>
              </w:rPr>
            </w:pPr>
            <w:r>
              <w:rPr>
                <w:rFonts w:hint="default" w:ascii="Times New Roman" w:hAnsi="Times New Roman" w:cs="Times New Roman"/>
                <w:color w:val="auto"/>
                <w:sz w:val="24"/>
                <w:szCs w:val="24"/>
                <w:lang w:eastAsia="zh-CN"/>
              </w:rPr>
              <w:t>修正幅度</w:t>
            </w:r>
          </w:p>
        </w:tc>
      </w:tr>
      <w:tr w14:paraId="76BBD01F">
        <w:tblPrEx>
          <w:tblBorders>
            <w:top w:val="single" w:color="auto" w:sz="8" w:space="0"/>
            <w:left w:val="single" w:color="auto" w:sz="8" w:space="0"/>
            <w:bottom w:val="single" w:color="auto" w:sz="8" w:space="0"/>
            <w:right w:val="single" w:color="auto" w:sz="8" w:space="0"/>
            <w:insideH w:val="single" w:color="auto" w:sz="6" w:space="0"/>
            <w:insideV w:val="single" w:color="auto" w:sz="6" w:space="0"/>
          </w:tblBorders>
          <w:tblCellMar>
            <w:top w:w="0" w:type="dxa"/>
            <w:left w:w="0" w:type="dxa"/>
            <w:bottom w:w="0" w:type="dxa"/>
            <w:right w:w="0" w:type="dxa"/>
          </w:tblCellMar>
        </w:tblPrEx>
        <w:trPr>
          <w:trHeight w:val="420" w:hRule="atLeast"/>
        </w:trPr>
        <w:tc>
          <w:tcPr>
            <w:tcW w:w="822" w:type="pct"/>
            <w:noWrap w:val="0"/>
            <w:vAlign w:val="center"/>
          </w:tcPr>
          <w:p w14:paraId="6E22C39E">
            <w:pPr>
              <w:widowControl/>
              <w:autoSpaceDE/>
              <w:autoSpaceDN/>
              <w:jc w:val="center"/>
              <w:rPr>
                <w:rFonts w:hint="default" w:ascii="Times New Roman" w:hAnsi="Times New Roman" w:cs="Times New Roman"/>
                <w:color w:val="auto"/>
                <w:sz w:val="24"/>
                <w:szCs w:val="24"/>
                <w:lang w:eastAsia="zh-CN"/>
              </w:rPr>
            </w:pPr>
            <w:r>
              <w:rPr>
                <w:rFonts w:hint="default" w:ascii="Times New Roman" w:hAnsi="Times New Roman" w:cs="Times New Roman"/>
                <w:color w:val="auto"/>
                <w:sz w:val="24"/>
                <w:szCs w:val="24"/>
                <w:lang w:eastAsia="zh-CN"/>
              </w:rPr>
              <w:t>五通一平</w:t>
            </w:r>
          </w:p>
        </w:tc>
        <w:tc>
          <w:tcPr>
            <w:tcW w:w="447" w:type="pct"/>
            <w:noWrap w:val="0"/>
            <w:vAlign w:val="center"/>
          </w:tcPr>
          <w:p w14:paraId="3794EA6D">
            <w:pPr>
              <w:widowControl/>
              <w:autoSpaceDE/>
              <w:autoSpaceDN/>
              <w:jc w:val="center"/>
              <w:rPr>
                <w:rFonts w:hint="default" w:ascii="Times New Roman" w:hAnsi="Times New Roman" w:cs="Times New Roman"/>
                <w:color w:val="auto"/>
                <w:sz w:val="24"/>
                <w:szCs w:val="24"/>
                <w:lang w:eastAsia="zh-CN"/>
              </w:rPr>
            </w:pPr>
            <w:r>
              <w:rPr>
                <w:rFonts w:hint="default" w:ascii="Times New Roman" w:hAnsi="Times New Roman" w:cs="Times New Roman"/>
                <w:color w:val="auto"/>
                <w:sz w:val="24"/>
                <w:szCs w:val="24"/>
                <w:lang w:eastAsia="zh-CN"/>
              </w:rPr>
              <w:t>35</w:t>
            </w:r>
          </w:p>
        </w:tc>
        <w:tc>
          <w:tcPr>
            <w:tcW w:w="591" w:type="pct"/>
            <w:noWrap w:val="0"/>
            <w:vAlign w:val="center"/>
          </w:tcPr>
          <w:p w14:paraId="261700D3">
            <w:pPr>
              <w:widowControl/>
              <w:autoSpaceDE/>
              <w:autoSpaceDN/>
              <w:jc w:val="center"/>
              <w:rPr>
                <w:rFonts w:hint="default" w:ascii="Times New Roman" w:hAnsi="Times New Roman" w:cs="Times New Roman"/>
                <w:color w:val="auto"/>
                <w:sz w:val="24"/>
                <w:szCs w:val="24"/>
                <w:lang w:eastAsia="zh-CN"/>
              </w:rPr>
            </w:pPr>
            <w:r>
              <w:rPr>
                <w:rFonts w:hint="default" w:ascii="Times New Roman" w:hAnsi="Times New Roman" w:cs="Times New Roman"/>
                <w:color w:val="auto"/>
                <w:sz w:val="24"/>
                <w:szCs w:val="24"/>
                <w:lang w:eastAsia="zh-CN"/>
              </w:rPr>
              <w:t>15</w:t>
            </w:r>
          </w:p>
        </w:tc>
        <w:tc>
          <w:tcPr>
            <w:tcW w:w="447" w:type="pct"/>
            <w:noWrap w:val="0"/>
            <w:vAlign w:val="center"/>
          </w:tcPr>
          <w:p w14:paraId="1682DA3D">
            <w:pPr>
              <w:widowControl/>
              <w:autoSpaceDE/>
              <w:autoSpaceDN/>
              <w:jc w:val="center"/>
              <w:rPr>
                <w:rFonts w:hint="default" w:ascii="Times New Roman" w:hAnsi="Times New Roman" w:cs="Times New Roman"/>
                <w:color w:val="auto"/>
                <w:sz w:val="24"/>
                <w:szCs w:val="24"/>
                <w:lang w:eastAsia="zh-CN"/>
              </w:rPr>
            </w:pPr>
            <w:r>
              <w:rPr>
                <w:rFonts w:hint="default" w:ascii="Times New Roman" w:hAnsi="Times New Roman" w:cs="Times New Roman"/>
                <w:color w:val="auto"/>
                <w:sz w:val="24"/>
                <w:szCs w:val="24"/>
                <w:lang w:eastAsia="zh-CN"/>
              </w:rPr>
              <w:t>20</w:t>
            </w:r>
          </w:p>
        </w:tc>
        <w:tc>
          <w:tcPr>
            <w:tcW w:w="447" w:type="pct"/>
            <w:noWrap w:val="0"/>
            <w:vAlign w:val="center"/>
          </w:tcPr>
          <w:p w14:paraId="7387C8C0">
            <w:pPr>
              <w:widowControl/>
              <w:autoSpaceDE/>
              <w:autoSpaceDN/>
              <w:jc w:val="center"/>
              <w:rPr>
                <w:rFonts w:hint="default" w:ascii="Times New Roman" w:hAnsi="Times New Roman" w:cs="Times New Roman"/>
                <w:color w:val="auto"/>
                <w:sz w:val="24"/>
                <w:szCs w:val="24"/>
                <w:lang w:eastAsia="zh-CN"/>
              </w:rPr>
            </w:pPr>
            <w:r>
              <w:rPr>
                <w:rFonts w:hint="default" w:ascii="Times New Roman" w:hAnsi="Times New Roman" w:cs="Times New Roman"/>
                <w:color w:val="auto"/>
                <w:sz w:val="24"/>
                <w:szCs w:val="24"/>
                <w:lang w:eastAsia="zh-CN"/>
              </w:rPr>
              <w:t>20</w:t>
            </w:r>
          </w:p>
        </w:tc>
        <w:tc>
          <w:tcPr>
            <w:tcW w:w="447" w:type="pct"/>
            <w:noWrap w:val="0"/>
            <w:vAlign w:val="center"/>
          </w:tcPr>
          <w:p w14:paraId="48A7C9D4">
            <w:pPr>
              <w:widowControl/>
              <w:autoSpaceDE/>
              <w:autoSpaceDN/>
              <w:jc w:val="center"/>
              <w:rPr>
                <w:rFonts w:hint="default" w:ascii="Times New Roman" w:hAnsi="Times New Roman" w:cs="Times New Roman"/>
                <w:color w:val="auto"/>
                <w:sz w:val="24"/>
                <w:szCs w:val="24"/>
                <w:lang w:eastAsia="zh-CN"/>
              </w:rPr>
            </w:pPr>
            <w:r>
              <w:rPr>
                <w:rFonts w:hint="default" w:ascii="Times New Roman" w:hAnsi="Times New Roman" w:cs="Times New Roman"/>
                <w:color w:val="auto"/>
                <w:sz w:val="24"/>
                <w:szCs w:val="24"/>
                <w:lang w:eastAsia="zh-CN"/>
              </w:rPr>
              <w:t>20</w:t>
            </w:r>
          </w:p>
        </w:tc>
        <w:tc>
          <w:tcPr>
            <w:tcW w:w="449" w:type="pct"/>
            <w:noWrap w:val="0"/>
            <w:vAlign w:val="center"/>
          </w:tcPr>
          <w:p w14:paraId="08E0EE3D">
            <w:pPr>
              <w:widowControl/>
              <w:autoSpaceDE/>
              <w:autoSpaceDN/>
              <w:jc w:val="center"/>
              <w:rPr>
                <w:rFonts w:hint="default" w:ascii="Times New Roman" w:hAnsi="Times New Roman" w:cs="Times New Roman"/>
                <w:color w:val="auto"/>
                <w:sz w:val="24"/>
                <w:szCs w:val="24"/>
                <w:lang w:eastAsia="zh-CN"/>
              </w:rPr>
            </w:pPr>
            <w:r>
              <w:rPr>
                <w:rFonts w:hint="default" w:ascii="Times New Roman" w:hAnsi="Times New Roman" w:cs="Times New Roman"/>
                <w:color w:val="auto"/>
                <w:sz w:val="24"/>
                <w:szCs w:val="24"/>
                <w:lang w:eastAsia="zh-CN"/>
              </w:rPr>
              <w:t>――</w:t>
            </w:r>
          </w:p>
        </w:tc>
        <w:tc>
          <w:tcPr>
            <w:tcW w:w="449" w:type="pct"/>
            <w:noWrap w:val="0"/>
            <w:vAlign w:val="center"/>
          </w:tcPr>
          <w:p w14:paraId="7ACE7F19">
            <w:pPr>
              <w:widowControl/>
              <w:autoSpaceDE/>
              <w:autoSpaceDN/>
              <w:jc w:val="center"/>
              <w:rPr>
                <w:rFonts w:hint="default" w:ascii="Times New Roman" w:hAnsi="Times New Roman" w:cs="Times New Roman"/>
                <w:color w:val="auto"/>
                <w:sz w:val="24"/>
                <w:szCs w:val="24"/>
                <w:lang w:eastAsia="zh-CN"/>
              </w:rPr>
            </w:pPr>
            <w:r>
              <w:rPr>
                <w:rFonts w:hint="default" w:ascii="Times New Roman" w:hAnsi="Times New Roman" w:cs="Times New Roman"/>
                <w:color w:val="auto"/>
                <w:sz w:val="24"/>
                <w:szCs w:val="24"/>
                <w:lang w:eastAsia="zh-CN"/>
              </w:rPr>
              <w:t>――</w:t>
            </w:r>
          </w:p>
        </w:tc>
        <w:tc>
          <w:tcPr>
            <w:tcW w:w="449" w:type="pct"/>
            <w:noWrap w:val="0"/>
            <w:vAlign w:val="center"/>
          </w:tcPr>
          <w:p w14:paraId="604811CD">
            <w:pPr>
              <w:widowControl/>
              <w:autoSpaceDE/>
              <w:autoSpaceDN/>
              <w:jc w:val="center"/>
              <w:rPr>
                <w:rFonts w:hint="default" w:ascii="Times New Roman" w:hAnsi="Times New Roman" w:cs="Times New Roman"/>
                <w:color w:val="auto"/>
                <w:sz w:val="24"/>
                <w:szCs w:val="24"/>
                <w:lang w:eastAsia="zh-CN"/>
              </w:rPr>
            </w:pPr>
            <w:r>
              <w:rPr>
                <w:rFonts w:hint="default" w:ascii="Times New Roman" w:hAnsi="Times New Roman" w:cs="Times New Roman"/>
                <w:color w:val="auto"/>
                <w:sz w:val="24"/>
                <w:szCs w:val="24"/>
                <w:lang w:eastAsia="zh-CN"/>
              </w:rPr>
              <w:t>30</w:t>
            </w:r>
          </w:p>
        </w:tc>
        <w:tc>
          <w:tcPr>
            <w:tcW w:w="445" w:type="pct"/>
            <w:noWrap w:val="0"/>
            <w:vAlign w:val="center"/>
          </w:tcPr>
          <w:p w14:paraId="34D3A554">
            <w:pPr>
              <w:widowControl/>
              <w:autoSpaceDE/>
              <w:autoSpaceDN/>
              <w:jc w:val="center"/>
              <w:rPr>
                <w:rFonts w:hint="default" w:ascii="Times New Roman" w:hAnsi="Times New Roman" w:cs="Times New Roman"/>
                <w:color w:val="auto"/>
                <w:sz w:val="24"/>
                <w:szCs w:val="24"/>
                <w:lang w:eastAsia="zh-CN"/>
              </w:rPr>
            </w:pPr>
            <w:r>
              <w:rPr>
                <w:rFonts w:hint="default" w:ascii="Times New Roman" w:hAnsi="Times New Roman" w:cs="Times New Roman"/>
                <w:color w:val="auto"/>
                <w:sz w:val="24"/>
                <w:szCs w:val="24"/>
                <w:lang w:eastAsia="zh-CN"/>
              </w:rPr>
              <w:t>0</w:t>
            </w:r>
          </w:p>
        </w:tc>
      </w:tr>
    </w:tbl>
    <w:p w14:paraId="2647F7E3">
      <w:pPr>
        <w:spacing w:line="600" w:lineRule="exact"/>
        <w:ind w:firstLine="600"/>
        <w:jc w:val="center"/>
        <w:rPr>
          <w:rFonts w:hint="default" w:ascii="Times New Roman" w:hAnsi="Times New Roman" w:eastAsia="宋体" w:cs="Times New Roman"/>
          <w:color w:val="000000"/>
          <w:kern w:val="2"/>
          <w:sz w:val="30"/>
          <w:szCs w:val="24"/>
          <w:lang w:val="en-US" w:eastAsia="zh-CN" w:bidi="ar-SA"/>
        </w:rPr>
      </w:pPr>
    </w:p>
    <w:p w14:paraId="2E7ECC88">
      <w:pPr>
        <w:spacing w:line="600" w:lineRule="exact"/>
        <w:ind w:firstLine="600"/>
        <w:jc w:val="center"/>
        <w:rPr>
          <w:rFonts w:hint="default" w:ascii="Times New Roman" w:hAnsi="Times New Roman" w:eastAsia="宋体" w:cs="Times New Roman"/>
          <w:color w:val="000000"/>
          <w:kern w:val="2"/>
          <w:sz w:val="30"/>
          <w:szCs w:val="24"/>
          <w:lang w:val="en-US" w:eastAsia="zh-CN" w:bidi="ar-SA"/>
        </w:rPr>
        <w:sectPr>
          <w:pgSz w:w="11906" w:h="16838"/>
          <w:pgMar w:top="2098" w:right="1531" w:bottom="1984" w:left="1531" w:header="851" w:footer="992" w:gutter="0"/>
          <w:pgNumType w:fmt="numberInDash"/>
          <w:cols w:space="720" w:num="1"/>
          <w:docGrid w:type="lines" w:linePitch="312" w:charSpace="0"/>
        </w:sectPr>
      </w:pPr>
    </w:p>
    <w:p w14:paraId="5A45B4E9">
      <w:pPr>
        <w:spacing w:line="600" w:lineRule="exact"/>
        <w:rPr>
          <w:rFonts w:hint="default" w:ascii="Times New Roman" w:hAnsi="Times New Roman" w:eastAsia="宋体" w:cs="Times New Roman"/>
          <w:color w:val="000000"/>
          <w:kern w:val="2"/>
          <w:sz w:val="30"/>
          <w:szCs w:val="24"/>
          <w:lang w:val="en-US" w:eastAsia="zh-CN" w:bidi="ar-SA"/>
        </w:rPr>
      </w:pPr>
      <w:r>
        <w:rPr>
          <w:rFonts w:hint="eastAsia" w:ascii="Times New Roman" w:hAnsi="Times New Roman" w:eastAsia="仿宋_GB2312" w:cs="Times New Roman"/>
          <w:lang w:eastAsia="zh-CN"/>
        </w:rPr>
        <w:drawing>
          <wp:anchor distT="0" distB="0" distL="114300" distR="114300" simplePos="0" relativeHeight="251691008" behindDoc="0" locked="0" layoutInCell="1" allowOverlap="1">
            <wp:simplePos x="0" y="0"/>
            <wp:positionH relativeFrom="column">
              <wp:posOffset>-142875</wp:posOffset>
            </wp:positionH>
            <wp:positionV relativeFrom="paragraph">
              <wp:posOffset>456565</wp:posOffset>
            </wp:positionV>
            <wp:extent cx="12901930" cy="9128125"/>
            <wp:effectExtent l="0" t="0" r="1270" b="3175"/>
            <wp:wrapTopAndBottom/>
            <wp:docPr id="42" name="图片 42" descr="产业园附表1 商服用地宗地地价修正系数及说明表_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 name="图片 42" descr="产业园附表1 商服用地宗地地价修正系数及说明表_00"/>
                    <pic:cNvPicPr>
                      <a:picLocks noChangeAspect="1"/>
                    </pic:cNvPicPr>
                  </pic:nvPicPr>
                  <pic:blipFill>
                    <a:blip r:embed="rId43"/>
                    <a:stretch>
                      <a:fillRect/>
                    </a:stretch>
                  </pic:blipFill>
                  <pic:spPr>
                    <a:xfrm>
                      <a:off x="0" y="0"/>
                      <a:ext cx="12901930" cy="9128125"/>
                    </a:xfrm>
                    <a:prstGeom prst="rect">
                      <a:avLst/>
                    </a:prstGeom>
                  </pic:spPr>
                </pic:pic>
              </a:graphicData>
            </a:graphic>
          </wp:anchor>
        </w:drawing>
      </w:r>
      <w:r>
        <w:rPr>
          <w:rFonts w:hint="default" w:ascii="Times New Roman" w:hAnsi="Times New Roman" w:eastAsia="宋体" w:cs="Times New Roman"/>
          <w:color w:val="000000"/>
          <w:kern w:val="2"/>
          <w:sz w:val="30"/>
          <w:szCs w:val="24"/>
          <w:lang w:val="en-US" w:eastAsia="zh-CN" w:bidi="ar-SA"/>
        </w:rPr>
        <w:t>附表</w:t>
      </w:r>
      <w:r>
        <w:rPr>
          <w:rFonts w:hint="eastAsia" w:ascii="Times New Roman" w:hAnsi="Times New Roman" w:eastAsia="宋体" w:cs="Times New Roman"/>
          <w:color w:val="000000"/>
          <w:kern w:val="2"/>
          <w:sz w:val="30"/>
          <w:szCs w:val="24"/>
          <w:lang w:val="en-US" w:eastAsia="zh-CN" w:bidi="ar-SA"/>
        </w:rPr>
        <w:t>6.</w:t>
      </w:r>
      <w:r>
        <w:rPr>
          <w:rFonts w:hint="default" w:ascii="Times New Roman" w:hAnsi="Times New Roman" w:eastAsia="宋体" w:cs="Times New Roman"/>
          <w:color w:val="000000"/>
          <w:kern w:val="2"/>
          <w:sz w:val="30"/>
          <w:szCs w:val="24"/>
          <w:lang w:val="en-US" w:eastAsia="zh-CN" w:bidi="ar-SA"/>
        </w:rPr>
        <w:t>4    宗地地价修正系数及说明表</w:t>
      </w:r>
    </w:p>
    <w:p w14:paraId="163E6FF2">
      <w:pPr>
        <w:rPr>
          <w:rFonts w:ascii="Times New Roman" w:hAnsi="Times New Roman" w:cs="Times New Roman"/>
          <w:color w:val="auto"/>
        </w:rPr>
      </w:pPr>
      <w:r>
        <w:rPr>
          <w:rFonts w:hint="eastAsia" w:ascii="Times New Roman" w:hAnsi="Times New Roman" w:eastAsia="仿宋_GB2312" w:cs="Times New Roman"/>
          <w:lang w:eastAsia="zh-CN"/>
        </w:rPr>
        <w:drawing>
          <wp:anchor distT="0" distB="0" distL="114300" distR="114300" simplePos="0" relativeHeight="251692032" behindDoc="0" locked="0" layoutInCell="1" allowOverlap="1">
            <wp:simplePos x="0" y="0"/>
            <wp:positionH relativeFrom="column">
              <wp:posOffset>-206375</wp:posOffset>
            </wp:positionH>
            <wp:positionV relativeFrom="paragraph">
              <wp:posOffset>-97790</wp:posOffset>
            </wp:positionV>
            <wp:extent cx="13253085" cy="9377045"/>
            <wp:effectExtent l="0" t="0" r="5715" b="8255"/>
            <wp:wrapTopAndBottom/>
            <wp:docPr id="43" name="图片 43" descr="产业园附表1 商服用地宗地地价修正系数及说明表_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 name="图片 43" descr="产业园附表1 商服用地宗地地价修正系数及说明表_01"/>
                    <pic:cNvPicPr>
                      <a:picLocks noChangeAspect="1"/>
                    </pic:cNvPicPr>
                  </pic:nvPicPr>
                  <pic:blipFill>
                    <a:blip r:embed="rId44"/>
                    <a:stretch>
                      <a:fillRect/>
                    </a:stretch>
                  </pic:blipFill>
                  <pic:spPr>
                    <a:xfrm>
                      <a:off x="0" y="0"/>
                      <a:ext cx="13253085" cy="9377045"/>
                    </a:xfrm>
                    <a:prstGeom prst="rect">
                      <a:avLst/>
                    </a:prstGeom>
                  </pic:spPr>
                </pic:pic>
              </a:graphicData>
            </a:graphic>
          </wp:anchor>
        </w:drawing>
      </w:r>
    </w:p>
    <w:p w14:paraId="57E98AEA">
      <w:pPr>
        <w:rPr>
          <w:rFonts w:ascii="Times New Roman" w:hAnsi="Times New Roman" w:cs="Times New Roman"/>
        </w:rPr>
      </w:pPr>
      <w:r>
        <w:rPr>
          <w:rFonts w:hint="eastAsia" w:ascii="Times New Roman" w:hAnsi="Times New Roman" w:eastAsia="仿宋_GB2312" w:cs="Times New Roman"/>
          <w:lang w:eastAsia="zh-CN"/>
        </w:rPr>
        <w:drawing>
          <wp:anchor distT="0" distB="0" distL="114300" distR="114300" simplePos="0" relativeHeight="251693056" behindDoc="0" locked="0" layoutInCell="1" allowOverlap="1">
            <wp:simplePos x="0" y="0"/>
            <wp:positionH relativeFrom="column">
              <wp:posOffset>-95250</wp:posOffset>
            </wp:positionH>
            <wp:positionV relativeFrom="paragraph">
              <wp:posOffset>-177165</wp:posOffset>
            </wp:positionV>
            <wp:extent cx="13103225" cy="9271000"/>
            <wp:effectExtent l="0" t="0" r="3175" b="0"/>
            <wp:wrapTopAndBottom/>
            <wp:docPr id="44" name="图片 44" descr="产业园附表1 商服用地宗地地价修正系数及说明表_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 name="图片 44" descr="产业园附表1 商服用地宗地地价修正系数及说明表_02"/>
                    <pic:cNvPicPr>
                      <a:picLocks noChangeAspect="1"/>
                    </pic:cNvPicPr>
                  </pic:nvPicPr>
                  <pic:blipFill>
                    <a:blip r:embed="rId45"/>
                    <a:stretch>
                      <a:fillRect/>
                    </a:stretch>
                  </pic:blipFill>
                  <pic:spPr>
                    <a:xfrm>
                      <a:off x="0" y="0"/>
                      <a:ext cx="13103225" cy="9271000"/>
                    </a:xfrm>
                    <a:prstGeom prst="rect">
                      <a:avLst/>
                    </a:prstGeom>
                  </pic:spPr>
                </pic:pic>
              </a:graphicData>
            </a:graphic>
          </wp:anchor>
        </w:drawing>
      </w:r>
    </w:p>
    <w:p w14:paraId="13BD072A">
      <w:pPr>
        <w:rPr>
          <w:rFonts w:hint="eastAsia" w:ascii="Times New Roman" w:hAnsi="Times New Roman" w:eastAsia="仿宋_GB2312" w:cs="Times New Roman"/>
          <w:lang w:eastAsia="zh-CN"/>
        </w:rPr>
        <w:sectPr>
          <w:pgSz w:w="23811" w:h="16838" w:orient="landscape"/>
          <w:pgMar w:top="1440" w:right="1800" w:bottom="1440" w:left="1800" w:header="858" w:footer="993" w:gutter="0"/>
          <w:cols w:space="720" w:num="1"/>
          <w:docGrid w:linePitch="299" w:charSpace="0"/>
        </w:sectPr>
      </w:pPr>
    </w:p>
    <w:p w14:paraId="320C805F">
      <w:pPr>
        <w:rPr>
          <w:rFonts w:hint="eastAsia" w:ascii="Times New Roman" w:hAnsi="Times New Roman" w:eastAsia="仿宋_GB2312" w:cs="Times New Roman"/>
          <w:lang w:eastAsia="zh-CN"/>
        </w:rPr>
        <w:sectPr>
          <w:pgSz w:w="23811" w:h="16838" w:orient="landscape"/>
          <w:pgMar w:top="1440" w:right="1800" w:bottom="1440" w:left="1800" w:header="858" w:footer="993" w:gutter="0"/>
          <w:cols w:space="720" w:num="1"/>
          <w:docGrid w:linePitch="299" w:charSpace="0"/>
        </w:sectPr>
      </w:pPr>
      <w:r>
        <w:rPr>
          <w:rFonts w:hint="eastAsia" w:ascii="Times New Roman" w:hAnsi="Times New Roman" w:eastAsia="仿宋_GB2312" w:cs="Times New Roman"/>
          <w:lang w:eastAsia="zh-CN"/>
        </w:rPr>
        <w:drawing>
          <wp:anchor distT="0" distB="0" distL="114300" distR="114300" simplePos="0" relativeHeight="251694080" behindDoc="0" locked="0" layoutInCell="1" allowOverlap="1">
            <wp:simplePos x="0" y="0"/>
            <wp:positionH relativeFrom="column">
              <wp:posOffset>-127000</wp:posOffset>
            </wp:positionH>
            <wp:positionV relativeFrom="paragraph">
              <wp:posOffset>-15875</wp:posOffset>
            </wp:positionV>
            <wp:extent cx="13035915" cy="9222740"/>
            <wp:effectExtent l="0" t="0" r="6985" b="10160"/>
            <wp:wrapTopAndBottom/>
            <wp:docPr id="45" name="图片 45" descr="产业园附表1 商服用地宗地地价修正系数及说明表_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 name="图片 45" descr="产业园附表1 商服用地宗地地价修正系数及说明表_03"/>
                    <pic:cNvPicPr>
                      <a:picLocks noChangeAspect="1"/>
                    </pic:cNvPicPr>
                  </pic:nvPicPr>
                  <pic:blipFill>
                    <a:blip r:embed="rId46"/>
                    <a:stretch>
                      <a:fillRect/>
                    </a:stretch>
                  </pic:blipFill>
                  <pic:spPr>
                    <a:xfrm>
                      <a:off x="0" y="0"/>
                      <a:ext cx="13035915" cy="9222740"/>
                    </a:xfrm>
                    <a:prstGeom prst="rect">
                      <a:avLst/>
                    </a:prstGeom>
                  </pic:spPr>
                </pic:pic>
              </a:graphicData>
            </a:graphic>
          </wp:anchor>
        </w:drawing>
      </w:r>
    </w:p>
    <w:p w14:paraId="271BAE7F">
      <w:pPr>
        <w:rPr>
          <w:rFonts w:hint="eastAsia" w:ascii="Times New Roman" w:hAnsi="Times New Roman" w:eastAsia="仿宋_GB2312" w:cs="Times New Roman"/>
          <w:lang w:eastAsia="zh-CN"/>
        </w:rPr>
        <w:sectPr>
          <w:pgSz w:w="23811" w:h="16838" w:orient="landscape"/>
          <w:pgMar w:top="1440" w:right="1800" w:bottom="1440" w:left="1800" w:header="858" w:footer="993" w:gutter="0"/>
          <w:cols w:space="720" w:num="1"/>
          <w:docGrid w:linePitch="299" w:charSpace="0"/>
        </w:sectPr>
      </w:pPr>
      <w:r>
        <w:rPr>
          <w:rFonts w:hint="eastAsia" w:ascii="Times New Roman" w:hAnsi="Times New Roman" w:eastAsia="仿宋_GB2312" w:cs="Times New Roman"/>
          <w:lang w:eastAsia="zh-CN"/>
        </w:rPr>
        <w:drawing>
          <wp:anchor distT="0" distB="0" distL="114300" distR="114300" simplePos="0" relativeHeight="251695104" behindDoc="0" locked="0" layoutInCell="1" allowOverlap="1">
            <wp:simplePos x="0" y="0"/>
            <wp:positionH relativeFrom="column">
              <wp:posOffset>0</wp:posOffset>
            </wp:positionH>
            <wp:positionV relativeFrom="paragraph">
              <wp:posOffset>190500</wp:posOffset>
            </wp:positionV>
            <wp:extent cx="12915900" cy="9138285"/>
            <wp:effectExtent l="0" t="0" r="0" b="5715"/>
            <wp:wrapTopAndBottom/>
            <wp:docPr id="46" name="图片 46" descr="产业园附表1 商服用地宗地地价修正系数及说明表_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 name="图片 46" descr="产业园附表1 商服用地宗地地价修正系数及说明表_04"/>
                    <pic:cNvPicPr>
                      <a:picLocks noChangeAspect="1"/>
                    </pic:cNvPicPr>
                  </pic:nvPicPr>
                  <pic:blipFill>
                    <a:blip r:embed="rId47"/>
                    <a:stretch>
                      <a:fillRect/>
                    </a:stretch>
                  </pic:blipFill>
                  <pic:spPr>
                    <a:xfrm>
                      <a:off x="0" y="0"/>
                      <a:ext cx="12915900" cy="9138285"/>
                    </a:xfrm>
                    <a:prstGeom prst="rect">
                      <a:avLst/>
                    </a:prstGeom>
                  </pic:spPr>
                </pic:pic>
              </a:graphicData>
            </a:graphic>
          </wp:anchor>
        </w:drawing>
      </w:r>
    </w:p>
    <w:p w14:paraId="10BEA4BD">
      <w:pPr>
        <w:rPr>
          <w:rFonts w:hint="eastAsia" w:ascii="Times New Roman" w:hAnsi="Times New Roman" w:eastAsia="仿宋_GB2312" w:cs="Times New Roman"/>
          <w:lang w:eastAsia="zh-CN"/>
        </w:rPr>
        <w:sectPr>
          <w:pgSz w:w="23811" w:h="16838" w:orient="landscape"/>
          <w:pgMar w:top="1440" w:right="1800" w:bottom="1440" w:left="1800" w:header="858" w:footer="993" w:gutter="0"/>
          <w:cols w:space="720" w:num="1"/>
          <w:docGrid w:linePitch="299" w:charSpace="0"/>
        </w:sectPr>
      </w:pPr>
      <w:r>
        <w:rPr>
          <w:rFonts w:hint="eastAsia" w:ascii="Times New Roman" w:hAnsi="Times New Roman" w:eastAsia="仿宋_GB2312" w:cs="Times New Roman"/>
          <w:lang w:eastAsia="zh-CN"/>
        </w:rPr>
        <w:drawing>
          <wp:anchor distT="0" distB="0" distL="114300" distR="114300" simplePos="0" relativeHeight="251696128" behindDoc="0" locked="0" layoutInCell="1" allowOverlap="1">
            <wp:simplePos x="0" y="0"/>
            <wp:positionH relativeFrom="column">
              <wp:posOffset>-142875</wp:posOffset>
            </wp:positionH>
            <wp:positionV relativeFrom="paragraph">
              <wp:posOffset>63500</wp:posOffset>
            </wp:positionV>
            <wp:extent cx="13050520" cy="9233535"/>
            <wp:effectExtent l="0" t="0" r="5080" b="12065"/>
            <wp:wrapTopAndBottom/>
            <wp:docPr id="47" name="图片 47" descr="产业园附表1 商服用地宗地地价修正系数及说明表_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 name="图片 47" descr="产业园附表1 商服用地宗地地价修正系数及说明表_05"/>
                    <pic:cNvPicPr>
                      <a:picLocks noChangeAspect="1"/>
                    </pic:cNvPicPr>
                  </pic:nvPicPr>
                  <pic:blipFill>
                    <a:blip r:embed="rId48"/>
                    <a:stretch>
                      <a:fillRect/>
                    </a:stretch>
                  </pic:blipFill>
                  <pic:spPr>
                    <a:xfrm>
                      <a:off x="0" y="0"/>
                      <a:ext cx="13050520" cy="9233535"/>
                    </a:xfrm>
                    <a:prstGeom prst="rect">
                      <a:avLst/>
                    </a:prstGeom>
                  </pic:spPr>
                </pic:pic>
              </a:graphicData>
            </a:graphic>
          </wp:anchor>
        </w:drawing>
      </w:r>
    </w:p>
    <w:p w14:paraId="6F5675DE">
      <w:pPr>
        <w:rPr>
          <w:rFonts w:hint="eastAsia" w:ascii="Times New Roman" w:hAnsi="Times New Roman" w:eastAsia="仿宋_GB2312" w:cs="Times New Roman"/>
          <w:lang w:eastAsia="zh-CN"/>
        </w:rPr>
        <w:sectPr>
          <w:pgSz w:w="23811" w:h="16838" w:orient="landscape"/>
          <w:pgMar w:top="1440" w:right="1800" w:bottom="1440" w:left="1800" w:header="858" w:footer="993" w:gutter="0"/>
          <w:cols w:space="720" w:num="1"/>
          <w:docGrid w:linePitch="299" w:charSpace="0"/>
        </w:sectPr>
      </w:pPr>
      <w:r>
        <w:rPr>
          <w:rFonts w:hint="eastAsia" w:ascii="Times New Roman" w:hAnsi="Times New Roman" w:eastAsia="仿宋_GB2312" w:cs="Times New Roman"/>
          <w:lang w:eastAsia="zh-CN"/>
        </w:rPr>
        <w:drawing>
          <wp:anchor distT="0" distB="0" distL="114300" distR="114300" simplePos="0" relativeHeight="251697152" behindDoc="0" locked="0" layoutInCell="1" allowOverlap="1">
            <wp:simplePos x="0" y="0"/>
            <wp:positionH relativeFrom="column">
              <wp:posOffset>-111125</wp:posOffset>
            </wp:positionH>
            <wp:positionV relativeFrom="paragraph">
              <wp:posOffset>111125</wp:posOffset>
            </wp:positionV>
            <wp:extent cx="13298170" cy="9408795"/>
            <wp:effectExtent l="0" t="0" r="11430" b="1905"/>
            <wp:wrapTopAndBottom/>
            <wp:docPr id="48" name="图片 48" descr="产业园附表1 商服用地宗地地价修正系数及说明表_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 name="图片 48" descr="产业园附表1 商服用地宗地地价修正系数及说明表_06"/>
                    <pic:cNvPicPr>
                      <a:picLocks noChangeAspect="1"/>
                    </pic:cNvPicPr>
                  </pic:nvPicPr>
                  <pic:blipFill>
                    <a:blip r:embed="rId49"/>
                    <a:stretch>
                      <a:fillRect/>
                    </a:stretch>
                  </pic:blipFill>
                  <pic:spPr>
                    <a:xfrm>
                      <a:off x="0" y="0"/>
                      <a:ext cx="13298170" cy="9408795"/>
                    </a:xfrm>
                    <a:prstGeom prst="rect">
                      <a:avLst/>
                    </a:prstGeom>
                  </pic:spPr>
                </pic:pic>
              </a:graphicData>
            </a:graphic>
          </wp:anchor>
        </w:drawing>
      </w:r>
    </w:p>
    <w:p w14:paraId="7A77C020">
      <w:pPr>
        <w:rPr>
          <w:rFonts w:hint="eastAsia" w:ascii="Times New Roman" w:hAnsi="Times New Roman" w:eastAsia="仿宋_GB2312" w:cs="Times New Roman"/>
          <w:lang w:eastAsia="zh-CN"/>
        </w:rPr>
        <w:sectPr>
          <w:pgSz w:w="23811" w:h="16838" w:orient="landscape"/>
          <w:pgMar w:top="1440" w:right="1800" w:bottom="1440" w:left="1800" w:header="858" w:footer="993" w:gutter="0"/>
          <w:cols w:space="720" w:num="1"/>
          <w:docGrid w:linePitch="299" w:charSpace="0"/>
        </w:sectPr>
      </w:pPr>
      <w:r>
        <w:rPr>
          <w:rFonts w:hint="eastAsia" w:ascii="Times New Roman" w:hAnsi="Times New Roman" w:eastAsia="仿宋_GB2312" w:cs="Times New Roman"/>
          <w:lang w:eastAsia="zh-CN"/>
        </w:rPr>
        <w:drawing>
          <wp:anchor distT="0" distB="0" distL="114300" distR="114300" simplePos="0" relativeHeight="251698176" behindDoc="0" locked="0" layoutInCell="1" allowOverlap="1">
            <wp:simplePos x="0" y="0"/>
            <wp:positionH relativeFrom="column">
              <wp:posOffset>-317500</wp:posOffset>
            </wp:positionH>
            <wp:positionV relativeFrom="paragraph">
              <wp:posOffset>333375</wp:posOffset>
            </wp:positionV>
            <wp:extent cx="13341985" cy="9439910"/>
            <wp:effectExtent l="0" t="0" r="5715" b="8890"/>
            <wp:wrapTopAndBottom/>
            <wp:docPr id="49" name="图片 49" descr="产业园附表1 商服用地宗地地价修正系数及说明表_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 name="图片 49" descr="产业园附表1 商服用地宗地地价修正系数及说明表_07"/>
                    <pic:cNvPicPr>
                      <a:picLocks noChangeAspect="1"/>
                    </pic:cNvPicPr>
                  </pic:nvPicPr>
                  <pic:blipFill>
                    <a:blip r:embed="rId50"/>
                    <a:stretch>
                      <a:fillRect/>
                    </a:stretch>
                  </pic:blipFill>
                  <pic:spPr>
                    <a:xfrm>
                      <a:off x="0" y="0"/>
                      <a:ext cx="13341985" cy="9439910"/>
                    </a:xfrm>
                    <a:prstGeom prst="rect">
                      <a:avLst/>
                    </a:prstGeom>
                  </pic:spPr>
                </pic:pic>
              </a:graphicData>
            </a:graphic>
          </wp:anchor>
        </w:drawing>
      </w:r>
    </w:p>
    <w:p w14:paraId="1A0C2CB1">
      <w:pPr>
        <w:rPr>
          <w:rFonts w:ascii="Times New Roman" w:hAnsi="Times New Roman" w:cs="Times New Roman"/>
        </w:rPr>
      </w:pPr>
      <w:r>
        <w:rPr>
          <w:lang w:val="en-US" w:eastAsia="zh-CN"/>
        </w:rPr>
        <w:drawing>
          <wp:anchor distT="0" distB="0" distL="114300" distR="114300" simplePos="0" relativeHeight="251699200" behindDoc="0" locked="0" layoutInCell="1" allowOverlap="1">
            <wp:simplePos x="0" y="0"/>
            <wp:positionH relativeFrom="column">
              <wp:posOffset>-63500</wp:posOffset>
            </wp:positionH>
            <wp:positionV relativeFrom="paragraph">
              <wp:posOffset>299085</wp:posOffset>
            </wp:positionV>
            <wp:extent cx="12876530" cy="9110345"/>
            <wp:effectExtent l="0" t="0" r="1270" b="8255"/>
            <wp:wrapTopAndBottom/>
            <wp:docPr id="50" name="图片 50" descr="产业园附表1 商服用地宗地地价修正系数及说明表_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 name="图片 50" descr="产业园附表1 商服用地宗地地价修正系数及说明表_08"/>
                    <pic:cNvPicPr>
                      <a:picLocks noChangeAspect="1"/>
                    </pic:cNvPicPr>
                  </pic:nvPicPr>
                  <pic:blipFill>
                    <a:blip r:embed="rId51"/>
                    <a:stretch>
                      <a:fillRect/>
                    </a:stretch>
                  </pic:blipFill>
                  <pic:spPr>
                    <a:xfrm>
                      <a:off x="0" y="0"/>
                      <a:ext cx="12876530" cy="9110345"/>
                    </a:xfrm>
                    <a:prstGeom prst="rect">
                      <a:avLst/>
                    </a:prstGeom>
                  </pic:spPr>
                </pic:pic>
              </a:graphicData>
            </a:graphic>
          </wp:anchor>
        </w:drawing>
      </w:r>
    </w:p>
    <w:p w14:paraId="67BAFF70">
      <w:pPr>
        <w:rPr>
          <w:rFonts w:ascii="Times New Roman" w:hAnsi="Times New Roman" w:cs="Times New Roman"/>
          <w:color w:val="auto"/>
        </w:rPr>
      </w:pPr>
      <w:r>
        <w:rPr>
          <w:lang w:val="en-US" w:eastAsia="zh-CN"/>
        </w:rPr>
        <w:drawing>
          <wp:anchor distT="0" distB="0" distL="114300" distR="114300" simplePos="0" relativeHeight="251700224" behindDoc="0" locked="0" layoutInCell="1" allowOverlap="1">
            <wp:simplePos x="0" y="0"/>
            <wp:positionH relativeFrom="column">
              <wp:posOffset>-174625</wp:posOffset>
            </wp:positionH>
            <wp:positionV relativeFrom="paragraph">
              <wp:posOffset>0</wp:posOffset>
            </wp:positionV>
            <wp:extent cx="13336905" cy="9436100"/>
            <wp:effectExtent l="0" t="0" r="10795" b="0"/>
            <wp:wrapTopAndBottom/>
            <wp:docPr id="51" name="图片 51" descr="产业园附表1 商服用地宗地地价修正系数及说明表_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 name="图片 51" descr="产业园附表1 商服用地宗地地价修正系数及说明表_09"/>
                    <pic:cNvPicPr>
                      <a:picLocks noChangeAspect="1"/>
                    </pic:cNvPicPr>
                  </pic:nvPicPr>
                  <pic:blipFill>
                    <a:blip r:embed="rId52"/>
                    <a:stretch>
                      <a:fillRect/>
                    </a:stretch>
                  </pic:blipFill>
                  <pic:spPr>
                    <a:xfrm>
                      <a:off x="0" y="0"/>
                      <a:ext cx="13336905" cy="9436100"/>
                    </a:xfrm>
                    <a:prstGeom prst="rect">
                      <a:avLst/>
                    </a:prstGeom>
                  </pic:spPr>
                </pic:pic>
              </a:graphicData>
            </a:graphic>
          </wp:anchor>
        </w:drawing>
      </w:r>
    </w:p>
    <w:p w14:paraId="083E12C6">
      <w:pPr>
        <w:rPr>
          <w:lang w:val="en-US" w:eastAsia="zh-CN"/>
        </w:rPr>
        <w:sectPr>
          <w:pgSz w:w="23811" w:h="16838" w:orient="landscape"/>
          <w:pgMar w:top="1440" w:right="1800" w:bottom="1440" w:left="1800" w:header="858" w:footer="993" w:gutter="0"/>
          <w:cols w:space="720" w:num="1"/>
          <w:docGrid w:linePitch="299" w:charSpace="0"/>
        </w:sectPr>
      </w:pPr>
    </w:p>
    <w:p w14:paraId="1A2E9F0C">
      <w:pPr>
        <w:rPr>
          <w:lang w:val="en-US" w:eastAsia="zh-CN"/>
        </w:rPr>
        <w:sectPr>
          <w:pgSz w:w="23811" w:h="16838" w:orient="landscape"/>
          <w:pgMar w:top="1440" w:right="1800" w:bottom="1440" w:left="1800" w:header="858" w:footer="993" w:gutter="0"/>
          <w:cols w:space="720" w:num="1"/>
          <w:docGrid w:linePitch="299" w:charSpace="0"/>
        </w:sectPr>
      </w:pPr>
      <w:r>
        <w:rPr>
          <w:lang w:val="en-US" w:eastAsia="zh-CN"/>
        </w:rPr>
        <w:drawing>
          <wp:anchor distT="0" distB="0" distL="114300" distR="114300" simplePos="0" relativeHeight="251701248" behindDoc="0" locked="0" layoutInCell="1" allowOverlap="1">
            <wp:simplePos x="0" y="0"/>
            <wp:positionH relativeFrom="column">
              <wp:posOffset>-269875</wp:posOffset>
            </wp:positionH>
            <wp:positionV relativeFrom="paragraph">
              <wp:posOffset>95250</wp:posOffset>
            </wp:positionV>
            <wp:extent cx="13384530" cy="9469755"/>
            <wp:effectExtent l="0" t="0" r="1270" b="4445"/>
            <wp:wrapTopAndBottom/>
            <wp:docPr id="52" name="图片 52" descr="产业园附表1 商服用地宗地地价修正系数及说明表_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 name="图片 52" descr="产业园附表1 商服用地宗地地价修正系数及说明表_10"/>
                    <pic:cNvPicPr>
                      <a:picLocks noChangeAspect="1"/>
                    </pic:cNvPicPr>
                  </pic:nvPicPr>
                  <pic:blipFill>
                    <a:blip r:embed="rId53"/>
                    <a:stretch>
                      <a:fillRect/>
                    </a:stretch>
                  </pic:blipFill>
                  <pic:spPr>
                    <a:xfrm>
                      <a:off x="0" y="0"/>
                      <a:ext cx="13384530" cy="9469755"/>
                    </a:xfrm>
                    <a:prstGeom prst="rect">
                      <a:avLst/>
                    </a:prstGeom>
                  </pic:spPr>
                </pic:pic>
              </a:graphicData>
            </a:graphic>
          </wp:anchor>
        </w:drawing>
      </w:r>
    </w:p>
    <w:p w14:paraId="6A4BEFF2">
      <w:pPr>
        <w:rPr>
          <w:lang w:val="en-US" w:eastAsia="zh-CN"/>
        </w:rPr>
      </w:pPr>
      <w:r>
        <w:rPr>
          <w:lang w:val="en-US" w:eastAsia="zh-CN"/>
        </w:rPr>
        <w:drawing>
          <wp:anchor distT="0" distB="0" distL="114300" distR="114300" simplePos="0" relativeHeight="251702272" behindDoc="0" locked="0" layoutInCell="1" allowOverlap="1">
            <wp:simplePos x="0" y="0"/>
            <wp:positionH relativeFrom="column">
              <wp:posOffset>-555625</wp:posOffset>
            </wp:positionH>
            <wp:positionV relativeFrom="paragraph">
              <wp:posOffset>-13335</wp:posOffset>
            </wp:positionV>
            <wp:extent cx="13734415" cy="9717405"/>
            <wp:effectExtent l="0" t="0" r="6985" b="10795"/>
            <wp:wrapTopAndBottom/>
            <wp:docPr id="53" name="图片 53" descr="产业园附表1 商服用地宗地地价修正系数及说明表_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3" name="图片 53" descr="产业园附表1 商服用地宗地地价修正系数及说明表_11"/>
                    <pic:cNvPicPr>
                      <a:picLocks noChangeAspect="1"/>
                    </pic:cNvPicPr>
                  </pic:nvPicPr>
                  <pic:blipFill>
                    <a:blip r:embed="rId54"/>
                    <a:stretch>
                      <a:fillRect/>
                    </a:stretch>
                  </pic:blipFill>
                  <pic:spPr>
                    <a:xfrm>
                      <a:off x="0" y="0"/>
                      <a:ext cx="13734415" cy="9717405"/>
                    </a:xfrm>
                    <a:prstGeom prst="rect">
                      <a:avLst/>
                    </a:prstGeom>
                  </pic:spPr>
                </pic:pic>
              </a:graphicData>
            </a:graphic>
          </wp:anchor>
        </w:drawing>
      </w:r>
    </w:p>
    <w:sectPr>
      <w:pgSz w:w="23811" w:h="16838" w:orient="landscape"/>
      <w:pgMar w:top="1440" w:right="1800" w:bottom="1440" w:left="1800" w:header="858" w:footer="993" w:gutter="0"/>
      <w:cols w:space="720" w:num="1"/>
      <w:docGrid w:linePitch="299"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altName w:val="仿宋"/>
    <w:panose1 w:val="02010609030101010101"/>
    <w:charset w:val="86"/>
    <w:family w:val="modern"/>
    <w:pitch w:val="default"/>
    <w:sig w:usb0="00000000" w:usb1="00000000" w:usb2="00000000" w:usb3="00000000" w:csb0="00040000" w:csb1="00000000"/>
    <w:embedRegular r:id="rId1" w:fontKey="{F9956F42-E89E-4524-B05B-6485629D0722}"/>
  </w:font>
  <w:font w:name="Cambria">
    <w:panose1 w:val="02040503050406030204"/>
    <w:charset w:val="00"/>
    <w:family w:val="roman"/>
    <w:pitch w:val="default"/>
    <w:sig w:usb0="E00006FF" w:usb1="420024FF" w:usb2="02000000" w:usb3="00000000" w:csb0="2000019F" w:csb1="00000000"/>
  </w:font>
  <w:font w:name="仿宋">
    <w:panose1 w:val="02010609060101010101"/>
    <w:charset w:val="86"/>
    <w:family w:val="modern"/>
    <w:pitch w:val="default"/>
    <w:sig w:usb0="800002BF" w:usb1="38CF7CFA" w:usb2="00000016" w:usb3="00000000" w:csb0="00040001" w:csb1="00000000"/>
    <w:embedRegular r:id="rId2" w:fontKey="{13C2B217-C53C-4F60-9284-926132C8BB19}"/>
  </w:font>
  <w:font w:name="微软雅黑">
    <w:panose1 w:val="020B0503020204020204"/>
    <w:charset w:val="86"/>
    <w:family w:val="swiss"/>
    <w:pitch w:val="default"/>
    <w:sig w:usb0="80000287" w:usb1="2ACF3C50" w:usb2="00000016" w:usb3="00000000" w:csb0="0004001F" w:csb1="00000000"/>
  </w:font>
  <w:font w:name="华文仿宋">
    <w:altName w:val="仿宋"/>
    <w:panose1 w:val="02010600040101010101"/>
    <w:charset w:val="86"/>
    <w:family w:val="auto"/>
    <w:pitch w:val="default"/>
    <w:sig w:usb0="00000000" w:usb1="00000000" w:usb2="00000000" w:usb3="00000000" w:csb0="0004009F" w:csb1="DFD70000"/>
  </w:font>
  <w:font w:name="方正小标宋_GBK">
    <w:altName w:val="微软雅黑"/>
    <w:panose1 w:val="02000000000000000000"/>
    <w:charset w:val="86"/>
    <w:family w:val="script"/>
    <w:pitch w:val="default"/>
    <w:sig w:usb0="00000000" w:usb1="00000000" w:usb2="00000000" w:usb3="00000000" w:csb0="00040000" w:csb1="00000000"/>
    <w:embedRegular r:id="rId3" w:fontKey="{A24FEC0D-AF32-4AA7-8343-C64A82DA8489}"/>
  </w:font>
  <w:font w:name="方正仿宋_GBK">
    <w:altName w:val="微软雅黑"/>
    <w:panose1 w:val="02000000000000000000"/>
    <w:charset w:val="86"/>
    <w:family w:val="auto"/>
    <w:pitch w:val="default"/>
    <w:sig w:usb0="00000000" w:usb1="00000000" w:usb2="00000000" w:usb3="00000000" w:csb0="00040000" w:csb1="00000000"/>
    <w:embedRegular r:id="rId4" w:fontKey="{E53271E0-EFC8-4703-843F-DFE18696C71C}"/>
  </w:font>
  <w:font w:name="Cambria Math">
    <w:panose1 w:val="02040503050406030204"/>
    <w:charset w:val="00"/>
    <w:family w:val="roman"/>
    <w:pitch w:val="default"/>
    <w:sig w:usb0="E00006FF" w:usb1="420024FF" w:usb2="02000000" w:usb3="00000000" w:csb0="2000019F" w:csb1="00000000"/>
    <w:embedRegular r:id="rId5" w:fontKey="{7E40B90B-36E7-4239-9401-BE4530D71172}"/>
  </w:font>
  <w:font w:name="方正黑体_GBK">
    <w:altName w:val="微软雅黑"/>
    <w:panose1 w:val="02000000000000000000"/>
    <w:charset w:val="86"/>
    <w:family w:val="auto"/>
    <w:pitch w:val="default"/>
    <w:sig w:usb0="00000000" w:usb1="00000000" w:usb2="00000000" w:usb3="00000000" w:csb0="00040000" w:csb1="00000000"/>
    <w:embedRegular r:id="rId6" w:fontKey="{87A935DA-FCA1-4985-9D58-A13DFFD7447C}"/>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
    </w:sdtPr>
    <w:sdtContent>
      <w:p w14:paraId="1D9F7C6F">
        <w:pPr>
          <w:pStyle w:val="13"/>
          <w:jc w:val="center"/>
        </w:pPr>
        <w:r>
          <w:fldChar w:fldCharType="begin"/>
        </w:r>
        <w:r>
          <w:instrText xml:space="preserve">PAGE   \* MERGEFORMAT</w:instrText>
        </w:r>
        <w:r>
          <w:fldChar w:fldCharType="separate"/>
        </w:r>
        <w:r>
          <w:rPr>
            <w:lang w:val="zh-CN" w:eastAsia="zh-CN"/>
          </w:rPr>
          <w:t>132</w:t>
        </w:r>
        <w:r>
          <w:fldChar w:fldCharType="end"/>
        </w:r>
      </w:p>
    </w:sdtContent>
  </w:sdt>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CF0FB33">
    <w:pPr>
      <w:pStyle w:val="14"/>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4F3F644C"/>
    <w:multiLevelType w:val="multilevel"/>
    <w:tmpl w:val="4F3F644C"/>
    <w:lvl w:ilvl="0" w:tentative="0">
      <w:start w:val="1"/>
      <w:numFmt w:val="chineseCountingThousand"/>
      <w:pStyle w:val="44"/>
      <w:suff w:val="nothing"/>
      <w:lvlText w:val="%1、"/>
      <w:lvlJc w:val="left"/>
      <w:pPr>
        <w:ind w:left="1604" w:hanging="1037"/>
      </w:pPr>
      <w:rPr>
        <w:rFonts w:hint="default" w:ascii="仿宋_GB2312" w:hAnsi="仿宋_GB2312" w:eastAsia="仿宋_GB2312" w:cs="仿宋_GB2312"/>
        <w:b/>
        <w:bCs/>
        <w:spacing w:val="-2"/>
        <w:w w:val="100"/>
        <w:sz w:val="30"/>
        <w:szCs w:val="30"/>
      </w:rPr>
    </w:lvl>
    <w:lvl w:ilvl="1" w:tentative="0">
      <w:start w:val="1"/>
      <w:numFmt w:val="chineseCountingThousand"/>
      <w:pStyle w:val="46"/>
      <w:suff w:val="nothing"/>
      <w:lvlText w:val="（%2）"/>
      <w:lvlJc w:val="left"/>
      <w:pPr>
        <w:ind w:left="1207" w:hanging="924"/>
      </w:pPr>
      <w:rPr>
        <w:rFonts w:hint="eastAsia"/>
      </w:rPr>
    </w:lvl>
    <w:lvl w:ilvl="2" w:tentative="0">
      <w:start w:val="1"/>
      <w:numFmt w:val="decimal"/>
      <w:pStyle w:val="48"/>
      <w:suff w:val="nothing"/>
      <w:lvlText w:val="%3."/>
      <w:lvlJc w:val="left"/>
      <w:pPr>
        <w:ind w:left="-142" w:firstLine="992"/>
      </w:pPr>
      <w:rPr>
        <w:rFonts w:hint="default" w:ascii="Times New Roman" w:hAnsi="Times New Roman" w:eastAsia="宋体" w:cs="Times New Roman"/>
        <w:spacing w:val="1"/>
        <w:w w:val="100"/>
        <w:sz w:val="28"/>
        <w:szCs w:val="28"/>
      </w:rPr>
    </w:lvl>
    <w:lvl w:ilvl="3" w:tentative="0">
      <w:start w:val="0"/>
      <w:numFmt w:val="bullet"/>
      <w:lvlText w:val="•"/>
      <w:lvlJc w:val="left"/>
      <w:pPr>
        <w:ind w:left="3605" w:hanging="425"/>
      </w:pPr>
      <w:rPr>
        <w:rFonts w:hint="default"/>
      </w:rPr>
    </w:lvl>
    <w:lvl w:ilvl="4" w:tentative="0">
      <w:start w:val="0"/>
      <w:numFmt w:val="bullet"/>
      <w:lvlText w:val="•"/>
      <w:lvlJc w:val="left"/>
      <w:pPr>
        <w:ind w:left="4608" w:hanging="425"/>
      </w:pPr>
      <w:rPr>
        <w:rFonts w:hint="default"/>
      </w:rPr>
    </w:lvl>
    <w:lvl w:ilvl="5" w:tentative="0">
      <w:start w:val="0"/>
      <w:numFmt w:val="bullet"/>
      <w:lvlText w:val="•"/>
      <w:lvlJc w:val="left"/>
      <w:pPr>
        <w:ind w:left="5611" w:hanging="425"/>
      </w:pPr>
      <w:rPr>
        <w:rFonts w:hint="default"/>
      </w:rPr>
    </w:lvl>
    <w:lvl w:ilvl="6" w:tentative="0">
      <w:start w:val="0"/>
      <w:numFmt w:val="bullet"/>
      <w:lvlText w:val="•"/>
      <w:lvlJc w:val="left"/>
      <w:pPr>
        <w:ind w:left="6614" w:hanging="425"/>
      </w:pPr>
      <w:rPr>
        <w:rFonts w:hint="default"/>
      </w:rPr>
    </w:lvl>
    <w:lvl w:ilvl="7" w:tentative="0">
      <w:start w:val="0"/>
      <w:numFmt w:val="bullet"/>
      <w:lvlText w:val="•"/>
      <w:lvlJc w:val="left"/>
      <w:pPr>
        <w:ind w:left="7617" w:hanging="425"/>
      </w:pPr>
      <w:rPr>
        <w:rFonts w:hint="default"/>
      </w:rPr>
    </w:lvl>
    <w:lvl w:ilvl="8" w:tentative="0">
      <w:start w:val="0"/>
      <w:numFmt w:val="bullet"/>
      <w:lvlText w:val="•"/>
      <w:lvlJc w:val="left"/>
      <w:pPr>
        <w:ind w:left="8620" w:hanging="425"/>
      </w:pPr>
      <w:rPr>
        <w:rFont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50"/>
  <w:embedTrueTypeFonts/>
  <w:saveSubsetFonts/>
  <w:bordersDoNotSurroundHeader w:val="0"/>
  <w:bordersDoNotSurroundFooter w:val="0"/>
  <w:hideSpellingErrors/>
  <w:documentProtection w:edit="readOnly" w:enforcement="0"/>
  <w:defaultTabStop w:val="720"/>
  <w:drawingGridHorizontalSpacing w:val="110"/>
  <w:displayHorizontalDrawingGridEvery w:val="1"/>
  <w:displayVerticalDrawingGridEvery w:val="1"/>
  <w:noPunctuationKerning w:val="1"/>
  <w:characterSpacingControl w:val="doNotCompress"/>
  <w:compat>
    <w:balanceSingleByteDoubleByteWidth/>
    <w:ulTrailSpace/>
    <w:doNotExpandShiftReturn/>
    <w:adjustLineHeightInTable/>
    <w:doNotWrapTextWithPunct/>
    <w:doNotUseEastAsianBreakRules/>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A4C73"/>
    <w:rsid w:val="00000955"/>
    <w:rsid w:val="000025A8"/>
    <w:rsid w:val="00007652"/>
    <w:rsid w:val="0001265E"/>
    <w:rsid w:val="00014D29"/>
    <w:rsid w:val="0001601B"/>
    <w:rsid w:val="00024EC0"/>
    <w:rsid w:val="00026CD7"/>
    <w:rsid w:val="00026CE1"/>
    <w:rsid w:val="000274F3"/>
    <w:rsid w:val="0003006E"/>
    <w:rsid w:val="00030097"/>
    <w:rsid w:val="00031612"/>
    <w:rsid w:val="0003272E"/>
    <w:rsid w:val="0003415A"/>
    <w:rsid w:val="00034831"/>
    <w:rsid w:val="000361C3"/>
    <w:rsid w:val="000435B7"/>
    <w:rsid w:val="00050DFE"/>
    <w:rsid w:val="00051DB2"/>
    <w:rsid w:val="0005281D"/>
    <w:rsid w:val="0006005B"/>
    <w:rsid w:val="00061C70"/>
    <w:rsid w:val="0006779F"/>
    <w:rsid w:val="00067BA0"/>
    <w:rsid w:val="00071E28"/>
    <w:rsid w:val="0007524F"/>
    <w:rsid w:val="000775F4"/>
    <w:rsid w:val="00077A59"/>
    <w:rsid w:val="00080DB4"/>
    <w:rsid w:val="00084930"/>
    <w:rsid w:val="0008664A"/>
    <w:rsid w:val="00097960"/>
    <w:rsid w:val="000A11CD"/>
    <w:rsid w:val="000A23B2"/>
    <w:rsid w:val="000A3C48"/>
    <w:rsid w:val="000B60E2"/>
    <w:rsid w:val="000B6DEC"/>
    <w:rsid w:val="000B7064"/>
    <w:rsid w:val="000B750D"/>
    <w:rsid w:val="000B7E78"/>
    <w:rsid w:val="000C3C32"/>
    <w:rsid w:val="000C6133"/>
    <w:rsid w:val="000C656F"/>
    <w:rsid w:val="000D26E5"/>
    <w:rsid w:val="000D528A"/>
    <w:rsid w:val="000D7A9E"/>
    <w:rsid w:val="000E1CBA"/>
    <w:rsid w:val="000F0D56"/>
    <w:rsid w:val="000F0FE9"/>
    <w:rsid w:val="00100A85"/>
    <w:rsid w:val="00103B96"/>
    <w:rsid w:val="001054D1"/>
    <w:rsid w:val="00106802"/>
    <w:rsid w:val="001075F7"/>
    <w:rsid w:val="0010793B"/>
    <w:rsid w:val="00110465"/>
    <w:rsid w:val="001106AF"/>
    <w:rsid w:val="00113239"/>
    <w:rsid w:val="001163D6"/>
    <w:rsid w:val="0011753D"/>
    <w:rsid w:val="00121537"/>
    <w:rsid w:val="0012256C"/>
    <w:rsid w:val="0012353E"/>
    <w:rsid w:val="001258C6"/>
    <w:rsid w:val="00126E5C"/>
    <w:rsid w:val="00132325"/>
    <w:rsid w:val="0014468A"/>
    <w:rsid w:val="00144CF5"/>
    <w:rsid w:val="001453EF"/>
    <w:rsid w:val="00147796"/>
    <w:rsid w:val="001500AE"/>
    <w:rsid w:val="00152241"/>
    <w:rsid w:val="00156AD7"/>
    <w:rsid w:val="00156CAB"/>
    <w:rsid w:val="00164F99"/>
    <w:rsid w:val="00165B74"/>
    <w:rsid w:val="00166A0A"/>
    <w:rsid w:val="00166D08"/>
    <w:rsid w:val="00170C79"/>
    <w:rsid w:val="00173186"/>
    <w:rsid w:val="00173E4F"/>
    <w:rsid w:val="00175C40"/>
    <w:rsid w:val="00181051"/>
    <w:rsid w:val="0018393A"/>
    <w:rsid w:val="0018463C"/>
    <w:rsid w:val="001848E9"/>
    <w:rsid w:val="00186771"/>
    <w:rsid w:val="00191171"/>
    <w:rsid w:val="0019232E"/>
    <w:rsid w:val="00196829"/>
    <w:rsid w:val="00196C08"/>
    <w:rsid w:val="001A2050"/>
    <w:rsid w:val="001B0461"/>
    <w:rsid w:val="001B05F6"/>
    <w:rsid w:val="001B12F6"/>
    <w:rsid w:val="001B4BD2"/>
    <w:rsid w:val="001B5A66"/>
    <w:rsid w:val="001B62C9"/>
    <w:rsid w:val="001C1833"/>
    <w:rsid w:val="001C4626"/>
    <w:rsid w:val="001C6EFF"/>
    <w:rsid w:val="001D14D7"/>
    <w:rsid w:val="001D3CC1"/>
    <w:rsid w:val="001D45E0"/>
    <w:rsid w:val="001D63CE"/>
    <w:rsid w:val="001E0372"/>
    <w:rsid w:val="001E14AA"/>
    <w:rsid w:val="001E3F7B"/>
    <w:rsid w:val="001E6BE7"/>
    <w:rsid w:val="001E778C"/>
    <w:rsid w:val="001F4B4B"/>
    <w:rsid w:val="002024B1"/>
    <w:rsid w:val="00205F07"/>
    <w:rsid w:val="00210C1F"/>
    <w:rsid w:val="00211D79"/>
    <w:rsid w:val="00211F6E"/>
    <w:rsid w:val="00213415"/>
    <w:rsid w:val="002145B7"/>
    <w:rsid w:val="0022163E"/>
    <w:rsid w:val="002223E7"/>
    <w:rsid w:val="0022703C"/>
    <w:rsid w:val="002371B3"/>
    <w:rsid w:val="0023771E"/>
    <w:rsid w:val="00237BC6"/>
    <w:rsid w:val="002457F3"/>
    <w:rsid w:val="002460F4"/>
    <w:rsid w:val="00247914"/>
    <w:rsid w:val="00253D0C"/>
    <w:rsid w:val="0025497D"/>
    <w:rsid w:val="002551FA"/>
    <w:rsid w:val="0025581C"/>
    <w:rsid w:val="00260453"/>
    <w:rsid w:val="00260A2C"/>
    <w:rsid w:val="00266F92"/>
    <w:rsid w:val="0026758F"/>
    <w:rsid w:val="00267642"/>
    <w:rsid w:val="002713CB"/>
    <w:rsid w:val="00277851"/>
    <w:rsid w:val="00283E40"/>
    <w:rsid w:val="002876F6"/>
    <w:rsid w:val="00290663"/>
    <w:rsid w:val="002958E1"/>
    <w:rsid w:val="0029644E"/>
    <w:rsid w:val="0029688C"/>
    <w:rsid w:val="00297E8F"/>
    <w:rsid w:val="002A0D84"/>
    <w:rsid w:val="002A1DA1"/>
    <w:rsid w:val="002A23E4"/>
    <w:rsid w:val="002A465E"/>
    <w:rsid w:val="002A5F70"/>
    <w:rsid w:val="002A7265"/>
    <w:rsid w:val="002A7768"/>
    <w:rsid w:val="002B0048"/>
    <w:rsid w:val="002B27AD"/>
    <w:rsid w:val="002B428E"/>
    <w:rsid w:val="002B6568"/>
    <w:rsid w:val="002C50EF"/>
    <w:rsid w:val="002C53CF"/>
    <w:rsid w:val="002D38CC"/>
    <w:rsid w:val="002D3F53"/>
    <w:rsid w:val="002D6B48"/>
    <w:rsid w:val="002D76B4"/>
    <w:rsid w:val="002E1F3A"/>
    <w:rsid w:val="002E2175"/>
    <w:rsid w:val="002E274B"/>
    <w:rsid w:val="002E2954"/>
    <w:rsid w:val="002E31FA"/>
    <w:rsid w:val="002E3EE2"/>
    <w:rsid w:val="002E6C66"/>
    <w:rsid w:val="002F1912"/>
    <w:rsid w:val="002F4432"/>
    <w:rsid w:val="002F4857"/>
    <w:rsid w:val="002F5068"/>
    <w:rsid w:val="002F7988"/>
    <w:rsid w:val="0030088D"/>
    <w:rsid w:val="00304DEE"/>
    <w:rsid w:val="00310BC5"/>
    <w:rsid w:val="00311E23"/>
    <w:rsid w:val="00312323"/>
    <w:rsid w:val="003125B6"/>
    <w:rsid w:val="0031307F"/>
    <w:rsid w:val="00313F5C"/>
    <w:rsid w:val="00315ADC"/>
    <w:rsid w:val="003169C2"/>
    <w:rsid w:val="00321507"/>
    <w:rsid w:val="0032226D"/>
    <w:rsid w:val="003323A9"/>
    <w:rsid w:val="00332FCA"/>
    <w:rsid w:val="00333D93"/>
    <w:rsid w:val="00335DC6"/>
    <w:rsid w:val="00336323"/>
    <w:rsid w:val="00336CD0"/>
    <w:rsid w:val="00351192"/>
    <w:rsid w:val="003515B9"/>
    <w:rsid w:val="00354B2C"/>
    <w:rsid w:val="0036091A"/>
    <w:rsid w:val="00360BFA"/>
    <w:rsid w:val="003621D5"/>
    <w:rsid w:val="003635FB"/>
    <w:rsid w:val="003668E4"/>
    <w:rsid w:val="003773F8"/>
    <w:rsid w:val="00380183"/>
    <w:rsid w:val="003815D1"/>
    <w:rsid w:val="00381EEC"/>
    <w:rsid w:val="00386025"/>
    <w:rsid w:val="00386122"/>
    <w:rsid w:val="0038645E"/>
    <w:rsid w:val="003865B6"/>
    <w:rsid w:val="0039424E"/>
    <w:rsid w:val="00394D4B"/>
    <w:rsid w:val="003954F6"/>
    <w:rsid w:val="00397BCE"/>
    <w:rsid w:val="003A592E"/>
    <w:rsid w:val="003A6129"/>
    <w:rsid w:val="003B1EC3"/>
    <w:rsid w:val="003B392E"/>
    <w:rsid w:val="003C1CDF"/>
    <w:rsid w:val="003C536A"/>
    <w:rsid w:val="003C7B8A"/>
    <w:rsid w:val="003D53C6"/>
    <w:rsid w:val="003E47F1"/>
    <w:rsid w:val="003E6473"/>
    <w:rsid w:val="003E75A3"/>
    <w:rsid w:val="003E7F83"/>
    <w:rsid w:val="003F082D"/>
    <w:rsid w:val="003F1513"/>
    <w:rsid w:val="003F5199"/>
    <w:rsid w:val="003F62B7"/>
    <w:rsid w:val="003F7DC2"/>
    <w:rsid w:val="004014EF"/>
    <w:rsid w:val="004016D0"/>
    <w:rsid w:val="0040759C"/>
    <w:rsid w:val="00407DCF"/>
    <w:rsid w:val="00407E85"/>
    <w:rsid w:val="00412FBA"/>
    <w:rsid w:val="00415F57"/>
    <w:rsid w:val="004203E6"/>
    <w:rsid w:val="0042518B"/>
    <w:rsid w:val="00435F7F"/>
    <w:rsid w:val="0045081E"/>
    <w:rsid w:val="00452E51"/>
    <w:rsid w:val="00453A0F"/>
    <w:rsid w:val="00455592"/>
    <w:rsid w:val="00456D45"/>
    <w:rsid w:val="00460BA0"/>
    <w:rsid w:val="00461AF9"/>
    <w:rsid w:val="004651CB"/>
    <w:rsid w:val="004670AA"/>
    <w:rsid w:val="00467897"/>
    <w:rsid w:val="0047188B"/>
    <w:rsid w:val="0047191A"/>
    <w:rsid w:val="00471B0A"/>
    <w:rsid w:val="0047633C"/>
    <w:rsid w:val="00477773"/>
    <w:rsid w:val="00487E78"/>
    <w:rsid w:val="004907B7"/>
    <w:rsid w:val="0049541F"/>
    <w:rsid w:val="00495CCE"/>
    <w:rsid w:val="004A0714"/>
    <w:rsid w:val="004A1853"/>
    <w:rsid w:val="004A4A22"/>
    <w:rsid w:val="004A4C73"/>
    <w:rsid w:val="004A613A"/>
    <w:rsid w:val="004B7255"/>
    <w:rsid w:val="004C1979"/>
    <w:rsid w:val="004C22FF"/>
    <w:rsid w:val="004C3B20"/>
    <w:rsid w:val="004D5A62"/>
    <w:rsid w:val="004D6454"/>
    <w:rsid w:val="004D7036"/>
    <w:rsid w:val="004E10D6"/>
    <w:rsid w:val="004E564E"/>
    <w:rsid w:val="004E5B79"/>
    <w:rsid w:val="004E7F32"/>
    <w:rsid w:val="004F3EAA"/>
    <w:rsid w:val="004F7488"/>
    <w:rsid w:val="00500CB2"/>
    <w:rsid w:val="00504FC2"/>
    <w:rsid w:val="0050554E"/>
    <w:rsid w:val="00506AE1"/>
    <w:rsid w:val="00511A61"/>
    <w:rsid w:val="0051216C"/>
    <w:rsid w:val="00513744"/>
    <w:rsid w:val="00513F18"/>
    <w:rsid w:val="00514081"/>
    <w:rsid w:val="005150EE"/>
    <w:rsid w:val="005159C5"/>
    <w:rsid w:val="00516E39"/>
    <w:rsid w:val="00521350"/>
    <w:rsid w:val="0052286E"/>
    <w:rsid w:val="0052334A"/>
    <w:rsid w:val="00526EA8"/>
    <w:rsid w:val="00527712"/>
    <w:rsid w:val="0053653C"/>
    <w:rsid w:val="005401EA"/>
    <w:rsid w:val="00542252"/>
    <w:rsid w:val="00545C2E"/>
    <w:rsid w:val="00550C6E"/>
    <w:rsid w:val="005519C8"/>
    <w:rsid w:val="00562D9B"/>
    <w:rsid w:val="00563251"/>
    <w:rsid w:val="00565B30"/>
    <w:rsid w:val="00566AA6"/>
    <w:rsid w:val="00573252"/>
    <w:rsid w:val="00576D56"/>
    <w:rsid w:val="00583A20"/>
    <w:rsid w:val="00584CEB"/>
    <w:rsid w:val="005859ED"/>
    <w:rsid w:val="00585C73"/>
    <w:rsid w:val="00586ACC"/>
    <w:rsid w:val="00586C1A"/>
    <w:rsid w:val="00592BEC"/>
    <w:rsid w:val="00593606"/>
    <w:rsid w:val="00593E45"/>
    <w:rsid w:val="00595A77"/>
    <w:rsid w:val="00597A1F"/>
    <w:rsid w:val="005A24EF"/>
    <w:rsid w:val="005A379E"/>
    <w:rsid w:val="005A5299"/>
    <w:rsid w:val="005B2834"/>
    <w:rsid w:val="005B2A5F"/>
    <w:rsid w:val="005B2D40"/>
    <w:rsid w:val="005B4504"/>
    <w:rsid w:val="005C06D6"/>
    <w:rsid w:val="005C3021"/>
    <w:rsid w:val="005C3D55"/>
    <w:rsid w:val="005C5D62"/>
    <w:rsid w:val="005C7D30"/>
    <w:rsid w:val="005C7F57"/>
    <w:rsid w:val="005D2B9F"/>
    <w:rsid w:val="005D3416"/>
    <w:rsid w:val="005D41DD"/>
    <w:rsid w:val="005D6D2B"/>
    <w:rsid w:val="005D7111"/>
    <w:rsid w:val="005D765D"/>
    <w:rsid w:val="005E4ABD"/>
    <w:rsid w:val="005E5D92"/>
    <w:rsid w:val="005F1350"/>
    <w:rsid w:val="005F19E5"/>
    <w:rsid w:val="005F2201"/>
    <w:rsid w:val="005F2317"/>
    <w:rsid w:val="005F3788"/>
    <w:rsid w:val="005F6D9D"/>
    <w:rsid w:val="005F71C7"/>
    <w:rsid w:val="005F79A9"/>
    <w:rsid w:val="00603094"/>
    <w:rsid w:val="00605384"/>
    <w:rsid w:val="006121FF"/>
    <w:rsid w:val="00614F19"/>
    <w:rsid w:val="0061569E"/>
    <w:rsid w:val="00620112"/>
    <w:rsid w:val="00624E77"/>
    <w:rsid w:val="0062795D"/>
    <w:rsid w:val="00633964"/>
    <w:rsid w:val="0063430F"/>
    <w:rsid w:val="006360FD"/>
    <w:rsid w:val="00640094"/>
    <w:rsid w:val="00653E0B"/>
    <w:rsid w:val="00653F48"/>
    <w:rsid w:val="0066473F"/>
    <w:rsid w:val="006649B4"/>
    <w:rsid w:val="0066591E"/>
    <w:rsid w:val="00665B93"/>
    <w:rsid w:val="006665DE"/>
    <w:rsid w:val="006753F4"/>
    <w:rsid w:val="006760A8"/>
    <w:rsid w:val="006762D0"/>
    <w:rsid w:val="00682EF2"/>
    <w:rsid w:val="00692C55"/>
    <w:rsid w:val="0069768E"/>
    <w:rsid w:val="00697980"/>
    <w:rsid w:val="006A132A"/>
    <w:rsid w:val="006A1CEF"/>
    <w:rsid w:val="006A2C1F"/>
    <w:rsid w:val="006A36DE"/>
    <w:rsid w:val="006A5C4C"/>
    <w:rsid w:val="006B52F8"/>
    <w:rsid w:val="006B698F"/>
    <w:rsid w:val="006C55EB"/>
    <w:rsid w:val="006D6CB2"/>
    <w:rsid w:val="006E0EF4"/>
    <w:rsid w:val="006E30F5"/>
    <w:rsid w:val="006E4DFA"/>
    <w:rsid w:val="006E7C89"/>
    <w:rsid w:val="006F03B2"/>
    <w:rsid w:val="006F2B62"/>
    <w:rsid w:val="006F5CDC"/>
    <w:rsid w:val="006F73C8"/>
    <w:rsid w:val="006F74B7"/>
    <w:rsid w:val="007048D8"/>
    <w:rsid w:val="007065F2"/>
    <w:rsid w:val="00710428"/>
    <w:rsid w:val="007117C5"/>
    <w:rsid w:val="00716418"/>
    <w:rsid w:val="00716483"/>
    <w:rsid w:val="00717090"/>
    <w:rsid w:val="00720186"/>
    <w:rsid w:val="00720D48"/>
    <w:rsid w:val="00721C3B"/>
    <w:rsid w:val="00721E15"/>
    <w:rsid w:val="007247DD"/>
    <w:rsid w:val="00726BB4"/>
    <w:rsid w:val="0072733A"/>
    <w:rsid w:val="00732B64"/>
    <w:rsid w:val="00732BD7"/>
    <w:rsid w:val="007333AF"/>
    <w:rsid w:val="00735ACC"/>
    <w:rsid w:val="007365E4"/>
    <w:rsid w:val="0075236A"/>
    <w:rsid w:val="007526EA"/>
    <w:rsid w:val="00752A6B"/>
    <w:rsid w:val="00753330"/>
    <w:rsid w:val="00755375"/>
    <w:rsid w:val="00755F1A"/>
    <w:rsid w:val="0075611C"/>
    <w:rsid w:val="00760E46"/>
    <w:rsid w:val="00773411"/>
    <w:rsid w:val="00782D04"/>
    <w:rsid w:val="00782E05"/>
    <w:rsid w:val="00783EC6"/>
    <w:rsid w:val="00785C94"/>
    <w:rsid w:val="00791F3D"/>
    <w:rsid w:val="00793881"/>
    <w:rsid w:val="00796366"/>
    <w:rsid w:val="00797134"/>
    <w:rsid w:val="007A3A32"/>
    <w:rsid w:val="007A481A"/>
    <w:rsid w:val="007A7611"/>
    <w:rsid w:val="007B3D83"/>
    <w:rsid w:val="007B5CA1"/>
    <w:rsid w:val="007B6036"/>
    <w:rsid w:val="007B745B"/>
    <w:rsid w:val="007C261E"/>
    <w:rsid w:val="007C2A50"/>
    <w:rsid w:val="007D4311"/>
    <w:rsid w:val="007E3261"/>
    <w:rsid w:val="007E5EAE"/>
    <w:rsid w:val="007E617A"/>
    <w:rsid w:val="007E775E"/>
    <w:rsid w:val="007F2609"/>
    <w:rsid w:val="007F71F3"/>
    <w:rsid w:val="00800F63"/>
    <w:rsid w:val="0080220A"/>
    <w:rsid w:val="00803CBD"/>
    <w:rsid w:val="00807689"/>
    <w:rsid w:val="00807D7B"/>
    <w:rsid w:val="00813283"/>
    <w:rsid w:val="00815941"/>
    <w:rsid w:val="008224DC"/>
    <w:rsid w:val="00822D11"/>
    <w:rsid w:val="008311E6"/>
    <w:rsid w:val="00837F7C"/>
    <w:rsid w:val="00841F08"/>
    <w:rsid w:val="00844CA7"/>
    <w:rsid w:val="0084637E"/>
    <w:rsid w:val="00852750"/>
    <w:rsid w:val="008535FF"/>
    <w:rsid w:val="008550D1"/>
    <w:rsid w:val="0085623D"/>
    <w:rsid w:val="008574DD"/>
    <w:rsid w:val="0086156F"/>
    <w:rsid w:val="008622A7"/>
    <w:rsid w:val="008655EC"/>
    <w:rsid w:val="0087466F"/>
    <w:rsid w:val="00880133"/>
    <w:rsid w:val="00880E94"/>
    <w:rsid w:val="00885100"/>
    <w:rsid w:val="0088691A"/>
    <w:rsid w:val="00891AA0"/>
    <w:rsid w:val="00891F74"/>
    <w:rsid w:val="00897416"/>
    <w:rsid w:val="00897EA3"/>
    <w:rsid w:val="008A1181"/>
    <w:rsid w:val="008A1F7F"/>
    <w:rsid w:val="008A2D54"/>
    <w:rsid w:val="008A31D0"/>
    <w:rsid w:val="008A670A"/>
    <w:rsid w:val="008B01F7"/>
    <w:rsid w:val="008B7D46"/>
    <w:rsid w:val="008C2E5E"/>
    <w:rsid w:val="008C333B"/>
    <w:rsid w:val="008C4E62"/>
    <w:rsid w:val="008E2D25"/>
    <w:rsid w:val="008E3858"/>
    <w:rsid w:val="008F0A51"/>
    <w:rsid w:val="008F3047"/>
    <w:rsid w:val="008F49A8"/>
    <w:rsid w:val="008F50DF"/>
    <w:rsid w:val="00900F69"/>
    <w:rsid w:val="009041A7"/>
    <w:rsid w:val="009053B4"/>
    <w:rsid w:val="00906A3D"/>
    <w:rsid w:val="00907233"/>
    <w:rsid w:val="009160D9"/>
    <w:rsid w:val="00916F4C"/>
    <w:rsid w:val="00920A71"/>
    <w:rsid w:val="00922593"/>
    <w:rsid w:val="00927AE6"/>
    <w:rsid w:val="00932DF0"/>
    <w:rsid w:val="00934544"/>
    <w:rsid w:val="0093526E"/>
    <w:rsid w:val="009366E9"/>
    <w:rsid w:val="00937A47"/>
    <w:rsid w:val="00940648"/>
    <w:rsid w:val="00940FA6"/>
    <w:rsid w:val="0094137F"/>
    <w:rsid w:val="00941439"/>
    <w:rsid w:val="009415C0"/>
    <w:rsid w:val="0094725D"/>
    <w:rsid w:val="00950BBD"/>
    <w:rsid w:val="00951560"/>
    <w:rsid w:val="00952050"/>
    <w:rsid w:val="009529FF"/>
    <w:rsid w:val="009537A1"/>
    <w:rsid w:val="00954DC6"/>
    <w:rsid w:val="009574CB"/>
    <w:rsid w:val="009631D1"/>
    <w:rsid w:val="00972CC8"/>
    <w:rsid w:val="00972F3E"/>
    <w:rsid w:val="00974599"/>
    <w:rsid w:val="009756C8"/>
    <w:rsid w:val="00977C01"/>
    <w:rsid w:val="00982631"/>
    <w:rsid w:val="00982826"/>
    <w:rsid w:val="009854C8"/>
    <w:rsid w:val="00986906"/>
    <w:rsid w:val="009875CC"/>
    <w:rsid w:val="009908F5"/>
    <w:rsid w:val="00990D54"/>
    <w:rsid w:val="009938AF"/>
    <w:rsid w:val="009A478E"/>
    <w:rsid w:val="009A4EA8"/>
    <w:rsid w:val="009B17A1"/>
    <w:rsid w:val="009B6229"/>
    <w:rsid w:val="009C0B95"/>
    <w:rsid w:val="009C10A0"/>
    <w:rsid w:val="009C34D0"/>
    <w:rsid w:val="009C5955"/>
    <w:rsid w:val="009C7075"/>
    <w:rsid w:val="009D05BA"/>
    <w:rsid w:val="009D5022"/>
    <w:rsid w:val="009D6515"/>
    <w:rsid w:val="009E29BC"/>
    <w:rsid w:val="009E7B89"/>
    <w:rsid w:val="009F39BA"/>
    <w:rsid w:val="009F5070"/>
    <w:rsid w:val="009F5F8A"/>
    <w:rsid w:val="009F6474"/>
    <w:rsid w:val="00A06DE4"/>
    <w:rsid w:val="00A1164C"/>
    <w:rsid w:val="00A15003"/>
    <w:rsid w:val="00A2377D"/>
    <w:rsid w:val="00A2572D"/>
    <w:rsid w:val="00A313DA"/>
    <w:rsid w:val="00A361C0"/>
    <w:rsid w:val="00A3643F"/>
    <w:rsid w:val="00A45FBE"/>
    <w:rsid w:val="00A46398"/>
    <w:rsid w:val="00A52F15"/>
    <w:rsid w:val="00A569D1"/>
    <w:rsid w:val="00A5746F"/>
    <w:rsid w:val="00A609D0"/>
    <w:rsid w:val="00A6411E"/>
    <w:rsid w:val="00A66266"/>
    <w:rsid w:val="00A66A9F"/>
    <w:rsid w:val="00A70872"/>
    <w:rsid w:val="00A72741"/>
    <w:rsid w:val="00A75FC9"/>
    <w:rsid w:val="00A76236"/>
    <w:rsid w:val="00A774E2"/>
    <w:rsid w:val="00A830CC"/>
    <w:rsid w:val="00A8638F"/>
    <w:rsid w:val="00A9233D"/>
    <w:rsid w:val="00A936D7"/>
    <w:rsid w:val="00A9414D"/>
    <w:rsid w:val="00A94DD3"/>
    <w:rsid w:val="00AA4A42"/>
    <w:rsid w:val="00AA7267"/>
    <w:rsid w:val="00AA7524"/>
    <w:rsid w:val="00AB12CB"/>
    <w:rsid w:val="00AB1EF6"/>
    <w:rsid w:val="00AB2057"/>
    <w:rsid w:val="00AB7BDF"/>
    <w:rsid w:val="00AC1D25"/>
    <w:rsid w:val="00AC271E"/>
    <w:rsid w:val="00AC4615"/>
    <w:rsid w:val="00AD10BB"/>
    <w:rsid w:val="00AD229F"/>
    <w:rsid w:val="00AD6821"/>
    <w:rsid w:val="00AE1CD5"/>
    <w:rsid w:val="00AF0541"/>
    <w:rsid w:val="00AF0B40"/>
    <w:rsid w:val="00B02596"/>
    <w:rsid w:val="00B025C7"/>
    <w:rsid w:val="00B030FA"/>
    <w:rsid w:val="00B06597"/>
    <w:rsid w:val="00B06E08"/>
    <w:rsid w:val="00B1323F"/>
    <w:rsid w:val="00B1481E"/>
    <w:rsid w:val="00B15ACB"/>
    <w:rsid w:val="00B16C82"/>
    <w:rsid w:val="00B1702B"/>
    <w:rsid w:val="00B20D70"/>
    <w:rsid w:val="00B21378"/>
    <w:rsid w:val="00B22F6D"/>
    <w:rsid w:val="00B25B34"/>
    <w:rsid w:val="00B2798F"/>
    <w:rsid w:val="00B31555"/>
    <w:rsid w:val="00B36476"/>
    <w:rsid w:val="00B37496"/>
    <w:rsid w:val="00B410BD"/>
    <w:rsid w:val="00B413CA"/>
    <w:rsid w:val="00B41CB8"/>
    <w:rsid w:val="00B43419"/>
    <w:rsid w:val="00B44262"/>
    <w:rsid w:val="00B533C7"/>
    <w:rsid w:val="00B53764"/>
    <w:rsid w:val="00B60180"/>
    <w:rsid w:val="00B60CF7"/>
    <w:rsid w:val="00B610D8"/>
    <w:rsid w:val="00B735DD"/>
    <w:rsid w:val="00B8077D"/>
    <w:rsid w:val="00B834CC"/>
    <w:rsid w:val="00B84A62"/>
    <w:rsid w:val="00B90364"/>
    <w:rsid w:val="00B917DF"/>
    <w:rsid w:val="00B925D2"/>
    <w:rsid w:val="00B95BEB"/>
    <w:rsid w:val="00BA3005"/>
    <w:rsid w:val="00BA4D1B"/>
    <w:rsid w:val="00BB5ABD"/>
    <w:rsid w:val="00BB5D52"/>
    <w:rsid w:val="00BB5E5E"/>
    <w:rsid w:val="00BB68DA"/>
    <w:rsid w:val="00BC1036"/>
    <w:rsid w:val="00BC36A7"/>
    <w:rsid w:val="00BC5798"/>
    <w:rsid w:val="00BD6576"/>
    <w:rsid w:val="00BE2B31"/>
    <w:rsid w:val="00BE365B"/>
    <w:rsid w:val="00BE3C31"/>
    <w:rsid w:val="00BE6CE8"/>
    <w:rsid w:val="00BE73B3"/>
    <w:rsid w:val="00BE788B"/>
    <w:rsid w:val="00BF010F"/>
    <w:rsid w:val="00BF0759"/>
    <w:rsid w:val="00BF6FEC"/>
    <w:rsid w:val="00C013F7"/>
    <w:rsid w:val="00C01DF4"/>
    <w:rsid w:val="00C05463"/>
    <w:rsid w:val="00C05F50"/>
    <w:rsid w:val="00C07A95"/>
    <w:rsid w:val="00C103D3"/>
    <w:rsid w:val="00C12481"/>
    <w:rsid w:val="00C152C3"/>
    <w:rsid w:val="00C15882"/>
    <w:rsid w:val="00C178F1"/>
    <w:rsid w:val="00C213AC"/>
    <w:rsid w:val="00C23F3E"/>
    <w:rsid w:val="00C23FCD"/>
    <w:rsid w:val="00C25C50"/>
    <w:rsid w:val="00C26EAD"/>
    <w:rsid w:val="00C32D97"/>
    <w:rsid w:val="00C32FC5"/>
    <w:rsid w:val="00C331D8"/>
    <w:rsid w:val="00C3509C"/>
    <w:rsid w:val="00C35DDA"/>
    <w:rsid w:val="00C4072B"/>
    <w:rsid w:val="00C40A09"/>
    <w:rsid w:val="00C41872"/>
    <w:rsid w:val="00C55554"/>
    <w:rsid w:val="00C65997"/>
    <w:rsid w:val="00C67D72"/>
    <w:rsid w:val="00C717AF"/>
    <w:rsid w:val="00C77EBE"/>
    <w:rsid w:val="00C81EA4"/>
    <w:rsid w:val="00C85F7D"/>
    <w:rsid w:val="00C86071"/>
    <w:rsid w:val="00C9076F"/>
    <w:rsid w:val="00C91BA5"/>
    <w:rsid w:val="00C9258F"/>
    <w:rsid w:val="00C930D0"/>
    <w:rsid w:val="00C96BE7"/>
    <w:rsid w:val="00C96EE2"/>
    <w:rsid w:val="00CA0F90"/>
    <w:rsid w:val="00CA74D4"/>
    <w:rsid w:val="00CB7C06"/>
    <w:rsid w:val="00CB7D9A"/>
    <w:rsid w:val="00CC2E7B"/>
    <w:rsid w:val="00CC6E6F"/>
    <w:rsid w:val="00CC7C2F"/>
    <w:rsid w:val="00CD354C"/>
    <w:rsid w:val="00CD424F"/>
    <w:rsid w:val="00CD57EC"/>
    <w:rsid w:val="00CD7A84"/>
    <w:rsid w:val="00CE3373"/>
    <w:rsid w:val="00CE384F"/>
    <w:rsid w:val="00CE46E1"/>
    <w:rsid w:val="00CF5076"/>
    <w:rsid w:val="00D01EFE"/>
    <w:rsid w:val="00D020ED"/>
    <w:rsid w:val="00D05687"/>
    <w:rsid w:val="00D10941"/>
    <w:rsid w:val="00D126A3"/>
    <w:rsid w:val="00D16346"/>
    <w:rsid w:val="00D2094A"/>
    <w:rsid w:val="00D21C5F"/>
    <w:rsid w:val="00D260DB"/>
    <w:rsid w:val="00D360A1"/>
    <w:rsid w:val="00D375B5"/>
    <w:rsid w:val="00D4332F"/>
    <w:rsid w:val="00D45CC4"/>
    <w:rsid w:val="00D46837"/>
    <w:rsid w:val="00D46985"/>
    <w:rsid w:val="00D50537"/>
    <w:rsid w:val="00D50C58"/>
    <w:rsid w:val="00D53F41"/>
    <w:rsid w:val="00D54017"/>
    <w:rsid w:val="00D54DF6"/>
    <w:rsid w:val="00D54E0B"/>
    <w:rsid w:val="00D6053A"/>
    <w:rsid w:val="00D6302F"/>
    <w:rsid w:val="00D67A0B"/>
    <w:rsid w:val="00D67FBC"/>
    <w:rsid w:val="00D7092D"/>
    <w:rsid w:val="00D7280F"/>
    <w:rsid w:val="00D7396D"/>
    <w:rsid w:val="00D74572"/>
    <w:rsid w:val="00D7594B"/>
    <w:rsid w:val="00D75A35"/>
    <w:rsid w:val="00D761C8"/>
    <w:rsid w:val="00D77E4D"/>
    <w:rsid w:val="00D81DD2"/>
    <w:rsid w:val="00D83250"/>
    <w:rsid w:val="00D866C1"/>
    <w:rsid w:val="00D903D5"/>
    <w:rsid w:val="00D91319"/>
    <w:rsid w:val="00D91F04"/>
    <w:rsid w:val="00DA5662"/>
    <w:rsid w:val="00DA6967"/>
    <w:rsid w:val="00DB0A0A"/>
    <w:rsid w:val="00DB15C7"/>
    <w:rsid w:val="00DB3A9A"/>
    <w:rsid w:val="00DB5585"/>
    <w:rsid w:val="00DB693E"/>
    <w:rsid w:val="00DB6B4F"/>
    <w:rsid w:val="00DC72A9"/>
    <w:rsid w:val="00DD05DD"/>
    <w:rsid w:val="00DD3728"/>
    <w:rsid w:val="00DD3C13"/>
    <w:rsid w:val="00DD4AED"/>
    <w:rsid w:val="00DE2BF0"/>
    <w:rsid w:val="00DE77B5"/>
    <w:rsid w:val="00DF05F8"/>
    <w:rsid w:val="00DF5E35"/>
    <w:rsid w:val="00E04684"/>
    <w:rsid w:val="00E10DF3"/>
    <w:rsid w:val="00E113BA"/>
    <w:rsid w:val="00E124ED"/>
    <w:rsid w:val="00E12989"/>
    <w:rsid w:val="00E20AFF"/>
    <w:rsid w:val="00E227F2"/>
    <w:rsid w:val="00E22E9E"/>
    <w:rsid w:val="00E2347C"/>
    <w:rsid w:val="00E25093"/>
    <w:rsid w:val="00E26066"/>
    <w:rsid w:val="00E31C30"/>
    <w:rsid w:val="00E323E5"/>
    <w:rsid w:val="00E34F81"/>
    <w:rsid w:val="00E424AD"/>
    <w:rsid w:val="00E42834"/>
    <w:rsid w:val="00E43533"/>
    <w:rsid w:val="00E47C6E"/>
    <w:rsid w:val="00E5144A"/>
    <w:rsid w:val="00E64DA0"/>
    <w:rsid w:val="00E835E7"/>
    <w:rsid w:val="00E90F87"/>
    <w:rsid w:val="00E936D6"/>
    <w:rsid w:val="00E96D46"/>
    <w:rsid w:val="00EA0E07"/>
    <w:rsid w:val="00EA2103"/>
    <w:rsid w:val="00EA50C1"/>
    <w:rsid w:val="00EA5EE3"/>
    <w:rsid w:val="00EA7449"/>
    <w:rsid w:val="00EB3008"/>
    <w:rsid w:val="00EB315B"/>
    <w:rsid w:val="00EC072C"/>
    <w:rsid w:val="00EC224F"/>
    <w:rsid w:val="00EC22F2"/>
    <w:rsid w:val="00EC3336"/>
    <w:rsid w:val="00ED0895"/>
    <w:rsid w:val="00ED0E74"/>
    <w:rsid w:val="00ED1470"/>
    <w:rsid w:val="00ED2474"/>
    <w:rsid w:val="00ED5B62"/>
    <w:rsid w:val="00EE1969"/>
    <w:rsid w:val="00EE31AE"/>
    <w:rsid w:val="00EE3727"/>
    <w:rsid w:val="00EE37EE"/>
    <w:rsid w:val="00EF1701"/>
    <w:rsid w:val="00EF20CA"/>
    <w:rsid w:val="00EF385A"/>
    <w:rsid w:val="00EF63AB"/>
    <w:rsid w:val="00EF7361"/>
    <w:rsid w:val="00F00C27"/>
    <w:rsid w:val="00F0116E"/>
    <w:rsid w:val="00F01686"/>
    <w:rsid w:val="00F029C3"/>
    <w:rsid w:val="00F06A88"/>
    <w:rsid w:val="00F07133"/>
    <w:rsid w:val="00F127FB"/>
    <w:rsid w:val="00F13F43"/>
    <w:rsid w:val="00F1488B"/>
    <w:rsid w:val="00F14BEB"/>
    <w:rsid w:val="00F21076"/>
    <w:rsid w:val="00F24392"/>
    <w:rsid w:val="00F26A98"/>
    <w:rsid w:val="00F31BC4"/>
    <w:rsid w:val="00F33E5E"/>
    <w:rsid w:val="00F347D8"/>
    <w:rsid w:val="00F37EB0"/>
    <w:rsid w:val="00F41C3B"/>
    <w:rsid w:val="00F46AB7"/>
    <w:rsid w:val="00F53269"/>
    <w:rsid w:val="00F5446E"/>
    <w:rsid w:val="00F5627E"/>
    <w:rsid w:val="00F620A7"/>
    <w:rsid w:val="00F623D7"/>
    <w:rsid w:val="00F67EE3"/>
    <w:rsid w:val="00F710DC"/>
    <w:rsid w:val="00F7140E"/>
    <w:rsid w:val="00F73A03"/>
    <w:rsid w:val="00F8025E"/>
    <w:rsid w:val="00F836F5"/>
    <w:rsid w:val="00F8647B"/>
    <w:rsid w:val="00F8788C"/>
    <w:rsid w:val="00F909F1"/>
    <w:rsid w:val="00F94B84"/>
    <w:rsid w:val="00F95393"/>
    <w:rsid w:val="00FA17DF"/>
    <w:rsid w:val="00FA22E5"/>
    <w:rsid w:val="00FA4D7D"/>
    <w:rsid w:val="00FA7424"/>
    <w:rsid w:val="00FB1292"/>
    <w:rsid w:val="00FB1394"/>
    <w:rsid w:val="00FB1689"/>
    <w:rsid w:val="00FB1871"/>
    <w:rsid w:val="00FB2873"/>
    <w:rsid w:val="00FB356B"/>
    <w:rsid w:val="00FB3EDE"/>
    <w:rsid w:val="00FB637C"/>
    <w:rsid w:val="00FB6FE5"/>
    <w:rsid w:val="00FC23D0"/>
    <w:rsid w:val="00FC2B67"/>
    <w:rsid w:val="00FC3BB7"/>
    <w:rsid w:val="00FC524D"/>
    <w:rsid w:val="00FD38D4"/>
    <w:rsid w:val="00FD4619"/>
    <w:rsid w:val="00FD7B8E"/>
    <w:rsid w:val="00FE6657"/>
    <w:rsid w:val="00FF09A2"/>
    <w:rsid w:val="00FF2CAC"/>
    <w:rsid w:val="00FF5475"/>
    <w:rsid w:val="01C012ED"/>
    <w:rsid w:val="028B4B90"/>
    <w:rsid w:val="0341020B"/>
    <w:rsid w:val="039508B5"/>
    <w:rsid w:val="03AD764F"/>
    <w:rsid w:val="05D50FDC"/>
    <w:rsid w:val="06725F24"/>
    <w:rsid w:val="06E37AF4"/>
    <w:rsid w:val="074C0438"/>
    <w:rsid w:val="09B3627A"/>
    <w:rsid w:val="09E377B9"/>
    <w:rsid w:val="0CC942CB"/>
    <w:rsid w:val="0CCF07AC"/>
    <w:rsid w:val="0DCF6D41"/>
    <w:rsid w:val="114B682E"/>
    <w:rsid w:val="116021A5"/>
    <w:rsid w:val="13936861"/>
    <w:rsid w:val="1438551D"/>
    <w:rsid w:val="15164159"/>
    <w:rsid w:val="15921B5C"/>
    <w:rsid w:val="15B53FB2"/>
    <w:rsid w:val="169D6CBB"/>
    <w:rsid w:val="16CF02A2"/>
    <w:rsid w:val="1786728C"/>
    <w:rsid w:val="178D2194"/>
    <w:rsid w:val="17AA4179"/>
    <w:rsid w:val="17C76272"/>
    <w:rsid w:val="180238C4"/>
    <w:rsid w:val="183C1D65"/>
    <w:rsid w:val="18E35B95"/>
    <w:rsid w:val="1A170117"/>
    <w:rsid w:val="1AB067CF"/>
    <w:rsid w:val="1AE726F5"/>
    <w:rsid w:val="1D3B7229"/>
    <w:rsid w:val="1E28404A"/>
    <w:rsid w:val="1E805C34"/>
    <w:rsid w:val="1F564AA9"/>
    <w:rsid w:val="1F745799"/>
    <w:rsid w:val="1F7D6011"/>
    <w:rsid w:val="1F9C6A9E"/>
    <w:rsid w:val="20407429"/>
    <w:rsid w:val="209A12B9"/>
    <w:rsid w:val="21CD4909"/>
    <w:rsid w:val="22893C16"/>
    <w:rsid w:val="22B45EAC"/>
    <w:rsid w:val="22E4286C"/>
    <w:rsid w:val="245F009A"/>
    <w:rsid w:val="255E24E7"/>
    <w:rsid w:val="25C71E56"/>
    <w:rsid w:val="25DF4163"/>
    <w:rsid w:val="282322D6"/>
    <w:rsid w:val="28914244"/>
    <w:rsid w:val="2AEB2687"/>
    <w:rsid w:val="2C6C1EDD"/>
    <w:rsid w:val="2CAD5E46"/>
    <w:rsid w:val="2CB82F6E"/>
    <w:rsid w:val="2D144117"/>
    <w:rsid w:val="2D8B7E46"/>
    <w:rsid w:val="2DC23BAB"/>
    <w:rsid w:val="2E394560"/>
    <w:rsid w:val="317711FC"/>
    <w:rsid w:val="31CC4FC0"/>
    <w:rsid w:val="32C97DB6"/>
    <w:rsid w:val="3334352F"/>
    <w:rsid w:val="343C56D5"/>
    <w:rsid w:val="34B23E39"/>
    <w:rsid w:val="36794FEB"/>
    <w:rsid w:val="36E77384"/>
    <w:rsid w:val="36F0291C"/>
    <w:rsid w:val="375D4E4C"/>
    <w:rsid w:val="37EF4F35"/>
    <w:rsid w:val="37FBDBAC"/>
    <w:rsid w:val="38773B32"/>
    <w:rsid w:val="38E53B50"/>
    <w:rsid w:val="39A679F1"/>
    <w:rsid w:val="3DE63DA5"/>
    <w:rsid w:val="3FEE78D2"/>
    <w:rsid w:val="40636241"/>
    <w:rsid w:val="40A30171"/>
    <w:rsid w:val="40EB11DB"/>
    <w:rsid w:val="45537C28"/>
    <w:rsid w:val="455D5BD0"/>
    <w:rsid w:val="456536E5"/>
    <w:rsid w:val="46820231"/>
    <w:rsid w:val="4695042E"/>
    <w:rsid w:val="46A22A74"/>
    <w:rsid w:val="479C322F"/>
    <w:rsid w:val="49115D55"/>
    <w:rsid w:val="49290AF3"/>
    <w:rsid w:val="4953791E"/>
    <w:rsid w:val="49706721"/>
    <w:rsid w:val="4A283770"/>
    <w:rsid w:val="4A5152D8"/>
    <w:rsid w:val="4AD13592"/>
    <w:rsid w:val="4B4F8156"/>
    <w:rsid w:val="4C4B6215"/>
    <w:rsid w:val="4C912B97"/>
    <w:rsid w:val="4CD06EF6"/>
    <w:rsid w:val="4D8A4175"/>
    <w:rsid w:val="4E3E0B9C"/>
    <w:rsid w:val="4E64481E"/>
    <w:rsid w:val="51174CBC"/>
    <w:rsid w:val="51D01E40"/>
    <w:rsid w:val="522C613A"/>
    <w:rsid w:val="54656B86"/>
    <w:rsid w:val="587D373A"/>
    <w:rsid w:val="58BC54DF"/>
    <w:rsid w:val="59012EF2"/>
    <w:rsid w:val="59F63176"/>
    <w:rsid w:val="5B1FEA3F"/>
    <w:rsid w:val="5BA30291"/>
    <w:rsid w:val="5BBF3B64"/>
    <w:rsid w:val="5CC77B07"/>
    <w:rsid w:val="5CD32DD4"/>
    <w:rsid w:val="5E654CC4"/>
    <w:rsid w:val="5F14677E"/>
    <w:rsid w:val="604B0A34"/>
    <w:rsid w:val="60B625CF"/>
    <w:rsid w:val="616B6B06"/>
    <w:rsid w:val="61C471B3"/>
    <w:rsid w:val="62782541"/>
    <w:rsid w:val="649C4097"/>
    <w:rsid w:val="661C75BD"/>
    <w:rsid w:val="67D5211A"/>
    <w:rsid w:val="68FFF92D"/>
    <w:rsid w:val="693365A4"/>
    <w:rsid w:val="697C529D"/>
    <w:rsid w:val="699D0149"/>
    <w:rsid w:val="69A51136"/>
    <w:rsid w:val="6A102F95"/>
    <w:rsid w:val="6A3E2249"/>
    <w:rsid w:val="6AA9057E"/>
    <w:rsid w:val="6B013226"/>
    <w:rsid w:val="6DDF05FF"/>
    <w:rsid w:val="6E6239D5"/>
    <w:rsid w:val="6EA0662A"/>
    <w:rsid w:val="6F8753D7"/>
    <w:rsid w:val="6FBF646C"/>
    <w:rsid w:val="6FF31149"/>
    <w:rsid w:val="70EC4962"/>
    <w:rsid w:val="70ED2282"/>
    <w:rsid w:val="71572E80"/>
    <w:rsid w:val="7170736F"/>
    <w:rsid w:val="73B250BD"/>
    <w:rsid w:val="74213FF1"/>
    <w:rsid w:val="743E1047"/>
    <w:rsid w:val="74D56A9F"/>
    <w:rsid w:val="78B02D3B"/>
    <w:rsid w:val="7BEC198A"/>
    <w:rsid w:val="7C9B6522"/>
    <w:rsid w:val="7DEE7DA1"/>
    <w:rsid w:val="7E062BD5"/>
    <w:rsid w:val="7E23007A"/>
    <w:rsid w:val="7E2F2314"/>
    <w:rsid w:val="7ECF0C3D"/>
    <w:rsid w:val="7F365DA3"/>
    <w:rsid w:val="93574712"/>
    <w:rsid w:val="97F73EBD"/>
    <w:rsid w:val="AFBF8A76"/>
    <w:rsid w:val="BEFDA3DC"/>
    <w:rsid w:val="DEF765CF"/>
    <w:rsid w:val="F35EB2A0"/>
    <w:rsid w:val="FDBB962A"/>
    <w:rsid w:val="FFED301C"/>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39" w:semiHidden="0" w:name="toc 1"/>
    <w:lsdException w:qFormat="1" w:unhideWhenUsed="0" w:uiPriority="39" w:semiHidden="0" w:name="toc 2"/>
    <w:lsdException w:qFormat="1" w:unhideWhenUsed="0" w:uiPriority="39" w:semiHidden="0" w:name="toc 3"/>
    <w:lsdException w:qFormat="1" w:uiPriority="39" w:semiHidden="0" w:name="toc 4"/>
    <w:lsdException w:qFormat="1" w:uiPriority="39" w:semiHidden="0" w:name="toc 5"/>
    <w:lsdException w:qFormat="1" w:uiPriority="39" w:semiHidden="0" w:name="toc 6"/>
    <w:lsdException w:qFormat="1" w:uiPriority="39" w:semiHidden="0" w:name="toc 7"/>
    <w:lsdException w:qFormat="1" w:uiPriority="39" w:semiHidden="0" w:name="toc 8"/>
    <w:lsdException w:qFormat="1" w:uiPriority="39" w:semiHidden="0"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qFormat="1" w:unhideWhenUsed="0" w:uiPriority="99" w:semiHidden="0"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qFormat="1" w:unhideWhenUsed="0" w:uiPriority="0" w:semiHidden="0"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nhideWhenUsed="0" w:uiPriority="0" w:semiHidden="0" w:name="Body Text"/>
    <w:lsdException w:qFormat="1"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qFormat="1" w:uiPriority="99" w:name="Body Text First Indent 2"/>
    <w:lsdException w:uiPriority="99" w:name="Note Heading"/>
    <w:lsdException w:uiPriority="99" w:name="Body Text 2"/>
    <w:lsdException w:uiPriority="99" w:name="Body Text 3"/>
    <w:lsdException w:uiPriority="99" w:name="Body Text Indent 2"/>
    <w:lsdException w:qFormat="1" w:uiPriority="99" w:semiHidden="0" w:name="Body Text Indent 3"/>
    <w:lsdException w:uiPriority="99" w:name="Block Text"/>
    <w:lsdException w:qFormat="1" w:uiPriority="99" w:semiHidden="0" w:name="Hyperlink"/>
    <w:lsdException w:qFormat="1" w:uiPriority="99" w:name="FollowedHyperlink"/>
    <w:lsdException w:qFormat="1" w:unhideWhenUsed="0" w:uiPriority="22" w:semiHidden="0" w:name="Strong"/>
    <w:lsdException w:qFormat="1" w:unhideWhenUsed="0" w:uiPriority="0" w:semiHidden="0" w:name="Emphasis"/>
    <w:lsdException w:uiPriority="99" w:name="Document Map"/>
    <w:lsdException w:qFormat="1" w:unhideWhenUsed="0" w:uiPriority="0" w:semiHidden="0"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39" w:semiHidden="0" w:name="Table Grid"/>
    <w:lsdException w:uiPriority="99" w:name="Table Theme"/>
    <w:lsdException w:qFormat="1" w:unhideWhenUsed="0" w:uiPriority="99" w:name="Placeholder Text"/>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1"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autoSpaceDE w:val="0"/>
      <w:autoSpaceDN w:val="0"/>
    </w:pPr>
    <w:rPr>
      <w:rFonts w:ascii="仿宋_GB2312" w:hAnsi="仿宋_GB2312" w:eastAsia="仿宋_GB2312" w:cs="仿宋_GB2312"/>
      <w:sz w:val="22"/>
      <w:szCs w:val="22"/>
      <w:lang w:val="en-US" w:eastAsia="en-US" w:bidi="ar-SA"/>
    </w:rPr>
  </w:style>
  <w:style w:type="paragraph" w:styleId="2">
    <w:name w:val="heading 1"/>
    <w:basedOn w:val="1"/>
    <w:link w:val="60"/>
    <w:qFormat/>
    <w:uiPriority w:val="9"/>
    <w:pPr>
      <w:spacing w:before="58"/>
      <w:ind w:left="358" w:right="479"/>
      <w:jc w:val="center"/>
      <w:outlineLvl w:val="0"/>
    </w:pPr>
    <w:rPr>
      <w:rFonts w:ascii="黑体" w:hAnsi="黑体" w:eastAsia="黑体" w:cs="黑体"/>
      <w:sz w:val="30"/>
      <w:szCs w:val="30"/>
    </w:rPr>
  </w:style>
  <w:style w:type="paragraph" w:styleId="3">
    <w:name w:val="heading 2"/>
    <w:basedOn w:val="1"/>
    <w:next w:val="1"/>
    <w:unhideWhenUsed/>
    <w:qFormat/>
    <w:uiPriority w:val="9"/>
    <w:pPr>
      <w:ind w:left="1719"/>
      <w:outlineLvl w:val="1"/>
    </w:pPr>
    <w:rPr>
      <w:rFonts w:ascii="宋体" w:hAnsi="宋体" w:eastAsia="宋体" w:cs="宋体"/>
      <w:b/>
      <w:bCs/>
      <w:sz w:val="28"/>
      <w:szCs w:val="28"/>
    </w:rPr>
  </w:style>
  <w:style w:type="paragraph" w:styleId="4">
    <w:name w:val="heading 3"/>
    <w:basedOn w:val="1"/>
    <w:next w:val="1"/>
    <w:link w:val="38"/>
    <w:semiHidden/>
    <w:unhideWhenUsed/>
    <w:qFormat/>
    <w:uiPriority w:val="9"/>
    <w:pPr>
      <w:keepNext/>
      <w:keepLines/>
      <w:spacing w:before="260" w:after="260" w:line="416" w:lineRule="auto"/>
      <w:outlineLvl w:val="2"/>
    </w:pPr>
    <w:rPr>
      <w:b/>
      <w:bCs/>
      <w:sz w:val="32"/>
      <w:szCs w:val="32"/>
    </w:rPr>
  </w:style>
  <w:style w:type="paragraph" w:styleId="5">
    <w:name w:val="heading 4"/>
    <w:basedOn w:val="1"/>
    <w:next w:val="1"/>
    <w:link w:val="110"/>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character" w:default="1" w:styleId="27">
    <w:name w:val="Default Paragraph Font"/>
    <w:semiHidden/>
    <w:unhideWhenUsed/>
    <w:qFormat/>
    <w:uiPriority w:val="1"/>
  </w:style>
  <w:style w:type="table" w:default="1" w:styleId="25">
    <w:name w:val="Normal Table"/>
    <w:semiHidden/>
    <w:unhideWhenUsed/>
    <w:qFormat/>
    <w:uiPriority w:val="99"/>
    <w:tblPr>
      <w:tblCellMar>
        <w:top w:w="0" w:type="dxa"/>
        <w:left w:w="108" w:type="dxa"/>
        <w:bottom w:w="0" w:type="dxa"/>
        <w:right w:w="108" w:type="dxa"/>
      </w:tblCellMar>
    </w:tblPr>
  </w:style>
  <w:style w:type="paragraph" w:styleId="6">
    <w:name w:val="toc 7"/>
    <w:basedOn w:val="1"/>
    <w:next w:val="1"/>
    <w:unhideWhenUsed/>
    <w:qFormat/>
    <w:uiPriority w:val="39"/>
    <w:pPr>
      <w:ind w:left="1320"/>
    </w:pPr>
    <w:rPr>
      <w:rFonts w:asciiTheme="minorHAnsi" w:hAnsiTheme="minorHAnsi" w:cstheme="minorHAnsi"/>
      <w:sz w:val="18"/>
      <w:szCs w:val="18"/>
    </w:rPr>
  </w:style>
  <w:style w:type="paragraph" w:styleId="7">
    <w:name w:val="Body Text"/>
    <w:basedOn w:val="1"/>
    <w:link w:val="56"/>
    <w:qFormat/>
    <w:uiPriority w:val="0"/>
    <w:pPr>
      <w:autoSpaceDE/>
      <w:autoSpaceDN/>
      <w:spacing w:after="120"/>
      <w:jc w:val="both"/>
    </w:pPr>
    <w:rPr>
      <w:rFonts w:ascii="Times New Roman" w:hAnsi="Times New Roman" w:eastAsia="宋体" w:cs="Times New Roman"/>
      <w:kern w:val="2"/>
      <w:sz w:val="21"/>
      <w:szCs w:val="24"/>
      <w:lang w:eastAsia="zh-CN"/>
    </w:rPr>
  </w:style>
  <w:style w:type="paragraph" w:styleId="8">
    <w:name w:val="Body Text Indent"/>
    <w:basedOn w:val="1"/>
    <w:link w:val="42"/>
    <w:semiHidden/>
    <w:unhideWhenUsed/>
    <w:qFormat/>
    <w:uiPriority w:val="99"/>
    <w:pPr>
      <w:spacing w:after="120"/>
      <w:ind w:left="420" w:leftChars="200"/>
    </w:pPr>
  </w:style>
  <w:style w:type="paragraph" w:styleId="9">
    <w:name w:val="toc 5"/>
    <w:basedOn w:val="1"/>
    <w:next w:val="1"/>
    <w:unhideWhenUsed/>
    <w:qFormat/>
    <w:uiPriority w:val="39"/>
    <w:pPr>
      <w:ind w:left="880"/>
    </w:pPr>
    <w:rPr>
      <w:rFonts w:asciiTheme="minorHAnsi" w:hAnsiTheme="minorHAnsi" w:cstheme="minorHAnsi"/>
      <w:sz w:val="18"/>
      <w:szCs w:val="18"/>
    </w:rPr>
  </w:style>
  <w:style w:type="paragraph" w:styleId="10">
    <w:name w:val="toc 3"/>
    <w:basedOn w:val="1"/>
    <w:qFormat/>
    <w:uiPriority w:val="39"/>
    <w:pPr>
      <w:ind w:left="440"/>
    </w:pPr>
    <w:rPr>
      <w:rFonts w:asciiTheme="minorHAnsi" w:hAnsiTheme="minorHAnsi" w:cstheme="minorHAnsi"/>
      <w:i/>
      <w:iCs/>
      <w:sz w:val="20"/>
      <w:szCs w:val="20"/>
    </w:rPr>
  </w:style>
  <w:style w:type="paragraph" w:styleId="11">
    <w:name w:val="Plain Text"/>
    <w:basedOn w:val="1"/>
    <w:link w:val="64"/>
    <w:qFormat/>
    <w:uiPriority w:val="0"/>
    <w:pPr>
      <w:autoSpaceDE/>
      <w:autoSpaceDN/>
      <w:jc w:val="both"/>
    </w:pPr>
    <w:rPr>
      <w:rFonts w:ascii="宋体" w:hAnsi="Courier New" w:eastAsia="宋体" w:cs="Times New Roman"/>
      <w:kern w:val="2"/>
      <w:sz w:val="21"/>
      <w:szCs w:val="20"/>
      <w:lang w:eastAsia="zh-CN"/>
    </w:rPr>
  </w:style>
  <w:style w:type="paragraph" w:styleId="12">
    <w:name w:val="toc 8"/>
    <w:basedOn w:val="1"/>
    <w:next w:val="1"/>
    <w:unhideWhenUsed/>
    <w:qFormat/>
    <w:uiPriority w:val="39"/>
    <w:pPr>
      <w:ind w:left="1540"/>
    </w:pPr>
    <w:rPr>
      <w:rFonts w:asciiTheme="minorHAnsi" w:hAnsiTheme="minorHAnsi" w:cstheme="minorHAnsi"/>
      <w:sz w:val="18"/>
      <w:szCs w:val="18"/>
    </w:rPr>
  </w:style>
  <w:style w:type="paragraph" w:styleId="13">
    <w:name w:val="footer"/>
    <w:basedOn w:val="1"/>
    <w:link w:val="37"/>
    <w:unhideWhenUsed/>
    <w:qFormat/>
    <w:uiPriority w:val="99"/>
    <w:pPr>
      <w:tabs>
        <w:tab w:val="center" w:pos="4153"/>
        <w:tab w:val="right" w:pos="8306"/>
      </w:tabs>
      <w:snapToGrid w:val="0"/>
    </w:pPr>
    <w:rPr>
      <w:sz w:val="18"/>
      <w:szCs w:val="18"/>
    </w:rPr>
  </w:style>
  <w:style w:type="paragraph" w:styleId="14">
    <w:name w:val="header"/>
    <w:basedOn w:val="1"/>
    <w:link w:val="36"/>
    <w:unhideWhenUsed/>
    <w:qFormat/>
    <w:uiPriority w:val="99"/>
    <w:pPr>
      <w:tabs>
        <w:tab w:val="center" w:pos="4153"/>
        <w:tab w:val="right" w:pos="8306"/>
      </w:tabs>
      <w:snapToGrid w:val="0"/>
      <w:jc w:val="center"/>
    </w:pPr>
    <w:rPr>
      <w:sz w:val="18"/>
      <w:szCs w:val="18"/>
    </w:rPr>
  </w:style>
  <w:style w:type="paragraph" w:styleId="15">
    <w:name w:val="toc 1"/>
    <w:basedOn w:val="1"/>
    <w:qFormat/>
    <w:uiPriority w:val="39"/>
    <w:pPr>
      <w:spacing w:before="120" w:after="120"/>
    </w:pPr>
    <w:rPr>
      <w:rFonts w:asciiTheme="minorHAnsi" w:hAnsiTheme="minorHAnsi" w:cstheme="minorHAnsi"/>
      <w:b/>
      <w:bCs/>
      <w:caps/>
      <w:sz w:val="20"/>
      <w:szCs w:val="20"/>
    </w:rPr>
  </w:style>
  <w:style w:type="paragraph" w:styleId="16">
    <w:name w:val="toc 4"/>
    <w:basedOn w:val="1"/>
    <w:next w:val="1"/>
    <w:unhideWhenUsed/>
    <w:qFormat/>
    <w:uiPriority w:val="39"/>
    <w:pPr>
      <w:ind w:left="660"/>
    </w:pPr>
    <w:rPr>
      <w:rFonts w:asciiTheme="minorHAnsi" w:hAnsiTheme="minorHAnsi" w:cstheme="minorHAnsi"/>
      <w:sz w:val="18"/>
      <w:szCs w:val="18"/>
    </w:rPr>
  </w:style>
  <w:style w:type="paragraph" w:styleId="17">
    <w:name w:val="List"/>
    <w:basedOn w:val="1"/>
    <w:qFormat/>
    <w:uiPriority w:val="0"/>
    <w:pPr>
      <w:autoSpaceDE/>
      <w:autoSpaceDN/>
    </w:pPr>
    <w:rPr>
      <w:rFonts w:ascii="Times New Roman" w:hAnsi="Times New Roman" w:eastAsia="宋体" w:cs="Times New Roman"/>
      <w:kern w:val="2"/>
      <w:sz w:val="18"/>
      <w:szCs w:val="20"/>
      <w:lang w:eastAsia="zh-CN"/>
    </w:rPr>
  </w:style>
  <w:style w:type="paragraph" w:styleId="18">
    <w:name w:val="toc 6"/>
    <w:basedOn w:val="1"/>
    <w:next w:val="1"/>
    <w:unhideWhenUsed/>
    <w:qFormat/>
    <w:uiPriority w:val="39"/>
    <w:pPr>
      <w:ind w:left="1100"/>
    </w:pPr>
    <w:rPr>
      <w:rFonts w:asciiTheme="minorHAnsi" w:hAnsiTheme="minorHAnsi" w:cstheme="minorHAnsi"/>
      <w:sz w:val="18"/>
      <w:szCs w:val="18"/>
    </w:rPr>
  </w:style>
  <w:style w:type="paragraph" w:styleId="19">
    <w:name w:val="Body Text Indent 3"/>
    <w:basedOn w:val="1"/>
    <w:link w:val="57"/>
    <w:unhideWhenUsed/>
    <w:qFormat/>
    <w:uiPriority w:val="99"/>
    <w:pPr>
      <w:spacing w:after="120"/>
      <w:ind w:left="420" w:leftChars="200"/>
    </w:pPr>
    <w:rPr>
      <w:sz w:val="16"/>
      <w:szCs w:val="16"/>
    </w:rPr>
  </w:style>
  <w:style w:type="paragraph" w:styleId="20">
    <w:name w:val="table of figures"/>
    <w:basedOn w:val="1"/>
    <w:next w:val="1"/>
    <w:qFormat/>
    <w:uiPriority w:val="99"/>
    <w:pPr>
      <w:autoSpaceDE/>
      <w:autoSpaceDN/>
      <w:spacing w:before="120" w:after="120"/>
      <w:ind w:left="840" w:hanging="420"/>
      <w:jc w:val="center"/>
    </w:pPr>
    <w:rPr>
      <w:rFonts w:ascii="Times New Roman" w:hAnsi="Times New Roman" w:eastAsia="黑体" w:cs="Times New Roman"/>
      <w:kern w:val="2"/>
      <w:sz w:val="21"/>
      <w:szCs w:val="20"/>
      <w:lang w:eastAsia="zh-CN"/>
    </w:rPr>
  </w:style>
  <w:style w:type="paragraph" w:styleId="21">
    <w:name w:val="toc 2"/>
    <w:basedOn w:val="1"/>
    <w:qFormat/>
    <w:uiPriority w:val="39"/>
    <w:pPr>
      <w:ind w:left="220"/>
    </w:pPr>
    <w:rPr>
      <w:rFonts w:asciiTheme="minorHAnsi" w:hAnsiTheme="minorHAnsi" w:cstheme="minorHAnsi"/>
      <w:smallCaps/>
      <w:sz w:val="20"/>
      <w:szCs w:val="20"/>
    </w:rPr>
  </w:style>
  <w:style w:type="paragraph" w:styleId="22">
    <w:name w:val="toc 9"/>
    <w:basedOn w:val="1"/>
    <w:next w:val="1"/>
    <w:unhideWhenUsed/>
    <w:qFormat/>
    <w:uiPriority w:val="39"/>
    <w:pPr>
      <w:ind w:left="1760"/>
    </w:pPr>
    <w:rPr>
      <w:rFonts w:asciiTheme="minorHAnsi" w:hAnsiTheme="minorHAnsi" w:cstheme="minorHAnsi"/>
      <w:sz w:val="18"/>
      <w:szCs w:val="18"/>
    </w:rPr>
  </w:style>
  <w:style w:type="paragraph" w:styleId="23">
    <w:name w:val="Normal (Web)"/>
    <w:basedOn w:val="1"/>
    <w:semiHidden/>
    <w:unhideWhenUsed/>
    <w:qFormat/>
    <w:uiPriority w:val="99"/>
    <w:rPr>
      <w:sz w:val="24"/>
    </w:rPr>
  </w:style>
  <w:style w:type="paragraph" w:styleId="24">
    <w:name w:val="Body Text First Indent 2"/>
    <w:basedOn w:val="8"/>
    <w:link w:val="43"/>
    <w:semiHidden/>
    <w:unhideWhenUsed/>
    <w:qFormat/>
    <w:uiPriority w:val="99"/>
    <w:pPr>
      <w:ind w:firstLine="420" w:firstLineChars="200"/>
    </w:pPr>
  </w:style>
  <w:style w:type="table" w:styleId="26">
    <w:name w:val="Table Grid"/>
    <w:basedOn w:val="25"/>
    <w:qFormat/>
    <w:uiPriority w:val="3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28">
    <w:name w:val="Strong"/>
    <w:basedOn w:val="27"/>
    <w:qFormat/>
    <w:uiPriority w:val="22"/>
    <w:rPr>
      <w:b/>
    </w:rPr>
  </w:style>
  <w:style w:type="character" w:styleId="29">
    <w:name w:val="FollowedHyperlink"/>
    <w:basedOn w:val="27"/>
    <w:semiHidden/>
    <w:unhideWhenUsed/>
    <w:qFormat/>
    <w:uiPriority w:val="99"/>
    <w:rPr>
      <w:color w:val="954F72"/>
      <w:u w:val="single"/>
    </w:rPr>
  </w:style>
  <w:style w:type="character" w:styleId="30">
    <w:name w:val="Emphasis"/>
    <w:qFormat/>
    <w:uiPriority w:val="0"/>
    <w:rPr>
      <w:rFonts w:ascii="Times New Roman" w:hAnsi="Times New Roman" w:eastAsia="仿宋"/>
      <w:sz w:val="18"/>
      <w:szCs w:val="18"/>
    </w:rPr>
  </w:style>
  <w:style w:type="character" w:styleId="31">
    <w:name w:val="Hyperlink"/>
    <w:basedOn w:val="27"/>
    <w:unhideWhenUsed/>
    <w:qFormat/>
    <w:uiPriority w:val="99"/>
    <w:rPr>
      <w:color w:val="0000FF" w:themeColor="hyperlink"/>
      <w:u w:val="single"/>
      <w14:textFill>
        <w14:solidFill>
          <w14:schemeClr w14:val="hlink"/>
        </w14:solidFill>
      </w14:textFill>
    </w:rPr>
  </w:style>
  <w:style w:type="table" w:customStyle="1" w:styleId="32">
    <w:name w:val="Table Normal"/>
    <w:semiHidden/>
    <w:unhideWhenUsed/>
    <w:qFormat/>
    <w:uiPriority w:val="2"/>
    <w:tblPr>
      <w:tblCellMar>
        <w:top w:w="0" w:type="dxa"/>
        <w:left w:w="0" w:type="dxa"/>
        <w:bottom w:w="0" w:type="dxa"/>
        <w:right w:w="0" w:type="dxa"/>
      </w:tblCellMar>
    </w:tblPr>
  </w:style>
  <w:style w:type="paragraph" w:customStyle="1" w:styleId="33">
    <w:name w:val="文本正文"/>
    <w:link w:val="40"/>
    <w:qFormat/>
    <w:uiPriority w:val="0"/>
    <w:pPr>
      <w:widowControl w:val="0"/>
      <w:autoSpaceDE w:val="0"/>
      <w:autoSpaceDN w:val="0"/>
      <w:spacing w:before="120" w:after="120" w:line="560" w:lineRule="exact"/>
      <w:ind w:firstLine="200" w:firstLineChars="200"/>
      <w:contextualSpacing/>
      <w:jc w:val="both"/>
    </w:pPr>
    <w:rPr>
      <w:rFonts w:ascii="Times New Roman" w:hAnsi="仿宋_GB2312" w:eastAsia="仿宋_GB2312" w:cs="仿宋_GB2312"/>
      <w:sz w:val="28"/>
      <w:szCs w:val="28"/>
      <w:lang w:val="zh-CN" w:eastAsia="zh-CN" w:bidi="zh-CN"/>
    </w:rPr>
  </w:style>
  <w:style w:type="paragraph" w:styleId="34">
    <w:name w:val="List Paragraph"/>
    <w:basedOn w:val="1"/>
    <w:qFormat/>
    <w:uiPriority w:val="1"/>
    <w:pPr>
      <w:ind w:left="2421" w:hanging="703"/>
    </w:pPr>
  </w:style>
  <w:style w:type="paragraph" w:customStyle="1" w:styleId="35">
    <w:name w:val="Table Paragraph"/>
    <w:basedOn w:val="1"/>
    <w:qFormat/>
    <w:uiPriority w:val="1"/>
    <w:pPr>
      <w:jc w:val="center"/>
    </w:pPr>
    <w:rPr>
      <w:rFonts w:ascii="Times New Roman" w:hAnsi="Times New Roman" w:eastAsia="Times New Roman" w:cs="Times New Roman"/>
    </w:rPr>
  </w:style>
  <w:style w:type="character" w:customStyle="1" w:styleId="36">
    <w:name w:val="页眉 Char"/>
    <w:basedOn w:val="27"/>
    <w:link w:val="14"/>
    <w:qFormat/>
    <w:uiPriority w:val="99"/>
    <w:rPr>
      <w:rFonts w:ascii="仿宋_GB2312" w:hAnsi="仿宋_GB2312" w:eastAsia="仿宋_GB2312" w:cs="仿宋_GB2312"/>
      <w:sz w:val="18"/>
      <w:szCs w:val="18"/>
    </w:rPr>
  </w:style>
  <w:style w:type="character" w:customStyle="1" w:styleId="37">
    <w:name w:val="页脚 Char"/>
    <w:basedOn w:val="27"/>
    <w:link w:val="13"/>
    <w:qFormat/>
    <w:uiPriority w:val="99"/>
    <w:rPr>
      <w:rFonts w:ascii="仿宋_GB2312" w:hAnsi="仿宋_GB2312" w:eastAsia="仿宋_GB2312" w:cs="仿宋_GB2312"/>
      <w:sz w:val="18"/>
      <w:szCs w:val="18"/>
    </w:rPr>
  </w:style>
  <w:style w:type="character" w:customStyle="1" w:styleId="38">
    <w:name w:val="标题 3 Char"/>
    <w:basedOn w:val="27"/>
    <w:link w:val="4"/>
    <w:semiHidden/>
    <w:qFormat/>
    <w:uiPriority w:val="9"/>
    <w:rPr>
      <w:rFonts w:ascii="仿宋_GB2312" w:hAnsi="仿宋_GB2312" w:eastAsia="仿宋_GB2312" w:cs="仿宋_GB2312"/>
      <w:b/>
      <w:bCs/>
      <w:sz w:val="32"/>
      <w:szCs w:val="32"/>
    </w:rPr>
  </w:style>
  <w:style w:type="paragraph" w:customStyle="1" w:styleId="39">
    <w:name w:val="be358f00-9758-446e-aec5-cde8345aeef3"/>
    <w:basedOn w:val="24"/>
    <w:link w:val="41"/>
    <w:qFormat/>
    <w:uiPriority w:val="0"/>
    <w:pPr>
      <w:adjustRightInd w:val="0"/>
      <w:spacing w:after="0" w:line="288" w:lineRule="auto"/>
      <w:ind w:left="0" w:firstLine="440"/>
    </w:pPr>
    <w:rPr>
      <w:rFonts w:ascii="微软雅黑" w:hAnsi="微软雅黑" w:eastAsia="微软雅黑"/>
      <w:color w:val="000000"/>
      <w:szCs w:val="28"/>
      <w:lang w:eastAsia="zh-CN"/>
    </w:rPr>
  </w:style>
  <w:style w:type="character" w:customStyle="1" w:styleId="40">
    <w:name w:val="文本正文 字符"/>
    <w:basedOn w:val="27"/>
    <w:link w:val="33"/>
    <w:qFormat/>
    <w:uiPriority w:val="0"/>
    <w:rPr>
      <w:rFonts w:ascii="Times New Roman" w:hAnsi="仿宋_GB2312" w:eastAsia="仿宋_GB2312" w:cs="仿宋_GB2312"/>
      <w:sz w:val="28"/>
      <w:szCs w:val="28"/>
      <w:lang w:val="zh-CN" w:eastAsia="zh-CN" w:bidi="zh-CN"/>
    </w:rPr>
  </w:style>
  <w:style w:type="character" w:customStyle="1" w:styleId="41">
    <w:name w:val="be358f00-9758-446e-aec5-cde8345aeef3 字符"/>
    <w:basedOn w:val="27"/>
    <w:link w:val="39"/>
    <w:qFormat/>
    <w:uiPriority w:val="0"/>
    <w:rPr>
      <w:rFonts w:ascii="微软雅黑" w:hAnsi="微软雅黑" w:eastAsia="微软雅黑" w:cs="仿宋_GB2312"/>
      <w:color w:val="000000"/>
      <w:sz w:val="28"/>
      <w:szCs w:val="28"/>
      <w:lang w:eastAsia="zh-CN"/>
    </w:rPr>
  </w:style>
  <w:style w:type="character" w:customStyle="1" w:styleId="42">
    <w:name w:val="正文文本缩进 Char"/>
    <w:basedOn w:val="27"/>
    <w:link w:val="8"/>
    <w:semiHidden/>
    <w:qFormat/>
    <w:uiPriority w:val="99"/>
    <w:rPr>
      <w:rFonts w:ascii="仿宋_GB2312" w:hAnsi="仿宋_GB2312" w:eastAsia="仿宋_GB2312" w:cs="仿宋_GB2312"/>
    </w:rPr>
  </w:style>
  <w:style w:type="character" w:customStyle="1" w:styleId="43">
    <w:name w:val="正文首行缩进 2 Char"/>
    <w:basedOn w:val="42"/>
    <w:link w:val="24"/>
    <w:semiHidden/>
    <w:qFormat/>
    <w:uiPriority w:val="99"/>
    <w:rPr>
      <w:rFonts w:ascii="仿宋_GB2312" w:hAnsi="仿宋_GB2312" w:eastAsia="仿宋_GB2312" w:cs="仿宋_GB2312"/>
    </w:rPr>
  </w:style>
  <w:style w:type="paragraph" w:customStyle="1" w:styleId="44">
    <w:name w:val="一级标题"/>
    <w:next w:val="33"/>
    <w:link w:val="45"/>
    <w:qFormat/>
    <w:uiPriority w:val="0"/>
    <w:pPr>
      <w:widowControl w:val="0"/>
      <w:numPr>
        <w:ilvl w:val="0"/>
        <w:numId w:val="1"/>
      </w:numPr>
      <w:autoSpaceDE w:val="0"/>
      <w:autoSpaceDN w:val="0"/>
      <w:spacing w:before="120" w:after="120" w:line="560" w:lineRule="atLeast"/>
      <w:outlineLvl w:val="0"/>
    </w:pPr>
    <w:rPr>
      <w:rFonts w:ascii="Times New Roman" w:hAnsi="仿宋_GB2312" w:eastAsia="黑体" w:cs="仿宋_GB2312"/>
      <w:sz w:val="30"/>
      <w:szCs w:val="28"/>
      <w:lang w:val="zh-CN" w:eastAsia="zh-CN" w:bidi="zh-CN"/>
    </w:rPr>
  </w:style>
  <w:style w:type="character" w:customStyle="1" w:styleId="45">
    <w:name w:val="一级标题 字符"/>
    <w:basedOn w:val="27"/>
    <w:link w:val="44"/>
    <w:qFormat/>
    <w:uiPriority w:val="0"/>
    <w:rPr>
      <w:rFonts w:ascii="Times New Roman" w:hAnsi="仿宋_GB2312" w:eastAsia="黑体" w:cs="仿宋_GB2312"/>
      <w:sz w:val="30"/>
      <w:szCs w:val="28"/>
      <w:lang w:val="zh-CN" w:eastAsia="zh-CN" w:bidi="zh-CN"/>
    </w:rPr>
  </w:style>
  <w:style w:type="paragraph" w:customStyle="1" w:styleId="46">
    <w:name w:val="二级标题"/>
    <w:next w:val="1"/>
    <w:link w:val="47"/>
    <w:qFormat/>
    <w:uiPriority w:val="0"/>
    <w:pPr>
      <w:widowControl w:val="0"/>
      <w:numPr>
        <w:ilvl w:val="1"/>
        <w:numId w:val="1"/>
      </w:numPr>
      <w:autoSpaceDE w:val="0"/>
      <w:autoSpaceDN w:val="0"/>
      <w:spacing w:after="120" w:afterLines="50" w:line="560" w:lineRule="exact"/>
      <w:outlineLvl w:val="1"/>
    </w:pPr>
    <w:rPr>
      <w:rFonts w:ascii="宋体" w:hAnsi="宋体" w:eastAsia="仿宋_GB2312" w:cs="宋体"/>
      <w:b/>
      <w:sz w:val="28"/>
      <w:szCs w:val="22"/>
      <w:lang w:val="zh-CN" w:eastAsia="zh-CN" w:bidi="zh-CN"/>
    </w:rPr>
  </w:style>
  <w:style w:type="character" w:customStyle="1" w:styleId="47">
    <w:name w:val="二级标题 字符"/>
    <w:basedOn w:val="27"/>
    <w:link w:val="46"/>
    <w:qFormat/>
    <w:uiPriority w:val="0"/>
    <w:rPr>
      <w:rFonts w:ascii="宋体" w:hAnsi="宋体" w:eastAsia="仿宋_GB2312" w:cs="宋体"/>
      <w:b/>
      <w:sz w:val="28"/>
      <w:szCs w:val="22"/>
      <w:lang w:val="zh-CN" w:bidi="zh-CN"/>
    </w:rPr>
  </w:style>
  <w:style w:type="paragraph" w:customStyle="1" w:styleId="48">
    <w:name w:val="三级标题"/>
    <w:basedOn w:val="33"/>
    <w:next w:val="1"/>
    <w:link w:val="49"/>
    <w:qFormat/>
    <w:uiPriority w:val="0"/>
    <w:pPr>
      <w:numPr>
        <w:ilvl w:val="2"/>
        <w:numId w:val="1"/>
      </w:numPr>
      <w:spacing w:before="0" w:after="0"/>
      <w:ind w:firstLine="0" w:firstLineChars="0"/>
      <w:contextualSpacing w:val="0"/>
      <w:outlineLvl w:val="2"/>
    </w:pPr>
  </w:style>
  <w:style w:type="character" w:customStyle="1" w:styleId="49">
    <w:name w:val="三级标题 字符"/>
    <w:basedOn w:val="27"/>
    <w:link w:val="48"/>
    <w:qFormat/>
    <w:uiPriority w:val="0"/>
    <w:rPr>
      <w:rFonts w:hAnsi="仿宋_GB2312" w:eastAsia="仿宋_GB2312" w:cs="仿宋_GB2312"/>
      <w:sz w:val="28"/>
      <w:szCs w:val="28"/>
      <w:lang w:val="zh-CN" w:bidi="zh-CN"/>
    </w:rPr>
  </w:style>
  <w:style w:type="table" w:customStyle="1" w:styleId="50">
    <w:name w:val="表格1"/>
    <w:basedOn w:val="25"/>
    <w:qFormat/>
    <w:uiPriority w:val="99"/>
    <w:pPr>
      <w:jc w:val="center"/>
    </w:pPr>
    <w:rPr>
      <w:rFonts w:eastAsia="仿宋_GB2312"/>
      <w:sz w:val="24"/>
    </w:rPr>
    <w:tblPr>
      <w:jc w:val="center"/>
      <w:tblBorders>
        <w:top w:val="single" w:color="auto" w:sz="12" w:space="0"/>
        <w:bottom w:val="single" w:color="auto" w:sz="12" w:space="0"/>
        <w:insideH w:val="single" w:color="auto" w:sz="4" w:space="0"/>
        <w:insideV w:val="single" w:color="auto" w:sz="4" w:space="0"/>
      </w:tblBorders>
    </w:tblPr>
    <w:trPr>
      <w:jc w:val="center"/>
    </w:trPr>
  </w:style>
  <w:style w:type="table" w:customStyle="1" w:styleId="51">
    <w:name w:val="网格型浅色1"/>
    <w:basedOn w:val="25"/>
    <w:qFormat/>
    <w:uiPriority w:val="40"/>
    <w:tblPr>
      <w:tblBorders>
        <w:top w:val="single" w:color="BEBEBE" w:themeColor="background1" w:themeShade="BF" w:sz="4" w:space="0"/>
        <w:left w:val="single" w:color="BEBEBE" w:themeColor="background1" w:themeShade="BF" w:sz="4" w:space="0"/>
        <w:bottom w:val="single" w:color="BEBEBE" w:themeColor="background1" w:themeShade="BF" w:sz="4" w:space="0"/>
        <w:right w:val="single" w:color="BEBEBE" w:themeColor="background1" w:themeShade="BF" w:sz="4" w:space="0"/>
        <w:insideH w:val="single" w:color="BEBEBE" w:themeColor="background1" w:themeShade="BF" w:sz="4" w:space="0"/>
        <w:insideV w:val="single" w:color="BEBEBE" w:themeColor="background1" w:themeShade="BF" w:sz="4" w:space="0"/>
      </w:tblBorders>
    </w:tblPr>
  </w:style>
  <w:style w:type="character" w:styleId="52">
    <w:name w:val="Placeholder Text"/>
    <w:basedOn w:val="27"/>
    <w:semiHidden/>
    <w:qFormat/>
    <w:uiPriority w:val="99"/>
    <w:rPr>
      <w:color w:val="666666"/>
    </w:rPr>
  </w:style>
  <w:style w:type="paragraph" w:customStyle="1" w:styleId="53">
    <w:name w:val="TOC 标题1"/>
    <w:basedOn w:val="2"/>
    <w:next w:val="1"/>
    <w:unhideWhenUsed/>
    <w:qFormat/>
    <w:uiPriority w:val="39"/>
    <w:pPr>
      <w:keepNext/>
      <w:keepLines/>
      <w:widowControl/>
      <w:autoSpaceDE/>
      <w:autoSpaceDN/>
      <w:spacing w:before="240" w:line="259" w:lineRule="auto"/>
      <w:ind w:left="0" w:right="0"/>
      <w:jc w:val="left"/>
      <w:outlineLvl w:val="9"/>
    </w:pPr>
    <w:rPr>
      <w:rFonts w:asciiTheme="majorHAnsi" w:hAnsiTheme="majorHAnsi" w:eastAsiaTheme="majorEastAsia" w:cstheme="majorBidi"/>
      <w:color w:val="376092" w:themeColor="accent1" w:themeShade="BF"/>
      <w:sz w:val="32"/>
      <w:szCs w:val="32"/>
      <w:lang w:eastAsia="zh-CN"/>
    </w:rPr>
  </w:style>
  <w:style w:type="character" w:customStyle="1" w:styleId="54">
    <w:name w:val="未处理的提及1"/>
    <w:basedOn w:val="27"/>
    <w:semiHidden/>
    <w:unhideWhenUsed/>
    <w:qFormat/>
    <w:uiPriority w:val="99"/>
    <w:rPr>
      <w:color w:val="605E5C"/>
      <w:shd w:val="clear" w:color="auto" w:fill="E1DFDD"/>
    </w:rPr>
  </w:style>
  <w:style w:type="table" w:customStyle="1" w:styleId="55">
    <w:name w:val="样式1"/>
    <w:basedOn w:val="25"/>
    <w:qFormat/>
    <w:uiPriority w:val="99"/>
    <w:pPr>
      <w:pageBreakBefore/>
      <w:jc w:val="center"/>
    </w:pPr>
    <w:rPr>
      <w:rFonts w:eastAsia="仿宋_GB2312"/>
      <w:sz w:val="24"/>
    </w:rPr>
    <w:tblPr>
      <w:tblBorders>
        <w:top w:val="single" w:color="auto" w:sz="12" w:space="0"/>
        <w:bottom w:val="single" w:color="auto" w:sz="12" w:space="0"/>
        <w:insideH w:val="single" w:color="auto" w:sz="4" w:space="0"/>
        <w:insideV w:val="single" w:color="auto" w:sz="4" w:space="0"/>
      </w:tblBorders>
    </w:tblPr>
  </w:style>
  <w:style w:type="character" w:customStyle="1" w:styleId="56">
    <w:name w:val="正文文本 Char1"/>
    <w:basedOn w:val="27"/>
    <w:link w:val="7"/>
    <w:qFormat/>
    <w:uiPriority w:val="0"/>
    <w:rPr>
      <w:rFonts w:ascii="Times New Roman" w:hAnsi="Times New Roman" w:eastAsia="宋体" w:cs="Times New Roman"/>
      <w:kern w:val="2"/>
      <w:sz w:val="21"/>
      <w:szCs w:val="24"/>
      <w:lang w:eastAsia="zh-CN"/>
    </w:rPr>
  </w:style>
  <w:style w:type="character" w:customStyle="1" w:styleId="57">
    <w:name w:val="正文文本缩进 3 Char"/>
    <w:basedOn w:val="27"/>
    <w:link w:val="19"/>
    <w:qFormat/>
    <w:uiPriority w:val="99"/>
    <w:rPr>
      <w:rFonts w:ascii="仿宋_GB2312" w:hAnsi="仿宋_GB2312" w:eastAsia="仿宋_GB2312" w:cs="仿宋_GB2312"/>
      <w:sz w:val="16"/>
      <w:szCs w:val="16"/>
    </w:rPr>
  </w:style>
  <w:style w:type="character" w:customStyle="1" w:styleId="58">
    <w:name w:val="纯文本 字符"/>
    <w:basedOn w:val="27"/>
    <w:qFormat/>
    <w:uiPriority w:val="0"/>
    <w:rPr>
      <w:rFonts w:ascii="宋体" w:hAnsi="Courier New" w:eastAsia="宋体" w:cs="Times New Roman"/>
      <w:kern w:val="2"/>
      <w:sz w:val="21"/>
      <w:szCs w:val="20"/>
      <w:lang w:eastAsia="zh-CN"/>
    </w:rPr>
  </w:style>
  <w:style w:type="paragraph" w:customStyle="1" w:styleId="59">
    <w:name w:val="正文内容"/>
    <w:basedOn w:val="1"/>
    <w:qFormat/>
    <w:uiPriority w:val="0"/>
    <w:pPr>
      <w:tabs>
        <w:tab w:val="left" w:pos="1365"/>
      </w:tabs>
      <w:spacing w:line="560" w:lineRule="exact"/>
      <w:ind w:firstLine="560" w:firstLineChars="200"/>
      <w:jc w:val="both"/>
    </w:pPr>
    <w:rPr>
      <w:rFonts w:ascii="Times New Roman" w:hAnsi="Times New Roman" w:cs="Times New Roman"/>
      <w:kern w:val="2"/>
      <w:sz w:val="28"/>
    </w:rPr>
  </w:style>
  <w:style w:type="character" w:customStyle="1" w:styleId="60">
    <w:name w:val="标题 1 Char1"/>
    <w:basedOn w:val="27"/>
    <w:link w:val="2"/>
    <w:qFormat/>
    <w:uiPriority w:val="0"/>
    <w:rPr>
      <w:rFonts w:hint="eastAsia" w:ascii="黑体" w:hAnsi="宋体" w:eastAsia="黑体" w:cs="黑体"/>
      <w:b/>
      <w:bCs/>
      <w:color w:val="333333"/>
      <w:kern w:val="44"/>
      <w:sz w:val="30"/>
      <w:szCs w:val="30"/>
    </w:rPr>
  </w:style>
  <w:style w:type="character" w:customStyle="1" w:styleId="61">
    <w:name w:val="标题 1 Char"/>
    <w:basedOn w:val="27"/>
    <w:qFormat/>
    <w:uiPriority w:val="0"/>
    <w:rPr>
      <w:rFonts w:hint="eastAsia" w:ascii="华文仿宋" w:hAnsi="华文仿宋" w:eastAsia="华文仿宋" w:cs="华文仿宋"/>
      <w:b/>
      <w:bCs/>
      <w:color w:val="333333"/>
      <w:kern w:val="44"/>
      <w:sz w:val="44"/>
      <w:szCs w:val="44"/>
    </w:rPr>
  </w:style>
  <w:style w:type="character" w:customStyle="1" w:styleId="62">
    <w:name w:val="正文文本 Char"/>
    <w:basedOn w:val="27"/>
    <w:qFormat/>
    <w:uiPriority w:val="0"/>
    <w:rPr>
      <w:rFonts w:hint="eastAsia" w:ascii="华文仿宋" w:hAnsi="华文仿宋" w:eastAsia="华文仿宋" w:cs="华文仿宋"/>
      <w:color w:val="333333"/>
      <w:kern w:val="2"/>
      <w:sz w:val="28"/>
      <w:szCs w:val="28"/>
    </w:rPr>
  </w:style>
  <w:style w:type="character" w:customStyle="1" w:styleId="63">
    <w:name w:val="纯文本 Char"/>
    <w:basedOn w:val="27"/>
    <w:qFormat/>
    <w:uiPriority w:val="0"/>
    <w:rPr>
      <w:rFonts w:hint="eastAsia" w:ascii="宋体" w:hAnsi="Courier New" w:eastAsia="宋体" w:cs="Courier New"/>
      <w:color w:val="333333"/>
      <w:kern w:val="2"/>
      <w:sz w:val="21"/>
      <w:szCs w:val="21"/>
    </w:rPr>
  </w:style>
  <w:style w:type="character" w:customStyle="1" w:styleId="64">
    <w:name w:val="纯文本 Char1"/>
    <w:basedOn w:val="27"/>
    <w:link w:val="11"/>
    <w:qFormat/>
    <w:uiPriority w:val="0"/>
    <w:rPr>
      <w:rFonts w:hint="eastAsia" w:ascii="宋体" w:hAnsi="Courier New" w:eastAsia="宋体" w:cs="宋体"/>
      <w:kern w:val="2"/>
      <w:sz w:val="21"/>
    </w:rPr>
  </w:style>
  <w:style w:type="character" w:customStyle="1" w:styleId="65">
    <w:name w:val="未处理的提及2"/>
    <w:basedOn w:val="27"/>
    <w:semiHidden/>
    <w:unhideWhenUsed/>
    <w:qFormat/>
    <w:uiPriority w:val="99"/>
    <w:rPr>
      <w:color w:val="605E5C"/>
      <w:shd w:val="clear" w:color="auto" w:fill="E1DFDD"/>
    </w:rPr>
  </w:style>
  <w:style w:type="paragraph" w:customStyle="1" w:styleId="66">
    <w:name w:val="TOC 标题2"/>
    <w:basedOn w:val="2"/>
    <w:next w:val="1"/>
    <w:unhideWhenUsed/>
    <w:qFormat/>
    <w:uiPriority w:val="39"/>
    <w:pPr>
      <w:keepNext/>
      <w:keepLines/>
      <w:widowControl/>
      <w:autoSpaceDE/>
      <w:autoSpaceDN/>
      <w:spacing w:before="240" w:line="259" w:lineRule="auto"/>
      <w:ind w:left="0" w:right="0"/>
      <w:jc w:val="left"/>
      <w:outlineLvl w:val="9"/>
    </w:pPr>
    <w:rPr>
      <w:rFonts w:asciiTheme="majorHAnsi" w:hAnsiTheme="majorHAnsi" w:eastAsiaTheme="majorEastAsia" w:cstheme="majorBidi"/>
      <w:color w:val="376092" w:themeColor="accent1" w:themeShade="BF"/>
      <w:sz w:val="32"/>
      <w:szCs w:val="32"/>
      <w:lang w:eastAsia="zh-CN"/>
    </w:rPr>
  </w:style>
  <w:style w:type="paragraph" w:customStyle="1" w:styleId="67">
    <w:name w:val="msonormal"/>
    <w:basedOn w:val="1"/>
    <w:qFormat/>
    <w:uiPriority w:val="0"/>
    <w:pPr>
      <w:widowControl/>
      <w:autoSpaceDE/>
      <w:autoSpaceDN/>
      <w:spacing w:before="100" w:beforeAutospacing="1" w:after="100" w:afterAutospacing="1"/>
    </w:pPr>
    <w:rPr>
      <w:rFonts w:ascii="宋体" w:hAnsi="宋体" w:eastAsia="宋体" w:cs="宋体"/>
      <w:sz w:val="24"/>
      <w:szCs w:val="24"/>
      <w:lang w:eastAsia="zh-CN"/>
    </w:rPr>
  </w:style>
  <w:style w:type="paragraph" w:customStyle="1" w:styleId="68">
    <w:name w:val="font5"/>
    <w:basedOn w:val="1"/>
    <w:qFormat/>
    <w:uiPriority w:val="0"/>
    <w:pPr>
      <w:widowControl/>
      <w:autoSpaceDE/>
      <w:autoSpaceDN/>
      <w:spacing w:before="100" w:beforeAutospacing="1" w:after="100" w:afterAutospacing="1"/>
    </w:pPr>
    <w:rPr>
      <w:rFonts w:hAnsi="宋体" w:cs="宋体"/>
      <w:sz w:val="18"/>
      <w:szCs w:val="18"/>
      <w:lang w:eastAsia="zh-CN"/>
    </w:rPr>
  </w:style>
  <w:style w:type="paragraph" w:customStyle="1" w:styleId="69">
    <w:name w:val="font6"/>
    <w:basedOn w:val="1"/>
    <w:qFormat/>
    <w:uiPriority w:val="0"/>
    <w:pPr>
      <w:widowControl/>
      <w:autoSpaceDE/>
      <w:autoSpaceDN/>
      <w:spacing w:before="100" w:beforeAutospacing="1" w:after="100" w:afterAutospacing="1"/>
    </w:pPr>
    <w:rPr>
      <w:rFonts w:ascii="宋体" w:hAnsi="宋体" w:eastAsia="宋体" w:cs="宋体"/>
      <w:sz w:val="18"/>
      <w:szCs w:val="18"/>
      <w:lang w:eastAsia="zh-CN"/>
    </w:rPr>
  </w:style>
  <w:style w:type="paragraph" w:customStyle="1" w:styleId="70">
    <w:name w:val="font7"/>
    <w:basedOn w:val="1"/>
    <w:qFormat/>
    <w:uiPriority w:val="0"/>
    <w:pPr>
      <w:widowControl/>
      <w:autoSpaceDE/>
      <w:autoSpaceDN/>
      <w:spacing w:before="100" w:beforeAutospacing="1" w:after="100" w:afterAutospacing="1"/>
    </w:pPr>
    <w:rPr>
      <w:rFonts w:ascii="宋体" w:hAnsi="宋体" w:eastAsia="宋体" w:cs="宋体"/>
      <w:color w:val="000000"/>
      <w:sz w:val="18"/>
      <w:szCs w:val="18"/>
      <w:lang w:eastAsia="zh-CN"/>
    </w:rPr>
  </w:style>
  <w:style w:type="paragraph" w:customStyle="1" w:styleId="71">
    <w:name w:val="font8"/>
    <w:basedOn w:val="1"/>
    <w:qFormat/>
    <w:uiPriority w:val="0"/>
    <w:pPr>
      <w:widowControl/>
      <w:autoSpaceDE/>
      <w:autoSpaceDN/>
      <w:spacing w:before="100" w:beforeAutospacing="1" w:after="100" w:afterAutospacing="1"/>
    </w:pPr>
    <w:rPr>
      <w:rFonts w:ascii="仿宋" w:hAnsi="仿宋" w:eastAsia="仿宋" w:cs="宋体"/>
      <w:color w:val="000000"/>
      <w:sz w:val="18"/>
      <w:szCs w:val="18"/>
      <w:lang w:eastAsia="zh-CN"/>
    </w:rPr>
  </w:style>
  <w:style w:type="paragraph" w:customStyle="1" w:styleId="72">
    <w:name w:val="font9"/>
    <w:basedOn w:val="1"/>
    <w:qFormat/>
    <w:uiPriority w:val="0"/>
    <w:pPr>
      <w:widowControl/>
      <w:autoSpaceDE/>
      <w:autoSpaceDN/>
      <w:spacing w:before="100" w:beforeAutospacing="1" w:after="100" w:afterAutospacing="1"/>
    </w:pPr>
    <w:rPr>
      <w:rFonts w:ascii="仿宋" w:hAnsi="仿宋" w:eastAsia="仿宋" w:cs="宋体"/>
      <w:color w:val="000000"/>
      <w:lang w:eastAsia="zh-CN"/>
    </w:rPr>
  </w:style>
  <w:style w:type="paragraph" w:customStyle="1" w:styleId="73">
    <w:name w:val="xl66"/>
    <w:basedOn w:val="1"/>
    <w:qFormat/>
    <w:uiPriority w:val="0"/>
    <w:pPr>
      <w:widowControl/>
      <w:autoSpaceDE/>
      <w:autoSpaceDN/>
      <w:spacing w:before="100" w:beforeAutospacing="1" w:after="100" w:afterAutospacing="1"/>
    </w:pPr>
    <w:rPr>
      <w:rFonts w:ascii="仿宋" w:hAnsi="仿宋" w:eastAsia="仿宋" w:cs="宋体"/>
      <w:sz w:val="21"/>
      <w:szCs w:val="21"/>
      <w:lang w:eastAsia="zh-CN"/>
    </w:rPr>
  </w:style>
  <w:style w:type="paragraph" w:customStyle="1" w:styleId="74">
    <w:name w:val="xl67"/>
    <w:basedOn w:val="1"/>
    <w:qFormat/>
    <w:uiPriority w:val="0"/>
    <w:pPr>
      <w:widowControl/>
      <w:autoSpaceDE/>
      <w:autoSpaceDN/>
      <w:spacing w:before="100" w:beforeAutospacing="1" w:after="100" w:afterAutospacing="1"/>
      <w:jc w:val="center"/>
    </w:pPr>
    <w:rPr>
      <w:rFonts w:ascii="仿宋" w:hAnsi="仿宋" w:eastAsia="仿宋" w:cs="宋体"/>
      <w:color w:val="333333"/>
      <w:sz w:val="21"/>
      <w:szCs w:val="21"/>
      <w:lang w:eastAsia="zh-CN"/>
    </w:rPr>
  </w:style>
  <w:style w:type="paragraph" w:customStyle="1" w:styleId="75">
    <w:name w:val="xl68"/>
    <w:basedOn w:val="1"/>
    <w:qFormat/>
    <w:uiPriority w:val="0"/>
    <w:pPr>
      <w:widowControl/>
      <w:pBdr>
        <w:top w:val="single" w:color="auto" w:sz="4" w:space="0"/>
        <w:left w:val="single" w:color="auto" w:sz="4" w:space="0"/>
        <w:bottom w:val="single" w:color="auto" w:sz="4" w:space="0"/>
        <w:right w:val="single" w:color="auto" w:sz="4" w:space="0"/>
      </w:pBdr>
      <w:autoSpaceDE/>
      <w:autoSpaceDN/>
      <w:spacing w:before="100" w:beforeAutospacing="1" w:after="100" w:afterAutospacing="1"/>
      <w:jc w:val="center"/>
    </w:pPr>
    <w:rPr>
      <w:rFonts w:ascii="仿宋" w:hAnsi="仿宋" w:eastAsia="仿宋" w:cs="宋体"/>
      <w:color w:val="333333"/>
      <w:sz w:val="21"/>
      <w:szCs w:val="21"/>
      <w:lang w:eastAsia="zh-CN"/>
    </w:rPr>
  </w:style>
  <w:style w:type="paragraph" w:customStyle="1" w:styleId="76">
    <w:name w:val="xl69"/>
    <w:basedOn w:val="1"/>
    <w:qFormat/>
    <w:uiPriority w:val="0"/>
    <w:pPr>
      <w:widowControl/>
      <w:pBdr>
        <w:top w:val="single" w:color="auto" w:sz="4" w:space="0"/>
        <w:left w:val="single" w:color="auto" w:sz="4" w:space="0"/>
        <w:bottom w:val="single" w:color="auto" w:sz="4" w:space="0"/>
        <w:right w:val="single" w:color="auto" w:sz="4" w:space="0"/>
      </w:pBdr>
      <w:autoSpaceDE/>
      <w:autoSpaceDN/>
      <w:spacing w:before="100" w:beforeAutospacing="1" w:after="100" w:afterAutospacing="1"/>
      <w:jc w:val="center"/>
    </w:pPr>
    <w:rPr>
      <w:rFonts w:ascii="仿宋" w:hAnsi="仿宋" w:eastAsia="仿宋" w:cs="宋体"/>
      <w:color w:val="333333"/>
      <w:sz w:val="21"/>
      <w:szCs w:val="21"/>
      <w:lang w:eastAsia="zh-CN"/>
    </w:rPr>
  </w:style>
  <w:style w:type="paragraph" w:customStyle="1" w:styleId="77">
    <w:name w:val="xl70"/>
    <w:basedOn w:val="1"/>
    <w:qFormat/>
    <w:uiPriority w:val="0"/>
    <w:pPr>
      <w:widowControl/>
      <w:pBdr>
        <w:top w:val="single" w:color="auto" w:sz="4" w:space="0"/>
        <w:left w:val="single" w:color="auto" w:sz="4" w:space="0"/>
        <w:bottom w:val="single" w:color="auto" w:sz="4" w:space="0"/>
        <w:right w:val="single" w:color="auto" w:sz="4" w:space="0"/>
      </w:pBdr>
      <w:autoSpaceDE/>
      <w:autoSpaceDN/>
      <w:spacing w:before="100" w:beforeAutospacing="1" w:after="100" w:afterAutospacing="1"/>
      <w:jc w:val="center"/>
    </w:pPr>
    <w:rPr>
      <w:rFonts w:ascii="仿宋" w:hAnsi="仿宋" w:eastAsia="仿宋" w:cs="宋体"/>
      <w:sz w:val="21"/>
      <w:szCs w:val="21"/>
      <w:lang w:eastAsia="zh-CN"/>
    </w:rPr>
  </w:style>
  <w:style w:type="paragraph" w:customStyle="1" w:styleId="78">
    <w:name w:val="xl71"/>
    <w:basedOn w:val="1"/>
    <w:qFormat/>
    <w:uiPriority w:val="0"/>
    <w:pPr>
      <w:widowControl/>
      <w:autoSpaceDE/>
      <w:autoSpaceDN/>
      <w:spacing w:before="100" w:beforeAutospacing="1" w:after="100" w:afterAutospacing="1"/>
      <w:jc w:val="center"/>
    </w:pPr>
    <w:rPr>
      <w:rFonts w:ascii="仿宋" w:hAnsi="仿宋" w:eastAsia="仿宋" w:cs="宋体"/>
      <w:color w:val="333333"/>
      <w:sz w:val="21"/>
      <w:szCs w:val="21"/>
      <w:lang w:eastAsia="zh-CN"/>
    </w:rPr>
  </w:style>
  <w:style w:type="paragraph" w:customStyle="1" w:styleId="79">
    <w:name w:val="xl72"/>
    <w:basedOn w:val="1"/>
    <w:qFormat/>
    <w:uiPriority w:val="0"/>
    <w:pPr>
      <w:widowControl/>
      <w:autoSpaceDE/>
      <w:autoSpaceDN/>
      <w:spacing w:before="100" w:beforeAutospacing="1" w:after="100" w:afterAutospacing="1"/>
      <w:jc w:val="center"/>
    </w:pPr>
    <w:rPr>
      <w:rFonts w:ascii="仿宋" w:hAnsi="仿宋" w:eastAsia="仿宋" w:cs="宋体"/>
      <w:color w:val="333333"/>
      <w:sz w:val="21"/>
      <w:szCs w:val="21"/>
      <w:lang w:eastAsia="zh-CN"/>
    </w:rPr>
  </w:style>
  <w:style w:type="paragraph" w:customStyle="1" w:styleId="80">
    <w:name w:val="xl73"/>
    <w:basedOn w:val="1"/>
    <w:qFormat/>
    <w:uiPriority w:val="0"/>
    <w:pPr>
      <w:widowControl/>
      <w:pBdr>
        <w:top w:val="single" w:color="auto" w:sz="4" w:space="0"/>
        <w:left w:val="single" w:color="auto" w:sz="4" w:space="0"/>
        <w:bottom w:val="single" w:color="auto" w:sz="4" w:space="0"/>
        <w:right w:val="single" w:color="auto" w:sz="4" w:space="0"/>
      </w:pBdr>
      <w:autoSpaceDE/>
      <w:autoSpaceDN/>
      <w:spacing w:before="100" w:beforeAutospacing="1" w:after="100" w:afterAutospacing="1"/>
      <w:jc w:val="center"/>
    </w:pPr>
    <w:rPr>
      <w:rFonts w:ascii="仿宋" w:hAnsi="仿宋" w:eastAsia="仿宋" w:cs="宋体"/>
      <w:sz w:val="21"/>
      <w:szCs w:val="21"/>
      <w:lang w:eastAsia="zh-CN"/>
    </w:rPr>
  </w:style>
  <w:style w:type="paragraph" w:customStyle="1" w:styleId="81">
    <w:name w:val="xl74"/>
    <w:basedOn w:val="1"/>
    <w:qFormat/>
    <w:uiPriority w:val="0"/>
    <w:pPr>
      <w:widowControl/>
      <w:pBdr>
        <w:top w:val="single" w:color="auto" w:sz="4" w:space="0"/>
        <w:left w:val="single" w:color="auto" w:sz="4" w:space="0"/>
        <w:bottom w:val="single" w:color="auto" w:sz="4" w:space="0"/>
        <w:right w:val="single" w:color="auto" w:sz="4" w:space="0"/>
      </w:pBdr>
      <w:autoSpaceDE/>
      <w:autoSpaceDN/>
      <w:spacing w:before="100" w:beforeAutospacing="1" w:after="100" w:afterAutospacing="1"/>
      <w:jc w:val="center"/>
    </w:pPr>
    <w:rPr>
      <w:rFonts w:ascii="仿宋" w:hAnsi="仿宋" w:eastAsia="仿宋" w:cs="宋体"/>
      <w:sz w:val="21"/>
      <w:szCs w:val="21"/>
      <w:lang w:eastAsia="zh-CN"/>
    </w:rPr>
  </w:style>
  <w:style w:type="paragraph" w:customStyle="1" w:styleId="82">
    <w:name w:val="xl75"/>
    <w:basedOn w:val="1"/>
    <w:qFormat/>
    <w:uiPriority w:val="0"/>
    <w:pPr>
      <w:widowControl/>
      <w:pBdr>
        <w:top w:val="single" w:color="auto" w:sz="4" w:space="0"/>
        <w:left w:val="single" w:color="auto" w:sz="8" w:space="0"/>
        <w:bottom w:val="single" w:color="auto" w:sz="4" w:space="0"/>
        <w:right w:val="single" w:color="auto" w:sz="4" w:space="0"/>
      </w:pBdr>
      <w:autoSpaceDE/>
      <w:autoSpaceDN/>
      <w:spacing w:before="100" w:beforeAutospacing="1" w:after="100" w:afterAutospacing="1"/>
      <w:jc w:val="center"/>
    </w:pPr>
    <w:rPr>
      <w:rFonts w:ascii="Times New Roman" w:hAnsi="Times New Roman" w:eastAsia="宋体" w:cs="Times New Roman"/>
      <w:sz w:val="18"/>
      <w:szCs w:val="18"/>
      <w:lang w:eastAsia="zh-CN"/>
    </w:rPr>
  </w:style>
  <w:style w:type="paragraph" w:customStyle="1" w:styleId="83">
    <w:name w:val="xl76"/>
    <w:basedOn w:val="1"/>
    <w:qFormat/>
    <w:uiPriority w:val="0"/>
    <w:pPr>
      <w:widowControl/>
      <w:pBdr>
        <w:top w:val="single" w:color="auto" w:sz="4" w:space="0"/>
        <w:left w:val="single" w:color="auto" w:sz="4" w:space="0"/>
        <w:bottom w:val="single" w:color="auto" w:sz="4" w:space="0"/>
        <w:right w:val="single" w:color="auto" w:sz="4" w:space="0"/>
      </w:pBdr>
      <w:autoSpaceDE/>
      <w:autoSpaceDN/>
      <w:spacing w:before="100" w:beforeAutospacing="1" w:after="100" w:afterAutospacing="1"/>
      <w:jc w:val="center"/>
    </w:pPr>
    <w:rPr>
      <w:rFonts w:ascii="Times New Roman" w:hAnsi="Times New Roman" w:eastAsia="宋体" w:cs="Times New Roman"/>
      <w:sz w:val="18"/>
      <w:szCs w:val="18"/>
      <w:lang w:eastAsia="zh-CN"/>
    </w:rPr>
  </w:style>
  <w:style w:type="paragraph" w:customStyle="1" w:styleId="84">
    <w:name w:val="xl77"/>
    <w:basedOn w:val="1"/>
    <w:qFormat/>
    <w:uiPriority w:val="0"/>
    <w:pPr>
      <w:widowControl/>
      <w:autoSpaceDE/>
      <w:autoSpaceDN/>
      <w:spacing w:before="100" w:beforeAutospacing="1" w:after="100" w:afterAutospacing="1"/>
      <w:jc w:val="center"/>
    </w:pPr>
    <w:rPr>
      <w:rFonts w:ascii="Times New Roman" w:hAnsi="Times New Roman" w:eastAsia="宋体" w:cs="Times New Roman"/>
      <w:sz w:val="18"/>
      <w:szCs w:val="18"/>
      <w:lang w:eastAsia="zh-CN"/>
    </w:rPr>
  </w:style>
  <w:style w:type="paragraph" w:customStyle="1" w:styleId="85">
    <w:name w:val="xl78"/>
    <w:basedOn w:val="1"/>
    <w:qFormat/>
    <w:uiPriority w:val="0"/>
    <w:pPr>
      <w:widowControl/>
      <w:pBdr>
        <w:top w:val="single" w:color="auto" w:sz="4" w:space="0"/>
        <w:left w:val="single" w:color="auto" w:sz="4" w:space="0"/>
        <w:bottom w:val="single" w:color="auto" w:sz="4" w:space="0"/>
        <w:right w:val="single" w:color="auto" w:sz="8" w:space="0"/>
      </w:pBdr>
      <w:autoSpaceDE/>
      <w:autoSpaceDN/>
      <w:spacing w:before="100" w:beforeAutospacing="1" w:after="100" w:afterAutospacing="1"/>
      <w:jc w:val="center"/>
    </w:pPr>
    <w:rPr>
      <w:rFonts w:ascii="仿宋" w:hAnsi="仿宋" w:eastAsia="仿宋" w:cs="宋体"/>
      <w:color w:val="333333"/>
      <w:sz w:val="21"/>
      <w:szCs w:val="21"/>
      <w:lang w:eastAsia="zh-CN"/>
    </w:rPr>
  </w:style>
  <w:style w:type="paragraph" w:customStyle="1" w:styleId="86">
    <w:name w:val="xl79"/>
    <w:basedOn w:val="1"/>
    <w:qFormat/>
    <w:uiPriority w:val="0"/>
    <w:pPr>
      <w:widowControl/>
      <w:pBdr>
        <w:top w:val="single" w:color="auto" w:sz="4" w:space="0"/>
        <w:left w:val="single" w:color="auto" w:sz="4" w:space="0"/>
        <w:bottom w:val="single" w:color="auto" w:sz="4" w:space="0"/>
        <w:right w:val="single" w:color="auto" w:sz="8" w:space="0"/>
      </w:pBdr>
      <w:autoSpaceDE/>
      <w:autoSpaceDN/>
      <w:spacing w:before="100" w:beforeAutospacing="1" w:after="100" w:afterAutospacing="1"/>
      <w:jc w:val="center"/>
    </w:pPr>
    <w:rPr>
      <w:rFonts w:ascii="仿宋" w:hAnsi="仿宋" w:eastAsia="仿宋" w:cs="宋体"/>
      <w:color w:val="333333"/>
      <w:sz w:val="21"/>
      <w:szCs w:val="21"/>
      <w:lang w:eastAsia="zh-CN"/>
    </w:rPr>
  </w:style>
  <w:style w:type="paragraph" w:customStyle="1" w:styleId="87">
    <w:name w:val="xl80"/>
    <w:basedOn w:val="1"/>
    <w:qFormat/>
    <w:uiPriority w:val="0"/>
    <w:pPr>
      <w:widowControl/>
      <w:pBdr>
        <w:top w:val="single" w:color="auto" w:sz="4" w:space="0"/>
        <w:left w:val="single" w:color="auto" w:sz="4" w:space="0"/>
        <w:bottom w:val="single" w:color="auto" w:sz="8" w:space="0"/>
        <w:right w:val="single" w:color="auto" w:sz="4" w:space="0"/>
      </w:pBdr>
      <w:autoSpaceDE/>
      <w:autoSpaceDN/>
      <w:spacing w:before="100" w:beforeAutospacing="1" w:after="100" w:afterAutospacing="1"/>
      <w:jc w:val="center"/>
    </w:pPr>
    <w:rPr>
      <w:rFonts w:ascii="仿宋" w:hAnsi="仿宋" w:eastAsia="仿宋" w:cs="宋体"/>
      <w:color w:val="333333"/>
      <w:sz w:val="21"/>
      <w:szCs w:val="21"/>
      <w:lang w:eastAsia="zh-CN"/>
    </w:rPr>
  </w:style>
  <w:style w:type="paragraph" w:customStyle="1" w:styleId="88">
    <w:name w:val="xl81"/>
    <w:basedOn w:val="1"/>
    <w:qFormat/>
    <w:uiPriority w:val="0"/>
    <w:pPr>
      <w:widowControl/>
      <w:pBdr>
        <w:top w:val="single" w:color="auto" w:sz="4" w:space="0"/>
        <w:left w:val="single" w:color="auto" w:sz="4" w:space="0"/>
        <w:bottom w:val="single" w:color="auto" w:sz="4" w:space="0"/>
        <w:right w:val="single" w:color="auto" w:sz="4" w:space="0"/>
      </w:pBdr>
      <w:autoSpaceDE/>
      <w:autoSpaceDN/>
      <w:spacing w:before="100" w:beforeAutospacing="1" w:after="100" w:afterAutospacing="1"/>
      <w:jc w:val="center"/>
    </w:pPr>
    <w:rPr>
      <w:rFonts w:ascii="仿宋" w:hAnsi="仿宋" w:eastAsia="仿宋" w:cs="宋体"/>
      <w:sz w:val="18"/>
      <w:szCs w:val="18"/>
      <w:lang w:eastAsia="zh-CN"/>
    </w:rPr>
  </w:style>
  <w:style w:type="paragraph" w:customStyle="1" w:styleId="89">
    <w:name w:val="xl82"/>
    <w:basedOn w:val="1"/>
    <w:qFormat/>
    <w:uiPriority w:val="0"/>
    <w:pPr>
      <w:widowControl/>
      <w:pBdr>
        <w:top w:val="single" w:color="auto" w:sz="4" w:space="0"/>
        <w:left w:val="single" w:color="auto" w:sz="4" w:space="0"/>
        <w:bottom w:val="single" w:color="auto" w:sz="8" w:space="0"/>
        <w:right w:val="single" w:color="auto" w:sz="4" w:space="0"/>
      </w:pBdr>
      <w:autoSpaceDE/>
      <w:autoSpaceDN/>
      <w:spacing w:before="100" w:beforeAutospacing="1" w:after="100" w:afterAutospacing="1"/>
      <w:jc w:val="center"/>
    </w:pPr>
    <w:rPr>
      <w:rFonts w:ascii="仿宋" w:hAnsi="仿宋" w:eastAsia="仿宋" w:cs="宋体"/>
      <w:sz w:val="21"/>
      <w:szCs w:val="21"/>
      <w:lang w:eastAsia="zh-CN"/>
    </w:rPr>
  </w:style>
  <w:style w:type="paragraph" w:customStyle="1" w:styleId="90">
    <w:name w:val="xl83"/>
    <w:basedOn w:val="1"/>
    <w:qFormat/>
    <w:uiPriority w:val="0"/>
    <w:pPr>
      <w:widowControl/>
      <w:pBdr>
        <w:top w:val="single" w:color="auto" w:sz="4" w:space="0"/>
        <w:left w:val="single" w:color="auto" w:sz="4" w:space="0"/>
        <w:bottom w:val="single" w:color="auto" w:sz="4" w:space="0"/>
        <w:right w:val="single" w:color="auto" w:sz="4" w:space="0"/>
      </w:pBdr>
      <w:autoSpaceDE/>
      <w:autoSpaceDN/>
      <w:spacing w:before="100" w:beforeAutospacing="1" w:after="100" w:afterAutospacing="1"/>
      <w:jc w:val="center"/>
    </w:pPr>
    <w:rPr>
      <w:rFonts w:ascii="仿宋" w:hAnsi="仿宋" w:eastAsia="仿宋" w:cs="宋体"/>
      <w:color w:val="333333"/>
      <w:lang w:eastAsia="zh-CN"/>
    </w:rPr>
  </w:style>
  <w:style w:type="paragraph" w:customStyle="1" w:styleId="91">
    <w:name w:val="xl84"/>
    <w:basedOn w:val="1"/>
    <w:qFormat/>
    <w:uiPriority w:val="0"/>
    <w:pPr>
      <w:widowControl/>
      <w:pBdr>
        <w:top w:val="single" w:color="auto" w:sz="4" w:space="0"/>
        <w:left w:val="single" w:color="auto" w:sz="4" w:space="0"/>
        <w:bottom w:val="single" w:color="auto" w:sz="4" w:space="0"/>
        <w:right w:val="single" w:color="auto" w:sz="4" w:space="0"/>
      </w:pBdr>
      <w:autoSpaceDE/>
      <w:autoSpaceDN/>
      <w:spacing w:before="100" w:beforeAutospacing="1" w:after="100" w:afterAutospacing="1"/>
      <w:jc w:val="center"/>
    </w:pPr>
    <w:rPr>
      <w:rFonts w:ascii="仿宋" w:hAnsi="仿宋" w:eastAsia="仿宋" w:cs="宋体"/>
      <w:color w:val="333333"/>
      <w:lang w:eastAsia="zh-CN"/>
    </w:rPr>
  </w:style>
  <w:style w:type="paragraph" w:customStyle="1" w:styleId="92">
    <w:name w:val="xl85"/>
    <w:basedOn w:val="1"/>
    <w:qFormat/>
    <w:uiPriority w:val="0"/>
    <w:pPr>
      <w:widowControl/>
      <w:pBdr>
        <w:top w:val="single" w:color="auto" w:sz="4" w:space="0"/>
        <w:left w:val="single" w:color="auto" w:sz="4" w:space="0"/>
        <w:bottom w:val="single" w:color="auto" w:sz="8" w:space="0"/>
        <w:right w:val="single" w:color="auto" w:sz="4" w:space="0"/>
      </w:pBdr>
      <w:autoSpaceDE/>
      <w:autoSpaceDN/>
      <w:spacing w:before="100" w:beforeAutospacing="1" w:after="100" w:afterAutospacing="1"/>
      <w:jc w:val="center"/>
    </w:pPr>
    <w:rPr>
      <w:rFonts w:ascii="仿宋" w:hAnsi="仿宋" w:eastAsia="仿宋" w:cs="宋体"/>
      <w:color w:val="333333"/>
      <w:lang w:eastAsia="zh-CN"/>
    </w:rPr>
  </w:style>
  <w:style w:type="paragraph" w:customStyle="1" w:styleId="93">
    <w:name w:val="xl86"/>
    <w:basedOn w:val="1"/>
    <w:qFormat/>
    <w:uiPriority w:val="0"/>
    <w:pPr>
      <w:widowControl/>
      <w:autoSpaceDE/>
      <w:autoSpaceDN/>
      <w:spacing w:before="100" w:beforeAutospacing="1" w:after="100" w:afterAutospacing="1"/>
      <w:jc w:val="center"/>
    </w:pPr>
    <w:rPr>
      <w:rFonts w:ascii="仿宋" w:hAnsi="仿宋" w:eastAsia="仿宋" w:cs="宋体"/>
      <w:sz w:val="21"/>
      <w:szCs w:val="21"/>
      <w:lang w:eastAsia="zh-CN"/>
    </w:rPr>
  </w:style>
  <w:style w:type="paragraph" w:customStyle="1" w:styleId="94">
    <w:name w:val="xl87"/>
    <w:basedOn w:val="1"/>
    <w:qFormat/>
    <w:uiPriority w:val="0"/>
    <w:pPr>
      <w:widowControl/>
      <w:autoSpaceDE/>
      <w:autoSpaceDN/>
      <w:spacing w:before="100" w:beforeAutospacing="1" w:after="100" w:afterAutospacing="1"/>
      <w:jc w:val="center"/>
    </w:pPr>
    <w:rPr>
      <w:rFonts w:ascii="仿宋" w:hAnsi="仿宋" w:eastAsia="仿宋" w:cs="宋体"/>
      <w:sz w:val="21"/>
      <w:szCs w:val="21"/>
      <w:lang w:eastAsia="zh-CN"/>
    </w:rPr>
  </w:style>
  <w:style w:type="paragraph" w:customStyle="1" w:styleId="95">
    <w:name w:val="xl88"/>
    <w:basedOn w:val="1"/>
    <w:qFormat/>
    <w:uiPriority w:val="0"/>
    <w:pPr>
      <w:widowControl/>
      <w:pBdr>
        <w:top w:val="single" w:color="auto" w:sz="4" w:space="0"/>
        <w:left w:val="single" w:color="auto" w:sz="4" w:space="0"/>
        <w:bottom w:val="single" w:color="auto" w:sz="8" w:space="0"/>
        <w:right w:val="single" w:color="auto" w:sz="4" w:space="0"/>
      </w:pBdr>
      <w:autoSpaceDE/>
      <w:autoSpaceDN/>
      <w:spacing w:before="100" w:beforeAutospacing="1" w:after="100" w:afterAutospacing="1"/>
      <w:jc w:val="center"/>
    </w:pPr>
    <w:rPr>
      <w:rFonts w:ascii="仿宋" w:hAnsi="仿宋" w:eastAsia="仿宋" w:cs="宋体"/>
      <w:sz w:val="21"/>
      <w:szCs w:val="21"/>
      <w:lang w:eastAsia="zh-CN"/>
    </w:rPr>
  </w:style>
  <w:style w:type="paragraph" w:customStyle="1" w:styleId="96">
    <w:name w:val="xl89"/>
    <w:basedOn w:val="1"/>
    <w:qFormat/>
    <w:uiPriority w:val="0"/>
    <w:pPr>
      <w:widowControl/>
      <w:pBdr>
        <w:top w:val="single" w:color="auto" w:sz="4" w:space="0"/>
        <w:left w:val="single" w:color="auto" w:sz="4" w:space="0"/>
        <w:bottom w:val="single" w:color="auto" w:sz="4" w:space="0"/>
        <w:right w:val="single" w:color="auto" w:sz="8" w:space="0"/>
      </w:pBdr>
      <w:autoSpaceDE/>
      <w:autoSpaceDN/>
      <w:spacing w:before="100" w:beforeAutospacing="1" w:after="100" w:afterAutospacing="1"/>
      <w:jc w:val="center"/>
    </w:pPr>
    <w:rPr>
      <w:rFonts w:ascii="仿宋" w:hAnsi="仿宋" w:eastAsia="仿宋" w:cs="宋体"/>
      <w:sz w:val="21"/>
      <w:szCs w:val="21"/>
      <w:lang w:eastAsia="zh-CN"/>
    </w:rPr>
  </w:style>
  <w:style w:type="paragraph" w:customStyle="1" w:styleId="97">
    <w:name w:val="xl90"/>
    <w:basedOn w:val="1"/>
    <w:qFormat/>
    <w:uiPriority w:val="0"/>
    <w:pPr>
      <w:widowControl/>
      <w:pBdr>
        <w:top w:val="single" w:color="auto" w:sz="4" w:space="0"/>
        <w:left w:val="single" w:color="auto" w:sz="4" w:space="0"/>
        <w:bottom w:val="single" w:color="auto" w:sz="4" w:space="0"/>
        <w:right w:val="single" w:color="auto" w:sz="8" w:space="0"/>
      </w:pBdr>
      <w:autoSpaceDE/>
      <w:autoSpaceDN/>
      <w:spacing w:before="100" w:beforeAutospacing="1" w:after="100" w:afterAutospacing="1"/>
      <w:jc w:val="center"/>
    </w:pPr>
    <w:rPr>
      <w:rFonts w:ascii="仿宋" w:hAnsi="仿宋" w:eastAsia="仿宋" w:cs="宋体"/>
      <w:sz w:val="21"/>
      <w:szCs w:val="21"/>
      <w:lang w:eastAsia="zh-CN"/>
    </w:rPr>
  </w:style>
  <w:style w:type="paragraph" w:customStyle="1" w:styleId="98">
    <w:name w:val="xl91"/>
    <w:basedOn w:val="1"/>
    <w:qFormat/>
    <w:uiPriority w:val="0"/>
    <w:pPr>
      <w:widowControl/>
      <w:pBdr>
        <w:top w:val="single" w:color="auto" w:sz="4" w:space="0"/>
        <w:left w:val="single" w:color="auto" w:sz="8" w:space="0"/>
        <w:bottom w:val="single" w:color="auto" w:sz="8" w:space="0"/>
        <w:right w:val="single" w:color="auto" w:sz="4" w:space="0"/>
      </w:pBdr>
      <w:autoSpaceDE/>
      <w:autoSpaceDN/>
      <w:spacing w:before="100" w:beforeAutospacing="1" w:after="100" w:afterAutospacing="1"/>
      <w:jc w:val="center"/>
    </w:pPr>
    <w:rPr>
      <w:rFonts w:ascii="Times New Roman" w:hAnsi="Times New Roman" w:eastAsia="宋体" w:cs="Times New Roman"/>
      <w:sz w:val="18"/>
      <w:szCs w:val="18"/>
      <w:lang w:eastAsia="zh-CN"/>
    </w:rPr>
  </w:style>
  <w:style w:type="paragraph" w:customStyle="1" w:styleId="99">
    <w:name w:val="xl92"/>
    <w:basedOn w:val="1"/>
    <w:qFormat/>
    <w:uiPriority w:val="0"/>
    <w:pPr>
      <w:widowControl/>
      <w:pBdr>
        <w:top w:val="single" w:color="auto" w:sz="4" w:space="0"/>
        <w:left w:val="single" w:color="auto" w:sz="8" w:space="0"/>
        <w:bottom w:val="single" w:color="auto" w:sz="4" w:space="0"/>
        <w:right w:val="single" w:color="auto" w:sz="4" w:space="0"/>
      </w:pBdr>
      <w:autoSpaceDE/>
      <w:autoSpaceDN/>
      <w:spacing w:before="100" w:beforeAutospacing="1" w:after="100" w:afterAutospacing="1"/>
      <w:jc w:val="center"/>
    </w:pPr>
    <w:rPr>
      <w:rFonts w:ascii="仿宋" w:hAnsi="仿宋" w:eastAsia="仿宋" w:cs="宋体"/>
      <w:color w:val="333333"/>
      <w:sz w:val="21"/>
      <w:szCs w:val="21"/>
      <w:lang w:eastAsia="zh-CN"/>
    </w:rPr>
  </w:style>
  <w:style w:type="paragraph" w:customStyle="1" w:styleId="100">
    <w:name w:val="xl93"/>
    <w:basedOn w:val="1"/>
    <w:qFormat/>
    <w:uiPriority w:val="0"/>
    <w:pPr>
      <w:widowControl/>
      <w:pBdr>
        <w:top w:val="single" w:color="auto" w:sz="4" w:space="0"/>
        <w:left w:val="single" w:color="auto" w:sz="8" w:space="0"/>
        <w:bottom w:val="single" w:color="auto" w:sz="4" w:space="0"/>
        <w:right w:val="single" w:color="auto" w:sz="4" w:space="0"/>
      </w:pBdr>
      <w:autoSpaceDE/>
      <w:autoSpaceDN/>
      <w:spacing w:before="100" w:beforeAutospacing="1" w:after="100" w:afterAutospacing="1"/>
      <w:jc w:val="center"/>
    </w:pPr>
    <w:rPr>
      <w:rFonts w:ascii="仿宋" w:hAnsi="仿宋" w:eastAsia="仿宋" w:cs="宋体"/>
      <w:sz w:val="21"/>
      <w:szCs w:val="21"/>
      <w:lang w:eastAsia="zh-CN"/>
    </w:rPr>
  </w:style>
  <w:style w:type="paragraph" w:customStyle="1" w:styleId="101">
    <w:name w:val="xl94"/>
    <w:basedOn w:val="1"/>
    <w:qFormat/>
    <w:uiPriority w:val="0"/>
    <w:pPr>
      <w:widowControl/>
      <w:pBdr>
        <w:left w:val="single" w:color="auto" w:sz="8" w:space="0"/>
      </w:pBdr>
      <w:autoSpaceDE/>
      <w:autoSpaceDN/>
      <w:spacing w:before="100" w:beforeAutospacing="1" w:after="100" w:afterAutospacing="1"/>
      <w:jc w:val="center"/>
    </w:pPr>
    <w:rPr>
      <w:rFonts w:ascii="仿宋" w:hAnsi="仿宋" w:eastAsia="仿宋" w:cs="宋体"/>
      <w:b/>
      <w:bCs/>
      <w:color w:val="333333"/>
      <w:sz w:val="24"/>
      <w:szCs w:val="24"/>
      <w:lang w:eastAsia="zh-CN"/>
    </w:rPr>
  </w:style>
  <w:style w:type="paragraph" w:customStyle="1" w:styleId="102">
    <w:name w:val="xl95"/>
    <w:basedOn w:val="1"/>
    <w:qFormat/>
    <w:uiPriority w:val="0"/>
    <w:pPr>
      <w:widowControl/>
      <w:autoSpaceDE/>
      <w:autoSpaceDN/>
      <w:spacing w:before="100" w:beforeAutospacing="1" w:after="100" w:afterAutospacing="1"/>
      <w:jc w:val="center"/>
    </w:pPr>
    <w:rPr>
      <w:rFonts w:ascii="仿宋" w:hAnsi="仿宋" w:eastAsia="仿宋" w:cs="宋体"/>
      <w:b/>
      <w:bCs/>
      <w:color w:val="333333"/>
      <w:sz w:val="24"/>
      <w:szCs w:val="24"/>
      <w:lang w:eastAsia="zh-CN"/>
    </w:rPr>
  </w:style>
  <w:style w:type="paragraph" w:customStyle="1" w:styleId="103">
    <w:name w:val="xl96"/>
    <w:basedOn w:val="1"/>
    <w:qFormat/>
    <w:uiPriority w:val="0"/>
    <w:pPr>
      <w:widowControl/>
      <w:pBdr>
        <w:top w:val="single" w:color="auto" w:sz="4" w:space="0"/>
        <w:left w:val="single" w:color="auto" w:sz="4" w:space="0"/>
        <w:bottom w:val="single" w:color="auto" w:sz="4" w:space="0"/>
        <w:right w:val="single" w:color="auto" w:sz="4" w:space="0"/>
      </w:pBdr>
      <w:autoSpaceDE/>
      <w:autoSpaceDN/>
      <w:spacing w:before="100" w:beforeAutospacing="1" w:after="100" w:afterAutospacing="1"/>
      <w:jc w:val="center"/>
    </w:pPr>
    <w:rPr>
      <w:rFonts w:ascii="仿宋" w:hAnsi="仿宋" w:eastAsia="仿宋" w:cs="宋体"/>
      <w:color w:val="333333"/>
      <w:lang w:eastAsia="zh-CN"/>
    </w:rPr>
  </w:style>
  <w:style w:type="paragraph" w:customStyle="1" w:styleId="104">
    <w:name w:val="xl97"/>
    <w:basedOn w:val="1"/>
    <w:qFormat/>
    <w:uiPriority w:val="0"/>
    <w:pPr>
      <w:widowControl/>
      <w:pBdr>
        <w:top w:val="single" w:color="auto" w:sz="4" w:space="0"/>
        <w:left w:val="single" w:color="auto" w:sz="4" w:space="0"/>
        <w:bottom w:val="single" w:color="auto" w:sz="4" w:space="0"/>
        <w:right w:val="single" w:color="auto" w:sz="4" w:space="0"/>
      </w:pBdr>
      <w:autoSpaceDE/>
      <w:autoSpaceDN/>
      <w:spacing w:before="100" w:beforeAutospacing="1" w:after="100" w:afterAutospacing="1"/>
      <w:jc w:val="center"/>
    </w:pPr>
    <w:rPr>
      <w:rFonts w:ascii="仿宋" w:hAnsi="仿宋" w:eastAsia="仿宋" w:cs="宋体"/>
      <w:lang w:eastAsia="zh-CN"/>
    </w:rPr>
  </w:style>
  <w:style w:type="paragraph" w:customStyle="1" w:styleId="105">
    <w:name w:val="xl98"/>
    <w:basedOn w:val="1"/>
    <w:qFormat/>
    <w:uiPriority w:val="0"/>
    <w:pPr>
      <w:widowControl/>
      <w:pBdr>
        <w:left w:val="single" w:color="auto" w:sz="8" w:space="0"/>
        <w:bottom w:val="single" w:color="auto" w:sz="8" w:space="0"/>
      </w:pBdr>
      <w:autoSpaceDE/>
      <w:autoSpaceDN/>
      <w:spacing w:before="100" w:beforeAutospacing="1" w:after="100" w:afterAutospacing="1"/>
      <w:jc w:val="center"/>
    </w:pPr>
    <w:rPr>
      <w:rFonts w:ascii="仿宋" w:hAnsi="仿宋" w:eastAsia="仿宋" w:cs="宋体"/>
      <w:b/>
      <w:bCs/>
      <w:color w:val="333333"/>
      <w:sz w:val="24"/>
      <w:szCs w:val="24"/>
      <w:lang w:eastAsia="zh-CN"/>
    </w:rPr>
  </w:style>
  <w:style w:type="paragraph" w:customStyle="1" w:styleId="106">
    <w:name w:val="xl99"/>
    <w:basedOn w:val="1"/>
    <w:qFormat/>
    <w:uiPriority w:val="0"/>
    <w:pPr>
      <w:widowControl/>
      <w:pBdr>
        <w:bottom w:val="single" w:color="auto" w:sz="8" w:space="0"/>
      </w:pBdr>
      <w:autoSpaceDE/>
      <w:autoSpaceDN/>
      <w:spacing w:before="100" w:beforeAutospacing="1" w:after="100" w:afterAutospacing="1"/>
      <w:jc w:val="center"/>
    </w:pPr>
    <w:rPr>
      <w:rFonts w:ascii="仿宋" w:hAnsi="仿宋" w:eastAsia="仿宋" w:cs="宋体"/>
      <w:b/>
      <w:bCs/>
      <w:color w:val="333333"/>
      <w:sz w:val="24"/>
      <w:szCs w:val="24"/>
      <w:lang w:eastAsia="zh-CN"/>
    </w:rPr>
  </w:style>
  <w:style w:type="table" w:customStyle="1" w:styleId="107">
    <w:name w:val="JJ"/>
    <w:basedOn w:val="25"/>
    <w:qFormat/>
    <w:uiPriority w:val="0"/>
    <w:pPr>
      <w:jc w:val="center"/>
    </w:pPr>
    <w:rPr>
      <w:rFonts w:eastAsia="仿宋_GB2312"/>
      <w:sz w:val="22"/>
    </w:rPr>
    <w:tblPr>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left w:w="0" w:type="dxa"/>
        <w:right w:w="0" w:type="dxa"/>
      </w:tblCellMar>
    </w:tblPr>
    <w:tcPr>
      <w:vAlign w:val="center"/>
    </w:tcPr>
  </w:style>
  <w:style w:type="paragraph" w:customStyle="1" w:styleId="108">
    <w:name w:val="List Paragraph1"/>
    <w:basedOn w:val="1"/>
    <w:qFormat/>
    <w:uiPriority w:val="0"/>
    <w:pPr>
      <w:spacing w:before="100" w:beforeAutospacing="1" w:after="100" w:afterAutospacing="1"/>
      <w:ind w:left="2421" w:hanging="703"/>
    </w:pPr>
    <w:rPr>
      <w:rFonts w:hAnsi="宋体" w:cs="宋体"/>
      <w:lang w:eastAsia="zh-CN"/>
    </w:rPr>
  </w:style>
  <w:style w:type="table" w:customStyle="1" w:styleId="109">
    <w:name w:val="1陆鑫表格"/>
    <w:basedOn w:val="25"/>
    <w:qFormat/>
    <w:uiPriority w:val="0"/>
    <w:rPr>
      <w:rFonts w:eastAsia="仿宋_GB2312"/>
    </w:rPr>
    <w:tblPr>
      <w:tblBorders>
        <w:top w:val="single" w:color="auto" w:sz="12" w:space="0"/>
        <w:bottom w:val="single" w:color="auto" w:sz="12" w:space="0"/>
        <w:insideH w:val="single" w:color="auto" w:sz="4" w:space="0"/>
        <w:insideV w:val="single" w:color="auto" w:sz="4" w:space="0"/>
      </w:tblBorders>
    </w:tblPr>
    <w:tcPr>
      <w:vAlign w:val="center"/>
    </w:tcPr>
  </w:style>
  <w:style w:type="character" w:customStyle="1" w:styleId="110">
    <w:name w:val="标题 4 Char"/>
    <w:basedOn w:val="27"/>
    <w:link w:val="5"/>
    <w:semiHidden/>
    <w:qFormat/>
    <w:uiPriority w:val="9"/>
    <w:rPr>
      <w:rFonts w:asciiTheme="majorHAnsi" w:hAnsiTheme="majorHAnsi" w:eastAsiaTheme="majorEastAsia" w:cstheme="majorBidi"/>
      <w:b/>
      <w:bCs/>
      <w:sz w:val="28"/>
      <w:szCs w:val="28"/>
      <w:lang w:eastAsia="en-US"/>
    </w:rPr>
  </w:style>
  <w:style w:type="paragraph" w:customStyle="1" w:styleId="111">
    <w:name w:val="xl100"/>
    <w:basedOn w:val="1"/>
    <w:qFormat/>
    <w:uiPriority w:val="0"/>
    <w:pPr>
      <w:widowControl/>
      <w:autoSpaceDE/>
      <w:autoSpaceDN/>
      <w:spacing w:before="100" w:beforeAutospacing="1" w:after="100" w:afterAutospacing="1"/>
    </w:pPr>
    <w:rPr>
      <w:rFonts w:ascii="宋体" w:hAnsi="宋体" w:eastAsia="宋体" w:cs="宋体"/>
      <w:sz w:val="20"/>
      <w:szCs w:val="20"/>
      <w:lang w:eastAsia="zh-CN"/>
    </w:rPr>
  </w:style>
  <w:style w:type="paragraph" w:customStyle="1" w:styleId="112">
    <w:name w:val="xl101"/>
    <w:basedOn w:val="1"/>
    <w:qFormat/>
    <w:uiPriority w:val="0"/>
    <w:pPr>
      <w:widowControl/>
      <w:autoSpaceDE/>
      <w:autoSpaceDN/>
      <w:spacing w:before="100" w:beforeAutospacing="1" w:after="100" w:afterAutospacing="1"/>
    </w:pPr>
    <w:rPr>
      <w:rFonts w:ascii="宋体" w:hAnsi="宋体" w:eastAsia="宋体" w:cs="宋体"/>
      <w:sz w:val="21"/>
      <w:szCs w:val="21"/>
      <w:lang w:eastAsia="zh-CN"/>
    </w:rPr>
  </w:style>
  <w:style w:type="paragraph" w:customStyle="1" w:styleId="113">
    <w:name w:val="xl102"/>
    <w:basedOn w:val="1"/>
    <w:qFormat/>
    <w:uiPriority w:val="0"/>
    <w:pPr>
      <w:widowControl/>
      <w:pBdr>
        <w:top w:val="single" w:color="auto" w:sz="4" w:space="0"/>
        <w:left w:val="single" w:color="auto" w:sz="8" w:space="0"/>
        <w:right w:val="single" w:color="auto" w:sz="4" w:space="0"/>
      </w:pBdr>
      <w:autoSpaceDE/>
      <w:autoSpaceDN/>
      <w:spacing w:before="100" w:beforeAutospacing="1" w:after="100" w:afterAutospacing="1"/>
      <w:jc w:val="center"/>
    </w:pPr>
    <w:rPr>
      <w:rFonts w:ascii="宋体" w:hAnsi="宋体" w:eastAsia="宋体" w:cs="宋体"/>
      <w:sz w:val="20"/>
      <w:szCs w:val="20"/>
      <w:lang w:eastAsia="zh-CN"/>
    </w:rPr>
  </w:style>
  <w:style w:type="paragraph" w:customStyle="1" w:styleId="114">
    <w:name w:val="xl103"/>
    <w:basedOn w:val="1"/>
    <w:qFormat/>
    <w:uiPriority w:val="0"/>
    <w:pPr>
      <w:widowControl/>
      <w:pBdr>
        <w:left w:val="single" w:color="auto" w:sz="8" w:space="0"/>
        <w:right w:val="single" w:color="auto" w:sz="4" w:space="0"/>
      </w:pBdr>
      <w:autoSpaceDE/>
      <w:autoSpaceDN/>
      <w:spacing w:before="100" w:beforeAutospacing="1" w:after="100" w:afterAutospacing="1"/>
      <w:jc w:val="center"/>
    </w:pPr>
    <w:rPr>
      <w:rFonts w:ascii="宋体" w:hAnsi="宋体" w:eastAsia="宋体" w:cs="宋体"/>
      <w:sz w:val="20"/>
      <w:szCs w:val="20"/>
      <w:lang w:eastAsia="zh-CN"/>
    </w:rPr>
  </w:style>
  <w:style w:type="paragraph" w:customStyle="1" w:styleId="115">
    <w:name w:val="xl104"/>
    <w:basedOn w:val="1"/>
    <w:qFormat/>
    <w:uiPriority w:val="0"/>
    <w:pPr>
      <w:widowControl/>
      <w:pBdr>
        <w:left w:val="single" w:color="auto" w:sz="8" w:space="0"/>
        <w:bottom w:val="single" w:color="auto" w:sz="4" w:space="0"/>
        <w:right w:val="single" w:color="auto" w:sz="4" w:space="0"/>
      </w:pBdr>
      <w:autoSpaceDE/>
      <w:autoSpaceDN/>
      <w:spacing w:before="100" w:beforeAutospacing="1" w:after="100" w:afterAutospacing="1"/>
      <w:jc w:val="center"/>
    </w:pPr>
    <w:rPr>
      <w:rFonts w:ascii="宋体" w:hAnsi="宋体" w:eastAsia="宋体" w:cs="宋体"/>
      <w:sz w:val="20"/>
      <w:szCs w:val="20"/>
      <w:lang w:eastAsia="zh-CN"/>
    </w:rPr>
  </w:style>
  <w:style w:type="paragraph" w:customStyle="1" w:styleId="116">
    <w:name w:val="xl105"/>
    <w:basedOn w:val="1"/>
    <w:qFormat/>
    <w:uiPriority w:val="0"/>
    <w:pPr>
      <w:widowControl/>
      <w:pBdr>
        <w:top w:val="single" w:color="auto" w:sz="4" w:space="0"/>
        <w:left w:val="single" w:color="auto" w:sz="4" w:space="0"/>
        <w:bottom w:val="single" w:color="auto" w:sz="4" w:space="0"/>
      </w:pBdr>
      <w:autoSpaceDE/>
      <w:autoSpaceDN/>
      <w:spacing w:before="100" w:beforeAutospacing="1" w:after="100" w:afterAutospacing="1"/>
      <w:jc w:val="center"/>
    </w:pPr>
    <w:rPr>
      <w:rFonts w:ascii="宋体" w:hAnsi="宋体" w:eastAsia="宋体" w:cs="宋体"/>
      <w:color w:val="333333"/>
      <w:sz w:val="21"/>
      <w:szCs w:val="21"/>
      <w:lang w:eastAsia="zh-CN"/>
    </w:rPr>
  </w:style>
  <w:style w:type="paragraph" w:customStyle="1" w:styleId="117">
    <w:name w:val="xl106"/>
    <w:basedOn w:val="1"/>
    <w:qFormat/>
    <w:uiPriority w:val="0"/>
    <w:pPr>
      <w:widowControl/>
      <w:pBdr>
        <w:top w:val="single" w:color="auto" w:sz="4" w:space="0"/>
        <w:bottom w:val="single" w:color="auto" w:sz="4" w:space="0"/>
        <w:right w:val="single" w:color="auto" w:sz="4" w:space="0"/>
      </w:pBdr>
      <w:autoSpaceDE/>
      <w:autoSpaceDN/>
      <w:spacing w:before="100" w:beforeAutospacing="1" w:after="100" w:afterAutospacing="1"/>
      <w:jc w:val="center"/>
    </w:pPr>
    <w:rPr>
      <w:rFonts w:ascii="宋体" w:hAnsi="宋体" w:eastAsia="宋体" w:cs="宋体"/>
      <w:color w:val="333333"/>
      <w:sz w:val="21"/>
      <w:szCs w:val="21"/>
      <w:lang w:eastAsia="zh-CN"/>
    </w:rPr>
  </w:style>
  <w:style w:type="paragraph" w:customStyle="1" w:styleId="118">
    <w:name w:val="xl107"/>
    <w:basedOn w:val="1"/>
    <w:qFormat/>
    <w:uiPriority w:val="0"/>
    <w:pPr>
      <w:widowControl/>
      <w:pBdr>
        <w:top w:val="single" w:color="auto" w:sz="4" w:space="0"/>
        <w:left w:val="single" w:color="auto" w:sz="4" w:space="0"/>
        <w:right w:val="single" w:color="auto" w:sz="4" w:space="0"/>
      </w:pBdr>
      <w:autoSpaceDE/>
      <w:autoSpaceDN/>
      <w:spacing w:before="100" w:beforeAutospacing="1" w:after="100" w:afterAutospacing="1"/>
      <w:jc w:val="center"/>
    </w:pPr>
    <w:rPr>
      <w:rFonts w:ascii="宋体" w:hAnsi="宋体" w:eastAsia="宋体" w:cs="宋体"/>
      <w:color w:val="333333"/>
      <w:sz w:val="21"/>
      <w:szCs w:val="21"/>
      <w:lang w:eastAsia="zh-CN"/>
    </w:rPr>
  </w:style>
  <w:style w:type="paragraph" w:customStyle="1" w:styleId="119">
    <w:name w:val="xl108"/>
    <w:basedOn w:val="1"/>
    <w:qFormat/>
    <w:uiPriority w:val="0"/>
    <w:pPr>
      <w:widowControl/>
      <w:pBdr>
        <w:left w:val="single" w:color="auto" w:sz="4" w:space="0"/>
        <w:bottom w:val="single" w:color="auto" w:sz="4" w:space="0"/>
        <w:right w:val="single" w:color="auto" w:sz="4" w:space="0"/>
      </w:pBdr>
      <w:autoSpaceDE/>
      <w:autoSpaceDN/>
      <w:spacing w:before="100" w:beforeAutospacing="1" w:after="100" w:afterAutospacing="1"/>
      <w:jc w:val="center"/>
    </w:pPr>
    <w:rPr>
      <w:rFonts w:ascii="宋体" w:hAnsi="宋体" w:eastAsia="宋体" w:cs="宋体"/>
      <w:color w:val="333333"/>
      <w:sz w:val="21"/>
      <w:szCs w:val="21"/>
      <w:lang w:eastAsia="zh-CN"/>
    </w:rPr>
  </w:style>
  <w:style w:type="paragraph" w:customStyle="1" w:styleId="120">
    <w:name w:val="xl109"/>
    <w:basedOn w:val="1"/>
    <w:qFormat/>
    <w:uiPriority w:val="0"/>
    <w:pPr>
      <w:widowControl/>
      <w:pBdr>
        <w:top w:val="single" w:color="auto" w:sz="4" w:space="0"/>
        <w:left w:val="single" w:color="auto" w:sz="8" w:space="0"/>
        <w:right w:val="single" w:color="auto" w:sz="4" w:space="0"/>
      </w:pBdr>
      <w:autoSpaceDE/>
      <w:autoSpaceDN/>
      <w:spacing w:before="100" w:beforeAutospacing="1" w:after="100" w:afterAutospacing="1"/>
      <w:jc w:val="center"/>
    </w:pPr>
    <w:rPr>
      <w:rFonts w:ascii="宋体" w:hAnsi="宋体" w:eastAsia="宋体" w:cs="宋体"/>
      <w:color w:val="333333"/>
      <w:sz w:val="20"/>
      <w:szCs w:val="20"/>
      <w:lang w:eastAsia="zh-CN"/>
    </w:rPr>
  </w:style>
  <w:style w:type="paragraph" w:customStyle="1" w:styleId="121">
    <w:name w:val="xl110"/>
    <w:basedOn w:val="1"/>
    <w:qFormat/>
    <w:uiPriority w:val="0"/>
    <w:pPr>
      <w:widowControl/>
      <w:pBdr>
        <w:left w:val="single" w:color="auto" w:sz="8" w:space="0"/>
        <w:bottom w:val="single" w:color="auto" w:sz="4" w:space="0"/>
        <w:right w:val="single" w:color="auto" w:sz="4" w:space="0"/>
      </w:pBdr>
      <w:autoSpaceDE/>
      <w:autoSpaceDN/>
      <w:spacing w:before="100" w:beforeAutospacing="1" w:after="100" w:afterAutospacing="1"/>
      <w:jc w:val="center"/>
    </w:pPr>
    <w:rPr>
      <w:rFonts w:ascii="宋体" w:hAnsi="宋体" w:eastAsia="宋体" w:cs="宋体"/>
      <w:color w:val="333333"/>
      <w:sz w:val="20"/>
      <w:szCs w:val="20"/>
      <w:lang w:eastAsia="zh-CN"/>
    </w:rPr>
  </w:style>
  <w:style w:type="paragraph" w:customStyle="1" w:styleId="122">
    <w:name w:val="xl111"/>
    <w:basedOn w:val="1"/>
    <w:qFormat/>
    <w:uiPriority w:val="0"/>
    <w:pPr>
      <w:widowControl/>
      <w:pBdr>
        <w:top w:val="single" w:color="auto" w:sz="4" w:space="0"/>
        <w:bottom w:val="single" w:color="auto" w:sz="4" w:space="0"/>
        <w:right w:val="single" w:color="auto" w:sz="8" w:space="0"/>
      </w:pBdr>
      <w:autoSpaceDE/>
      <w:autoSpaceDN/>
      <w:spacing w:before="100" w:beforeAutospacing="1" w:after="100" w:afterAutospacing="1"/>
      <w:jc w:val="center"/>
    </w:pPr>
    <w:rPr>
      <w:rFonts w:ascii="宋体" w:hAnsi="宋体" w:eastAsia="宋体" w:cs="宋体"/>
      <w:color w:val="333333"/>
      <w:sz w:val="21"/>
      <w:szCs w:val="21"/>
      <w:lang w:eastAsia="zh-CN"/>
    </w:rPr>
  </w:style>
  <w:style w:type="paragraph" w:customStyle="1" w:styleId="123">
    <w:name w:val="xl112"/>
    <w:basedOn w:val="1"/>
    <w:qFormat/>
    <w:uiPriority w:val="0"/>
    <w:pPr>
      <w:widowControl/>
      <w:pBdr>
        <w:left w:val="single" w:color="auto" w:sz="8" w:space="0"/>
        <w:bottom w:val="single" w:color="auto" w:sz="8" w:space="0"/>
        <w:right w:val="single" w:color="auto" w:sz="4" w:space="0"/>
      </w:pBdr>
      <w:autoSpaceDE/>
      <w:autoSpaceDN/>
      <w:spacing w:before="100" w:beforeAutospacing="1" w:after="100" w:afterAutospacing="1"/>
      <w:jc w:val="center"/>
    </w:pPr>
    <w:rPr>
      <w:rFonts w:ascii="宋体" w:hAnsi="宋体" w:eastAsia="宋体" w:cs="宋体"/>
      <w:sz w:val="20"/>
      <w:szCs w:val="20"/>
      <w:lang w:eastAsia="zh-CN"/>
    </w:rPr>
  </w:style>
  <w:style w:type="paragraph" w:customStyle="1" w:styleId="124">
    <w:name w:val="xl113"/>
    <w:basedOn w:val="1"/>
    <w:qFormat/>
    <w:uiPriority w:val="0"/>
    <w:pPr>
      <w:widowControl/>
      <w:pBdr>
        <w:top w:val="single" w:color="auto" w:sz="4" w:space="0"/>
        <w:left w:val="single" w:color="auto" w:sz="4" w:space="0"/>
        <w:bottom w:val="single" w:color="auto" w:sz="4" w:space="0"/>
      </w:pBdr>
      <w:autoSpaceDE/>
      <w:autoSpaceDN/>
      <w:spacing w:before="100" w:beforeAutospacing="1" w:after="100" w:afterAutospacing="1"/>
      <w:jc w:val="center"/>
    </w:pPr>
    <w:rPr>
      <w:rFonts w:ascii="宋体" w:hAnsi="宋体" w:eastAsia="宋体" w:cs="宋体"/>
      <w:sz w:val="21"/>
      <w:szCs w:val="21"/>
      <w:lang w:eastAsia="zh-CN"/>
    </w:rPr>
  </w:style>
  <w:style w:type="paragraph" w:customStyle="1" w:styleId="125">
    <w:name w:val="xl114"/>
    <w:basedOn w:val="1"/>
    <w:qFormat/>
    <w:uiPriority w:val="0"/>
    <w:pPr>
      <w:widowControl/>
      <w:pBdr>
        <w:top w:val="single" w:color="auto" w:sz="4" w:space="0"/>
        <w:bottom w:val="single" w:color="auto" w:sz="4" w:space="0"/>
        <w:right w:val="single" w:color="auto" w:sz="4" w:space="0"/>
      </w:pBdr>
      <w:autoSpaceDE/>
      <w:autoSpaceDN/>
      <w:spacing w:before="100" w:beforeAutospacing="1" w:after="100" w:afterAutospacing="1"/>
      <w:jc w:val="center"/>
    </w:pPr>
    <w:rPr>
      <w:rFonts w:ascii="宋体" w:hAnsi="宋体" w:eastAsia="宋体" w:cs="宋体"/>
      <w:sz w:val="21"/>
      <w:szCs w:val="21"/>
      <w:lang w:eastAsia="zh-CN"/>
    </w:rPr>
  </w:style>
  <w:style w:type="paragraph" w:customStyle="1" w:styleId="126">
    <w:name w:val="xl115"/>
    <w:basedOn w:val="1"/>
    <w:qFormat/>
    <w:uiPriority w:val="0"/>
    <w:pPr>
      <w:widowControl/>
      <w:pBdr>
        <w:top w:val="single" w:color="auto" w:sz="4" w:space="0"/>
        <w:left w:val="single" w:color="auto" w:sz="4" w:space="0"/>
        <w:right w:val="single" w:color="auto" w:sz="4" w:space="0"/>
      </w:pBdr>
      <w:autoSpaceDE/>
      <w:autoSpaceDN/>
      <w:spacing w:before="100" w:beforeAutospacing="1" w:after="100" w:afterAutospacing="1"/>
      <w:jc w:val="center"/>
    </w:pPr>
    <w:rPr>
      <w:rFonts w:ascii="宋体" w:hAnsi="宋体" w:eastAsia="宋体" w:cs="宋体"/>
      <w:sz w:val="21"/>
      <w:szCs w:val="21"/>
      <w:lang w:eastAsia="zh-CN"/>
    </w:rPr>
  </w:style>
  <w:style w:type="paragraph" w:customStyle="1" w:styleId="127">
    <w:name w:val="xl116"/>
    <w:basedOn w:val="1"/>
    <w:qFormat/>
    <w:uiPriority w:val="0"/>
    <w:pPr>
      <w:widowControl/>
      <w:pBdr>
        <w:left w:val="single" w:color="auto" w:sz="4" w:space="0"/>
        <w:bottom w:val="single" w:color="auto" w:sz="4" w:space="0"/>
        <w:right w:val="single" w:color="auto" w:sz="4" w:space="0"/>
      </w:pBdr>
      <w:autoSpaceDE/>
      <w:autoSpaceDN/>
      <w:spacing w:before="100" w:beforeAutospacing="1" w:after="100" w:afterAutospacing="1"/>
      <w:jc w:val="center"/>
    </w:pPr>
    <w:rPr>
      <w:rFonts w:ascii="宋体" w:hAnsi="宋体" w:eastAsia="宋体" w:cs="宋体"/>
      <w:sz w:val="21"/>
      <w:szCs w:val="21"/>
      <w:lang w:eastAsia="zh-CN"/>
    </w:rPr>
  </w:style>
  <w:style w:type="paragraph" w:customStyle="1" w:styleId="128">
    <w:name w:val="xl117"/>
    <w:basedOn w:val="1"/>
    <w:qFormat/>
    <w:uiPriority w:val="0"/>
    <w:pPr>
      <w:widowControl/>
      <w:pBdr>
        <w:top w:val="single" w:color="auto" w:sz="4" w:space="0"/>
        <w:left w:val="single" w:color="auto" w:sz="8" w:space="0"/>
        <w:right w:val="single" w:color="auto" w:sz="4" w:space="0"/>
      </w:pBdr>
      <w:autoSpaceDE/>
      <w:autoSpaceDN/>
      <w:spacing w:before="100" w:beforeAutospacing="1" w:after="100" w:afterAutospacing="1"/>
      <w:jc w:val="center"/>
    </w:pPr>
    <w:rPr>
      <w:rFonts w:ascii="宋体" w:hAnsi="宋体" w:eastAsia="宋体" w:cs="宋体"/>
      <w:sz w:val="20"/>
      <w:szCs w:val="20"/>
      <w:lang w:eastAsia="zh-CN"/>
    </w:rPr>
  </w:style>
  <w:style w:type="paragraph" w:customStyle="1" w:styleId="129">
    <w:name w:val="xl118"/>
    <w:basedOn w:val="1"/>
    <w:qFormat/>
    <w:uiPriority w:val="0"/>
    <w:pPr>
      <w:widowControl/>
      <w:pBdr>
        <w:left w:val="single" w:color="auto" w:sz="8" w:space="0"/>
        <w:bottom w:val="single" w:color="auto" w:sz="4" w:space="0"/>
        <w:right w:val="single" w:color="auto" w:sz="4" w:space="0"/>
      </w:pBdr>
      <w:autoSpaceDE/>
      <w:autoSpaceDN/>
      <w:spacing w:before="100" w:beforeAutospacing="1" w:after="100" w:afterAutospacing="1"/>
      <w:jc w:val="center"/>
    </w:pPr>
    <w:rPr>
      <w:rFonts w:ascii="宋体" w:hAnsi="宋体" w:eastAsia="宋体" w:cs="宋体"/>
      <w:sz w:val="20"/>
      <w:szCs w:val="20"/>
      <w:lang w:eastAsia="zh-CN"/>
    </w:rPr>
  </w:style>
  <w:style w:type="paragraph" w:customStyle="1" w:styleId="130">
    <w:name w:val="xl119"/>
    <w:basedOn w:val="1"/>
    <w:qFormat/>
    <w:uiPriority w:val="0"/>
    <w:pPr>
      <w:widowControl/>
      <w:pBdr>
        <w:top w:val="single" w:color="auto" w:sz="4" w:space="0"/>
        <w:bottom w:val="single" w:color="auto" w:sz="4" w:space="0"/>
        <w:right w:val="single" w:color="auto" w:sz="8" w:space="0"/>
      </w:pBdr>
      <w:autoSpaceDE/>
      <w:autoSpaceDN/>
      <w:spacing w:before="100" w:beforeAutospacing="1" w:after="100" w:afterAutospacing="1"/>
      <w:jc w:val="center"/>
    </w:pPr>
    <w:rPr>
      <w:rFonts w:ascii="宋体" w:hAnsi="宋体" w:eastAsia="宋体" w:cs="宋体"/>
      <w:sz w:val="21"/>
      <w:szCs w:val="21"/>
      <w:lang w:eastAsia="zh-CN"/>
    </w:rPr>
  </w:style>
  <w:style w:type="paragraph" w:customStyle="1" w:styleId="131">
    <w:name w:val="xl120"/>
    <w:basedOn w:val="1"/>
    <w:qFormat/>
    <w:uiPriority w:val="0"/>
    <w:pPr>
      <w:widowControl/>
      <w:pBdr>
        <w:top w:val="single" w:color="auto" w:sz="8" w:space="0"/>
        <w:left w:val="single" w:color="auto" w:sz="8" w:space="0"/>
        <w:bottom w:val="single" w:color="auto" w:sz="4" w:space="0"/>
      </w:pBdr>
      <w:autoSpaceDE/>
      <w:autoSpaceDN/>
      <w:spacing w:before="100" w:beforeAutospacing="1" w:after="100" w:afterAutospacing="1"/>
      <w:jc w:val="center"/>
    </w:pPr>
    <w:rPr>
      <w:rFonts w:ascii="宋体" w:hAnsi="宋体" w:eastAsia="宋体" w:cs="宋体"/>
      <w:color w:val="333333"/>
      <w:lang w:eastAsia="zh-CN"/>
    </w:rPr>
  </w:style>
  <w:style w:type="paragraph" w:customStyle="1" w:styleId="132">
    <w:name w:val="xl121"/>
    <w:basedOn w:val="1"/>
    <w:qFormat/>
    <w:uiPriority w:val="0"/>
    <w:pPr>
      <w:widowControl/>
      <w:pBdr>
        <w:top w:val="single" w:color="auto" w:sz="8" w:space="0"/>
        <w:bottom w:val="single" w:color="auto" w:sz="4" w:space="0"/>
      </w:pBdr>
      <w:autoSpaceDE/>
      <w:autoSpaceDN/>
      <w:spacing w:before="100" w:beforeAutospacing="1" w:after="100" w:afterAutospacing="1"/>
      <w:jc w:val="center"/>
    </w:pPr>
    <w:rPr>
      <w:rFonts w:ascii="宋体" w:hAnsi="宋体" w:eastAsia="宋体" w:cs="宋体"/>
      <w:color w:val="333333"/>
      <w:lang w:eastAsia="zh-CN"/>
    </w:rPr>
  </w:style>
  <w:style w:type="paragraph" w:customStyle="1" w:styleId="133">
    <w:name w:val="xl122"/>
    <w:basedOn w:val="1"/>
    <w:qFormat/>
    <w:uiPriority w:val="0"/>
    <w:pPr>
      <w:widowControl/>
      <w:pBdr>
        <w:top w:val="single" w:color="auto" w:sz="8" w:space="0"/>
        <w:bottom w:val="single" w:color="auto" w:sz="4" w:space="0"/>
        <w:right w:val="single" w:color="auto" w:sz="4" w:space="0"/>
      </w:pBdr>
      <w:autoSpaceDE/>
      <w:autoSpaceDN/>
      <w:spacing w:before="100" w:beforeAutospacing="1" w:after="100" w:afterAutospacing="1"/>
      <w:jc w:val="center"/>
    </w:pPr>
    <w:rPr>
      <w:rFonts w:ascii="宋体" w:hAnsi="宋体" w:eastAsia="宋体" w:cs="宋体"/>
      <w:color w:val="333333"/>
      <w:lang w:eastAsia="zh-CN"/>
    </w:rPr>
  </w:style>
  <w:style w:type="paragraph" w:customStyle="1" w:styleId="134">
    <w:name w:val="xl123"/>
    <w:basedOn w:val="1"/>
    <w:qFormat/>
    <w:uiPriority w:val="0"/>
    <w:pPr>
      <w:widowControl/>
      <w:pBdr>
        <w:top w:val="single" w:color="auto" w:sz="4" w:space="0"/>
        <w:left w:val="single" w:color="auto" w:sz="4" w:space="0"/>
        <w:bottom w:val="single" w:color="auto" w:sz="4" w:space="0"/>
      </w:pBdr>
      <w:autoSpaceDE/>
      <w:autoSpaceDN/>
      <w:spacing w:before="100" w:beforeAutospacing="1" w:after="100" w:afterAutospacing="1"/>
      <w:jc w:val="center"/>
    </w:pPr>
    <w:rPr>
      <w:rFonts w:ascii="宋体" w:hAnsi="宋体" w:eastAsia="宋体" w:cs="宋体"/>
      <w:color w:val="333333"/>
      <w:lang w:eastAsia="zh-CN"/>
    </w:rPr>
  </w:style>
  <w:style w:type="paragraph" w:customStyle="1" w:styleId="135">
    <w:name w:val="xl124"/>
    <w:basedOn w:val="1"/>
    <w:qFormat/>
    <w:uiPriority w:val="0"/>
    <w:pPr>
      <w:widowControl/>
      <w:pBdr>
        <w:top w:val="single" w:color="auto" w:sz="4" w:space="0"/>
        <w:bottom w:val="single" w:color="auto" w:sz="4" w:space="0"/>
        <w:right w:val="single" w:color="auto" w:sz="4" w:space="0"/>
      </w:pBdr>
      <w:autoSpaceDE/>
      <w:autoSpaceDN/>
      <w:spacing w:before="100" w:beforeAutospacing="1" w:after="100" w:afterAutospacing="1"/>
      <w:jc w:val="center"/>
    </w:pPr>
    <w:rPr>
      <w:rFonts w:ascii="宋体" w:hAnsi="宋体" w:eastAsia="宋体" w:cs="宋体"/>
      <w:color w:val="333333"/>
      <w:lang w:eastAsia="zh-CN"/>
    </w:rPr>
  </w:style>
  <w:style w:type="paragraph" w:customStyle="1" w:styleId="136">
    <w:name w:val="xl125"/>
    <w:basedOn w:val="1"/>
    <w:qFormat/>
    <w:uiPriority w:val="0"/>
    <w:pPr>
      <w:widowControl/>
      <w:pBdr>
        <w:top w:val="single" w:color="auto" w:sz="4" w:space="0"/>
        <w:left w:val="single" w:color="auto" w:sz="4" w:space="0"/>
        <w:right w:val="single" w:color="auto" w:sz="4" w:space="0"/>
      </w:pBdr>
      <w:autoSpaceDE/>
      <w:autoSpaceDN/>
      <w:spacing w:before="100" w:beforeAutospacing="1" w:after="100" w:afterAutospacing="1"/>
      <w:jc w:val="center"/>
    </w:pPr>
    <w:rPr>
      <w:rFonts w:ascii="宋体" w:hAnsi="宋体" w:eastAsia="宋体" w:cs="宋体"/>
      <w:color w:val="333333"/>
      <w:lang w:eastAsia="zh-CN"/>
    </w:rPr>
  </w:style>
  <w:style w:type="paragraph" w:customStyle="1" w:styleId="137">
    <w:name w:val="xl126"/>
    <w:basedOn w:val="1"/>
    <w:qFormat/>
    <w:uiPriority w:val="0"/>
    <w:pPr>
      <w:widowControl/>
      <w:pBdr>
        <w:left w:val="single" w:color="auto" w:sz="4" w:space="0"/>
        <w:bottom w:val="single" w:color="auto" w:sz="4" w:space="0"/>
        <w:right w:val="single" w:color="auto" w:sz="4" w:space="0"/>
      </w:pBdr>
      <w:autoSpaceDE/>
      <w:autoSpaceDN/>
      <w:spacing w:before="100" w:beforeAutospacing="1" w:after="100" w:afterAutospacing="1"/>
      <w:jc w:val="center"/>
    </w:pPr>
    <w:rPr>
      <w:rFonts w:ascii="宋体" w:hAnsi="宋体" w:eastAsia="宋体" w:cs="宋体"/>
      <w:color w:val="333333"/>
      <w:lang w:eastAsia="zh-CN"/>
    </w:rPr>
  </w:style>
  <w:style w:type="paragraph" w:customStyle="1" w:styleId="138">
    <w:name w:val="xl127"/>
    <w:basedOn w:val="1"/>
    <w:qFormat/>
    <w:uiPriority w:val="0"/>
    <w:pPr>
      <w:widowControl/>
      <w:pBdr>
        <w:top w:val="single" w:color="auto" w:sz="4" w:space="0"/>
        <w:bottom w:val="single" w:color="auto" w:sz="4" w:space="0"/>
        <w:right w:val="single" w:color="auto" w:sz="8" w:space="0"/>
      </w:pBdr>
      <w:autoSpaceDE/>
      <w:autoSpaceDN/>
      <w:spacing w:before="100" w:beforeAutospacing="1" w:after="100" w:afterAutospacing="1"/>
      <w:jc w:val="center"/>
    </w:pPr>
    <w:rPr>
      <w:rFonts w:ascii="宋体" w:hAnsi="宋体" w:eastAsia="宋体" w:cs="宋体"/>
      <w:color w:val="333333"/>
      <w:lang w:eastAsia="zh-CN"/>
    </w:rPr>
  </w:style>
  <w:style w:type="paragraph" w:customStyle="1" w:styleId="139">
    <w:name w:val="图"/>
    <w:next w:val="140"/>
    <w:qFormat/>
    <w:uiPriority w:val="0"/>
    <w:pPr>
      <w:keepNext/>
      <w:jc w:val="center"/>
    </w:pPr>
    <w:rPr>
      <w:rFonts w:ascii="仿宋" w:hAnsi="仿宋" w:eastAsia="仿宋" w:cs="Times New Roman"/>
      <w:kern w:val="2"/>
      <w:sz w:val="21"/>
      <w:szCs w:val="22"/>
      <w:lang w:val="en-US" w:eastAsia="zh-CN" w:bidi="ar-SA"/>
    </w:rPr>
  </w:style>
  <w:style w:type="paragraph" w:customStyle="1" w:styleId="140">
    <w:name w:val="图名"/>
    <w:basedOn w:val="1"/>
    <w:qFormat/>
    <w:uiPriority w:val="0"/>
    <w:pPr>
      <w:widowControl/>
      <w:spacing w:before="30" w:beforeLines="30" w:after="30" w:afterLines="30" w:line="240" w:lineRule="auto"/>
      <w:ind w:firstLine="0" w:firstLineChars="0"/>
      <w:jc w:val="center"/>
    </w:pPr>
    <w:rPr>
      <w:rFonts w:ascii="黑体" w:hAnsi="黑体" w:eastAsia="黑体"/>
      <w:sz w:val="18"/>
      <w:szCs w:val="18"/>
    </w:rPr>
  </w:style>
</w:styles>
</file>

<file path=word/_rels/document.xml.rels><?xml version="1.0" encoding="UTF-8" standalone="yes"?>
<Relationships xmlns="http://schemas.openxmlformats.org/package/2006/relationships"><Relationship Id="rId9" Type="http://schemas.openxmlformats.org/officeDocument/2006/relationships/image" Target="media/image4.jpeg"/><Relationship Id="rId8" Type="http://schemas.openxmlformats.org/officeDocument/2006/relationships/image" Target="media/image3.jpeg"/><Relationship Id="rId7" Type="http://schemas.openxmlformats.org/officeDocument/2006/relationships/image" Target="media/image2.jpeg"/><Relationship Id="rId6" Type="http://schemas.openxmlformats.org/officeDocument/2006/relationships/image" Target="media/image1.jpeg"/><Relationship Id="rId57" Type="http://schemas.openxmlformats.org/officeDocument/2006/relationships/fontTable" Target="fontTable.xml"/><Relationship Id="rId56" Type="http://schemas.openxmlformats.org/officeDocument/2006/relationships/customXml" Target="../customXml/item1.xml"/><Relationship Id="rId55" Type="http://schemas.openxmlformats.org/officeDocument/2006/relationships/numbering" Target="numbering.xml"/><Relationship Id="rId54" Type="http://schemas.openxmlformats.org/officeDocument/2006/relationships/image" Target="media/image49.jpeg"/><Relationship Id="rId53" Type="http://schemas.openxmlformats.org/officeDocument/2006/relationships/image" Target="media/image48.jpeg"/><Relationship Id="rId52" Type="http://schemas.openxmlformats.org/officeDocument/2006/relationships/image" Target="media/image47.jpeg"/><Relationship Id="rId51" Type="http://schemas.openxmlformats.org/officeDocument/2006/relationships/image" Target="media/image46.jpeg"/><Relationship Id="rId50" Type="http://schemas.openxmlformats.org/officeDocument/2006/relationships/image" Target="media/image45.jpeg"/><Relationship Id="rId5" Type="http://schemas.openxmlformats.org/officeDocument/2006/relationships/theme" Target="theme/theme1.xml"/><Relationship Id="rId49" Type="http://schemas.openxmlformats.org/officeDocument/2006/relationships/image" Target="media/image44.jpeg"/><Relationship Id="rId48" Type="http://schemas.openxmlformats.org/officeDocument/2006/relationships/image" Target="media/image43.jpeg"/><Relationship Id="rId47" Type="http://schemas.openxmlformats.org/officeDocument/2006/relationships/image" Target="media/image42.jpeg"/><Relationship Id="rId46" Type="http://schemas.openxmlformats.org/officeDocument/2006/relationships/image" Target="media/image41.jpeg"/><Relationship Id="rId45" Type="http://schemas.openxmlformats.org/officeDocument/2006/relationships/image" Target="media/image40.jpeg"/><Relationship Id="rId44" Type="http://schemas.openxmlformats.org/officeDocument/2006/relationships/image" Target="media/image39.jpeg"/><Relationship Id="rId43" Type="http://schemas.openxmlformats.org/officeDocument/2006/relationships/image" Target="media/image38.jpeg"/><Relationship Id="rId42" Type="http://schemas.openxmlformats.org/officeDocument/2006/relationships/image" Target="media/image37.jpeg"/><Relationship Id="rId41" Type="http://schemas.openxmlformats.org/officeDocument/2006/relationships/image" Target="media/image36.jpeg"/><Relationship Id="rId40" Type="http://schemas.openxmlformats.org/officeDocument/2006/relationships/image" Target="media/image35.jpeg"/><Relationship Id="rId4" Type="http://schemas.openxmlformats.org/officeDocument/2006/relationships/header" Target="header1.xml"/><Relationship Id="rId39" Type="http://schemas.openxmlformats.org/officeDocument/2006/relationships/image" Target="media/image34.jpeg"/><Relationship Id="rId38" Type="http://schemas.openxmlformats.org/officeDocument/2006/relationships/image" Target="media/image33.jpeg"/><Relationship Id="rId37" Type="http://schemas.openxmlformats.org/officeDocument/2006/relationships/image" Target="media/image32.jpeg"/><Relationship Id="rId36" Type="http://schemas.openxmlformats.org/officeDocument/2006/relationships/image" Target="media/image31.jpeg"/><Relationship Id="rId35" Type="http://schemas.openxmlformats.org/officeDocument/2006/relationships/image" Target="media/image30.jpeg"/><Relationship Id="rId34" Type="http://schemas.openxmlformats.org/officeDocument/2006/relationships/image" Target="media/image29.jpeg"/><Relationship Id="rId33" Type="http://schemas.openxmlformats.org/officeDocument/2006/relationships/image" Target="media/image28.jpeg"/><Relationship Id="rId32" Type="http://schemas.openxmlformats.org/officeDocument/2006/relationships/image" Target="media/image27.jpeg"/><Relationship Id="rId31" Type="http://schemas.openxmlformats.org/officeDocument/2006/relationships/image" Target="media/image26.jpeg"/><Relationship Id="rId30" Type="http://schemas.openxmlformats.org/officeDocument/2006/relationships/image" Target="media/image25.jpeg"/><Relationship Id="rId3" Type="http://schemas.openxmlformats.org/officeDocument/2006/relationships/footer" Target="footer1.xml"/><Relationship Id="rId29" Type="http://schemas.openxmlformats.org/officeDocument/2006/relationships/image" Target="media/image24.jpeg"/><Relationship Id="rId28" Type="http://schemas.openxmlformats.org/officeDocument/2006/relationships/image" Target="media/image23.jpeg"/><Relationship Id="rId27" Type="http://schemas.openxmlformats.org/officeDocument/2006/relationships/image" Target="media/image22.jpeg"/><Relationship Id="rId26" Type="http://schemas.openxmlformats.org/officeDocument/2006/relationships/image" Target="media/image21.jpeg"/><Relationship Id="rId25" Type="http://schemas.openxmlformats.org/officeDocument/2006/relationships/image" Target="media/image20.jpeg"/><Relationship Id="rId24" Type="http://schemas.openxmlformats.org/officeDocument/2006/relationships/image" Target="media/image19.jpeg"/><Relationship Id="rId23" Type="http://schemas.openxmlformats.org/officeDocument/2006/relationships/image" Target="media/image18.jpeg"/><Relationship Id="rId22" Type="http://schemas.openxmlformats.org/officeDocument/2006/relationships/image" Target="media/image17.jpeg"/><Relationship Id="rId21" Type="http://schemas.openxmlformats.org/officeDocument/2006/relationships/image" Target="media/image16.jpeg"/><Relationship Id="rId20" Type="http://schemas.openxmlformats.org/officeDocument/2006/relationships/image" Target="media/image15.jpeg"/><Relationship Id="rId2" Type="http://schemas.openxmlformats.org/officeDocument/2006/relationships/settings" Target="settings.xml"/><Relationship Id="rId19" Type="http://schemas.openxmlformats.org/officeDocument/2006/relationships/image" Target="media/image14.jpeg"/><Relationship Id="rId18" Type="http://schemas.openxmlformats.org/officeDocument/2006/relationships/image" Target="media/image13.jpeg"/><Relationship Id="rId17" Type="http://schemas.openxmlformats.org/officeDocument/2006/relationships/image" Target="media/image12.jpeg"/><Relationship Id="rId16" Type="http://schemas.openxmlformats.org/officeDocument/2006/relationships/image" Target="media/image11.jpeg"/><Relationship Id="rId15" Type="http://schemas.openxmlformats.org/officeDocument/2006/relationships/image" Target="media/image10.jpeg"/><Relationship Id="rId14" Type="http://schemas.openxmlformats.org/officeDocument/2006/relationships/image" Target="media/image9.jpeg"/><Relationship Id="rId13" Type="http://schemas.openxmlformats.org/officeDocument/2006/relationships/image" Target="media/image8.png"/><Relationship Id="rId12" Type="http://schemas.openxmlformats.org/officeDocument/2006/relationships/image" Target="media/image7.png"/><Relationship Id="rId11" Type="http://schemas.openxmlformats.org/officeDocument/2006/relationships/image" Target="media/image6.png"/><Relationship Id="rId10" Type="http://schemas.openxmlformats.org/officeDocument/2006/relationships/image" Target="media/image5.jpeg"/><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StyleName="APA" Version="6" SelectedStyle="\APASixthEditionOfficeOnline.xsl"/>
</file>

<file path=customXml/itemProps1.xml><?xml version="1.0" encoding="utf-8"?>
<ds:datastoreItem xmlns:ds="http://schemas.openxmlformats.org/officeDocument/2006/customXml" ds:itemID="{6546EAF6-D2CD-4750-A606-6D456DDE4282}">
  <ds:schemaRefs/>
</ds:datastoreItem>
</file>

<file path=docProps/app.xml><?xml version="1.0" encoding="utf-8"?>
<Properties xmlns="http://schemas.openxmlformats.org/officeDocument/2006/extended-properties" xmlns:vt="http://schemas.openxmlformats.org/officeDocument/2006/docPropsVTypes">
  <Template>Normal</Template>
  <Pages>60</Pages>
  <Words>2948</Words>
  <Characters>3369</Characters>
  <Lines>939</Lines>
  <Paragraphs>264</Paragraphs>
  <TotalTime>24</TotalTime>
  <ScaleCrop>false</ScaleCrop>
  <LinksUpToDate>false</LinksUpToDate>
  <CharactersWithSpaces>3415</CharactersWithSpaces>
  <Application>WPS Office_12.8.2.20324_F1E327BC-269C-435d-A152-05C5408002CA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2025-12-06T17:53:00Z</dcterms:created>
  <dc:creator>User</dc:creator>
  <cp:lastModifiedBy>TR</cp:lastModifiedBy>
  <cp:lastPrinted>2025-12-18T04:04:00Z</cp:lastPrinted>
  <dcterms:modified xsi:type="dcterms:W3CDTF">2026-01-04T08:15:34Z</dcterms:modified>
  <cp:revision>52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2021-11-29T00:00:00Z</vt:filetime>
  </property>
  <property fmtid="{D5CDD505-2E9C-101B-9397-08002B2CF9AE}" pid="3" name="Creator">
    <vt:lpwstr>WPS 文字</vt:lpwstr>
  </property>
  <property fmtid="{D5CDD505-2E9C-101B-9397-08002B2CF9AE}" pid="4" name="LastSaved">
    <vt:filetime>2025-05-13T00:00:00Z</vt:filetime>
  </property>
  <property fmtid="{D5CDD505-2E9C-101B-9397-08002B2CF9AE}" pid="5" name="KSOTemplateDocerSaveRecord">
    <vt:lpwstr>eyJoZGlkIjoiN2NmYzhkMzQxZGZmMjdjMDZiZjNhMzg5MDlmZDQ1NzIiLCJ1c2VySWQiOiIzMDQwNTI2MzQifQ==</vt:lpwstr>
  </property>
  <property fmtid="{D5CDD505-2E9C-101B-9397-08002B2CF9AE}" pid="6" name="KSOProductBuildVer">
    <vt:lpwstr>2052-12.8.2.20324</vt:lpwstr>
  </property>
  <property fmtid="{D5CDD505-2E9C-101B-9397-08002B2CF9AE}" pid="7" name="ICV">
    <vt:lpwstr>6D1D03B208D743B194C68F8538FE20AC_13</vt:lpwstr>
  </property>
</Properties>
</file>