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eg" ContentType="image/jpe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ackground w:color="FFFFFF"/>
  <w:body>
    <w:p>
      <w:pPr>
        <w:pStyle w:val="137"/>
        <w:rPr>
          <w:rFonts w:ascii="Times New Roman" w:eastAsia="宋体" w:cs="Times New Roman" w:hAnsi="Times New Roman" w:hint="eastAsia"/>
          <w:caps w:val="0"/>
          <w:smallCaps w:val="0"/>
          <w:color w:val="auto"/>
          <w:spacing w:val="0"/>
          <w:lang w:val="en-US" w:eastAsia="zh-CN"/>
          <w:highlight w:val="none"/>
        </w:rPr>
      </w:pPr>
    </w:p>
    <w:p>
      <w:pPr>
        <w:pStyle w:val="137"/>
        <w:rPr>
          <w:rFonts w:ascii="Times New Roman" w:cs="Times New Roman" w:hAnsi="Times New Roman"/>
          <w:caps w:val="0"/>
          <w:smallCaps w:val="0"/>
          <w:color w:val="auto"/>
          <w:spacing w:val="0"/>
          <w:highlight w:val="none"/>
        </w:rPr>
      </w:pPr>
    </w:p>
    <w:p>
      <w:pPr>
        <w:pStyle w:val="23"/>
        <w:rPr>
          <w:rFonts w:ascii="Times New Roman" w:cs="Times New Roman" w:hAnsi="Times New Roman"/>
          <w:caps w:val="0"/>
          <w:smallCaps w:val="0"/>
          <w:color w:val="auto"/>
          <w:spacing w:val="0"/>
          <w:highlight w:val="none"/>
        </w:rPr>
      </w:pPr>
    </w:p>
    <w:p>
      <w:pPr>
        <w:rPr>
          <w:rFonts w:ascii="Times New Roman" w:cs="Times New Roman" w:hAnsi="Times New Roman"/>
          <w:caps w:val="0"/>
          <w:smallCaps w:val="0"/>
          <w:color w:val="auto"/>
          <w:spacing w:val="0"/>
          <w:highlight w:val="none"/>
        </w:rPr>
      </w:pPr>
    </w:p>
    <w:p>
      <w:pPr>
        <w:pStyle w:val="50"/>
        <w:rPr>
          <w:rFonts w:ascii="Times New Roman" w:cs="Times New Roman" w:hAnsi="Times New Roman"/>
          <w:caps w:val="0"/>
          <w:smallCaps w:val="0"/>
          <w:color w:val="auto"/>
          <w:spacing w:val="0"/>
          <w:highlight w:val="none"/>
        </w:rPr>
      </w:pPr>
    </w:p>
    <w:p>
      <w:pPr>
        <w:adjustRightInd w:val="0"/>
        <w:snapToGrid w:val="0"/>
        <w:jc w:val="center"/>
        <w:outlineLvl w:val="0"/>
        <w:rPr>
          <w:rFonts w:ascii="Times New Roman" w:eastAsia="方正小标宋_GBK" w:cs="Times New Roman" w:hAnsi="Times New Roman"/>
          <w:bCs/>
          <w:caps w:val="0"/>
          <w:smallCaps w:val="0"/>
          <w:color w:val="auto"/>
          <w:spacing w:val="0"/>
          <w:sz w:val="72"/>
          <w:szCs w:val="72"/>
          <w:highlight w:val="none"/>
        </w:rPr>
      </w:pPr>
      <w:bookmarkStart w:id="0" w:name="_Toc14493"/>
      <w:bookmarkStart w:id="1" w:name="_Toc116550324"/>
      <w:bookmarkStart w:id="2" w:name="_Toc8361"/>
      <w:r>
        <w:rPr>
          <w:rFonts w:ascii="Times New Roman" w:eastAsia="方正小标宋_GBK" w:cs="Times New Roman" w:hAnsi="Times New Roman"/>
          <w:bCs/>
          <w:caps w:val="0"/>
          <w:smallCaps w:val="0"/>
          <w:color w:val="auto"/>
          <w:spacing w:val="0"/>
          <w:sz w:val="72"/>
          <w:szCs w:val="72"/>
          <w:highlight w:val="none"/>
        </w:rPr>
        <w:t>建设项目环境影响报告表</w:t>
      </w:r>
      <w:bookmarkEnd w:id="0"/>
      <w:bookmarkEnd w:id="1"/>
      <w:bookmarkEnd w:id="2"/>
    </w:p>
    <w:p>
      <w:pPr>
        <w:adjustRightInd w:val="0"/>
        <w:snapToGrid w:val="0"/>
        <w:spacing w:beforeLines="80" w:before="192"/>
        <w:jc w:val="center"/>
        <w:rPr>
          <w:rFonts w:ascii="Times New Roman" w:eastAsia="楷体_GB2312" w:cs="Times New Roman" w:hAnsi="Times New Roman"/>
          <w:bCs/>
          <w:caps w:val="0"/>
          <w:smallCaps w:val="0"/>
          <w:color w:val="auto"/>
          <w:spacing w:val="0"/>
          <w:sz w:val="48"/>
          <w:szCs w:val="48"/>
          <w:highlight w:val="none"/>
        </w:rPr>
      </w:pPr>
      <w:r>
        <w:rPr>
          <w:rFonts w:ascii="Times New Roman" w:eastAsia="楷体_GB2312" w:cs="Times New Roman" w:hAnsi="Times New Roman"/>
          <w:bCs/>
          <w:caps w:val="0"/>
          <w:smallCaps w:val="0"/>
          <w:color w:val="auto"/>
          <w:spacing w:val="0"/>
          <w:sz w:val="48"/>
          <w:szCs w:val="48"/>
          <w:highlight w:val="none"/>
        </w:rPr>
        <w:t>（污染影响类）</w:t>
      </w:r>
    </w:p>
    <w:p>
      <w:pPr>
        <w:pStyle w:val="137"/>
        <w:rPr>
          <w:rFonts w:ascii="Times New Roman" w:cs="Times New Roman" w:hAnsi="Times New Roman"/>
          <w:caps w:val="0"/>
          <w:smallCaps w:val="0"/>
          <w:color w:val="auto"/>
          <w:spacing w:val="0"/>
          <w:highlight w:val="none"/>
        </w:rPr>
      </w:pPr>
    </w:p>
    <w:p>
      <w:pPr>
        <w:tabs>
          <w:tab w:val="left" w:pos="5460"/>
        </w:tabs>
        <w:jc w:val="center"/>
        <w:rPr>
          <w:rFonts w:ascii="Times New Roman" w:eastAsia="仿宋" w:cs="Times New Roman" w:hAnsi="Times New Roman"/>
          <w:caps w:val="0"/>
          <w:smallCaps w:val="0"/>
          <w:color w:val="auto"/>
          <w:spacing w:val="0"/>
          <w:sz w:val="52"/>
          <w:szCs w:val="52"/>
          <w:highlight w:val="none"/>
        </w:rPr>
      </w:pPr>
    </w:p>
    <w:p>
      <w:pPr>
        <w:ind w:firstLine="1040"/>
        <w:rPr>
          <w:rFonts w:ascii="Times New Roman" w:eastAsia="仿宋" w:cs="Times New Roman" w:hAnsi="Times New Roman"/>
          <w:caps w:val="0"/>
          <w:smallCaps w:val="0"/>
          <w:color w:val="auto"/>
          <w:spacing w:val="0"/>
          <w:sz w:val="44"/>
          <w:szCs w:val="44"/>
          <w:highlight w:val="none"/>
        </w:rPr>
      </w:pPr>
    </w:p>
    <w:p>
      <w:pPr>
        <w:pStyle w:val="15"/>
        <w:rPr>
          <w:rFonts w:ascii="Times New Roman" w:eastAsia="仿宋" w:cs="Times New Roman" w:hAnsi="Times New Roman"/>
          <w:caps w:val="0"/>
          <w:smallCaps w:val="0"/>
          <w:color w:val="auto"/>
          <w:spacing w:val="0"/>
          <w:sz w:val="44"/>
          <w:szCs w:val="44"/>
          <w:highlight w:val="none"/>
        </w:rPr>
      </w:pPr>
    </w:p>
    <w:p>
      <w:pPr>
        <w:pStyle w:val="4"/>
        <w:rPr>
          <w:rFonts w:ascii="Times New Roman" w:cs="Times New Roman" w:hAnsi="Times New Roman"/>
          <w:color w:val="auto"/>
          <w:highlight w:val="none"/>
        </w:rPr>
      </w:pPr>
    </w:p>
    <w:p>
      <w:pPr>
        <w:ind w:firstLine="1040"/>
        <w:rPr>
          <w:rFonts w:ascii="Times New Roman" w:cs="Times New Roman" w:hAnsi="Times New Roman"/>
          <w:caps w:val="0"/>
          <w:smallCaps w:val="0"/>
          <w:color w:val="auto"/>
          <w:spacing w:val="0"/>
          <w:sz w:val="44"/>
          <w:szCs w:val="44"/>
          <w:highlight w:val="none"/>
        </w:rPr>
      </w:pPr>
    </w:p>
    <w:p>
      <w:pPr>
        <w:keepNext w:val="0"/>
        <w:keepLines w:val="0"/>
        <w:pageBreakBefore w:val="0"/>
        <w:widowControl w:val="0"/>
        <w:kinsoku/>
        <w:wordWrap/>
        <w:overflowPunct/>
        <w:topLinePunct w:val="0"/>
        <w:autoSpaceDE/>
        <w:autoSpaceDN/>
        <w:bidi w:val="0"/>
        <w:adjustRightInd w:val="0"/>
        <w:snapToGrid w:val="0"/>
        <w:spacing w:line="288" w:lineRule="auto"/>
        <w:ind w:leftChars="350" w:left="735"/>
        <w:textAlignment w:val="auto"/>
        <w:rPr>
          <w:rFonts w:ascii="Times New Roman" w:cs="Times New Roman" w:hAnsi="Times New Roman"/>
          <w:caps w:val="0"/>
          <w:smallCaps w:val="0"/>
          <w:color w:val="auto"/>
          <w:spacing w:val="0"/>
          <w:sz w:val="36"/>
          <w:szCs w:val="36"/>
          <w:u w:val="single"/>
          <w:highlight w:val="none"/>
        </w:rPr>
      </w:pPr>
      <w:r>
        <w:rPr>
          <w:rFonts w:ascii="Times New Roman" w:cs="Times New Roman" w:hAnsi="Times New Roman"/>
          <w:caps w:val="0"/>
          <w:smallCaps w:val="0"/>
          <w:color w:val="auto"/>
          <w:spacing w:val="0"/>
          <w:sz w:val="36"/>
          <w:szCs w:val="36"/>
          <w:highlight w:val="none"/>
        </w:rPr>
        <w:t>项目名称：</w:t>
      </w:r>
      <w:r>
        <w:rPr>
          <w:rFonts w:cs="Times New Roman" w:hint="eastAsia"/>
          <w:caps w:val="0"/>
          <w:smallCaps w:val="0"/>
          <w:color w:val="auto"/>
          <w:spacing w:val="0"/>
          <w:sz w:val="36"/>
          <w:szCs w:val="36"/>
          <w:u w:val="single"/>
          <w:lang w:val="en-US" w:eastAsia="zh-CN"/>
          <w:highlight w:val="none"/>
        </w:rPr>
        <w:t xml:space="preserve">  </w:t>
      </w:r>
      <w:r>
        <w:rPr>
          <w:rFonts w:ascii="Times New Roman" w:cs="Times New Roman" w:hAnsi="Times New Roman"/>
          <w:caps w:val="0"/>
          <w:smallCaps w:val="0"/>
          <w:color w:val="auto"/>
          <w:spacing w:val="0"/>
          <w:sz w:val="36"/>
          <w:szCs w:val="36"/>
          <w:u w:val="single"/>
          <w:highlight w:val="none"/>
        </w:rPr>
        <w:t xml:space="preserve"> </w:t>
      </w:r>
      <w:r>
        <w:rPr>
          <w:rFonts w:cs="Times New Roman" w:hint="eastAsia"/>
          <w:caps w:val="0"/>
          <w:smallCaps w:val="0"/>
          <w:color w:val="auto"/>
          <w:spacing w:val="0"/>
          <w:sz w:val="36"/>
          <w:szCs w:val="36"/>
          <w:u w:val="single"/>
          <w:lang w:eastAsia="zh-CN"/>
          <w:highlight w:val="none"/>
        </w:rPr>
        <w:t>石家庄旭照电子科技有限公司</w:t>
      </w:r>
      <w:r>
        <w:rPr>
          <w:rFonts w:cs="Times New Roman" w:hint="eastAsia"/>
          <w:caps w:val="0"/>
          <w:smallCaps w:val="0"/>
          <w:color w:val="auto"/>
          <w:spacing w:val="0"/>
          <w:sz w:val="36"/>
          <w:szCs w:val="36"/>
          <w:u w:val="single"/>
          <w:lang w:val="en-US" w:eastAsia="zh-CN"/>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288" w:lineRule="auto"/>
        <w:ind w:leftChars="350" w:left="735" w:firstLineChars="500" w:firstLine="1800"/>
        <w:textAlignment w:val="auto"/>
        <w:rPr>
          <w:rFonts w:ascii="Times New Roman" w:cs="Times New Roman" w:hAnsi="Times New Roman"/>
          <w:caps w:val="0"/>
          <w:smallCaps w:val="0"/>
          <w:color w:val="auto"/>
          <w:spacing w:val="0"/>
          <w:sz w:val="36"/>
          <w:szCs w:val="36"/>
          <w:u w:val="single"/>
          <w:highlight w:val="none"/>
        </w:rPr>
      </w:pPr>
      <w:r>
        <w:rPr>
          <w:rFonts w:cs="Times New Roman" w:hint="eastAsia"/>
          <w:caps w:val="0"/>
          <w:smallCaps w:val="0"/>
          <w:color w:val="auto"/>
          <w:spacing w:val="0"/>
          <w:sz w:val="36"/>
          <w:szCs w:val="36"/>
          <w:u w:val="single"/>
          <w:lang w:val="en-US" w:eastAsia="zh-CN"/>
          <w:highlight w:val="none"/>
        </w:rPr>
        <w:t xml:space="preserve">     汽车塑料配件改扩建项目    </w:t>
      </w:r>
      <w:r>
        <w:rPr>
          <w:rFonts w:ascii="Times New Roman" w:cs="Times New Roman" w:hAnsi="Times New Roman"/>
          <w:caps w:val="0"/>
          <w:smallCaps w:val="0"/>
          <w:color w:val="auto"/>
          <w:spacing w:val="0"/>
          <w:sz w:val="36"/>
          <w:szCs w:val="36"/>
          <w:u w:val="single"/>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288" w:lineRule="auto"/>
        <w:ind w:leftChars="350" w:left="735"/>
        <w:textAlignment w:val="auto"/>
        <w:rPr>
          <w:rFonts w:ascii="Times New Roman" w:cs="Times New Roman" w:hAnsi="Times New Roman"/>
          <w:caps w:val="0"/>
          <w:smallCaps w:val="0"/>
          <w:color w:val="auto"/>
          <w:spacing w:val="0"/>
          <w:sz w:val="36"/>
          <w:szCs w:val="36"/>
          <w:u w:val="single"/>
          <w:highlight w:val="none"/>
        </w:rPr>
      </w:pPr>
      <w:r>
        <w:rPr>
          <w:rFonts w:ascii="Times New Roman" w:cs="Times New Roman" w:hAnsi="Times New Roman"/>
          <w:caps w:val="0"/>
          <w:smallCaps w:val="0"/>
          <w:color w:val="auto"/>
          <w:spacing w:val="0"/>
          <w:sz w:val="36"/>
          <w:szCs w:val="36"/>
          <w:highlight w:val="none"/>
        </w:rPr>
        <w:t>建设单位：</w:t>
      </w:r>
      <w:r>
        <w:rPr>
          <w:rFonts w:cs="Times New Roman" w:hint="eastAsia"/>
          <w:caps w:val="0"/>
          <w:smallCaps w:val="0"/>
          <w:color w:val="auto"/>
          <w:spacing w:val="0"/>
          <w:sz w:val="36"/>
          <w:szCs w:val="36"/>
          <w:u w:val="single"/>
          <w:lang w:val="en-US" w:eastAsia="zh-CN"/>
          <w:highlight w:val="none"/>
        </w:rPr>
        <w:t xml:space="preserve">  </w:t>
      </w:r>
      <w:r>
        <w:rPr>
          <w:rFonts w:ascii="Times New Roman" w:cs="Times New Roman" w:hAnsi="Times New Roman"/>
          <w:caps w:val="0"/>
          <w:smallCaps w:val="0"/>
          <w:color w:val="auto"/>
          <w:spacing w:val="0"/>
          <w:sz w:val="36"/>
          <w:szCs w:val="36"/>
          <w:u w:val="single"/>
          <w:highlight w:val="none"/>
        </w:rPr>
        <w:t xml:space="preserve"> </w:t>
      </w:r>
      <w:r>
        <w:rPr>
          <w:rFonts w:cs="Times New Roman" w:hint="eastAsia"/>
          <w:caps w:val="0"/>
          <w:smallCaps w:val="0"/>
          <w:color w:val="auto"/>
          <w:spacing w:val="0"/>
          <w:sz w:val="36"/>
          <w:szCs w:val="36"/>
          <w:u w:val="single"/>
          <w:lang w:eastAsia="zh-CN"/>
          <w:highlight w:val="none"/>
        </w:rPr>
        <w:t>石家庄旭照电子科技有限公司</w:t>
      </w:r>
      <w:r>
        <w:rPr>
          <w:rFonts w:cs="Times New Roman" w:hint="eastAsia"/>
          <w:caps w:val="0"/>
          <w:smallCaps w:val="0"/>
          <w:color w:val="auto"/>
          <w:spacing w:val="0"/>
          <w:sz w:val="36"/>
          <w:szCs w:val="36"/>
          <w:u w:val="single"/>
          <w:lang w:val="en-US" w:eastAsia="zh-CN"/>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288" w:lineRule="auto"/>
        <w:ind w:leftChars="350" w:left="735"/>
        <w:textAlignment w:val="auto"/>
        <w:rPr>
          <w:rFonts w:ascii="Times New Roman" w:cs="Times New Roman" w:hAnsi="Times New Roman"/>
          <w:caps w:val="0"/>
          <w:smallCaps w:val="0"/>
          <w:color w:val="auto"/>
          <w:spacing w:val="0"/>
          <w:sz w:val="36"/>
          <w:szCs w:val="36"/>
          <w:u w:val="single"/>
          <w:highlight w:val="none"/>
        </w:rPr>
      </w:pPr>
      <w:r>
        <w:rPr>
          <w:rFonts w:ascii="Times New Roman" w:cs="Times New Roman" w:hAnsi="Times New Roman"/>
          <w:caps w:val="0"/>
          <w:smallCaps w:val="0"/>
          <w:color w:val="auto"/>
          <w:spacing w:val="0"/>
          <w:sz w:val="36"/>
          <w:szCs w:val="36"/>
          <w:highlight w:val="none"/>
        </w:rPr>
        <w:t>编制日期：</w:t>
      </w:r>
      <w:r>
        <w:rPr>
          <w:rFonts w:ascii="Times New Roman" w:cs="Times New Roman" w:hAnsi="Times New Roman"/>
          <w:caps w:val="0"/>
          <w:smallCaps w:val="0"/>
          <w:color w:val="auto"/>
          <w:spacing w:val="0"/>
          <w:sz w:val="36"/>
          <w:szCs w:val="36"/>
          <w:u w:val="single"/>
          <w:highlight w:val="none"/>
        </w:rPr>
        <w:t xml:space="preserve">       </w:t>
      </w:r>
      <w:r>
        <w:rPr>
          <w:rFonts w:cs="Times New Roman" w:hint="eastAsia"/>
          <w:caps w:val="0"/>
          <w:smallCaps w:val="0"/>
          <w:color w:val="auto"/>
          <w:spacing w:val="0"/>
          <w:sz w:val="36"/>
          <w:szCs w:val="36"/>
          <w:u w:val="single"/>
          <w:lang w:val="en-US" w:eastAsia="zh-CN"/>
          <w:highlight w:val="none"/>
        </w:rPr>
        <w:t xml:space="preserve">   </w:t>
      </w:r>
      <w:r>
        <w:rPr>
          <w:rFonts w:ascii="Times New Roman" w:cs="Times New Roman" w:hAnsi="Times New Roman"/>
          <w:caps w:val="0"/>
          <w:smallCaps w:val="0"/>
          <w:color w:val="auto"/>
          <w:spacing w:val="0"/>
          <w:sz w:val="36"/>
          <w:szCs w:val="36"/>
          <w:u w:val="single"/>
          <w:highlight w:val="none"/>
        </w:rPr>
        <w:t>202</w:t>
      </w:r>
      <w:r>
        <w:rPr>
          <w:rFonts w:cs="Times New Roman" w:hint="eastAsia"/>
          <w:caps w:val="0"/>
          <w:smallCaps w:val="0"/>
          <w:color w:val="auto"/>
          <w:spacing w:val="0"/>
          <w:sz w:val="36"/>
          <w:szCs w:val="36"/>
          <w:u w:val="single"/>
          <w:lang w:val="en-US" w:eastAsia="zh-CN"/>
          <w:highlight w:val="none"/>
        </w:rPr>
        <w:t>5</w:t>
      </w:r>
      <w:r>
        <w:rPr>
          <w:rFonts w:ascii="Times New Roman" w:cs="Times New Roman" w:hAnsi="Times New Roman"/>
          <w:caps w:val="0"/>
          <w:smallCaps w:val="0"/>
          <w:color w:val="auto"/>
          <w:spacing w:val="0"/>
          <w:sz w:val="36"/>
          <w:szCs w:val="36"/>
          <w:u w:val="single"/>
          <w:highlight w:val="none"/>
        </w:rPr>
        <w:t>年</w:t>
      </w:r>
      <w:r>
        <w:rPr>
          <w:rFonts w:cs="Times New Roman" w:hint="eastAsia"/>
          <w:caps w:val="0"/>
          <w:smallCaps w:val="0"/>
          <w:color w:val="auto"/>
          <w:spacing w:val="0"/>
          <w:sz w:val="36"/>
          <w:szCs w:val="36"/>
          <w:u w:val="single"/>
          <w:lang w:val="en-US" w:eastAsia="zh-CN"/>
          <w:highlight w:val="none"/>
        </w:rPr>
        <w:t>12</w:t>
      </w:r>
      <w:r>
        <w:rPr>
          <w:rFonts w:ascii="Times New Roman" w:cs="Times New Roman" w:hAnsi="Times New Roman"/>
          <w:caps w:val="0"/>
          <w:smallCaps w:val="0"/>
          <w:color w:val="auto"/>
          <w:spacing w:val="0"/>
          <w:sz w:val="36"/>
          <w:szCs w:val="36"/>
          <w:u w:val="single"/>
          <w:highlight w:val="none"/>
        </w:rPr>
        <w:t xml:space="preserve">月    </w:t>
      </w:r>
      <w:r>
        <w:rPr>
          <w:rFonts w:cs="Times New Roman" w:hint="eastAsia"/>
          <w:caps w:val="0"/>
          <w:smallCaps w:val="0"/>
          <w:color w:val="auto"/>
          <w:spacing w:val="0"/>
          <w:sz w:val="36"/>
          <w:szCs w:val="36"/>
          <w:u w:val="single"/>
          <w:lang w:val="en-US" w:eastAsia="zh-CN"/>
          <w:highlight w:val="none"/>
        </w:rPr>
        <w:t xml:space="preserve"> </w:t>
      </w:r>
      <w:r>
        <w:rPr>
          <w:rFonts w:ascii="Times New Roman" w:cs="Times New Roman" w:hAnsi="Times New Roman"/>
          <w:caps w:val="0"/>
          <w:smallCaps w:val="0"/>
          <w:color w:val="auto"/>
          <w:spacing w:val="0"/>
          <w:sz w:val="36"/>
          <w:szCs w:val="36"/>
          <w:u w:val="single"/>
          <w:highlight w:val="none"/>
        </w:rPr>
        <w:t xml:space="preserve">      </w:t>
      </w:r>
    </w:p>
    <w:p>
      <w:pPr>
        <w:adjustRightInd w:val="0"/>
        <w:snapToGrid w:val="0"/>
        <w:spacing w:line="288" w:lineRule="auto"/>
        <w:ind w:firstLine="1040"/>
        <w:rPr>
          <w:rFonts w:ascii="Times New Roman" w:eastAsia="仿宋_GB2312" w:cs="Times New Roman" w:hAnsi="Times New Roman"/>
          <w:caps w:val="0"/>
          <w:smallCaps w:val="0"/>
          <w:color w:val="auto"/>
          <w:spacing w:val="0"/>
          <w:sz w:val="36"/>
          <w:szCs w:val="36"/>
          <w:u w:val="single"/>
          <w:highlight w:val="none"/>
        </w:rPr>
      </w:pPr>
      <w:bookmarkStart w:id="3" w:name="_Hlk57884087"/>
    </w:p>
    <w:p>
      <w:pPr>
        <w:adjustRightInd w:val="0"/>
        <w:snapToGrid w:val="0"/>
        <w:spacing w:line="288" w:lineRule="auto"/>
        <w:ind w:firstLine="1040"/>
        <w:rPr>
          <w:rFonts w:ascii="Times New Roman" w:eastAsia="仿宋_GB2312" w:cs="Times New Roman" w:hAnsi="Times New Roman"/>
          <w:caps w:val="0"/>
          <w:smallCaps w:val="0"/>
          <w:color w:val="auto"/>
          <w:spacing w:val="0"/>
          <w:sz w:val="36"/>
          <w:szCs w:val="36"/>
          <w:highlight w:val="none"/>
        </w:rPr>
      </w:pPr>
    </w:p>
    <w:p>
      <w:pPr>
        <w:adjustRightInd w:val="0"/>
        <w:snapToGrid w:val="0"/>
        <w:spacing w:line="288" w:lineRule="auto"/>
        <w:ind w:firstLine="1040"/>
        <w:rPr>
          <w:rFonts w:ascii="Times New Roman" w:eastAsia="仿宋_GB2312" w:cs="Times New Roman" w:hAnsi="Times New Roman"/>
          <w:caps w:val="0"/>
          <w:smallCaps w:val="0"/>
          <w:color w:val="auto"/>
          <w:spacing w:val="0"/>
          <w:sz w:val="36"/>
          <w:szCs w:val="36"/>
          <w:highlight w:val="none"/>
        </w:rPr>
      </w:pPr>
    </w:p>
    <w:p>
      <w:pPr>
        <w:adjustRightInd w:val="0"/>
        <w:snapToGrid w:val="0"/>
        <w:spacing w:line="288" w:lineRule="auto"/>
        <w:rPr>
          <w:rFonts w:ascii="Times New Roman" w:eastAsia="仿宋_GB2312" w:cs="Times New Roman" w:hAnsi="Times New Roman"/>
          <w:caps w:val="0"/>
          <w:smallCaps w:val="0"/>
          <w:color w:val="auto"/>
          <w:spacing w:val="0"/>
          <w:sz w:val="36"/>
          <w:szCs w:val="36"/>
          <w:highlight w:val="none"/>
        </w:rPr>
      </w:pPr>
    </w:p>
    <w:p>
      <w:pPr>
        <w:adjustRightInd w:val="0"/>
        <w:snapToGrid w:val="0"/>
        <w:spacing w:line="288" w:lineRule="auto"/>
        <w:jc w:val="center"/>
        <w:rPr>
          <w:rFonts w:ascii="Times New Roman" w:eastAsia="楷体_GB2312" w:cs="Times New Roman" w:hAnsi="Times New Roman"/>
          <w:caps w:val="0"/>
          <w:smallCaps w:val="0"/>
          <w:color w:val="auto"/>
          <w:spacing w:val="0"/>
          <w:sz w:val="36"/>
          <w:szCs w:val="36"/>
          <w:highlight w:val="none"/>
        </w:rPr>
      </w:pPr>
      <w:bookmarkEnd w:id="3"/>
      <w:r>
        <w:rPr>
          <w:rFonts w:ascii="Times New Roman" w:eastAsia="楷体_GB2312" w:cs="Times New Roman" w:hAnsi="Times New Roman"/>
          <w:caps w:val="0"/>
          <w:smallCaps w:val="0"/>
          <w:color w:val="auto"/>
          <w:spacing w:val="0"/>
          <w:sz w:val="36"/>
          <w:szCs w:val="36"/>
          <w:highlight w:val="none"/>
        </w:rPr>
        <w:t>中华人民共和国生态环境部制</w:t>
      </w:r>
    </w:p>
    <w:p>
      <w:pPr>
        <w:pStyle w:val="50"/>
        <w:rPr>
          <w:rFonts w:ascii="Times New Roman" w:cs="Times New Roman" w:hAnsi="Times New Roman"/>
          <w:caps w:val="0"/>
          <w:smallCaps w:val="0"/>
          <w:color w:val="auto"/>
          <w:spacing w:val="0"/>
          <w:highlight w:val="none"/>
        </w:rPr>
        <w:sectPr>
          <w:footerReference w:type="default" r:id="rId2"/>
          <w:footerReference w:type="even" r:id="rId3"/>
          <w:pgSz w:w="11906" w:h="16838"/>
          <w:pgMar w:top="1701" w:right="1531" w:bottom="1701" w:left="1531" w:header="851" w:footer="1077" w:gutter="0"/>
          <w:pgNumType w:start="3"/>
          <w:cols w:num="1" w:space="720"/>
          <w:docGrid w:linePitch="312" w:charSpace="0"/>
        </w:sectPr>
      </w:pPr>
    </w:p>
    <w:p>
      <w:pPr>
        <w:pStyle w:val="49"/>
        <w:rPr>
          <w:rFonts w:ascii="Times New Roman" w:cs="Times New Roman" w:hAnsi="Times New Roman"/>
          <w:color w:val="auto"/>
          <w:highlight w:val="none"/>
        </w:rPr>
        <w:sectPr>
          <w:pgSz w:w="11906" w:h="16838"/>
          <w:pgMar w:top="1701" w:right="1531" w:bottom="1701" w:left="1531" w:header="851" w:footer="1077" w:gutter="0"/>
          <w:pgNumType w:start="3"/>
          <w:cols w:num="1" w:space="720"/>
          <w:docGrid w:linePitch="312" w:charSpace="0"/>
        </w:sectPr>
      </w:pPr>
    </w:p>
    <w:sdt>
      <w:sdtPr>
        <w:rPr>
          <w:rFonts w:ascii="Times New Roman" w:eastAsia="宋体" w:cs="Times New Roman" w:hAnsi="Times New Roman"/>
          <w:caps w:val="0"/>
          <w:smallCaps w:val="0"/>
          <w:color w:val="auto"/>
          <w:spacing w:val="0"/>
          <w:kern w:val="2"/>
          <w:sz w:val="21"/>
          <w:szCs w:val="20"/>
          <w:lang w:val="zh-CN"/>
          <w:highlight w:val="none"/>
        </w:rPr>
        <w:id w:val="-1326307765"/>
        <w:docPartObj>
          <w:docPartGallery w:val="Table of Contents"/>
          <w:docPartUnique/>
        </w:docPartObj>
      </w:sdtPr>
      <w:sdtEndPr>
        <w:rPr>
          <w:b/>
          <w:bCs/>
        </w:rPr>
      </w:sdtEndPr>
      <w:sdtContent>
        <w:p>
          <w:pPr>
            <w:pStyle w:val="168"/>
            <w:spacing w:line="500" w:lineRule="exact"/>
            <w:jc w:val="center"/>
            <w:rPr>
              <w:rFonts w:ascii="Times New Roman" w:eastAsia="等线 Light" w:cs="Times New Roman" w:hAnsi="Times New Roman"/>
              <w:b/>
              <w:bCs/>
              <w:caps w:val="0"/>
              <w:smallCaps w:val="0"/>
              <w:color w:val="auto"/>
              <w:spacing w:val="0"/>
              <w:kern w:val="0"/>
              <w:sz w:val="24"/>
              <w:szCs w:val="32"/>
              <w:lang w:val="zh-CN" w:eastAsia="zh-CN" w:bidi="ar-SA"/>
              <w:highlight w:val="none"/>
            </w:rPr>
          </w:pPr>
          <w:r>
            <w:rPr>
              <w:rFonts w:ascii="Times New Roman" w:eastAsia="宋体" w:cs="Times New Roman" w:hAnsi="Times New Roman"/>
              <w:caps w:val="0"/>
              <w:smallCaps w:val="0"/>
              <w:color w:val="auto"/>
              <w:spacing w:val="0"/>
              <w:sz w:val="40"/>
              <w:lang w:val="zh-CN"/>
              <w:highlight w:val="none"/>
            </w:rPr>
            <w:t>目  录</w:t>
          </w:r>
          <w:r>
            <w:rPr>
              <w:rFonts w:ascii="Times New Roman" w:eastAsia="宋体" w:cs="Times New Roman" w:hAnsi="Times New Roman"/>
              <w:b/>
              <w:bCs/>
              <w:caps w:val="0"/>
              <w:smallCaps w:val="0"/>
              <w:color w:val="auto"/>
              <w:spacing w:val="0"/>
              <w:sz w:val="40"/>
              <w:lang w:val="zh-CN"/>
              <w:highlight w:val="none"/>
            </w:rPr>
            <w:fldChar w:fldCharType="begin"/>
          </w:r>
          <w:r>
            <w:rPr>
              <w:rFonts w:ascii="Times New Roman" w:eastAsia="宋体" w:cs="Times New Roman" w:hAnsi="Times New Roman"/>
              <w:b/>
              <w:bCs/>
              <w:caps w:val="0"/>
              <w:smallCaps w:val="0"/>
              <w:color w:val="auto"/>
              <w:spacing w:val="0"/>
              <w:sz w:val="40"/>
              <w:lang w:val="zh-CN"/>
              <w:highlight w:val="none"/>
            </w:rPr>
            <w:instrText xml:space="preserve"> TOC \o "1-3" \h \z \u </w:instrText>
          </w:r>
          <w:r>
            <w:rPr>
              <w:rFonts w:ascii="Times New Roman" w:eastAsia="宋体" w:cs="Times New Roman" w:hAnsi="Times New Roman"/>
              <w:b/>
              <w:bCs/>
              <w:caps w:val="0"/>
              <w:smallCaps w:val="0"/>
              <w:color w:val="auto"/>
              <w:spacing w:val="0"/>
              <w:sz w:val="40"/>
              <w:lang w:val="zh-CN"/>
              <w:highlight w:val="none"/>
            </w:rPr>
            <w:fldChar w:fldCharType="separate"/>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_Toc1950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一、建设项目基本情况</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_Toc1950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1</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_Toc27745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二、建设项目工程分析</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_Toc27745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40</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_Toc22540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三、区域环境质量现状、环境保护目标及评价标准</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_Toc22540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56</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_Toc10441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四、主要环境影响和保护措施</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_Toc10441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64</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_Toc18955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五、环境保护措施监督检查清单</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_Toc18955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102</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_Toc5925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caps w:val="0"/>
              <w:smallCaps w:val="0"/>
              <w:snapToGrid w:val="0"/>
              <w:color w:val="auto"/>
              <w:spacing w:val="0"/>
              <w:szCs w:val="30"/>
              <w:highlight w:val="none"/>
            </w:rPr>
            <w:t>六、结论</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_Toc5925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106</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pStyle w:val="39"/>
            <w:keepNext w:val="0"/>
            <w:keepLines w:val="0"/>
            <w:pageBreakBefore w:val="0"/>
            <w:widowControl w:val="0"/>
            <w:tabs>
              <w:tab w:val="right" w:leader="dot" w:pos="8844"/>
            </w:tabs>
            <w:kinsoku/>
            <w:wordWrap/>
            <w:overflowPunct/>
            <w:topLinePunct w:val="0"/>
            <w:autoSpaceDE/>
            <w:autoSpaceDN/>
            <w:bidi w:val="0"/>
            <w:adjustRightInd/>
            <w:snapToGrid/>
            <w:spacing w:line="360" w:lineRule="auto"/>
            <w:textAlignment w:val="auto"/>
            <w:rPr>
              <w:rFonts w:ascii="Times New Roman" w:eastAsia="宋体" w:cs="Times New Roman" w:hAnsi="Times New Roman"/>
              <w:color w:val="auto"/>
            </w:rPr>
          </w:pPr>
          <w:r>
            <w:rPr>
              <w:rFonts w:ascii="Times New Roman" w:eastAsia="宋体" w:cs="Times New Roman" w:hAnsi="Times New Roman"/>
              <w:bCs/>
              <w:caps w:val="0"/>
              <w:smallCaps w:val="0"/>
              <w:color w:val="auto"/>
              <w:spacing w:val="0"/>
              <w:lang w:val="zh-CN"/>
              <w:highlight w:val="none"/>
            </w:rPr>
            <w:fldChar w:fldCharType="begin"/>
          </w:r>
          <w:r>
            <w:rPr>
              <w:rFonts w:ascii="Times New Roman" w:eastAsia="宋体" w:cs="Times New Roman" w:hAnsi="Times New Roman"/>
              <w:bCs/>
              <w:caps w:val="0"/>
              <w:smallCaps w:val="0"/>
              <w:color w:val="auto"/>
              <w:spacing w:val="0"/>
              <w:lang w:val="zh-CN"/>
              <w:highlight w:val="none"/>
            </w:rPr>
            <w:instrText xml:space="preserve"> HYPERLINK \l _Toc27848 </w:instrText>
          </w:r>
          <w:r>
            <w:rPr>
              <w:rFonts w:ascii="Times New Roman" w:eastAsia="宋体" w:cs="Times New Roman" w:hAnsi="Times New Roman"/>
              <w:bCs/>
              <w:caps w:val="0"/>
              <w:smallCaps w:val="0"/>
              <w:color w:val="auto"/>
              <w:spacing w:val="0"/>
              <w:lang w:val="zh-CN"/>
              <w:highlight w:val="none"/>
            </w:rPr>
            <w:fldChar w:fldCharType="separate"/>
          </w:r>
          <w:r>
            <w:rPr>
              <w:rFonts w:ascii="Times New Roman" w:eastAsia="宋体" w:cs="Times New Roman" w:hAnsi="Times New Roman"/>
              <w:snapToGrid w:val="0"/>
              <w:color w:val="auto"/>
              <w:szCs w:val="32"/>
              <w:highlight w:val="none"/>
            </w:rPr>
            <w:t>附表</w:t>
          </w:r>
          <w:r>
            <w:rPr>
              <w:rFonts w:ascii="Times New Roman" w:eastAsia="宋体" w:cs="Times New Roman" w:hAnsi="Times New Roman"/>
              <w:color w:val="auto"/>
            </w:rPr>
            <w:tab/>
          </w:r>
          <w:r>
            <w:rPr>
              <w:rFonts w:ascii="Times New Roman" w:eastAsia="宋体" w:cs="Times New Roman" w:hAnsi="Times New Roman"/>
              <w:color w:val="auto"/>
            </w:rPr>
            <w:fldChar w:fldCharType="begin"/>
          </w:r>
          <w:r>
            <w:rPr>
              <w:rFonts w:ascii="Times New Roman" w:eastAsia="宋体" w:cs="Times New Roman" w:hAnsi="Times New Roman"/>
              <w:color w:val="auto"/>
            </w:rPr>
            <w:instrText xml:space="preserve"> PAGEREF _Toc27848 \h </w:instrText>
          </w:r>
          <w:r>
            <w:rPr>
              <w:rFonts w:ascii="Times New Roman" w:eastAsia="宋体" w:cs="Times New Roman" w:hAnsi="Times New Roman"/>
              <w:color w:val="auto"/>
            </w:rPr>
            <w:fldChar w:fldCharType="separate"/>
          </w:r>
          <w:r>
            <w:rPr>
              <w:rFonts w:ascii="Times New Roman" w:eastAsia="宋体" w:cs="Times New Roman" w:hAnsi="Times New Roman"/>
              <w:color w:val="auto"/>
            </w:rPr>
            <w:t>107</w:t>
          </w:r>
          <w:r>
            <w:rPr>
              <w:rFonts w:ascii="Times New Roman" w:eastAsia="宋体" w:cs="Times New Roman" w:hAnsi="Times New Roman"/>
              <w:color w:val="auto"/>
            </w:rPr>
            <w:fldChar w:fldCharType="end"/>
          </w:r>
          <w:r>
            <w:rPr>
              <w:rFonts w:ascii="Times New Roman" w:eastAsia="宋体" w:cs="Times New Roman" w:hAnsi="Times New Roman"/>
              <w:bCs/>
              <w:caps w:val="0"/>
              <w:smallCaps w:val="0"/>
              <w:color w:val="auto"/>
              <w:spacing w:val="0"/>
              <w:lang w:val="zh-CN"/>
              <w:highlight w:val="none"/>
            </w:rPr>
            <w:fldChar w:fldCharType="end"/>
          </w:r>
        </w:p>
        <w:p>
          <w:pPr>
            <w:spacing w:line="500" w:lineRule="exact"/>
            <w:jc w:val="center"/>
            <w:rPr>
              <w:rFonts w:ascii="Times New Roman" w:cs="Times New Roman" w:hAnsi="Times New Roman"/>
              <w:caps w:val="0"/>
              <w:smallCaps w:val="0"/>
              <w:color w:val="auto"/>
              <w:spacing w:val="0"/>
              <w:highlight w:val="none"/>
            </w:rPr>
          </w:pPr>
          <w:r>
            <w:rPr>
              <w:rFonts w:ascii="Times New Roman" w:cs="Times New Roman" w:hAnsi="Times New Roman"/>
              <w:b/>
              <w:bCs/>
              <w:caps w:val="0"/>
              <w:smallCaps w:val="0"/>
              <w:color w:val="auto"/>
              <w:spacing w:val="0"/>
              <w:sz w:val="24"/>
              <w:lang w:val="zh-CN"/>
              <w:highlight w:val="none"/>
            </w:rPr>
            <w:fldChar w:fldCharType="end"/>
          </w:r>
        </w:p>
      </w:sdtContent>
    </w:sdt>
    <w:p>
      <w:pPr>
        <w:pStyle w:val="137"/>
        <w:ind w:left="0" w:firstLineChars="0" w:firstLine="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lang w:val="en-US" w:eastAsia="zh-CN"/>
          <w:highlight w:val="none"/>
        </w:rPr>
        <w:t>附图：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附图1：项目地理位置图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附图2：项目周边关系图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附图3：项目与洨河位置关系图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附图4：项目厂区平面布置图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附图5：项目分区防渗图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w:t>
      </w:r>
      <w:r>
        <w:rPr>
          <w:rFonts w:cs="Times New Roman" w:hint="eastAsia"/>
          <w:caps w:val="0"/>
          <w:smallCaps w:val="0"/>
          <w:color w:val="auto"/>
          <w:spacing w:val="0"/>
          <w:lang w:val="en-US" w:eastAsia="zh-CN"/>
          <w:highlight w:val="none"/>
        </w:rPr>
        <w:t>6</w:t>
      </w:r>
      <w:r>
        <w:rPr>
          <w:rFonts w:ascii="Times New Roman" w:cs="Times New Roman" w:hAnsi="Times New Roman"/>
          <w:caps w:val="0"/>
          <w:smallCaps w:val="0"/>
          <w:color w:val="auto"/>
          <w:spacing w:val="0"/>
          <w:highlight w:val="none"/>
        </w:rPr>
        <w:t>：项目与环境空气质量现状监测布点关系图</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附图</w:t>
      </w:r>
      <w:r>
        <w:rPr>
          <w:rFonts w:cs="Times New Roman" w:hint="eastAsia"/>
          <w:caps w:val="0"/>
          <w:smallCaps w:val="0"/>
          <w:color w:val="auto"/>
          <w:spacing w:val="0"/>
          <w:lang w:val="en-US" w:eastAsia="zh-CN"/>
          <w:highlight w:val="none"/>
        </w:rPr>
        <w:t>7</w:t>
      </w:r>
      <w:r>
        <w:rPr>
          <w:rFonts w:ascii="Times New Roman" w:cs="Times New Roman" w:hAnsi="Times New Roman"/>
          <w:caps w:val="0"/>
          <w:smallCaps w:val="0"/>
          <w:color w:val="auto"/>
          <w:spacing w:val="0"/>
          <w:highlight w:val="none"/>
        </w:rPr>
        <w:t>：项目与石家庄市生态环境分区管控位置关系图</w:t>
      </w:r>
    </w:p>
    <w:p>
      <w:pPr>
        <w:pStyle w:val="137"/>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highlight w:val="none"/>
        </w:rPr>
        <w:t>附图</w:t>
      </w:r>
      <w:r>
        <w:rPr>
          <w:rFonts w:cs="Times New Roman" w:hint="eastAsia"/>
          <w:caps w:val="0"/>
          <w:smallCaps w:val="0"/>
          <w:color w:val="auto"/>
          <w:spacing w:val="0"/>
          <w:lang w:val="en-US" w:eastAsia="zh-CN"/>
          <w:highlight w:val="none"/>
        </w:rPr>
        <w:t>8</w:t>
      </w:r>
      <w:r>
        <w:rPr>
          <w:rFonts w:ascii="Times New Roman" w:cs="Times New Roman" w:hAnsi="Times New Roman"/>
          <w:caps w:val="0"/>
          <w:smallCaps w:val="0"/>
          <w:color w:val="auto"/>
          <w:spacing w:val="0"/>
          <w:highlight w:val="none"/>
        </w:rPr>
        <w:t>：项目与石家庄市声环境功能区位置关系图</w:t>
      </w:r>
    </w:p>
    <w:p>
      <w:pPr>
        <w:pStyle w:val="137"/>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highlight w:val="none"/>
        </w:rPr>
        <w:t>附图</w:t>
      </w:r>
      <w:r>
        <w:rPr>
          <w:rFonts w:cs="Times New Roman" w:hint="eastAsia"/>
          <w:caps w:val="0"/>
          <w:smallCaps w:val="0"/>
          <w:color w:val="auto"/>
          <w:spacing w:val="0"/>
          <w:lang w:val="en-US" w:eastAsia="zh-CN"/>
          <w:highlight w:val="none"/>
        </w:rPr>
        <w:t>9</w:t>
      </w:r>
      <w:r>
        <w:rPr>
          <w:rFonts w:ascii="Times New Roman" w:cs="Times New Roman" w:hAnsi="Times New Roman"/>
          <w:caps w:val="0"/>
          <w:smallCaps w:val="0"/>
          <w:color w:val="auto"/>
          <w:spacing w:val="0"/>
          <w:highlight w:val="none"/>
        </w:rPr>
        <w:t>：项目与沙区范围位置关系图</w:t>
      </w:r>
    </w:p>
    <w:p>
      <w:pPr>
        <w:pStyle w:val="137"/>
        <w:rPr>
          <w:rFonts w:cs="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highlight w:val="none"/>
        </w:rPr>
        <w:t>附图</w:t>
      </w:r>
      <w:r>
        <w:rPr>
          <w:rFonts w:cs="Times New Roman" w:hint="eastAsia"/>
          <w:caps w:val="0"/>
          <w:smallCaps w:val="0"/>
          <w:color w:val="auto"/>
          <w:spacing w:val="0"/>
          <w:lang w:val="en-US" w:eastAsia="zh-CN"/>
          <w:highlight w:val="none"/>
        </w:rPr>
        <w:t>10</w:t>
      </w:r>
      <w:r>
        <w:rPr>
          <w:rFonts w:ascii="Times New Roman" w:cs="Times New Roman" w:hAnsi="Times New Roman"/>
          <w:caps w:val="0"/>
          <w:smallCaps w:val="0"/>
          <w:color w:val="auto"/>
          <w:spacing w:val="0"/>
          <w:highlight w:val="none"/>
        </w:rPr>
        <w:t>：项目与</w:t>
      </w:r>
      <w:r>
        <w:rPr>
          <w:rFonts w:cs="Times New Roman" w:hint="eastAsia"/>
          <w:caps w:val="0"/>
          <w:smallCaps w:val="0"/>
          <w:color w:val="auto"/>
          <w:spacing w:val="0"/>
          <w:lang w:val="en-US" w:eastAsia="zh-CN"/>
          <w:highlight w:val="none"/>
        </w:rPr>
        <w:t>生态保护红线位置关系图</w:t>
      </w:r>
    </w:p>
    <w:p>
      <w:pPr>
        <w:pStyle w:val="137"/>
        <w:rPr>
          <w:rFonts w:cs="Times New Roman"/>
          <w:caps w:val="0"/>
          <w:smallCaps w:val="0"/>
          <w:color w:val="auto"/>
          <w:spacing w:val="0"/>
          <w:lang w:val="en-US" w:eastAsia="zh-CN"/>
          <w:highlight w:val="none"/>
        </w:rPr>
      </w:pPr>
      <w:r>
        <w:rPr>
          <w:rFonts w:cs="Times New Roman" w:hint="eastAsia"/>
          <w:caps w:val="0"/>
          <w:smallCaps w:val="0"/>
          <w:color w:val="auto"/>
          <w:spacing w:val="0"/>
          <w:lang w:val="en-US" w:eastAsia="zh-CN"/>
          <w:highlight w:val="none"/>
        </w:rPr>
        <w:t>附图11：项目与园区产业布局指引位置关系图</w:t>
      </w:r>
    </w:p>
    <w:p>
      <w:pPr>
        <w:pStyle w:val="137"/>
        <w:rPr>
          <w:rFonts w:ascii="Times New Roman" w:eastAsia="宋体" w:cs="Times New Roman" w:hAnsi="Times New Roman"/>
          <w:caps w:val="0"/>
          <w:smallCaps w:val="0"/>
          <w:color w:val="auto"/>
          <w:spacing w:val="0"/>
          <w:lang w:val="en-US" w:eastAsia="zh-CN"/>
          <w:highlight w:val="none"/>
        </w:rPr>
      </w:pPr>
      <w:r>
        <w:rPr>
          <w:rFonts w:cs="Times New Roman" w:hint="eastAsia"/>
          <w:caps w:val="0"/>
          <w:smallCaps w:val="0"/>
          <w:color w:val="auto"/>
          <w:spacing w:val="0"/>
          <w:lang w:val="en-US" w:eastAsia="zh-CN"/>
          <w:highlight w:val="none"/>
        </w:rPr>
        <w:t>附图12：项目与园区用地布局规划位置关系图</w:t>
      </w:r>
    </w:p>
    <w:p>
      <w:pPr>
        <w:pStyle w:val="137"/>
        <w:ind w:left="0" w:firstLineChars="0" w:firstLine="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lang w:val="en-US" w:eastAsia="zh-CN"/>
          <w:highlight w:val="none"/>
        </w:rPr>
        <w:t>附件：</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附件1：备案信息</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附件2：建设单位营业执照</w:t>
      </w:r>
    </w:p>
    <w:p>
      <w:pPr>
        <w:pStyle w:val="137"/>
        <w:rPr>
          <w:rFonts w:ascii="Times New Roman" w:eastAsia="宋体" w:cs="Times New Roman" w:hAnsi="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highlight w:val="none"/>
        </w:rPr>
        <w:t>附件3：</w:t>
      </w:r>
      <w:r>
        <w:rPr>
          <w:rFonts w:cs="Times New Roman" w:hint="eastAsia"/>
          <w:caps w:val="0"/>
          <w:smallCaps w:val="0"/>
          <w:color w:val="auto"/>
          <w:spacing w:val="0"/>
          <w:lang w:val="en-US" w:eastAsia="zh-CN"/>
          <w:highlight w:val="none"/>
        </w:rPr>
        <w:t>土地手续</w:t>
      </w:r>
    </w:p>
    <w:p>
      <w:pPr>
        <w:pStyle w:val="137"/>
        <w:rPr>
          <w:rFonts w:cs="Times New Roman"/>
          <w:caps w:val="0"/>
          <w:smallCaps w:val="0"/>
          <w:color w:val="auto"/>
          <w:spacing w:val="0"/>
          <w:lang w:val="en-US" w:eastAsia="zh-CN"/>
          <w:highlight w:val="none"/>
        </w:rPr>
      </w:pPr>
      <w:r>
        <w:rPr>
          <w:rFonts w:cs="Times New Roman" w:hint="eastAsia"/>
          <w:caps w:val="0"/>
          <w:smallCaps w:val="0"/>
          <w:color w:val="auto"/>
          <w:spacing w:val="0"/>
          <w:lang w:val="en-US" w:eastAsia="zh-CN"/>
          <w:highlight w:val="none"/>
        </w:rPr>
        <w:t>附件4：关于河北石家庄装备制造产业园总体规划（2022-2030年）环境影响评价报告书的审查意见</w:t>
      </w:r>
    </w:p>
    <w:p>
      <w:pPr>
        <w:pStyle w:val="137"/>
        <w:rPr>
          <w:rFonts w:cs="Times New Roman" w:hint="eastAsia"/>
          <w:caps w:val="0"/>
          <w:smallCaps w:val="0"/>
          <w:color w:val="auto"/>
          <w:spacing w:val="0"/>
          <w:lang w:val="en-US" w:eastAsia="zh-CN"/>
          <w:highlight w:val="none"/>
        </w:rPr>
      </w:pPr>
      <w:r>
        <w:rPr>
          <w:rFonts w:cs="Times New Roman" w:hint="eastAsia"/>
          <w:caps w:val="0"/>
          <w:smallCaps w:val="0"/>
          <w:color w:val="auto"/>
          <w:spacing w:val="0"/>
          <w:lang w:val="en-US" w:eastAsia="zh-CN"/>
          <w:highlight w:val="none"/>
        </w:rPr>
        <w:t>附件5：引用现状检测报告</w:t>
      </w:r>
    </w:p>
    <w:p>
      <w:pPr>
        <w:pStyle w:val="137"/>
        <w:rPr>
          <w:rFonts w:ascii="Times New Roman" w:eastAsia="宋体" w:cs="Times New Roman" w:hAnsi="Times New Roman"/>
          <w:caps w:val="0"/>
          <w:smallCaps w:val="0"/>
          <w:color w:val="auto"/>
          <w:spacing w:val="0"/>
          <w:lang w:val="en-US" w:eastAsia="zh-CN"/>
          <w:highlight w:val="none"/>
        </w:rPr>
      </w:pPr>
      <w:r>
        <w:rPr>
          <w:rFonts w:cs="Times New Roman" w:hint="eastAsia"/>
          <w:caps w:val="0"/>
          <w:smallCaps w:val="0"/>
          <w:color w:val="auto"/>
          <w:spacing w:val="0"/>
          <w:lang w:val="en-US" w:eastAsia="zh-CN"/>
          <w:highlight w:val="none"/>
        </w:rPr>
        <w:t>附件6：现有工程环保手续</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附件</w:t>
      </w:r>
      <w:r>
        <w:rPr>
          <w:rFonts w:cs="Times New Roman" w:hint="eastAsia"/>
          <w:caps w:val="0"/>
          <w:smallCaps w:val="0"/>
          <w:color w:val="auto"/>
          <w:spacing w:val="0"/>
          <w:lang w:val="en-US" w:eastAsia="zh-CN"/>
          <w:highlight w:val="none"/>
        </w:rPr>
        <w:t>7</w:t>
      </w:r>
      <w:r>
        <w:rPr>
          <w:rFonts w:ascii="Times New Roman" w:cs="Times New Roman" w:hAnsi="Times New Roman"/>
          <w:caps w:val="0"/>
          <w:smallCaps w:val="0"/>
          <w:color w:val="auto"/>
          <w:spacing w:val="0"/>
          <w:highlight w:val="none"/>
        </w:rPr>
        <w:t>：无违法情况说明</w:t>
      </w:r>
    </w:p>
    <w:p>
      <w:pPr>
        <w:pStyle w:val="137"/>
        <w:rPr>
          <w:rFonts w:ascii="Times New Roman" w:eastAsia="宋体" w:cs="Times New Roman" w:hAnsi="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highlight w:val="none"/>
        </w:rPr>
        <w:t>附件</w:t>
      </w:r>
      <w:r>
        <w:rPr>
          <w:rFonts w:cs="Times New Roman" w:hint="eastAsia"/>
          <w:caps w:val="0"/>
          <w:smallCaps w:val="0"/>
          <w:color w:val="auto"/>
          <w:spacing w:val="0"/>
          <w:lang w:val="en-US" w:eastAsia="zh-CN"/>
          <w:highlight w:val="none"/>
        </w:rPr>
        <w:t>8</w:t>
      </w:r>
      <w:r>
        <w:rPr>
          <w:rFonts w:ascii="Times New Roman" w:cs="Times New Roman" w:hAnsi="Times New Roman"/>
          <w:caps w:val="0"/>
          <w:smallCaps w:val="0"/>
          <w:color w:val="auto"/>
          <w:spacing w:val="0"/>
          <w:highlight w:val="none"/>
        </w:rPr>
        <w:t>：搬迁承诺书</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附件</w:t>
      </w:r>
      <w:r>
        <w:rPr>
          <w:rFonts w:cs="Times New Roman" w:hint="eastAsia"/>
          <w:caps w:val="0"/>
          <w:smallCaps w:val="0"/>
          <w:color w:val="auto"/>
          <w:spacing w:val="0"/>
          <w:lang w:val="en-US" w:eastAsia="zh-CN"/>
          <w:highlight w:val="none"/>
        </w:rPr>
        <w:t>9</w:t>
      </w:r>
      <w:r>
        <w:rPr>
          <w:rFonts w:ascii="Times New Roman" w:cs="Times New Roman" w:hAnsi="Times New Roman"/>
          <w:caps w:val="0"/>
          <w:smallCaps w:val="0"/>
          <w:color w:val="auto"/>
          <w:spacing w:val="0"/>
          <w:highlight w:val="none"/>
        </w:rPr>
        <w:t>：委托书</w:t>
      </w:r>
    </w:p>
    <w:p>
      <w:pPr>
        <w:pStyle w:val="137"/>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highlight w:val="none"/>
        </w:rPr>
        <w:t>附件</w:t>
      </w:r>
      <w:r>
        <w:rPr>
          <w:rFonts w:cs="Times New Roman" w:hint="eastAsia"/>
          <w:caps w:val="0"/>
          <w:smallCaps w:val="0"/>
          <w:color w:val="auto"/>
          <w:spacing w:val="0"/>
          <w:lang w:val="en-US" w:eastAsia="zh-CN"/>
          <w:highlight w:val="none"/>
        </w:rPr>
        <w:t>10</w:t>
      </w:r>
      <w:r>
        <w:rPr>
          <w:rFonts w:ascii="Times New Roman" w:cs="Times New Roman" w:hAnsi="Times New Roman"/>
          <w:caps w:val="0"/>
          <w:smallCaps w:val="0"/>
          <w:color w:val="auto"/>
          <w:spacing w:val="0"/>
          <w:highlight w:val="none"/>
        </w:rPr>
        <w:t>：企业承诺书</w:t>
      </w:r>
    </w:p>
    <w:p>
      <w:pPr>
        <w:pStyle w:val="137"/>
        <w:rPr>
          <w:rFonts w:ascii="Times New Roman" w:eastAsia="宋体" w:cs="Times New Roman" w:hAnsi="Times New Roman" w:hint="eastAsia"/>
          <w:caps w:val="0"/>
          <w:smallCaps w:val="0"/>
          <w:color w:val="auto"/>
          <w:spacing w:val="0"/>
          <w:lang w:val="en-US" w:eastAsia="zh-CN"/>
          <w:highlight w:val="none"/>
        </w:rPr>
        <w:sectPr>
          <w:pgSz w:w="11906" w:h="16838"/>
          <w:pgMar w:top="1701" w:right="1531" w:bottom="1701" w:left="1531" w:header="851" w:footer="1077" w:gutter="0"/>
          <w:pgNumType w:start="3"/>
          <w:cols w:num="1" w:space="720"/>
          <w:docGrid w:linePitch="312" w:charSpace="0"/>
        </w:sectPr>
      </w:pPr>
      <w:r>
        <w:rPr>
          <w:rFonts w:ascii="Times New Roman" w:cs="Times New Roman" w:hAnsi="Times New Roman"/>
          <w:caps w:val="0"/>
          <w:smallCaps w:val="0"/>
          <w:color w:val="auto"/>
          <w:spacing w:val="0"/>
          <w:highlight w:val="none"/>
        </w:rPr>
        <w:t>附件</w:t>
      </w:r>
      <w:r>
        <w:rPr>
          <w:rFonts w:cs="Times New Roman" w:hint="eastAsia"/>
          <w:caps w:val="0"/>
          <w:smallCaps w:val="0"/>
          <w:color w:val="auto"/>
          <w:spacing w:val="0"/>
          <w:lang w:val="en-US" w:eastAsia="zh-CN"/>
          <w:highlight w:val="none"/>
        </w:rPr>
        <w:t>11</w:t>
      </w:r>
      <w:r>
        <w:rPr>
          <w:rFonts w:ascii="Times New Roman" w:cs="Times New Roman" w:hAnsi="Times New Roman"/>
          <w:caps w:val="0"/>
          <w:smallCaps w:val="0"/>
          <w:color w:val="auto"/>
          <w:spacing w:val="0"/>
          <w:highlight w:val="none"/>
        </w:rPr>
        <w:t>：环评承诺书</w:t>
      </w:r>
    </w:p>
    <w:p>
      <w:pPr>
        <w:pStyle w:val="45"/>
        <w:jc w:val="center"/>
        <w:outlineLvl w:val="0"/>
        <w:rPr>
          <w:rFonts w:ascii="Times New Roman" w:eastAsia="黑体" w:cs="Times New Roman" w:hAnsi="Times New Roman"/>
          <w:caps w:val="0"/>
          <w:smallCaps w:val="0"/>
          <w:snapToGrid w:val="0"/>
          <w:color w:val="auto"/>
          <w:spacing w:val="0"/>
          <w:sz w:val="30"/>
          <w:szCs w:val="30"/>
          <w:highlight w:val="none"/>
        </w:rPr>
      </w:pPr>
      <w:bookmarkStart w:id="4" w:name="_Toc1950"/>
      <w:r>
        <w:rPr>
          <w:rFonts w:ascii="Times New Roman" w:eastAsia="黑体" w:cs="Times New Roman" w:hAnsi="Times New Roman"/>
          <w:caps w:val="0"/>
          <w:smallCaps w:val="0"/>
          <w:snapToGrid w:val="0"/>
          <w:color w:val="auto"/>
          <w:spacing w:val="0"/>
          <w:sz w:val="30"/>
          <w:szCs w:val="30"/>
          <w:highlight w:val="none"/>
        </w:rPr>
        <w:t>一、建设项目基本情况</w:t>
      </w:r>
      <w:bookmarkEnd w:id="4"/>
    </w:p>
    <w:tbl>
      <w:tblPr>
        <w:jc w:val="center"/>
        <w:tblW w:w="5314"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1559"/>
        <w:gridCol w:w="1823"/>
        <w:gridCol w:w="2155"/>
        <w:gridCol w:w="3888"/>
      </w:tblGrid>
      <w:tr>
        <w:trPr>
          <w:trHeight w:val="230"/>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建设项目名称</w:t>
            </w:r>
          </w:p>
        </w:tc>
        <w:tc>
          <w:tcPr>
            <w:tcW w:w="4172" w:type="pct"/>
            <w:gridSpan w:val="3"/>
            <w:vAlign w:val="center"/>
          </w:tcPr>
          <w:p>
            <w:pPr>
              <w:pStyle w:val="137"/>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hint="eastAsia"/>
                <w:caps w:val="0"/>
                <w:smallCaps w:val="0"/>
                <w:color w:val="auto"/>
                <w:spacing w:val="0"/>
                <w:sz w:val="24"/>
                <w:szCs w:val="20"/>
                <w:lang w:eastAsia="zh-CN"/>
                <w:highlight w:val="none"/>
              </w:rPr>
              <w:t>石家庄旭照电子科技有限公司汽车塑料配件改扩建项目</w:t>
            </w:r>
          </w:p>
        </w:tc>
      </w:tr>
      <w:tr>
        <w:trPr>
          <w:trHeight w:val="498"/>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项目代码</w:t>
            </w:r>
          </w:p>
        </w:tc>
        <w:tc>
          <w:tcPr>
            <w:tcW w:w="4172" w:type="pct"/>
            <w:gridSpan w:val="3"/>
            <w:tcBorders>
              <w:left w:val="single" w:sz="4" w:space="0" w:color="auto"/>
            </w:tcBorders>
          </w:tcPr>
          <w:p>
            <w:pPr>
              <w:pStyle w:val="137"/>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hint="eastAsia"/>
                <w:caps w:val="0"/>
                <w:smallCaps w:val="0"/>
                <w:color w:val="auto"/>
                <w:spacing w:val="0"/>
                <w:sz w:val="24"/>
                <w:szCs w:val="20"/>
                <w:lang w:eastAsia="zh-CN"/>
                <w:highlight w:val="none"/>
              </w:rPr>
              <w:t>2509-130111-89-05-172968</w:t>
            </w:r>
          </w:p>
        </w:tc>
      </w:tr>
      <w:tr>
        <w:trPr>
          <w:trHeight w:val="249"/>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i w:val="0"/>
                <w:iCs w:val="0"/>
                <w:caps w:val="0"/>
                <w:smallCaps w:val="0"/>
                <w:color w:val="auto"/>
                <w:spacing w:val="0"/>
                <w:sz w:val="24"/>
                <w:szCs w:val="24"/>
                <w:highlight w:val="none"/>
              </w:rPr>
            </w:pPr>
            <w:r>
              <w:rPr>
                <w:rFonts w:ascii="Times New Roman" w:cs="Times New Roman" w:hAnsi="Times New Roman"/>
                <w:i w:val="0"/>
                <w:iCs w:val="0"/>
                <w:caps w:val="0"/>
                <w:smallCaps w:val="0"/>
                <w:color w:val="auto"/>
                <w:spacing w:val="0"/>
                <w:sz w:val="24"/>
                <w:szCs w:val="24"/>
                <w:highlight w:val="none"/>
              </w:rPr>
              <w:t>建设单位联系人</w:t>
            </w:r>
          </w:p>
        </w:tc>
        <w:tc>
          <w:tcPr>
            <w:tcW w:w="967"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firstLineChars="300" w:firstLine="720"/>
              <w:rPr>
                <w:rFonts w:ascii="Times New Roman" w:eastAsia="宋体" w:cs="Times New Roman" w:hAnsi="Times New Roman"/>
                <w:i w:val="0"/>
                <w:iCs w:val="0"/>
                <w:caps w:val="0"/>
                <w:smallCaps w:val="0"/>
                <w:color w:val="auto"/>
                <w:spacing w:val="0"/>
                <w:sz w:val="24"/>
                <w:szCs w:val="24"/>
                <w:lang w:val="en-US" w:eastAsia="zh-CN"/>
                <w:highlight w:val="none"/>
              </w:rPr>
            </w:pPr>
            <w:r>
              <w:rPr>
                <w:rFonts w:ascii="Times New Roman" w:cs="Times New Roman" w:hAnsi="Times New Roman" w:hint="eastAsia"/>
                <w:i w:val="0"/>
                <w:iCs w:val="0"/>
                <w:caps w:val="0"/>
                <w:smallCaps w:val="0"/>
                <w:color w:val="auto"/>
                <w:spacing w:val="0"/>
                <w:sz w:val="24"/>
                <w:szCs w:val="24"/>
                <w:lang w:val="en-US" w:eastAsia="zh-CN"/>
                <w:highlight w:val="none"/>
              </w:rPr>
              <w:t>xxx</w:t>
            </w:r>
          </w:p>
        </w:tc>
        <w:tc>
          <w:tcPr>
            <w:tcW w:w="11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i w:val="0"/>
                <w:iCs w:val="0"/>
                <w:caps w:val="0"/>
                <w:smallCaps w:val="0"/>
                <w:color w:val="auto"/>
                <w:spacing w:val="0"/>
                <w:sz w:val="24"/>
                <w:szCs w:val="24"/>
                <w:highlight w:val="none"/>
              </w:rPr>
            </w:pPr>
            <w:r>
              <w:rPr>
                <w:rFonts w:ascii="Times New Roman" w:cs="Times New Roman" w:hAnsi="Times New Roman"/>
                <w:i w:val="0"/>
                <w:iCs w:val="0"/>
                <w:caps w:val="0"/>
                <w:smallCaps w:val="0"/>
                <w:color w:val="auto"/>
                <w:spacing w:val="0"/>
                <w:sz w:val="24"/>
                <w:szCs w:val="24"/>
                <w:highlight w:val="none"/>
              </w:rPr>
              <w:t>联系方式</w:t>
            </w:r>
          </w:p>
        </w:tc>
        <w:tc>
          <w:tcPr>
            <w:tcW w:w="2061"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i w:val="0"/>
                <w:iCs w:val="0"/>
                <w:caps w:val="0"/>
                <w:smallCaps w:val="0"/>
                <w:color w:val="auto"/>
                <w:spacing w:val="0"/>
                <w:sz w:val="24"/>
                <w:szCs w:val="24"/>
                <w:lang w:val="en-US" w:eastAsia="zh-CN"/>
                <w:highlight w:val="none"/>
              </w:rPr>
            </w:pPr>
            <w:r>
              <w:rPr>
                <w:rFonts w:ascii="Times New Roman" w:cs="Times New Roman" w:hAnsi="Times New Roman" w:hint="eastAsia"/>
                <w:i w:val="0"/>
                <w:iCs w:val="0"/>
                <w:caps w:val="0"/>
                <w:smallCaps w:val="0"/>
                <w:color w:val="auto"/>
                <w:spacing w:val="0"/>
                <w:sz w:val="24"/>
                <w:szCs w:val="24"/>
                <w:lang w:val="en-US" w:eastAsia="zh-CN"/>
                <w:highlight w:val="none"/>
              </w:rPr>
              <w:t>xxx</w:t>
            </w:r>
          </w:p>
        </w:tc>
      </w:tr>
      <w:tr>
        <w:trPr>
          <w:trHeight w:val="497"/>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建设地点</w:t>
            </w:r>
          </w:p>
        </w:tc>
        <w:tc>
          <w:tcPr>
            <w:tcW w:w="4172" w:type="pct"/>
            <w:gridSpan w:val="3"/>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sz w:val="24"/>
                <w:szCs w:val="24"/>
                <w:lang w:eastAsia="zh-CN"/>
                <w:highlight w:val="none"/>
              </w:rPr>
            </w:pPr>
            <w:r>
              <w:rPr>
                <w:rFonts w:ascii="Times New Roman" w:cs="Times New Roman" w:hAnsi="Times New Roman"/>
                <w:caps w:val="0"/>
                <w:smallCaps w:val="0"/>
                <w:color w:val="auto"/>
                <w:spacing w:val="0"/>
                <w:sz w:val="24"/>
                <w:szCs w:val="24"/>
                <w:u w:val="single"/>
                <w:highlight w:val="none"/>
              </w:rPr>
              <w:t>河北</w:t>
            </w:r>
            <w:r>
              <w:rPr>
                <w:rFonts w:ascii="Times New Roman" w:cs="Times New Roman" w:hAnsi="Times New Roman"/>
                <w:caps w:val="0"/>
                <w:smallCaps w:val="0"/>
                <w:color w:val="auto"/>
                <w:spacing w:val="0"/>
                <w:sz w:val="24"/>
                <w:szCs w:val="24"/>
                <w:highlight w:val="none"/>
              </w:rPr>
              <w:t>省（自治区）</w:t>
            </w:r>
            <w:r>
              <w:rPr>
                <w:rFonts w:ascii="Times New Roman" w:cs="Times New Roman" w:hAnsi="Times New Roman"/>
                <w:caps w:val="0"/>
                <w:smallCaps w:val="0"/>
                <w:color w:val="auto"/>
                <w:spacing w:val="0"/>
                <w:sz w:val="24"/>
                <w:szCs w:val="24"/>
                <w:u w:val="single"/>
                <w:highlight w:val="none"/>
              </w:rPr>
              <w:t>石家庄</w:t>
            </w:r>
            <w:r>
              <w:rPr>
                <w:rFonts w:ascii="Times New Roman" w:cs="Times New Roman" w:hAnsi="Times New Roman"/>
                <w:caps w:val="0"/>
                <w:smallCaps w:val="0"/>
                <w:color w:val="auto"/>
                <w:spacing w:val="0"/>
                <w:sz w:val="24"/>
                <w:szCs w:val="24"/>
                <w:highlight w:val="none"/>
              </w:rPr>
              <w:t>市</w:t>
            </w:r>
            <w:r>
              <w:rPr>
                <w:rFonts w:ascii="Times New Roman" w:cs="Times New Roman" w:hAnsi="Times New Roman" w:hint="eastAsia"/>
                <w:caps w:val="0"/>
                <w:smallCaps w:val="0"/>
                <w:color w:val="auto"/>
                <w:spacing w:val="0"/>
                <w:sz w:val="24"/>
                <w:szCs w:val="24"/>
                <w:u w:val="single"/>
                <w:lang w:val="en-US" w:eastAsia="zh-CN"/>
                <w:highlight w:val="none"/>
              </w:rPr>
              <w:t>栾城</w:t>
            </w:r>
            <w:r>
              <w:rPr>
                <w:rFonts w:ascii="Times New Roman" w:cs="Times New Roman" w:hAnsi="Times New Roman"/>
                <w:caps w:val="0"/>
                <w:smallCaps w:val="0"/>
                <w:color w:val="auto"/>
                <w:spacing w:val="0"/>
                <w:sz w:val="24"/>
                <w:szCs w:val="24"/>
                <w:highlight w:val="none"/>
              </w:rPr>
              <w:t>区</w:t>
            </w:r>
            <w:r>
              <w:rPr>
                <w:rFonts w:ascii="Times New Roman" w:cs="Times New Roman" w:hAnsi="Times New Roman" w:hint="eastAsia"/>
                <w:caps w:val="0"/>
                <w:smallCaps w:val="0"/>
                <w:color w:val="auto"/>
                <w:spacing w:val="0"/>
                <w:sz w:val="24"/>
                <w:szCs w:val="24"/>
                <w:u w:val="single"/>
                <w:lang w:eastAsia="zh-CN"/>
                <w:highlight w:val="none"/>
              </w:rPr>
              <w:t>窦妪村装备制造产业园区奥翔街6-1号（院内3号房）</w:t>
            </w:r>
          </w:p>
        </w:tc>
      </w:tr>
      <w:tr>
        <w:trPr>
          <w:trHeight w:val="122"/>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地理坐标</w:t>
            </w:r>
          </w:p>
        </w:tc>
        <w:tc>
          <w:tcPr>
            <w:tcW w:w="4172" w:type="pct"/>
            <w:gridSpan w:val="3"/>
            <w:tcBorders>
              <w:left w:val="single" w:sz="4" w:space="0" w:color="auto"/>
            </w:tcBorders>
            <w:vAlign w:val="center"/>
          </w:tcPr>
          <w:p>
            <w:pPr>
              <w:keepNext w:val="0"/>
              <w:keepLines w:val="0"/>
              <w:suppressLineNumbers w:val="0"/>
              <w:tabs>
                <w:tab w:val="left" w:pos="3150"/>
              </w:tabs>
              <w:spacing w:before="0" w:beforeAutospacing="0" w:after="0" w:afterAutospacing="0"/>
              <w:ind w:left="0" w:right="0"/>
              <w:jc w:val="center"/>
              <w:rPr>
                <w:rFonts w:ascii="Times New Roman" w:eastAsia="宋体" w:cs="Times New Roman" w:hAnsi="Times New Roman" w:hint="eastAsia"/>
                <w:caps w:val="0"/>
                <w:smallCaps w:val="0"/>
                <w:color w:val="auto"/>
                <w:spacing w:val="0"/>
                <w:sz w:val="24"/>
                <w:szCs w:val="24"/>
                <w:lang w:eastAsia="zh-CN"/>
                <w:highlight w:val="none"/>
              </w:rPr>
            </w:pPr>
            <w:r>
              <w:rPr>
                <w:rFonts w:ascii="Times New Roman" w:cs="Times New Roman" w:hAnsi="Times New Roman"/>
                <w:caps w:val="0"/>
                <w:smallCaps w:val="0"/>
                <w:color w:val="auto"/>
                <w:spacing w:val="0"/>
                <w:sz w:val="24"/>
                <w:szCs w:val="24"/>
                <w:lang w:eastAsia="zh-CN"/>
                <w:highlight w:val="none"/>
              </w:rPr>
              <w:t>东经114°30′49.861″，北纬37°54′26.679″</w:t>
            </w:r>
          </w:p>
        </w:tc>
      </w:tr>
      <w:tr>
        <w:trPr>
          <w:trHeight w:val="561"/>
        </w:trPr>
        <w:tc>
          <w:tcPr>
            <w:tcW w:w="827" w:type="pct"/>
            <w:tcMar>
              <w:top w:w="16" w:type="dxa"/>
              <w:left w:w="16" w:type="dxa"/>
              <w:right w:w="16"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国民经济行业类别</w:t>
            </w:r>
          </w:p>
        </w:tc>
        <w:tc>
          <w:tcPr>
            <w:tcW w:w="967" w:type="pct"/>
            <w:tcBorders>
              <w:left w:val="single" w:sz="4" w:space="0" w:color="auto"/>
            </w:tcBorders>
            <w:vAlign w:val="center"/>
          </w:tcPr>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Chars="0" w:firstLine="0"/>
              <w:jc w:val="center"/>
              <w:textAlignment w:val="auto"/>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eastAsia="zh-CN"/>
                <w:highlight w:val="none"/>
              </w:rPr>
              <w:t>C2929塑料零件及其他塑料制品制造、</w:t>
            </w:r>
            <w:r>
              <w:rPr>
                <w:rFonts w:ascii="Times New Roman" w:cs="Times New Roman" w:hAnsi="Times New Roman" w:hint="eastAsia"/>
                <w:caps w:val="0"/>
                <w:smallCaps w:val="0"/>
                <w:color w:val="auto"/>
                <w:spacing w:val="0"/>
                <w:sz w:val="24"/>
                <w:szCs w:val="20"/>
                <w:lang w:val="en-US" w:eastAsia="zh-CN"/>
                <w:highlight w:val="none"/>
              </w:rPr>
              <w:t>C3311金属结构制造</w:t>
            </w:r>
          </w:p>
        </w:tc>
        <w:tc>
          <w:tcPr>
            <w:tcW w:w="11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sz w:val="24"/>
                <w:szCs w:val="24"/>
                <w:lang w:val="en-US" w:eastAsia="zh-CN"/>
                <w:highlight w:val="none"/>
              </w:rPr>
            </w:pPr>
            <w:bookmarkStart w:id="5" w:name="_Hlk49843745"/>
            <w:r>
              <w:rPr>
                <w:rFonts w:ascii="Times New Roman" w:cs="Times New Roman" w:hAnsi="Times New Roman"/>
                <w:caps w:val="0"/>
                <w:smallCaps w:val="0"/>
                <w:color w:val="auto"/>
                <w:spacing w:val="0"/>
                <w:sz w:val="24"/>
                <w:szCs w:val="24"/>
                <w:highlight w:val="none"/>
              </w:rPr>
              <w:t>建设项目</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行业类别</w:t>
            </w:r>
            <w:bookmarkEnd w:id="5"/>
          </w:p>
        </w:tc>
        <w:tc>
          <w:tcPr>
            <w:tcW w:w="2061" w:type="pct"/>
            <w:tcBorders>
              <w:left w:val="single" w:sz="4" w:space="0" w:color="auto"/>
            </w:tcBorders>
            <w:vAlign w:val="center"/>
          </w:tcPr>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Chars="0" w:firstLine="0"/>
              <w:jc w:val="center"/>
              <w:textAlignment w:val="auto"/>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二十六、橡胶和塑料制品业29-53、塑料制品业292-其他（年用非溶剂型低VOCs含量涂料10吨以下的除外）；三十、金属制品业33-66、结构性金属制品制造331-其他（仅分割、焊接、组装的除外；年用非溶剂型低VOCs含量涂料10吨以下的除外）</w:t>
            </w:r>
          </w:p>
        </w:tc>
      </w:tr>
      <w:tr>
        <w:trPr>
          <w:trHeight w:val="1219"/>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建设性质</w:t>
            </w:r>
          </w:p>
        </w:tc>
        <w:tc>
          <w:tcPr>
            <w:tcW w:w="967" w:type="pct"/>
            <w:tcBorders>
              <w:left w:val="single" w:sz="4" w:space="0" w:color="auto"/>
            </w:tcBorders>
            <w:vAlign w:val="center"/>
          </w:tcPr>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□新建（迁建）</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hint="eastAsia"/>
                <w:caps w:val="0"/>
                <w:smallCaps w:val="0"/>
                <w:color w:val="auto"/>
                <w:spacing w:val="0"/>
                <w:sz w:val="24"/>
                <w:szCs w:val="24"/>
                <w:lang w:eastAsia="zh-CN"/>
                <w:highlight w:val="none"/>
              </w:rPr>
              <w:t>☑</w:t>
            </w:r>
            <w:r>
              <w:rPr>
                <w:rFonts w:ascii="Times New Roman" w:cs="Times New Roman" w:hAnsi="Times New Roman"/>
                <w:caps w:val="0"/>
                <w:smallCaps w:val="0"/>
                <w:color w:val="auto"/>
                <w:spacing w:val="0"/>
                <w:sz w:val="24"/>
                <w:szCs w:val="24"/>
                <w:highlight w:val="none"/>
              </w:rPr>
              <w:t>改建</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□扩建</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□技术改造</w:t>
            </w:r>
          </w:p>
        </w:tc>
        <w:tc>
          <w:tcPr>
            <w:tcW w:w="11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建设项目</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申报情形</w:t>
            </w:r>
          </w:p>
        </w:tc>
        <w:tc>
          <w:tcPr>
            <w:tcW w:w="2061" w:type="pct"/>
            <w:tcBorders>
              <w:left w:val="single" w:sz="4" w:space="0" w:color="auto"/>
            </w:tcBorders>
            <w:vAlign w:val="center"/>
          </w:tcPr>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 xml:space="preserve">☑首次申报项目             </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□不予批准后再次申报项目</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 xml:space="preserve">□超五年重新审核项目     </w:t>
            </w:r>
          </w:p>
          <w:p>
            <w:pPr>
              <w:keepNext w:val="0"/>
              <w:keepLines w:val="0"/>
              <w:suppressLineNumbers w:val="0"/>
              <w:spacing w:before="0" w:beforeAutospacing="0" w:after="0" w:afterAutospacing="0"/>
              <w:ind w:left="0" w:right="0"/>
              <w:jc w:val="left"/>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□重大变动重新报批项目</w:t>
            </w:r>
          </w:p>
        </w:tc>
      </w:tr>
      <w:tr>
        <w:trPr>
          <w:trHeight w:val="851"/>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项目审批（核准/备案）部门（选填）</w:t>
            </w:r>
          </w:p>
        </w:tc>
        <w:tc>
          <w:tcPr>
            <w:tcW w:w="967"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sz w:val="24"/>
                <w:szCs w:val="24"/>
                <w:lang w:eastAsia="zh-CN"/>
                <w:highlight w:val="none"/>
              </w:rPr>
            </w:pPr>
            <w:r>
              <w:rPr>
                <w:rFonts w:ascii="Times New Roman" w:cs="Times New Roman" w:hAnsi="Times New Roman" w:hint="eastAsia"/>
                <w:caps w:val="0"/>
                <w:smallCaps w:val="0"/>
                <w:color w:val="auto"/>
                <w:spacing w:val="0"/>
                <w:sz w:val="24"/>
                <w:szCs w:val="24"/>
                <w:lang w:eastAsia="zh-CN"/>
                <w:highlight w:val="none"/>
              </w:rPr>
              <w:t>河北石家庄装备制造产业园管理委员会</w:t>
            </w:r>
          </w:p>
        </w:tc>
        <w:tc>
          <w:tcPr>
            <w:tcW w:w="11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项目审批（核准/</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备案）文号（选填）</w:t>
            </w:r>
          </w:p>
        </w:tc>
        <w:tc>
          <w:tcPr>
            <w:tcW w:w="2061"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sz w:val="24"/>
                <w:szCs w:val="24"/>
                <w:lang w:eastAsia="zh-CN"/>
                <w:highlight w:val="none"/>
              </w:rPr>
            </w:pPr>
            <w:r>
              <w:rPr>
                <w:rFonts w:ascii="Times New Roman" w:cs="Times New Roman" w:hAnsi="Times New Roman" w:hint="eastAsia"/>
                <w:caps w:val="0"/>
                <w:smallCaps w:val="0"/>
                <w:color w:val="auto"/>
                <w:spacing w:val="0"/>
                <w:sz w:val="24"/>
                <w:szCs w:val="24"/>
                <w:lang w:eastAsia="zh-CN"/>
                <w:highlight w:val="none"/>
              </w:rPr>
              <w:t>装管委投资备字〔2025〕5号</w:t>
            </w:r>
          </w:p>
        </w:tc>
      </w:tr>
      <w:tr>
        <w:trPr>
          <w:trHeight w:val="142"/>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总投资（万元）</w:t>
            </w:r>
          </w:p>
        </w:tc>
        <w:tc>
          <w:tcPr>
            <w:tcW w:w="967" w:type="pct"/>
            <w:tcBorders>
              <w:left w:val="single" w:sz="4" w:space="0" w:color="auto"/>
            </w:tcBorders>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50</w:t>
            </w:r>
          </w:p>
        </w:tc>
        <w:tc>
          <w:tcPr>
            <w:tcW w:w="1143" w:type="pct"/>
            <w:tcBorders>
              <w:left w:val="single" w:sz="4" w:space="0" w:color="auto"/>
            </w:tcBorders>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环保投资（万元）</w:t>
            </w:r>
          </w:p>
        </w:tc>
        <w:tc>
          <w:tcPr>
            <w:tcW w:w="2061" w:type="pct"/>
            <w:tcBorders>
              <w:left w:val="single" w:sz="4" w:space="0" w:color="auto"/>
            </w:tcBorders>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5</w:t>
            </w:r>
          </w:p>
        </w:tc>
      </w:tr>
      <w:tr>
        <w:trPr>
          <w:trHeight w:val="234"/>
        </w:trPr>
        <w:tc>
          <w:tcPr>
            <w:tcW w:w="827" w:type="pct"/>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环保投资占比（%）</w:t>
            </w:r>
          </w:p>
        </w:tc>
        <w:tc>
          <w:tcPr>
            <w:tcW w:w="967" w:type="pct"/>
            <w:tcBorders>
              <w:left w:val="single" w:sz="4" w:space="0" w:color="auto"/>
            </w:tcBorders>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10</w:t>
            </w:r>
          </w:p>
        </w:tc>
        <w:tc>
          <w:tcPr>
            <w:tcW w:w="1143" w:type="pct"/>
            <w:tcBorders>
              <w:left w:val="single" w:sz="4" w:space="0" w:color="auto"/>
            </w:tcBorders>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施工工期</w:t>
            </w:r>
          </w:p>
        </w:tc>
        <w:tc>
          <w:tcPr>
            <w:tcW w:w="2061" w:type="pct"/>
            <w:tcBorders>
              <w:left w:val="single" w:sz="4" w:space="0" w:color="auto"/>
            </w:tcBorders>
            <w:vAlign w:val="center"/>
          </w:tcPr>
          <w:p>
            <w:pPr>
              <w:pStyle w:val="137"/>
              <w:keepNext w:val="0"/>
              <w:keepLines w:val="0"/>
              <w:suppressLineNumbers w:val="0"/>
              <w:spacing w:before="0" w:beforeAutospacing="0" w:after="0" w:afterAutospacing="0"/>
              <w:ind w:left="0" w:right="0" w:firstLineChars="0" w:firstLine="0"/>
              <w:jc w:val="center"/>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2</w:t>
            </w:r>
            <w:r>
              <w:rPr>
                <w:rFonts w:ascii="Times New Roman" w:cs="Times New Roman" w:hAnsi="Times New Roman"/>
                <w:caps w:val="0"/>
                <w:smallCaps w:val="0"/>
                <w:color w:val="auto"/>
                <w:spacing w:val="0"/>
                <w:sz w:val="24"/>
                <w:szCs w:val="20"/>
                <w:highlight w:val="none"/>
              </w:rPr>
              <w:t>个月</w:t>
            </w:r>
          </w:p>
        </w:tc>
      </w:tr>
      <w:tr>
        <w:trPr>
          <w:trHeight w:val="497"/>
        </w:trPr>
        <w:tc>
          <w:tcPr>
            <w:tcW w:w="827" w:type="pct"/>
            <w:shd w:val="clear" w:color="auto" w:fill="auto"/>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是否开工建设</w:t>
            </w:r>
          </w:p>
        </w:tc>
        <w:tc>
          <w:tcPr>
            <w:tcW w:w="96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☑否</w:t>
            </w:r>
          </w:p>
          <w:p>
            <w:pPr>
              <w:keepNext w:val="0"/>
              <w:keepLines w:val="0"/>
              <w:suppressLineNumbers w:val="0"/>
              <w:adjustRightInd w:val="0"/>
              <w:snapToGrid w:val="0"/>
              <w:spacing w:before="0" w:beforeAutospacing="0" w:after="0" w:afterAutospacing="0"/>
              <w:ind w:left="0" w:right="0"/>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□是</w:t>
            </w:r>
          </w:p>
        </w:tc>
        <w:tc>
          <w:tcPr>
            <w:tcW w:w="1143" w:type="pct"/>
            <w:tcBorders>
              <w:left w:val="single" w:sz="4" w:space="0" w:color="auto"/>
            </w:tcBorders>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用地（用海）</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4"/>
                <w:szCs w:val="24"/>
                <w:highlight w:val="none"/>
              </w:rPr>
            </w:pPr>
            <w:r>
              <w:rPr>
                <w:rFonts w:ascii="Times New Roman" w:cs="Times New Roman" w:hAnsi="Times New Roman"/>
                <w:caps w:val="0"/>
                <w:smallCaps w:val="0"/>
                <w:color w:val="auto"/>
                <w:spacing w:val="0"/>
                <w:sz w:val="24"/>
                <w:szCs w:val="24"/>
                <w:highlight w:val="none"/>
              </w:rPr>
              <w:t>面积（m</w:t>
            </w:r>
            <w:r>
              <w:rPr>
                <w:rFonts w:ascii="Times New Roman" w:cs="Times New Roman" w:hAnsi="Times New Roman"/>
                <w:caps w:val="0"/>
                <w:smallCaps w:val="0"/>
                <w:color w:val="auto"/>
                <w:spacing w:val="0"/>
                <w:sz w:val="24"/>
                <w:szCs w:val="24"/>
                <w:vertAlign w:val="superscript"/>
                <w:highlight w:val="none"/>
              </w:rPr>
              <w:t>2</w:t>
            </w:r>
            <w:r>
              <w:rPr>
                <w:rFonts w:ascii="Times New Roman" w:cs="Times New Roman" w:hAnsi="Times New Roman"/>
                <w:caps w:val="0"/>
                <w:smallCaps w:val="0"/>
                <w:color w:val="auto"/>
                <w:spacing w:val="0"/>
                <w:sz w:val="24"/>
                <w:szCs w:val="24"/>
                <w:highlight w:val="none"/>
              </w:rPr>
              <w:t>）</w:t>
            </w:r>
          </w:p>
        </w:tc>
        <w:tc>
          <w:tcPr>
            <w:tcW w:w="2061" w:type="pct"/>
            <w:tcBorders>
              <w:left w:val="single" w:sz="4" w:space="0" w:color="auto"/>
            </w:tcBorders>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880</w:t>
            </w:r>
          </w:p>
        </w:tc>
      </w:tr>
      <w:tr>
        <w:trPr>
          <w:trHeight w:val="425"/>
        </w:trPr>
        <w:tc>
          <w:tcPr>
            <w:tcW w:w="827" w:type="pct"/>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专项评价设置情况</w:t>
            </w:r>
          </w:p>
        </w:tc>
        <w:tc>
          <w:tcPr>
            <w:tcW w:w="4172" w:type="pct"/>
            <w:gridSpan w:val="3"/>
            <w:tcBorders>
              <w:left w:val="single" w:sz="4" w:space="0" w:color="auto"/>
            </w:tcBorders>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无</w:t>
            </w:r>
          </w:p>
        </w:tc>
      </w:tr>
      <w:tr>
        <w:trPr>
          <w:trHeight w:val="736"/>
        </w:trPr>
        <w:tc>
          <w:tcPr>
            <w:tcW w:w="827" w:type="pct"/>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规划情况</w:t>
            </w:r>
          </w:p>
        </w:tc>
        <w:tc>
          <w:tcPr>
            <w:tcW w:w="4172" w:type="pct"/>
            <w:gridSpan w:val="3"/>
            <w:tcBorders>
              <w:left w:val="single" w:sz="4" w:space="0" w:color="auto"/>
            </w:tcBorders>
            <w:shd w:val="clear" w:color="auto" w:fill="auto"/>
            <w:tcMar>
              <w:left w:w="108" w:type="dxa"/>
            </w:tcMar>
            <w:vAlign w:val="center"/>
          </w:tcPr>
          <w:p>
            <w:pPr>
              <w:pStyle w:val="178"/>
              <w:keepNext w:val="0"/>
              <w:keepLines w:val="0"/>
              <w:suppressLineNumbers w:val="0"/>
              <w:spacing w:before="0" w:beforeAutospacing="0" w:after="0" w:afterAutospacing="0"/>
              <w:ind w:left="0" w:right="0" w:firstLineChars="200" w:firstLine="480"/>
              <w:rPr>
                <w:rFonts w:ascii="Times New Roman" w:eastAsia="宋体" w:cs="Times New Roman" w:hAnsi="Times New Roman"/>
                <w:color w:val="auto"/>
                <w:kern w:val="0"/>
                <w:sz w:val="24"/>
                <w:szCs w:val="20"/>
                <w:lang w:val="en-US" w:eastAsia="zh-CN" w:bidi="ar-SA"/>
                <w:highlight w:val="none"/>
              </w:rPr>
            </w:pPr>
            <w:r>
              <w:rPr>
                <w:rFonts w:ascii="Times New Roman" w:cs="Times New Roman" w:hAnsi="Times New Roman"/>
                <w:color w:val="auto"/>
                <w:sz w:val="24"/>
                <w:szCs w:val="20"/>
                <w:highlight w:val="none"/>
              </w:rPr>
              <w:t>产业园区规划名称：河北石家庄装备制造产业园总体规划（2022-2030）</w:t>
            </w:r>
          </w:p>
        </w:tc>
      </w:tr>
      <w:tr>
        <w:trPr>
          <w:trHeight w:val="425"/>
        </w:trPr>
        <w:tc>
          <w:tcPr>
            <w:tcW w:w="827" w:type="pct"/>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规划环境影响评价情况</w:t>
            </w:r>
          </w:p>
        </w:tc>
        <w:tc>
          <w:tcPr>
            <w:tcW w:w="4172" w:type="pct"/>
            <w:gridSpan w:val="3"/>
            <w:tcBorders>
              <w:left w:val="single" w:sz="4" w:space="0" w:color="auto"/>
            </w:tcBorders>
            <w:shd w:val="clear" w:color="auto" w:fill="auto"/>
            <w:tcMar>
              <w:left w:w="108" w:type="dxa"/>
            </w:tcMar>
            <w:vAlign w:val="center"/>
          </w:tcPr>
          <w:p>
            <w:pPr>
              <w:pStyle w:val="178"/>
              <w:keepNext w:val="0"/>
              <w:keepLines w:val="0"/>
              <w:suppressLineNumbers w:val="0"/>
              <w:spacing w:before="0" w:beforeAutospacing="0" w:after="0" w:afterAutospacing="0"/>
              <w:ind w:left="0" w:right="0"/>
              <w:rPr>
                <w:rFonts w:ascii="Times New Roman" w:cs="Times New Roman" w:hAnsi="Times New Roman"/>
                <w:color w:val="auto"/>
                <w:highlight w:val="none"/>
              </w:rPr>
            </w:pPr>
            <w:r>
              <w:rPr>
                <w:rFonts w:ascii="Times New Roman" w:cs="Times New Roman" w:hAnsi="Times New Roman"/>
                <w:color w:val="auto"/>
                <w:sz w:val="24"/>
                <w:szCs w:val="20"/>
                <w:highlight w:val="none"/>
              </w:rPr>
              <w:t>规划环境影响评价文件名称：《</w:t>
            </w:r>
            <w:r>
              <w:rPr>
                <w:rFonts w:ascii="Times New Roman" w:cs="Times New Roman" w:hAnsi="Times New Roman" w:hint="eastAsia"/>
                <w:color w:val="auto"/>
                <w:sz w:val="24"/>
                <w:szCs w:val="20"/>
                <w:lang w:eastAsia="zh-CN"/>
                <w:highlight w:val="none"/>
              </w:rPr>
              <w:t>河北石家庄装备制造产业园总体规划（2022-2030年）环境影响评价报告书</w:t>
            </w:r>
            <w:r>
              <w:rPr>
                <w:rFonts w:ascii="Times New Roman" w:cs="Times New Roman" w:hAnsi="Times New Roman"/>
                <w:color w:val="auto"/>
                <w:sz w:val="24"/>
                <w:szCs w:val="20"/>
                <w:highlight w:val="none"/>
              </w:rPr>
              <w:t>》；</w:t>
            </w:r>
          </w:p>
          <w:p>
            <w:pPr>
              <w:pStyle w:val="178"/>
              <w:keepNext w:val="0"/>
              <w:keepLines w:val="0"/>
              <w:suppressLineNumbers w:val="0"/>
              <w:spacing w:before="0" w:beforeAutospacing="0" w:after="0" w:afterAutospacing="0"/>
              <w:ind w:left="0" w:right="0"/>
              <w:rPr>
                <w:rFonts w:ascii="Times New Roman" w:cs="Times New Roman" w:hAnsi="Times New Roman"/>
                <w:color w:val="auto"/>
                <w:highlight w:val="none"/>
              </w:rPr>
            </w:pPr>
            <w:r>
              <w:rPr>
                <w:rFonts w:ascii="Times New Roman" w:cs="Times New Roman" w:hAnsi="Times New Roman"/>
                <w:color w:val="auto"/>
                <w:sz w:val="24"/>
                <w:szCs w:val="20"/>
                <w:highlight w:val="none"/>
              </w:rPr>
              <w:t>审查机关：</w:t>
            </w:r>
            <w:r>
              <w:rPr>
                <w:rFonts w:ascii="Times New Roman" w:cs="Times New Roman" w:hAnsi="Times New Roman" w:hint="eastAsia"/>
                <w:color w:val="auto"/>
                <w:sz w:val="24"/>
                <w:szCs w:val="20"/>
                <w:lang w:eastAsia="zh-CN"/>
                <w:highlight w:val="none"/>
              </w:rPr>
              <w:t>河北省生态环境厅</w:t>
            </w:r>
            <w:r>
              <w:rPr>
                <w:rFonts w:ascii="Times New Roman" w:cs="Times New Roman" w:hAnsi="Times New Roman"/>
                <w:color w:val="auto"/>
                <w:sz w:val="24"/>
                <w:szCs w:val="20"/>
                <w:highlight w:val="none"/>
              </w:rPr>
              <w:t>；</w:t>
            </w:r>
          </w:p>
          <w:p>
            <w:pPr>
              <w:pStyle w:val="178"/>
              <w:keepNext w:val="0"/>
              <w:keepLines w:val="0"/>
              <w:suppressLineNumbers w:val="0"/>
              <w:spacing w:before="0" w:beforeAutospacing="0" w:after="0" w:afterAutospacing="0"/>
              <w:ind w:left="0" w:right="0"/>
              <w:rPr>
                <w:rFonts w:ascii="Times New Roman" w:eastAsia="宋体" w:cs="Times New Roman" w:hAnsi="Times New Roman" w:hint="eastAsia"/>
                <w:color w:val="auto"/>
                <w:kern w:val="0"/>
                <w:sz w:val="24"/>
                <w:szCs w:val="20"/>
                <w:lang w:val="en-US" w:eastAsia="zh-CN" w:bidi="ar-SA"/>
                <w:highlight w:val="none"/>
              </w:rPr>
            </w:pPr>
            <w:r>
              <w:rPr>
                <w:rFonts w:ascii="Times New Roman" w:cs="Times New Roman" w:hAnsi="Times New Roman"/>
                <w:color w:val="auto"/>
                <w:sz w:val="24"/>
                <w:szCs w:val="20"/>
                <w:highlight w:val="none"/>
              </w:rPr>
              <w:t>审查文件名称及文号：《</w:t>
            </w:r>
            <w:r>
              <w:rPr>
                <w:rFonts w:ascii="Times New Roman" w:cs="Times New Roman" w:hAnsi="Times New Roman" w:hint="eastAsia"/>
                <w:color w:val="auto"/>
                <w:sz w:val="24"/>
                <w:szCs w:val="20"/>
                <w:lang w:val="en-US" w:eastAsia="zh-CN"/>
                <w:highlight w:val="none"/>
              </w:rPr>
              <w:t>河北省生态环境厅&lt;</w:t>
            </w:r>
            <w:r>
              <w:rPr>
                <w:rFonts w:ascii="Times New Roman" w:cs="Times New Roman" w:hAnsi="Times New Roman" w:hint="eastAsia"/>
                <w:color w:val="auto"/>
                <w:sz w:val="24"/>
                <w:szCs w:val="20"/>
                <w:lang w:eastAsia="zh-CN"/>
                <w:highlight w:val="none"/>
              </w:rPr>
              <w:t>关于河北石家庄装备制造产业园总体规划（2022-2030年）环境影响评价报告书</w:t>
            </w:r>
            <w:r>
              <w:rPr>
                <w:rFonts w:ascii="Times New Roman" w:cs="Times New Roman" w:hAnsi="Times New Roman" w:hint="eastAsia"/>
                <w:color w:val="auto"/>
                <w:sz w:val="24"/>
                <w:szCs w:val="20"/>
                <w:lang w:val="en-US" w:eastAsia="zh-CN"/>
                <w:highlight w:val="none"/>
              </w:rPr>
              <w:t>&gt;</w:t>
            </w:r>
            <w:r>
              <w:rPr>
                <w:rFonts w:ascii="Times New Roman" w:cs="Times New Roman" w:hAnsi="Times New Roman" w:hint="eastAsia"/>
                <w:color w:val="auto"/>
                <w:sz w:val="24"/>
                <w:szCs w:val="20"/>
                <w:lang w:eastAsia="zh-CN"/>
                <w:highlight w:val="none"/>
              </w:rPr>
              <w:t>的审查意见</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eastAsia="zh-CN"/>
                <w:highlight w:val="none"/>
              </w:rPr>
              <w:t>冀环环评函〔2025〕1839号</w:t>
            </w:r>
            <w:r>
              <w:rPr>
                <w:rFonts w:ascii="Times New Roman" w:cs="Times New Roman" w:hAnsi="Times New Roman"/>
                <w:color w:val="auto"/>
                <w:sz w:val="24"/>
                <w:szCs w:val="20"/>
                <w:highlight w:val="none"/>
              </w:rPr>
              <w:t>）。</w:t>
            </w:r>
          </w:p>
        </w:tc>
      </w:tr>
      <w:tr>
        <w:trPr>
          <w:trHeight w:val="1515"/>
        </w:trPr>
        <w:tc>
          <w:tcPr>
            <w:tcW w:w="827" w:type="pct"/>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规划及规划环境影响评价符合性分析</w:t>
            </w:r>
          </w:p>
        </w:tc>
        <w:tc>
          <w:tcPr>
            <w:tcW w:w="4172" w:type="pct"/>
            <w:gridSpan w:val="3"/>
            <w:tcBorders>
              <w:left w:val="single" w:sz="4" w:space="0" w:color="auto"/>
            </w:tcBorders>
            <w:shd w:val="clear" w:color="auto" w:fill="auto"/>
            <w:tcMar>
              <w:left w:w="108" w:type="dxa"/>
            </w:tcMar>
            <w:vAlign w:val="center"/>
          </w:tcPr>
          <w:p>
            <w:pPr>
              <w:pStyle w:val="178"/>
              <w:keepNext w:val="0"/>
              <w:keepLines w:val="0"/>
              <w:suppressLineNumbers w:val="0"/>
              <w:spacing w:before="0" w:beforeAutospacing="0" w:after="0" w:afterAutospacing="0"/>
              <w:ind w:left="0" w:right="0"/>
              <w:rPr>
                <w:rFonts w:ascii="Times New Roman" w:eastAsia="宋体" w:cs="Times New Roman" w:hAnsi="Times New Roman"/>
                <w:color w:val="auto"/>
                <w:lang w:val="en-US" w:eastAsia="zh-CN"/>
                <w:highlight w:val="none"/>
              </w:rPr>
            </w:pPr>
            <w:r>
              <w:rPr>
                <w:rFonts w:ascii="Times New Roman" w:cs="Times New Roman" w:hAnsi="Times New Roman"/>
                <w:b/>
                <w:bCs/>
                <w:color w:val="auto"/>
                <w:sz w:val="24"/>
                <w:szCs w:val="20"/>
                <w:highlight w:val="none"/>
              </w:rPr>
              <w:t>1、规划</w:t>
            </w:r>
            <w:r>
              <w:rPr>
                <w:rFonts w:ascii="Times New Roman" w:cs="Times New Roman" w:hAnsi="Times New Roman" w:hint="eastAsia"/>
                <w:b/>
                <w:bCs/>
                <w:color w:val="auto"/>
                <w:sz w:val="24"/>
                <w:szCs w:val="20"/>
                <w:lang w:val="en-US" w:eastAsia="zh-CN"/>
                <w:highlight w:val="none"/>
              </w:rPr>
              <w:t>符合性分析</w:t>
            </w:r>
          </w:p>
          <w:p>
            <w:pPr>
              <w:pStyle w:val="178"/>
              <w:keepNext w:val="0"/>
              <w:keepLines w:val="0"/>
              <w:suppressLineNumbers w:val="0"/>
              <w:spacing w:before="0" w:beforeAutospacing="0" w:after="0" w:afterAutospacing="0"/>
              <w:ind w:left="0" w:right="0"/>
              <w:rPr>
                <w:rFonts w:cs="Times New Roman" w:hint="eastAsia"/>
                <w:color w:val="auto"/>
                <w:lang w:eastAsia="zh-CN"/>
                <w:highlight w:val="none"/>
              </w:rPr>
            </w:pPr>
            <w:r>
              <w:rPr>
                <w:rFonts w:ascii="Times New Roman" w:cs="Times New Roman" w:hAnsi="Times New Roman"/>
                <w:color w:val="auto"/>
                <w:sz w:val="24"/>
                <w:szCs w:val="20"/>
                <w:highlight w:val="none"/>
              </w:rPr>
              <w:t>依据《</w:t>
            </w:r>
            <w:r>
              <w:rPr>
                <w:rFonts w:ascii="Times New Roman" w:cs="Times New Roman" w:hAnsi="Times New Roman" w:hint="eastAsia"/>
                <w:color w:val="auto"/>
                <w:sz w:val="24"/>
                <w:szCs w:val="20"/>
                <w:lang w:eastAsia="zh-CN"/>
                <w:highlight w:val="none"/>
              </w:rPr>
              <w:t>河北石家庄装备制造产业园总体规划（2022-2030年）环境影响评价报告书</w:t>
            </w:r>
            <w:r>
              <w:rPr>
                <w:rFonts w:ascii="Times New Roman" w:cs="Times New Roman" w:hAnsi="Times New Roman"/>
                <w:color w:val="auto"/>
                <w:sz w:val="24"/>
                <w:szCs w:val="20"/>
                <w:highlight w:val="none"/>
              </w:rPr>
              <w:t>》内容，规划期限为规划期限：2022-2030年，其中，近期：2022-2025年，远期：2026-2030年。基准年为2022年</w:t>
            </w:r>
            <w:r>
              <w:rPr>
                <w:rFonts w:ascii="Times New Roman" w:cs="Times New Roman" w:hAnsi="Times New Roman" w:hint="eastAsia"/>
                <w:color w:val="auto"/>
                <w:sz w:val="24"/>
                <w:szCs w:val="20"/>
                <w:lang w:eastAsia="zh-CN"/>
                <w:highlight w:val="none"/>
              </w:rPr>
              <w:t>。</w:t>
            </w:r>
          </w:p>
          <w:p>
            <w:pPr>
              <w:pStyle w:val="178"/>
              <w:keepNext w:val="0"/>
              <w:keepLines w:val="0"/>
              <w:suppressLineNumbers w:val="0"/>
              <w:spacing w:before="0" w:beforeAutospacing="0" w:after="0" w:afterAutospacing="0"/>
              <w:ind w:left="0" w:right="0"/>
              <w:rPr>
                <w:rFonts w:ascii="Times New Roman" w:cs="Times New Roman" w:hAnsi="Times New Roman"/>
                <w:color w:val="auto"/>
                <w:highlight w:val="none"/>
              </w:rPr>
            </w:pP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1</w:t>
            </w:r>
            <w:r>
              <w:rPr>
                <w:rFonts w:ascii="Times New Roman" w:cs="Times New Roman" w:hAnsi="Times New Roman" w:hint="eastAsia"/>
                <w:color w:val="auto"/>
                <w:sz w:val="24"/>
                <w:szCs w:val="20"/>
                <w:lang w:eastAsia="zh-CN"/>
                <w:highlight w:val="none"/>
              </w:rPr>
              <w:t>）</w:t>
            </w:r>
            <w:r>
              <w:rPr>
                <w:rFonts w:ascii="Times New Roman" w:cs="Times New Roman" w:hAnsi="Times New Roman"/>
                <w:color w:val="auto"/>
                <w:sz w:val="24"/>
                <w:szCs w:val="20"/>
                <w:highlight w:val="none"/>
              </w:rPr>
              <w:t>规划定位、规划范围、规划用地布局、产业发展概述如下：</w:t>
            </w:r>
          </w:p>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hint="eastAsia"/>
                <w:b/>
                <w:bCs/>
                <w:color w:val="auto"/>
                <w:lang w:val="en-US" w:eastAsia="zh-CN"/>
                <w:highlight w:val="none"/>
              </w:rPr>
            </w:pPr>
            <w:r>
              <w:rPr>
                <w:rFonts w:ascii="Times New Roman" w:cs="Times New Roman" w:hAnsi="Times New Roman" w:hint="eastAsia"/>
                <w:b/>
                <w:bCs/>
                <w:color w:val="auto"/>
                <w:sz w:val="24"/>
                <w:szCs w:val="20"/>
                <w:lang w:val="en-US" w:eastAsia="zh-CN"/>
                <w:highlight w:val="none"/>
              </w:rPr>
              <w:t>表1-1  规划符合性分析一览表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011"/>
              <w:gridCol w:w="3190"/>
              <w:gridCol w:w="2257"/>
              <w:gridCol w:w="1178"/>
            </w:tblGrid>
            <w:tr>
              <w:trPr>
                <w:trHeight w:val="397"/>
              </w:trPr>
              <w:tc>
                <w:tcPr>
                  <w:tcW w:w="2819" w:type="pct"/>
                  <w:gridSpan w:val="2"/>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规划内容</w:t>
                  </w:r>
                </w:p>
              </w:tc>
              <w:tc>
                <w:tcPr>
                  <w:tcW w:w="1539" w:type="pct"/>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项目情况</w:t>
                  </w:r>
                </w:p>
              </w:tc>
              <w:tc>
                <w:tcPr>
                  <w:tcW w:w="641" w:type="pct"/>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符合性</w:t>
                  </w:r>
                </w:p>
              </w:tc>
            </w:tr>
            <w:tr>
              <w:trPr>
                <w:trHeight w:val="397"/>
              </w:trPr>
              <w:tc>
                <w:tcPr>
                  <w:tcW w:w="2819" w:type="pct"/>
                  <w:gridSpan w:val="2"/>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color w:val="auto"/>
                      <w:sz w:val="21"/>
                      <w:szCs w:val="21"/>
                      <w:lang w:val="en-US" w:eastAsia="zh-CN"/>
                      <w:highlight w:val="none"/>
                    </w:rPr>
                  </w:pPr>
                  <w:r>
                    <w:rPr>
                      <w:rFonts w:ascii="Times New Roman" w:cs="Times New Roman" w:hAnsi="Times New Roman"/>
                      <w:b/>
                      <w:bCs/>
                      <w:color w:val="auto"/>
                      <w:sz w:val="21"/>
                      <w:szCs w:val="21"/>
                      <w:highlight w:val="none"/>
                    </w:rPr>
                    <w:t>规划范围</w:t>
                  </w:r>
                  <w:r>
                    <w:rPr>
                      <w:rFonts w:ascii="Times New Roman" w:cs="Times New Roman" w:hAnsi="Times New Roman" w:hint="eastAsia"/>
                      <w:b/>
                      <w:bCs/>
                      <w:color w:val="auto"/>
                      <w:sz w:val="21"/>
                      <w:szCs w:val="21"/>
                      <w:lang w:eastAsia="zh-CN"/>
                      <w:highlight w:val="none"/>
                    </w:rPr>
                    <w:t>：</w:t>
                  </w:r>
                  <w:r>
                    <w:rPr>
                      <w:rFonts w:ascii="Times New Roman" w:cs="Times New Roman" w:hAnsi="Times New Roman"/>
                      <w:color w:val="auto"/>
                      <w:sz w:val="21"/>
                      <w:szCs w:val="21"/>
                      <w:highlight w:val="none"/>
                    </w:rPr>
                    <w:t>河北石家庄装备制造产业园规划总用地面积43.72平方公里，其中栾城境内40.33平方公里、元氏境内3.39平方公里，规划范围北至南三环、西至107国道、南至规划337省道、东至石栾大街。规划范围内包含城镇开发边界36.10平方公里。</w:t>
                  </w:r>
                </w:p>
              </w:tc>
              <w:tc>
                <w:tcPr>
                  <w:tcW w:w="1539"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b/>
                      <w:bCs/>
                      <w:color w:val="auto"/>
                      <w:sz w:val="21"/>
                      <w:szCs w:val="21"/>
                      <w:vertAlign w:val="baseline"/>
                      <w:lang w:val="en-US" w:eastAsia="zh-CN"/>
                      <w:highlight w:val="none"/>
                    </w:rPr>
                  </w:pPr>
                  <w:r>
                    <w:rPr>
                      <w:rFonts w:ascii="Times New Roman" w:cs="Times New Roman" w:hAnsi="Times New Roman"/>
                      <w:b w:val="0"/>
                      <w:bCs w:val="0"/>
                      <w:color w:val="auto"/>
                      <w:sz w:val="21"/>
                      <w:szCs w:val="21"/>
                      <w:highlight w:val="none"/>
                    </w:rPr>
                    <w:t>项目位于</w:t>
                  </w:r>
                  <w:r>
                    <w:rPr>
                      <w:rFonts w:ascii="Times New Roman" w:eastAsia="宋体" w:cs="Times New Roman" w:hAnsi="Times New Roman" w:hint="eastAsia"/>
                      <w:color w:val="auto"/>
                      <w:sz w:val="21"/>
                      <w:szCs w:val="21"/>
                      <w:lang w:val="en-US" w:eastAsia="zh-CN"/>
                      <w:highlight w:val="none"/>
                    </w:rPr>
                    <w:t>石家庄市栾城区窦妪村装备制造产业园区奥翔街6-1号（院内3号房）</w:t>
                  </w:r>
                  <w:r>
                    <w:rPr>
                      <w:rFonts w:ascii="Times New Roman" w:cs="Times New Roman" w:hAnsi="Times New Roman"/>
                      <w:b w:val="0"/>
                      <w:bCs w:val="0"/>
                      <w:color w:val="auto"/>
                      <w:sz w:val="21"/>
                      <w:szCs w:val="21"/>
                      <w:highlight w:val="none"/>
                    </w:rPr>
                    <w:t>，位于规划范围内</w:t>
                  </w:r>
                  <w:r>
                    <w:rPr>
                      <w:rFonts w:ascii="Times New Roman" w:cs="Times New Roman" w:hAnsi="Times New Roman" w:hint="eastAsia"/>
                      <w:color w:val="auto"/>
                      <w:sz w:val="21"/>
                      <w:szCs w:val="21"/>
                      <w:lang w:val="en-US" w:eastAsia="zh-CN"/>
                      <w:highlight w:val="none"/>
                    </w:rPr>
                    <w:t>。</w:t>
                  </w:r>
                </w:p>
              </w:tc>
              <w:tc>
                <w:tcPr>
                  <w:tcW w:w="641"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b w:val="0"/>
                      <w:bCs w:val="0"/>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397"/>
              </w:trPr>
              <w:tc>
                <w:tcPr>
                  <w:tcW w:w="2819" w:type="pct"/>
                  <w:gridSpan w:val="2"/>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color w:val="auto"/>
                      <w:sz w:val="21"/>
                      <w:szCs w:val="21"/>
                      <w:lang w:val="en-US" w:eastAsia="zh-CN"/>
                      <w:highlight w:val="none"/>
                    </w:rPr>
                  </w:pPr>
                  <w:r>
                    <w:rPr>
                      <w:rFonts w:ascii="Times New Roman" w:cs="Times New Roman" w:hAnsi="Times New Roman"/>
                      <w:b/>
                      <w:bCs/>
                      <w:color w:val="auto"/>
                      <w:sz w:val="21"/>
                      <w:szCs w:val="21"/>
                      <w:highlight w:val="none"/>
                    </w:rPr>
                    <w:t>规划定位</w:t>
                  </w:r>
                  <w:r>
                    <w:rPr>
                      <w:rFonts w:ascii="Times New Roman" w:cs="Times New Roman" w:hAnsi="Times New Roman" w:hint="eastAsia"/>
                      <w:b/>
                      <w:bCs/>
                      <w:color w:val="auto"/>
                      <w:sz w:val="21"/>
                      <w:szCs w:val="21"/>
                      <w:lang w:eastAsia="zh-CN"/>
                      <w:highlight w:val="none"/>
                    </w:rPr>
                    <w:t>：</w:t>
                  </w:r>
                  <w:r>
                    <w:rPr>
                      <w:rFonts w:ascii="Times New Roman" w:cs="Times New Roman" w:hAnsi="Times New Roman"/>
                      <w:color w:val="auto"/>
                      <w:sz w:val="21"/>
                      <w:szCs w:val="21"/>
                      <w:highlight w:val="none"/>
                    </w:rPr>
                    <w:t>国家外贸转型升级基地，北方地区工业无人机研发、生产基地，河北省装备制造产业聚集区，石家庄市六大产业基地之一，以装备制造产业为主导的集生物医药大健康产业、物流产业、配套服务产业及现代城市居住功能于一体的综合性产业基地</w:t>
                  </w:r>
                </w:p>
              </w:tc>
              <w:tc>
                <w:tcPr>
                  <w:tcW w:w="1539"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b/>
                      <w:bCs/>
                      <w:color w:val="auto"/>
                      <w:sz w:val="21"/>
                      <w:szCs w:val="21"/>
                      <w:vertAlign w:val="baseline"/>
                      <w:lang w:val="en-US" w:eastAsia="zh-CN"/>
                      <w:highlight w:val="none"/>
                    </w:rPr>
                  </w:pPr>
                  <w:r>
                    <w:rPr>
                      <w:rFonts w:ascii="Times New Roman" w:cs="Times New Roman" w:hAnsi="Times New Roman" w:hint="eastAsia"/>
                      <w:color w:val="auto"/>
                      <w:sz w:val="21"/>
                      <w:szCs w:val="21"/>
                      <w:lang w:val="en-US" w:eastAsia="zh-CN"/>
                      <w:highlight w:val="none"/>
                    </w:rPr>
                    <w:t>本项目位于石家庄栾城区装备制造产业园内，窦妪村装备制造产业园区奥翔街6-1号（院内3号房），本项目为改建项目，项目产品为汽车塑料配件，属于汽车零部件，符合园区规划定位。</w:t>
                  </w:r>
                </w:p>
              </w:tc>
              <w:tc>
                <w:tcPr>
                  <w:tcW w:w="641"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hint="eastAsia"/>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397"/>
              </w:trPr>
              <w:tc>
                <w:tcPr>
                  <w:tcW w:w="2819" w:type="pct"/>
                  <w:gridSpan w:val="2"/>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color w:val="auto"/>
                      <w:sz w:val="21"/>
                      <w:szCs w:val="21"/>
                      <w:lang w:val="en-US" w:eastAsia="zh-CN"/>
                      <w:highlight w:val="none"/>
                    </w:rPr>
                  </w:pPr>
                  <w:r>
                    <w:rPr>
                      <w:rFonts w:ascii="Times New Roman" w:cs="Times New Roman" w:hAnsi="Times New Roman"/>
                      <w:b/>
                      <w:bCs/>
                      <w:color w:val="auto"/>
                      <w:sz w:val="21"/>
                      <w:szCs w:val="21"/>
                      <w:highlight w:val="none"/>
                    </w:rPr>
                    <w:t>规划用地布局</w:t>
                  </w:r>
                  <w:r>
                    <w:rPr>
                      <w:rFonts w:ascii="Times New Roman" w:cs="Times New Roman" w:hAnsi="Times New Roman" w:hint="eastAsia"/>
                      <w:b/>
                      <w:bCs/>
                      <w:color w:val="auto"/>
                      <w:sz w:val="21"/>
                      <w:szCs w:val="21"/>
                      <w:lang w:eastAsia="zh-CN"/>
                      <w:highlight w:val="none"/>
                    </w:rPr>
                    <w:t>：</w:t>
                  </w:r>
                  <w:r>
                    <w:rPr>
                      <w:rFonts w:ascii="Times New Roman" w:cs="Times New Roman" w:hAnsi="Times New Roman"/>
                      <w:color w:val="auto"/>
                      <w:sz w:val="21"/>
                      <w:szCs w:val="21"/>
                      <w:highlight w:val="none"/>
                    </w:rPr>
                    <w:t>规划总用地面积4372.05公顷，其中城镇建设用地3502.78公顷，占总规划用地的80.12%；区域基础设施用地106.76公顷，占总规划用地的2.4%；其他建设用地9.36公顷，占总规划用地的0.21%；非建设用地753.15，占总规划用地的17.23%。</w:t>
                  </w:r>
                </w:p>
              </w:tc>
              <w:tc>
                <w:tcPr>
                  <w:tcW w:w="1539"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b/>
                      <w:bCs/>
                      <w:color w:val="auto"/>
                      <w:sz w:val="21"/>
                      <w:szCs w:val="21"/>
                      <w:vertAlign w:val="baseline"/>
                      <w:lang w:val="en-US" w:eastAsia="zh-CN"/>
                      <w:highlight w:val="none"/>
                    </w:rPr>
                  </w:pPr>
                  <w:r>
                    <w:rPr>
                      <w:rFonts w:ascii="Times New Roman" w:eastAsia="宋体" w:cs="Times New Roman" w:hAnsi="Times New Roman" w:hint="eastAsia"/>
                      <w:color w:val="auto"/>
                      <w:sz w:val="21"/>
                      <w:szCs w:val="21"/>
                      <w:lang w:val="en-US" w:eastAsia="zh-CN"/>
                      <w:highlight w:val="none"/>
                    </w:rPr>
                    <w:t>租赁现有厂房进行建设汽车塑料配件改扩建项目，根据不动产权证，占地为工业用地，符合用地规划</w:t>
                  </w:r>
                  <w:r>
                    <w:rPr>
                      <w:rFonts w:ascii="Times New Roman" w:cs="Times New Roman" w:hAnsi="Times New Roman"/>
                      <w:color w:val="auto"/>
                      <w:sz w:val="21"/>
                      <w:szCs w:val="21"/>
                      <w:highlight w:val="none"/>
                    </w:rPr>
                    <w:t>。</w:t>
                  </w:r>
                </w:p>
              </w:tc>
              <w:tc>
                <w:tcPr>
                  <w:tcW w:w="641"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1906"/>
              </w:trPr>
              <w:tc>
                <w:tcPr>
                  <w:tcW w:w="503" w:type="pct"/>
                  <w:vMerge w:val="restart"/>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产业发展：规划形成西部、东部两大工业组团，包含四大产业园区。</w:t>
                  </w:r>
                </w:p>
              </w:tc>
              <w:tc>
                <w:tcPr>
                  <w:tcW w:w="5000"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b w:val="0"/>
                      <w:bCs w:val="0"/>
                      <w:color w:val="auto"/>
                      <w:sz w:val="21"/>
                      <w:szCs w:val="21"/>
                      <w:lang w:val="en-US" w:eastAsia="zh-CN"/>
                      <w:highlight w:val="none"/>
                    </w:rPr>
                  </w:pPr>
                  <w:r>
                    <w:rPr>
                      <w:rFonts w:ascii="Times New Roman" w:eastAsia="宋体" w:cs="Times New Roman" w:hAnsi="Times New Roman" w:hint="eastAsia"/>
                      <w:b w:val="0"/>
                      <w:bCs w:val="0"/>
                      <w:color w:val="auto"/>
                      <w:sz w:val="21"/>
                      <w:szCs w:val="21"/>
                      <w:lang w:val="en-US" w:eastAsia="zh-CN"/>
                      <w:highlight w:val="none"/>
                    </w:rPr>
                    <w:t>①装备制造产业园区：位于环北路以南、中兴大道以北、</w:t>
                  </w:r>
                  <w:r>
                    <w:rPr>
                      <w:rFonts w:ascii="Times New Roman" w:eastAsia="宋体" w:cs="Times New Roman" w:hAnsi="Times New Roman"/>
                      <w:b w:val="0"/>
                      <w:bCs w:val="0"/>
                      <w:color w:val="auto"/>
                      <w:sz w:val="21"/>
                      <w:szCs w:val="21"/>
                      <w:lang w:val="en-US" w:eastAsia="zh-CN"/>
                      <w:highlight w:val="none"/>
                    </w:rPr>
                    <w:t>107</w:t>
                  </w:r>
                  <w:r>
                    <w:rPr>
                      <w:rFonts w:ascii="Times New Roman" w:eastAsia="宋体" w:cs="Times New Roman" w:hAnsi="Times New Roman" w:hint="eastAsia"/>
                      <w:b w:val="0"/>
                      <w:bCs w:val="0"/>
                      <w:color w:val="auto"/>
                      <w:sz w:val="21"/>
                      <w:szCs w:val="21"/>
                      <w:lang w:val="en-US" w:eastAsia="zh-CN"/>
                      <w:highlight w:val="none"/>
                    </w:rPr>
                    <w:t>国道以东、方西大街以西，约占园区总用地的40.12%。规划以发展汽车及零部件制造、铁路运输设备生产与维修、通用设备制造、金属制品制造、专用设备制造、电气机械和器材制造等装备制造产业为主，以发展装备制造产业配套的包装印刷、橡胶、塑料制品制造和仓储物流业为辅，并培育发展智能化设备产业集群和小微企业孵化。</w:t>
                  </w:r>
                </w:p>
              </w:tc>
              <w:tc>
                <w:tcPr>
                  <w:tcW w:w="1539" w:type="pct"/>
                  <w:vMerge w:val="restar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对照园区产业布局指引图，项目位于产业转型升级示范区内，项目产品为汽车塑料配件，属于汽车零部件，为汽车制造的配套产业，符合产业发展方向。</w:t>
                  </w:r>
                </w:p>
              </w:tc>
              <w:tc>
                <w:tcPr>
                  <w:tcW w:w="641" w:type="pct"/>
                  <w:vMerge w:val="restar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hint="eastAsia"/>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941"/>
              </w:trPr>
              <w:tc>
                <w:tcPr>
                  <w:tcW w:w="503" w:type="pct"/>
                  <w:vMerge/>
                  <w:vAlign w:val="center"/>
                </w:tcPr>
                <w:p/>
              </w:tc>
              <w:tc>
                <w:tcPr>
                  <w:tcW w:w="5000"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b w:val="0"/>
                      <w:bCs w:val="0"/>
                      <w:color w:val="auto"/>
                      <w:sz w:val="21"/>
                      <w:szCs w:val="21"/>
                      <w:lang w:val="en-US" w:eastAsia="zh-CN"/>
                      <w:highlight w:val="none"/>
                    </w:rPr>
                  </w:pPr>
                  <w:r>
                    <w:rPr>
                      <w:rFonts w:ascii="Times New Roman" w:eastAsia="宋体" w:cs="Times New Roman" w:hAnsi="Times New Roman" w:hint="eastAsia"/>
                      <w:b w:val="0"/>
                      <w:bCs w:val="0"/>
                      <w:color w:val="auto"/>
                      <w:sz w:val="21"/>
                      <w:szCs w:val="21"/>
                      <w:lang w:val="en-US" w:eastAsia="zh-CN"/>
                      <w:highlight w:val="none"/>
                    </w:rPr>
                    <w:t>②产业转型升级示范区：位于</w:t>
                  </w:r>
                  <w:r>
                    <w:rPr>
                      <w:rFonts w:ascii="Times New Roman" w:eastAsia="宋体" w:cs="Times New Roman" w:hAnsi="Times New Roman"/>
                      <w:b w:val="0"/>
                      <w:bCs w:val="0"/>
                      <w:color w:val="auto"/>
                      <w:sz w:val="21"/>
                      <w:szCs w:val="21"/>
                      <w:lang w:val="en-US" w:eastAsia="zh-CN"/>
                      <w:highlight w:val="none"/>
                    </w:rPr>
                    <w:t>107</w:t>
                  </w:r>
                  <w:r>
                    <w:rPr>
                      <w:rFonts w:ascii="Times New Roman" w:eastAsia="宋体" w:cs="Times New Roman" w:hAnsi="Times New Roman" w:hint="eastAsia"/>
                      <w:b w:val="0"/>
                      <w:bCs w:val="0"/>
                      <w:color w:val="auto"/>
                      <w:sz w:val="21"/>
                      <w:szCs w:val="21"/>
                      <w:lang w:val="en-US" w:eastAsia="zh-CN"/>
                      <w:highlight w:val="none"/>
                    </w:rPr>
                    <w:t>国道以东、洨河以西，约占园区总用地的16.42%。规划以现状汽车制造、机械制造、食品生产、再生资源综合利用、仓储物流、化工原料和化学制造等现有产业转型升级为主。其中，化工产业依托重点化工监控点打造生态环保、绿色环保、节能安全的化工连片区，并培育小微企业孵化。</w:t>
                  </w:r>
                </w:p>
              </w:tc>
              <w:tc>
                <w:tcPr>
                  <w:tcW w:w="1539" w:type="pct"/>
                  <w:vMerge/>
                  <w:tcBorders>
                    <w:left w:val="single" w:sz="4" w:space="0" w:color="auto"/>
                  </w:tcBorders>
                  <w:vAlign w:val="center"/>
                </w:tcPr>
                <w:p/>
              </w:tc>
              <w:tc>
                <w:tcPr>
                  <w:tcW w:w="641" w:type="pct"/>
                  <w:vMerge/>
                  <w:tcBorders>
                    <w:left w:val="single" w:sz="4" w:space="0" w:color="auto"/>
                  </w:tcBorders>
                  <w:vAlign w:val="center"/>
                </w:tcPr>
                <w:p/>
              </w:tc>
            </w:tr>
            <w:tr>
              <w:trPr>
                <w:trHeight w:val="1906"/>
              </w:trPr>
              <w:tc>
                <w:tcPr>
                  <w:tcW w:w="503" w:type="pct"/>
                  <w:vMerge/>
                  <w:vAlign w:val="center"/>
                </w:tcPr>
                <w:p/>
              </w:tc>
              <w:tc>
                <w:tcPr>
                  <w:tcW w:w="5000"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b w:val="0"/>
                      <w:bCs w:val="0"/>
                      <w:color w:val="auto"/>
                      <w:sz w:val="21"/>
                      <w:szCs w:val="21"/>
                      <w:lang w:val="en-US" w:eastAsia="zh-CN"/>
                      <w:highlight w:val="none"/>
                    </w:rPr>
                  </w:pPr>
                  <w:r>
                    <w:rPr>
                      <w:rFonts w:ascii="Times New Roman" w:eastAsia="宋体" w:cs="Times New Roman" w:hAnsi="Times New Roman" w:hint="eastAsia"/>
                      <w:b w:val="0"/>
                      <w:bCs w:val="0"/>
                      <w:color w:val="auto"/>
                      <w:sz w:val="21"/>
                      <w:szCs w:val="21"/>
                      <w:lang w:val="en-US" w:eastAsia="zh-CN"/>
                      <w:highlight w:val="none"/>
                    </w:rPr>
                    <w:t>③通用飞机产业园区：位于复兴大街以东、</w:t>
                  </w:r>
                  <w:r>
                    <w:rPr>
                      <w:rFonts w:ascii="Times New Roman" w:eastAsia="宋体" w:cs="Times New Roman" w:hAnsi="Times New Roman"/>
                      <w:b w:val="0"/>
                      <w:bCs w:val="0"/>
                      <w:color w:val="auto"/>
                      <w:sz w:val="21"/>
                      <w:szCs w:val="21"/>
                      <w:lang w:val="en-US" w:eastAsia="zh-CN"/>
                      <w:highlight w:val="none"/>
                    </w:rPr>
                    <w:t>308</w:t>
                  </w:r>
                  <w:r>
                    <w:rPr>
                      <w:rFonts w:ascii="Times New Roman" w:eastAsia="宋体" w:cs="Times New Roman" w:hAnsi="Times New Roman" w:hint="eastAsia"/>
                      <w:b w:val="0"/>
                      <w:bCs w:val="0"/>
                      <w:color w:val="auto"/>
                      <w:sz w:val="21"/>
                      <w:szCs w:val="21"/>
                      <w:lang w:val="en-US" w:eastAsia="zh-CN"/>
                      <w:highlight w:val="none"/>
                    </w:rPr>
                    <w:t>国道以北，约占园区总用地的4.71%。石家庄栾城机场位于其中。规划发展通用飞机整机及部件生产和无人机研发和生产，逐步培育飞机研制和航空培训配套服务等综合性航空产业和低空经济产业为主，并培育小微企业孵化。</w:t>
                  </w:r>
                </w:p>
              </w:tc>
              <w:tc>
                <w:tcPr>
                  <w:tcW w:w="1539" w:type="pct"/>
                  <w:vMerge/>
                  <w:tcBorders>
                    <w:left w:val="single" w:sz="4" w:space="0" w:color="auto"/>
                  </w:tcBorders>
                  <w:vAlign w:val="center"/>
                </w:tcPr>
                <w:p/>
              </w:tc>
              <w:tc>
                <w:tcPr>
                  <w:tcW w:w="641" w:type="pct"/>
                  <w:vMerge/>
                  <w:tcBorders>
                    <w:left w:val="single" w:sz="4" w:space="0" w:color="auto"/>
                  </w:tcBorders>
                  <w:vAlign w:val="center"/>
                </w:tcPr>
                <w:p/>
              </w:tc>
            </w:tr>
            <w:tr>
              <w:trPr>
                <w:trHeight w:val="1906"/>
              </w:trPr>
              <w:tc>
                <w:tcPr>
                  <w:tcW w:w="503" w:type="pct"/>
                  <w:vMerge/>
                  <w:vAlign w:val="center"/>
                </w:tcPr>
                <w:p/>
              </w:tc>
              <w:tc>
                <w:tcPr>
                  <w:tcW w:w="5000" w:type="pc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b w:val="0"/>
                      <w:bCs w:val="0"/>
                      <w:color w:val="auto"/>
                      <w:sz w:val="21"/>
                      <w:szCs w:val="21"/>
                      <w:lang w:val="en-US" w:eastAsia="zh-CN"/>
                      <w:highlight w:val="none"/>
                    </w:rPr>
                  </w:pPr>
                  <w:r>
                    <w:rPr>
                      <w:rFonts w:ascii="Times New Roman" w:eastAsia="宋体" w:cs="Times New Roman" w:hAnsi="Times New Roman" w:hint="eastAsia"/>
                      <w:b w:val="0"/>
                      <w:bCs w:val="0"/>
                      <w:color w:val="auto"/>
                      <w:sz w:val="21"/>
                      <w:szCs w:val="21"/>
                      <w:lang w:val="en-US" w:eastAsia="zh-CN"/>
                      <w:highlight w:val="none"/>
                    </w:rPr>
                    <w:t>④食品和医药产业园区：位于</w:t>
                  </w:r>
                  <w:r>
                    <w:rPr>
                      <w:rFonts w:ascii="Times New Roman" w:eastAsia="宋体" w:cs="Times New Roman" w:hAnsi="Times New Roman"/>
                      <w:b w:val="0"/>
                      <w:bCs w:val="0"/>
                      <w:color w:val="auto"/>
                      <w:sz w:val="21"/>
                      <w:szCs w:val="21"/>
                      <w:lang w:val="en-US" w:eastAsia="zh-CN"/>
                      <w:highlight w:val="none"/>
                    </w:rPr>
                    <w:t>337</w:t>
                  </w:r>
                  <w:r>
                    <w:rPr>
                      <w:rFonts w:ascii="Times New Roman" w:eastAsia="宋体" w:cs="Times New Roman" w:hAnsi="Times New Roman" w:hint="eastAsia"/>
                      <w:b w:val="0"/>
                      <w:bCs w:val="0"/>
                      <w:color w:val="auto"/>
                      <w:sz w:val="21"/>
                      <w:szCs w:val="21"/>
                      <w:lang w:val="en-US" w:eastAsia="zh-CN"/>
                      <w:highlight w:val="none"/>
                    </w:rPr>
                    <w:t>省道以北、</w:t>
                  </w:r>
                  <w:r>
                    <w:rPr>
                      <w:rFonts w:ascii="Times New Roman" w:eastAsia="宋体" w:cs="Times New Roman" w:hAnsi="Times New Roman"/>
                      <w:b w:val="0"/>
                      <w:bCs w:val="0"/>
                      <w:color w:val="auto"/>
                      <w:sz w:val="21"/>
                      <w:szCs w:val="21"/>
                      <w:lang w:val="en-US" w:eastAsia="zh-CN"/>
                      <w:highlight w:val="none"/>
                    </w:rPr>
                    <w:t>308</w:t>
                  </w:r>
                  <w:r>
                    <w:rPr>
                      <w:rFonts w:ascii="Times New Roman" w:eastAsia="宋体" w:cs="Times New Roman" w:hAnsi="Times New Roman" w:hint="eastAsia"/>
                      <w:b w:val="0"/>
                      <w:bCs w:val="0"/>
                      <w:color w:val="auto"/>
                      <w:sz w:val="21"/>
                      <w:szCs w:val="21"/>
                      <w:lang w:val="en-US" w:eastAsia="zh-CN"/>
                      <w:highlight w:val="none"/>
                    </w:rPr>
                    <w:t>国道以东、石栾大街以西、惠源路以南，约占园区总用地的18.81%。规划以医药制造产业和食品制造产业为主，以发展医药制造、食品制造产业配套的包装印刷、橡胶和塑料制品制造为辅，培育发展大健康产业和小微企业孵化。其中，列入重点化工监控点的企业在项目审批、建设和管理方面参照省、市规定执行。其他现有化工企业，允许建设安全、环保、节能和智能化改造项目。</w:t>
                  </w:r>
                </w:p>
              </w:tc>
              <w:tc>
                <w:tcPr>
                  <w:tcW w:w="1539" w:type="pct"/>
                  <w:vMerge/>
                  <w:tcBorders>
                    <w:left w:val="single" w:sz="4" w:space="0" w:color="auto"/>
                  </w:tcBorders>
                  <w:vAlign w:val="center"/>
                </w:tcPr>
                <w:p/>
              </w:tc>
              <w:tc>
                <w:tcPr>
                  <w:tcW w:w="641" w:type="pct"/>
                  <w:vMerge/>
                  <w:tcBorders>
                    <w:left w:val="single" w:sz="4" w:space="0" w:color="auto"/>
                  </w:tcBorders>
                  <w:vAlign w:val="center"/>
                </w:tcPr>
                <w:p/>
              </w:tc>
            </w:tr>
          </w:tbl>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ind w:left="0" w:right="0"/>
              <w:textAlignment w:val="baseline"/>
              <w:rPr>
                <w:rFonts w:cs="Times New Roman"/>
                <w:color w:val="auto"/>
                <w:lang w:val="en-US" w:eastAsia="zh-CN"/>
                <w:highlight w:val="none"/>
              </w:rPr>
            </w:pPr>
            <w:r>
              <w:rPr>
                <w:rFonts w:ascii="Times New Roman" w:cs="Times New Roman" w:hAnsi="Times New Roman" w:hint="eastAsia"/>
                <w:color w:val="auto"/>
                <w:sz w:val="24"/>
                <w:szCs w:val="20"/>
                <w:lang w:val="en-US" w:eastAsia="zh-CN"/>
                <w:highlight w:val="none"/>
              </w:rPr>
              <w:t>（2）园区基础设施见下：</w:t>
            </w:r>
          </w:p>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cs="Times New Roman" w:hint="eastAsia"/>
                <w:b/>
                <w:bCs/>
                <w:color w:val="auto"/>
                <w:lang w:val="en-US" w:eastAsia="zh-CN"/>
                <w:highlight w:val="none"/>
              </w:rPr>
            </w:pPr>
            <w:r>
              <w:rPr>
                <w:rFonts w:ascii="Times New Roman" w:cs="Times New Roman" w:hAnsi="Times New Roman" w:hint="eastAsia"/>
                <w:b/>
                <w:bCs/>
                <w:color w:val="auto"/>
                <w:sz w:val="24"/>
                <w:szCs w:val="20"/>
                <w:lang w:val="en-US" w:eastAsia="zh-CN"/>
                <w:highlight w:val="none"/>
              </w:rPr>
              <w:t>表1-2  园区基础设施符合性分析一览表</w:t>
            </w:r>
          </w:p>
          <w:tbl>
            <w:tblPr>
              <w:jc w:val="center"/>
              <w:tblW w:w="7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26"/>
              <w:gridCol w:w="4633"/>
              <w:gridCol w:w="1601"/>
              <w:gridCol w:w="981"/>
            </w:tblGrid>
            <w:tr>
              <w:trPr>
                <w:trHeight w:val="397"/>
              </w:trPr>
              <w:tc>
                <w:tcPr>
                  <w:tcW w:w="5059" w:type="dxa"/>
                  <w:gridSpan w:val="2"/>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规划内容</w:t>
                  </w:r>
                </w:p>
              </w:tc>
              <w:tc>
                <w:tcPr>
                  <w:tcW w:w="1601"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项目情况</w:t>
                  </w:r>
                </w:p>
              </w:tc>
              <w:tc>
                <w:tcPr>
                  <w:tcW w:w="981"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hint="eastAsia"/>
                      <w:b/>
                      <w:bCs/>
                      <w:color w:val="auto"/>
                      <w:sz w:val="21"/>
                      <w:szCs w:val="21"/>
                      <w:lang w:val="en-US" w:eastAsia="zh-CN"/>
                      <w:highlight w:val="none"/>
                    </w:rPr>
                  </w:pPr>
                  <w:r>
                    <w:rPr>
                      <w:rFonts w:ascii="Times New Roman" w:cs="Times New Roman" w:hAnsi="Times New Roman" w:hint="eastAsia"/>
                      <w:b/>
                      <w:bCs/>
                      <w:color w:val="auto"/>
                      <w:sz w:val="21"/>
                      <w:szCs w:val="21"/>
                      <w:lang w:val="en-US" w:eastAsia="zh-CN"/>
                      <w:highlight w:val="none"/>
                    </w:rPr>
                    <w:t>符合性</w:t>
                  </w:r>
                </w:p>
              </w:tc>
            </w:tr>
            <w:tr>
              <w:trPr>
                <w:trHeight w:val="397"/>
              </w:trPr>
              <w:tc>
                <w:tcPr>
                  <w:tcW w:w="426"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hint="eastAsia"/>
                      <w:b/>
                      <w:bCs/>
                      <w:color w:val="auto"/>
                      <w:sz w:val="21"/>
                      <w:szCs w:val="21"/>
                      <w:lang w:val="en-US" w:eastAsia="zh-CN"/>
                      <w:highlight w:val="none"/>
                    </w:rPr>
                  </w:pPr>
                  <w:r>
                    <w:rPr>
                      <w:rFonts w:ascii="Times New Roman" w:cs="Times New Roman" w:hAnsi="Times New Roman"/>
                      <w:color w:val="auto"/>
                      <w:sz w:val="21"/>
                      <w:szCs w:val="21"/>
                      <w:highlight w:val="none"/>
                    </w:rPr>
                    <w:t>给水</w:t>
                  </w:r>
                </w:p>
              </w:tc>
              <w:tc>
                <w:tcPr>
                  <w:tcW w:w="4633"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highlight w:val="none"/>
                    </w:rPr>
                  </w:pPr>
                  <w:r>
                    <w:rPr>
                      <w:rFonts w:ascii="Times New Roman" w:eastAsia="宋体" w:cs="Times New Roman" w:hAnsi="Times New Roman"/>
                      <w:color w:val="auto"/>
                      <w:kern w:val="0"/>
                      <w:sz w:val="21"/>
                      <w:szCs w:val="21"/>
                      <w:lang w:val="en-US" w:eastAsia="zh-CN"/>
                      <w:highlight w:val="none"/>
                    </w:rPr>
                    <w:t>规划区远期最高日总用水量为11.70万m</w:t>
                  </w:r>
                  <w:r>
                    <w:rPr>
                      <w:rFonts w:ascii="Times New Roman" w:cs="Times New Roman" w:hAnsi="Times New Roman" w:hint="eastAsia"/>
                      <w:color w:val="auto"/>
                      <w:kern w:val="0"/>
                      <w:sz w:val="21"/>
                      <w:szCs w:val="21"/>
                      <w:vertAlign w:val="superscript"/>
                      <w:lang w:val="en-US" w:eastAsia="zh-CN"/>
                      <w:highlight w:val="none"/>
                    </w:rPr>
                    <w:t>3</w:t>
                  </w:r>
                  <w:r>
                    <w:rPr>
                      <w:rFonts w:ascii="Times New Roman" w:eastAsia="宋体" w:cs="Times New Roman" w:hAnsi="Times New Roman"/>
                      <w:color w:val="auto"/>
                      <w:kern w:val="0"/>
                      <w:sz w:val="21"/>
                      <w:szCs w:val="21"/>
                      <w:vertAlign w:val="superscript"/>
                      <w:lang w:val="en-US" w:eastAsia="zh-CN"/>
                      <w:highlight w:val="none"/>
                    </w:rPr>
                    <w:t>/</w:t>
                  </w:r>
                  <w:r>
                    <w:rPr>
                      <w:rFonts w:ascii="Times New Roman" w:eastAsia="宋体" w:cs="Times New Roman" w:hAnsi="Times New Roman"/>
                      <w:color w:val="auto"/>
                      <w:kern w:val="0"/>
                      <w:sz w:val="21"/>
                      <w:szCs w:val="21"/>
                      <w:lang w:val="en-US" w:eastAsia="zh-CN"/>
                      <w:highlight w:val="none"/>
                    </w:rPr>
                    <w:t>d，其中栾城区境内用水量为10.93万m</w:t>
                  </w:r>
                  <w:r>
                    <w:rPr>
                      <w:rFonts w:ascii="Times New Roman" w:cs="Times New Roman" w:hAnsi="Times New Roman" w:hint="eastAsia"/>
                      <w:color w:val="auto"/>
                      <w:kern w:val="0"/>
                      <w:sz w:val="21"/>
                      <w:szCs w:val="21"/>
                      <w:vertAlign w:val="superscript"/>
                      <w:lang w:val="en-US" w:eastAsia="zh-CN"/>
                      <w:highlight w:val="none"/>
                    </w:rPr>
                    <w:t>3</w:t>
                  </w:r>
                  <w:r>
                    <w:rPr>
                      <w:rFonts w:ascii="Times New Roman" w:eastAsia="宋体" w:cs="Times New Roman" w:hAnsi="Times New Roman"/>
                      <w:color w:val="auto"/>
                      <w:kern w:val="0"/>
                      <w:sz w:val="21"/>
                      <w:szCs w:val="21"/>
                      <w:vertAlign w:val="superscript"/>
                      <w:lang w:val="en-US" w:eastAsia="zh-CN"/>
                      <w:highlight w:val="none"/>
                    </w:rPr>
                    <w:t>/</w:t>
                  </w:r>
                  <w:r>
                    <w:rPr>
                      <w:rFonts w:ascii="Times New Roman" w:eastAsia="宋体" w:cs="Times New Roman" w:hAnsi="Times New Roman"/>
                      <w:color w:val="auto"/>
                      <w:kern w:val="0"/>
                      <w:sz w:val="21"/>
                      <w:szCs w:val="21"/>
                      <w:lang w:val="en-US" w:eastAsia="zh-CN"/>
                      <w:highlight w:val="none"/>
                    </w:rPr>
                    <w:t>d、元氏县境内用水量为0.77万m</w:t>
                  </w:r>
                  <w:r>
                    <w:rPr>
                      <w:rFonts w:ascii="Times New Roman" w:cs="Times New Roman" w:hAnsi="Times New Roman" w:hint="eastAsia"/>
                      <w:color w:val="auto"/>
                      <w:kern w:val="0"/>
                      <w:sz w:val="21"/>
                      <w:szCs w:val="21"/>
                      <w:vertAlign w:val="superscript"/>
                      <w:lang w:val="en-US" w:eastAsia="zh-CN"/>
                      <w:highlight w:val="none"/>
                    </w:rPr>
                    <w:t>3</w:t>
                  </w:r>
                  <w:r>
                    <w:rPr>
                      <w:rFonts w:ascii="Times New Roman" w:eastAsia="宋体" w:cs="Times New Roman" w:hAnsi="Times New Roman"/>
                      <w:color w:val="auto"/>
                      <w:kern w:val="0"/>
                      <w:sz w:val="21"/>
                      <w:szCs w:val="21"/>
                      <w:vertAlign w:val="superscript"/>
                      <w:lang w:val="en-US" w:eastAsia="zh-CN"/>
                      <w:highlight w:val="none"/>
                    </w:rPr>
                    <w:t>/</w:t>
                  </w:r>
                  <w:r>
                    <w:rPr>
                      <w:rFonts w:ascii="Times New Roman" w:eastAsia="宋体" w:cs="Times New Roman" w:hAnsi="Times New Roman"/>
                      <w:color w:val="auto"/>
                      <w:kern w:val="0"/>
                      <w:sz w:val="21"/>
                      <w:szCs w:val="21"/>
                      <w:lang w:val="en-US" w:eastAsia="zh-CN"/>
                      <w:highlight w:val="none"/>
                    </w:rPr>
                    <w:t>d。规划新建园区东地表水厂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石家庄装备制造产业园第一水厂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，扩建城区地表水厂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栾城区供水服务中心</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，保留中瀚水务地表水厂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栾城区供水服务中心</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和栾城区第一水厂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苏邱供水厂</w:t>
                  </w:r>
                  <w:r>
                    <w:rPr>
                      <w:rFonts w:ascii="Times New Roman" w:cs="Times New Roman" w:hAnsi="Times New Roman" w:hint="eastAsia"/>
                      <w:color w:val="auto"/>
                      <w:kern w:val="0"/>
                      <w:sz w:val="21"/>
                      <w:szCs w:val="21"/>
                      <w:lang w:val="en-US" w:eastAsia="zh-CN"/>
                      <w:highlight w:val="none"/>
                    </w:rPr>
                    <w:t>）</w:t>
                  </w:r>
                  <w:r>
                    <w:rPr>
                      <w:rFonts w:ascii="Times New Roman" w:eastAsia="宋体" w:cs="Times New Roman" w:hAnsi="Times New Roman"/>
                      <w:color w:val="auto"/>
                      <w:kern w:val="0"/>
                      <w:sz w:val="21"/>
                      <w:szCs w:val="21"/>
                      <w:lang w:val="en-US" w:eastAsia="zh-CN"/>
                      <w:highlight w:val="none"/>
                    </w:rPr>
                    <w:t>，将原绿源污水处理厂改建为再生水厂。</w:t>
                  </w:r>
                </w:p>
                <w:p>
                  <w:pPr>
                    <w:keepNext w:val="0"/>
                    <w:keepLines w:val="0"/>
                    <w:widowControl/>
                    <w:suppressLineNumbers w:val="0"/>
                    <w:spacing w:before="0" w:beforeAutospacing="0" w:after="0" w:afterAutospacing="0"/>
                    <w:ind w:left="0" w:right="0"/>
                    <w:jc w:val="center"/>
                    <w:rPr>
                      <w:rFonts w:ascii="Times New Roman" w:cs="Times New Roman" w:hAnsi="Times New Roman" w:hint="eastAsia"/>
                      <w:b/>
                      <w:bCs/>
                      <w:i w:val="0"/>
                      <w:iCs w:val="0"/>
                      <w:color w:val="auto"/>
                      <w:sz w:val="21"/>
                      <w:szCs w:val="21"/>
                      <w:lang w:val="en-US" w:eastAsia="zh-CN"/>
                      <w:highlight w:val="none"/>
                    </w:rPr>
                  </w:pPr>
                  <w:r>
                    <w:rPr>
                      <w:rFonts w:ascii="Times New Roman" w:eastAsia="宋体" w:cs="Times New Roman" w:hAnsi="Times New Roman"/>
                      <w:color w:val="auto"/>
                      <w:kern w:val="0"/>
                      <w:sz w:val="21"/>
                      <w:szCs w:val="21"/>
                      <w:lang w:val="en-US" w:eastAsia="zh-CN"/>
                      <w:highlight w:val="none"/>
                    </w:rPr>
                    <w:t>园区方西大街以西栾城区境内由中瀚水务地表水厂、园区东地表水厂联合供给，方西大街以西元氏境内由元氏县华电水厂供给，方西大街以东由城区地表水厂供给，栾城区第一供水厂作为应急水源。</w:t>
                  </w:r>
                </w:p>
              </w:tc>
              <w:tc>
                <w:tcPr>
                  <w:tcW w:w="160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b/>
                      <w:bCs/>
                      <w:i w:val="0"/>
                      <w:iCs w:val="0"/>
                      <w:color w:val="auto"/>
                      <w:sz w:val="21"/>
                      <w:szCs w:val="21"/>
                      <w:lang w:val="en-US" w:eastAsia="zh-CN"/>
                      <w:highlight w:val="none"/>
                    </w:rPr>
                  </w:pPr>
                  <w:r>
                    <w:rPr>
                      <w:rFonts w:ascii="Times New Roman" w:cs="Times New Roman" w:hAnsi="Times New Roman"/>
                      <w:b w:val="0"/>
                      <w:bCs w:val="0"/>
                      <w:i w:val="0"/>
                      <w:iCs w:val="0"/>
                      <w:color w:val="auto"/>
                      <w:sz w:val="21"/>
                      <w:szCs w:val="21"/>
                      <w:highlight w:val="none"/>
                    </w:rPr>
                    <w:t>项目新鲜水由园区供水管网供给</w:t>
                  </w:r>
                  <w:r>
                    <w:rPr>
                      <w:rFonts w:ascii="Times New Roman" w:cs="Times New Roman" w:hAnsi="Times New Roman" w:hint="eastAsia"/>
                      <w:i w:val="0"/>
                      <w:iCs w:val="0"/>
                      <w:color w:val="auto"/>
                      <w:sz w:val="21"/>
                      <w:szCs w:val="21"/>
                      <w:lang w:eastAsia="zh-CN"/>
                      <w:highlight w:val="none"/>
                    </w:rPr>
                    <w:t>，</w:t>
                  </w:r>
                  <w:r>
                    <w:rPr>
                      <w:rFonts w:ascii="Times New Roman" w:eastAsia="宋体" w:cs="Times New Roman" w:hAnsi="Times New Roman" w:hint="eastAsia"/>
                      <w:i w:val="0"/>
                      <w:iCs w:val="0"/>
                      <w:color w:val="auto"/>
                      <w:sz w:val="21"/>
                      <w:szCs w:val="21"/>
                      <w:lang w:val="en-US" w:eastAsia="zh-CN"/>
                      <w:highlight w:val="none"/>
                    </w:rPr>
                    <w:t>取水水源为</w:t>
                  </w:r>
                  <w:r>
                    <w:rPr>
                      <w:rFonts w:ascii="Times New Roman" w:eastAsia="宋体" w:cs="Times New Roman" w:hAnsi="Times New Roman" w:hint="eastAsia"/>
                      <w:i w:val="0"/>
                      <w:iCs w:val="0"/>
                      <w:color w:val="auto"/>
                      <w:kern w:val="0"/>
                      <w:sz w:val="21"/>
                      <w:szCs w:val="21"/>
                      <w:lang w:val="en-US" w:eastAsia="zh-CN" w:bidi="ar-SA"/>
                      <w:highlight w:val="none"/>
                    </w:rPr>
                    <w:t>中瀚水务地表水厂</w:t>
                  </w:r>
                  <w:r>
                    <w:rPr>
                      <w:rFonts w:ascii="Times New Roman" w:cs="Times New Roman" w:hAnsi="Times New Roman" w:hint="eastAsia"/>
                      <w:i w:val="0"/>
                      <w:iCs w:val="0"/>
                      <w:color w:val="auto"/>
                      <w:kern w:val="0"/>
                      <w:sz w:val="21"/>
                      <w:szCs w:val="21"/>
                      <w:lang w:val="en-US" w:eastAsia="zh-CN" w:bidi="ar-SA"/>
                      <w:highlight w:val="none"/>
                    </w:rPr>
                    <w:t>供给</w:t>
                  </w:r>
                  <w:r>
                    <w:rPr>
                      <w:rFonts w:ascii="Times New Roman" w:cs="Times New Roman" w:hAnsi="Times New Roman" w:hint="eastAsia"/>
                      <w:i w:val="0"/>
                      <w:iCs w:val="0"/>
                      <w:color w:val="auto"/>
                      <w:sz w:val="21"/>
                      <w:szCs w:val="21"/>
                      <w:lang w:val="en-US" w:eastAsia="zh-CN"/>
                      <w:highlight w:val="none"/>
                    </w:rPr>
                    <w:t>。</w:t>
                  </w:r>
                </w:p>
              </w:tc>
              <w:tc>
                <w:tcPr>
                  <w:tcW w:w="98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val="0"/>
                      <w:bCs w:val="0"/>
                      <w:i w:val="0"/>
                      <w:iCs w:val="0"/>
                      <w:color w:val="auto"/>
                      <w:sz w:val="21"/>
                      <w:szCs w:val="21"/>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524"/>
              </w:trPr>
              <w:tc>
                <w:tcPr>
                  <w:tcW w:w="426"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hint="eastAsia"/>
                      <w:b/>
                      <w:bCs/>
                      <w:color w:val="auto"/>
                      <w:sz w:val="21"/>
                      <w:szCs w:val="21"/>
                      <w:lang w:val="en-US" w:eastAsia="zh-CN"/>
                      <w:highlight w:val="none"/>
                    </w:rPr>
                  </w:pPr>
                  <w:r>
                    <w:rPr>
                      <w:rFonts w:ascii="Times New Roman" w:eastAsia="宋体" w:cs="Times New Roman" w:hAnsi="Times New Roman"/>
                      <w:color w:val="auto"/>
                      <w:sz w:val="21"/>
                      <w:szCs w:val="21"/>
                      <w:highlight w:val="none"/>
                    </w:rPr>
                    <w:t>排水</w:t>
                  </w:r>
                </w:p>
              </w:tc>
              <w:tc>
                <w:tcPr>
                  <w:tcW w:w="4633" w:type="dxa"/>
                  <w:tcBorders>
                    <w:left w:val="single" w:sz="4" w:space="0" w:color="auto"/>
                  </w:tcBorders>
                  <w:vAlign w:val="center"/>
                </w:tcPr>
                <w:p>
                  <w:pPr>
                    <w:keepNext w:val="0"/>
                    <w:keepLines w:val="0"/>
                    <w:widowControl/>
                    <w:suppressLineNumbers w:val="0"/>
                    <w:spacing w:before="0" w:beforeAutospacing="0" w:after="0" w:afterAutospacing="0"/>
                    <w:ind w:left="0" w:right="0"/>
                    <w:jc w:val="both"/>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bidi="ar-SA"/>
                      <w:highlight w:val="none"/>
                    </w:rPr>
                    <w:t>根据园区用地特点，采用不同类别用地用水量对污水量进行预测，规划远期园区总污水量约为</w:t>
                  </w:r>
                  <w:r>
                    <w:rPr>
                      <w:rFonts w:ascii="Times New Roman" w:cs="Times New Roman" w:hAnsi="Times New Roman" w:hint="eastAsia"/>
                      <w:color w:val="auto"/>
                      <w:kern w:val="0"/>
                      <w:sz w:val="21"/>
                      <w:szCs w:val="21"/>
                      <w:lang w:val="en-US" w:eastAsia="zh-CN" w:bidi="ar-SA"/>
                      <w:highlight w:val="none"/>
                    </w:rPr>
                    <w:t>5.95</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eastAsia="宋体" w:cs="Times New Roman" w:hAnsi="Times New Roman"/>
                      <w:color w:val="auto"/>
                      <w:kern w:val="0"/>
                      <w:sz w:val="21"/>
                      <w:szCs w:val="21"/>
                      <w:lang w:val="en-US" w:eastAsia="zh-CN" w:bidi="ar-SA"/>
                      <w:highlight w:val="none"/>
                    </w:rPr>
                    <w:t>/d</w:t>
                  </w:r>
                  <w:r>
                    <w:rPr>
                      <w:rFonts w:ascii="Times New Roman" w:eastAsia="宋体" w:cs="Times New Roman" w:hAnsi="Times New Roman" w:hint="eastAsia"/>
                      <w:color w:val="auto"/>
                      <w:kern w:val="0"/>
                      <w:sz w:val="21"/>
                      <w:szCs w:val="21"/>
                      <w:lang w:val="en-US" w:eastAsia="zh-CN" w:bidi="ar-SA"/>
                      <w:highlight w:val="none"/>
                    </w:rPr>
                    <w:t>，其中栾城区境内污水量约为</w:t>
                  </w:r>
                  <w:r>
                    <w:rPr>
                      <w:rFonts w:ascii="Times New Roman" w:cs="Times New Roman" w:hAnsi="Times New Roman" w:hint="eastAsia"/>
                      <w:color w:val="auto"/>
                      <w:kern w:val="0"/>
                      <w:sz w:val="21"/>
                      <w:szCs w:val="21"/>
                      <w:lang w:val="en-US" w:eastAsia="zh-CN" w:bidi="ar-SA"/>
                      <w:highlight w:val="none"/>
                    </w:rPr>
                    <w:t>5.52</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eastAsia="宋体" w:cs="Times New Roman" w:hAnsi="Times New Roman"/>
                      <w:color w:val="auto"/>
                      <w:kern w:val="0"/>
                      <w:sz w:val="21"/>
                      <w:szCs w:val="21"/>
                      <w:lang w:val="en-US" w:eastAsia="zh-CN" w:bidi="ar-SA"/>
                      <w:highlight w:val="none"/>
                    </w:rPr>
                    <w:t>/d</w:t>
                  </w:r>
                  <w:r>
                    <w:rPr>
                      <w:rFonts w:ascii="Times New Roman" w:eastAsia="宋体" w:cs="Times New Roman" w:hAnsi="Times New Roman" w:hint="eastAsia"/>
                      <w:color w:val="auto"/>
                      <w:kern w:val="0"/>
                      <w:sz w:val="21"/>
                      <w:szCs w:val="21"/>
                      <w:lang w:val="en-US" w:eastAsia="zh-CN" w:bidi="ar-SA"/>
                      <w:highlight w:val="none"/>
                    </w:rPr>
                    <w:t>、元氏县境内污水量约为</w:t>
                  </w:r>
                  <w:r>
                    <w:rPr>
                      <w:rFonts w:ascii="Times New Roman" w:eastAsia="宋体" w:cs="Times New Roman" w:hAnsi="Times New Roman"/>
                      <w:color w:val="auto"/>
                      <w:kern w:val="0"/>
                      <w:sz w:val="21"/>
                      <w:szCs w:val="21"/>
                      <w:lang w:val="en-US" w:eastAsia="zh-CN" w:bidi="ar-SA"/>
                      <w:highlight w:val="none"/>
                    </w:rPr>
                    <w:t>0.4</w:t>
                  </w:r>
                  <w:r>
                    <w:rPr>
                      <w:rFonts w:ascii="Times New Roman" w:cs="Times New Roman" w:hAnsi="Times New Roman" w:hint="eastAsia"/>
                      <w:color w:val="auto"/>
                      <w:kern w:val="0"/>
                      <w:sz w:val="21"/>
                      <w:szCs w:val="21"/>
                      <w:lang w:val="en-US" w:eastAsia="zh-CN" w:bidi="ar-SA"/>
                      <w:highlight w:val="none"/>
                    </w:rPr>
                    <w:t>4</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eastAsia="宋体" w:cs="Times New Roman" w:hAnsi="Times New Roman"/>
                      <w:color w:val="auto"/>
                      <w:kern w:val="0"/>
                      <w:sz w:val="21"/>
                      <w:szCs w:val="21"/>
                      <w:lang w:val="en-US" w:eastAsia="zh-CN" w:bidi="ar-SA"/>
                      <w:highlight w:val="none"/>
                    </w:rPr>
                    <w:t>/d</w:t>
                  </w:r>
                  <w:r>
                    <w:rPr>
                      <w:rFonts w:ascii="Times New Roman" w:eastAsia="宋体" w:cs="Times New Roman" w:hAnsi="Times New Roman" w:hint="eastAsia"/>
                      <w:color w:val="auto"/>
                      <w:kern w:val="0"/>
                      <w:sz w:val="21"/>
                      <w:szCs w:val="21"/>
                      <w:lang w:val="en-US" w:eastAsia="zh-CN" w:bidi="ar-SA"/>
                      <w:highlight w:val="none"/>
                    </w:rPr>
                    <w:t>。规划保留洨河西污水处理厂和城区污水处理厂，并在城区污水处理厂内增加提标处理工艺设施。</w:t>
                  </w:r>
                </w:p>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kern w:val="0"/>
                      <w:sz w:val="21"/>
                      <w:szCs w:val="21"/>
                      <w:lang w:val="en-US" w:eastAsia="zh-CN" w:bidi="ar-SA"/>
                      <w:highlight w:val="none"/>
                    </w:rPr>
                    <w:t>洨河西污水处理厂</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栾城区绿源污水处理厂</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收水范围为西部工业组团</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装备制造产业园区、产业转型升级示范区栾城区境内</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。城区污水处理厂</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德威华泰石家庄市栾城水务有限公司</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收水范围为东部工业组团</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通用飞机产业园区、食品和医药产业园区</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。西部工业组团中的产业转型升级示范区的元氏县境内的废水排至元氏县槐东污水厂</w:t>
                  </w:r>
                  <w:r>
                    <w:rPr>
                      <w:rFonts w:ascii="Times New Roman" w:cs="Times New Roman" w:hAnsi="Times New Roman" w:hint="eastAsia"/>
                      <w:color w:val="auto"/>
                      <w:kern w:val="0"/>
                      <w:sz w:val="21"/>
                      <w:szCs w:val="21"/>
                      <w:lang w:val="en-US" w:eastAsia="zh-CN" w:bidi="ar-SA"/>
                      <w:highlight w:val="none"/>
                    </w:rPr>
                    <w:t>。</w:t>
                  </w:r>
                </w:p>
              </w:tc>
              <w:tc>
                <w:tcPr>
                  <w:tcW w:w="160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目前污水管网已铺设至本项目厂区位置，项目废水主要为职工生活污水，生活污水经集成式生物化粪池处理后经园区污水管网排入绿源污水处理有限公司进一步处理</w:t>
                  </w:r>
                  <w:r>
                    <w:rPr>
                      <w:rFonts w:ascii="Times New Roman" w:eastAsia="Segoe UI" w:cs="Times New Roman" w:hAnsi="Times New Roman"/>
                      <w:bCs w:val="0"/>
                      <w:i w:val="0"/>
                      <w:iCs w:val="0"/>
                      <w:caps w:val="0"/>
                      <w:smallCaps w:val="0"/>
                      <w:color w:val="auto"/>
                      <w:spacing w:val="0"/>
                      <w:kern w:val="0"/>
                      <w:sz w:val="21"/>
                      <w:szCs w:val="21"/>
                      <w:shd w:val="clear" w:color="auto" w:fill="FFFFFF"/>
                      <w:lang w:val="en-US" w:eastAsia="zh-CN" w:bidi="ar-SA"/>
                      <w:highlight w:val="none"/>
                    </w:rPr>
                    <w:t>。</w:t>
                  </w:r>
                </w:p>
              </w:tc>
              <w:tc>
                <w:tcPr>
                  <w:tcW w:w="98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580"/>
              </w:trPr>
              <w:tc>
                <w:tcPr>
                  <w:tcW w:w="426"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hint="eastAsia"/>
                      <w:b/>
                      <w:bCs/>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供热</w:t>
                  </w:r>
                </w:p>
              </w:tc>
              <w:tc>
                <w:tcPr>
                  <w:tcW w:w="4633"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bidi="ar-SA"/>
                      <w:highlight w:val="none"/>
                    </w:rPr>
                    <w:t>规划远期集中供热总热负荷为</w:t>
                  </w:r>
                  <w:r>
                    <w:rPr>
                      <w:rFonts w:ascii="Times New Roman" w:eastAsia="宋体" w:cs="Times New Roman" w:hAnsi="Times New Roman"/>
                      <w:color w:val="auto"/>
                      <w:kern w:val="0"/>
                      <w:sz w:val="21"/>
                      <w:szCs w:val="21"/>
                      <w:lang w:val="en-US" w:eastAsia="zh-CN" w:bidi="ar-SA"/>
                      <w:highlight w:val="none"/>
                    </w:rPr>
                    <w:t>1100.01MW</w:t>
                  </w:r>
                  <w:r>
                    <w:rPr>
                      <w:rFonts w:ascii="Times New Roman" w:eastAsia="宋体" w:cs="Times New Roman" w:hAnsi="Times New Roman" w:hint="eastAsia"/>
                      <w:color w:val="auto"/>
                      <w:kern w:val="0"/>
                      <w:sz w:val="21"/>
                      <w:szCs w:val="21"/>
                      <w:lang w:val="en-US" w:eastAsia="zh-CN" w:bidi="ar-SA"/>
                      <w:highlight w:val="none"/>
                    </w:rPr>
                    <w:t>，其中栾城区境内采暖热负荷为</w:t>
                  </w:r>
                  <w:r>
                    <w:rPr>
                      <w:rFonts w:ascii="Times New Roman" w:eastAsia="宋体" w:cs="Times New Roman" w:hAnsi="Times New Roman"/>
                      <w:color w:val="auto"/>
                      <w:kern w:val="0"/>
                      <w:sz w:val="21"/>
                      <w:szCs w:val="21"/>
                      <w:lang w:val="en-US" w:eastAsia="zh-CN" w:bidi="ar-SA"/>
                      <w:highlight w:val="none"/>
                    </w:rPr>
                    <w:t>1047.60MW</w:t>
                  </w:r>
                  <w:r>
                    <w:rPr>
                      <w:rFonts w:ascii="Times New Roman" w:eastAsia="宋体" w:cs="Times New Roman" w:hAnsi="Times New Roman" w:hint="eastAsia"/>
                      <w:color w:val="auto"/>
                      <w:kern w:val="0"/>
                      <w:sz w:val="21"/>
                      <w:szCs w:val="21"/>
                      <w:lang w:val="en-US" w:eastAsia="zh-CN" w:bidi="ar-SA"/>
                      <w:highlight w:val="none"/>
                    </w:rPr>
                    <w:t>、元氏县境内采暖热负荷为</w:t>
                  </w:r>
                  <w:r>
                    <w:rPr>
                      <w:rFonts w:ascii="Times New Roman" w:eastAsia="宋体" w:cs="Times New Roman" w:hAnsi="Times New Roman"/>
                      <w:color w:val="auto"/>
                      <w:kern w:val="0"/>
                      <w:sz w:val="21"/>
                      <w:szCs w:val="21"/>
                      <w:lang w:val="en-US" w:eastAsia="zh-CN" w:bidi="ar-SA"/>
                      <w:highlight w:val="none"/>
                    </w:rPr>
                    <w:t>52.41MW</w:t>
                  </w:r>
                  <w:r>
                    <w:rPr>
                      <w:rFonts w:ascii="Times New Roman" w:eastAsia="宋体" w:cs="Times New Roman" w:hAnsi="Times New Roman" w:hint="eastAsia"/>
                      <w:color w:val="auto"/>
                      <w:kern w:val="0"/>
                      <w:sz w:val="21"/>
                      <w:szCs w:val="21"/>
                      <w:lang w:val="en-US" w:eastAsia="zh-CN" w:bidi="ar-SA"/>
                      <w:highlight w:val="none"/>
                    </w:rPr>
                    <w:t>。</w:t>
                  </w:r>
                </w:p>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bidi="ar-SA"/>
                      <w:highlight w:val="none"/>
                    </w:rPr>
                    <w:t>规划园区采用集中供热，热源为中节能垃圾焚烧发电厂、宏源热电厂、冀粤垃圾焚烧发电厂、神威热力中心、裕华热电厂及规划新建栾城西中继能源站。</w:t>
                  </w:r>
                </w:p>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供热管网规划采用二级管网系统，热电厂及能源站将高温热水输送到热力站后，经热力站换热后至采暖用户。供热管线采用直埋方式沿路敷设。</w:t>
                  </w:r>
                </w:p>
              </w:tc>
              <w:tc>
                <w:tcPr>
                  <w:tcW w:w="160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项目生产采用电加热，职工冬季采暖由空调提供。</w:t>
                  </w:r>
                </w:p>
              </w:tc>
              <w:tc>
                <w:tcPr>
                  <w:tcW w:w="98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符合</w:t>
                  </w:r>
                </w:p>
              </w:tc>
            </w:tr>
            <w:tr>
              <w:trPr>
                <w:trHeight w:val="1093"/>
              </w:trPr>
              <w:tc>
                <w:tcPr>
                  <w:tcW w:w="426"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供电</w:t>
                  </w:r>
                </w:p>
              </w:tc>
              <w:tc>
                <w:tcPr>
                  <w:tcW w:w="4633"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园区电力由中节能垃圾焚烧发电厂、冀粤垃圾焚烧发电厂、宏源热电厂、裕华热电厂联合供给。园区电压等级根据国家标准电压等级和上级电网情况，规划为</w:t>
                  </w:r>
                  <w:r>
                    <w:rPr>
                      <w:rFonts w:ascii="Times New Roman" w:eastAsia="宋体" w:cs="Times New Roman" w:hAnsi="Times New Roman"/>
                      <w:color w:val="auto"/>
                      <w:sz w:val="21"/>
                      <w:szCs w:val="21"/>
                      <w:lang w:val="en-US" w:eastAsia="zh-CN"/>
                      <w:highlight w:val="none"/>
                    </w:rPr>
                    <w:t>220kV/110kV/10KV/0.4kV</w:t>
                  </w:r>
                  <w:r>
                    <w:rPr>
                      <w:rFonts w:ascii="Times New Roman" w:eastAsia="宋体" w:cs="Times New Roman" w:hAnsi="Times New Roman" w:hint="eastAsia"/>
                      <w:color w:val="auto"/>
                      <w:sz w:val="21"/>
                      <w:szCs w:val="21"/>
                      <w:lang w:val="en-US" w:eastAsia="zh-CN"/>
                      <w:highlight w:val="none"/>
                    </w:rPr>
                    <w:t>的三级电网。以</w:t>
                  </w:r>
                  <w:r>
                    <w:rPr>
                      <w:rFonts w:ascii="Times New Roman" w:eastAsia="宋体" w:cs="Times New Roman" w:hAnsi="Times New Roman"/>
                      <w:color w:val="auto"/>
                      <w:sz w:val="21"/>
                      <w:szCs w:val="21"/>
                      <w:lang w:val="en-US" w:eastAsia="zh-CN"/>
                      <w:highlight w:val="none"/>
                    </w:rPr>
                    <w:t>220kV</w:t>
                  </w:r>
                  <w:r>
                    <w:rPr>
                      <w:rFonts w:ascii="Times New Roman" w:eastAsia="宋体" w:cs="Times New Roman" w:hAnsi="Times New Roman" w:hint="eastAsia"/>
                      <w:color w:val="auto"/>
                      <w:sz w:val="21"/>
                      <w:szCs w:val="21"/>
                      <w:lang w:val="en-US" w:eastAsia="zh-CN"/>
                      <w:highlight w:val="none"/>
                    </w:rPr>
                    <w:t>、</w:t>
                  </w:r>
                  <w:r>
                    <w:rPr>
                      <w:rFonts w:ascii="Times New Roman" w:eastAsia="宋体" w:cs="Times New Roman" w:hAnsi="Times New Roman"/>
                      <w:color w:val="auto"/>
                      <w:sz w:val="21"/>
                      <w:szCs w:val="21"/>
                      <w:lang w:val="en-US" w:eastAsia="zh-CN"/>
                      <w:highlight w:val="none"/>
                    </w:rPr>
                    <w:t>110kV</w:t>
                  </w:r>
                  <w:r>
                    <w:rPr>
                      <w:rFonts w:ascii="Times New Roman" w:eastAsia="宋体" w:cs="Times New Roman" w:hAnsi="Times New Roman" w:hint="eastAsia"/>
                      <w:color w:val="auto"/>
                      <w:sz w:val="21"/>
                      <w:szCs w:val="21"/>
                      <w:lang w:val="en-US" w:eastAsia="zh-CN"/>
                      <w:highlight w:val="none"/>
                    </w:rPr>
                    <w:t>作为园区的送电电压，中压配电电压为</w:t>
                  </w:r>
                  <w:r>
                    <w:rPr>
                      <w:rFonts w:ascii="Times New Roman" w:eastAsia="宋体" w:cs="Times New Roman" w:hAnsi="Times New Roman"/>
                      <w:color w:val="auto"/>
                      <w:sz w:val="21"/>
                      <w:szCs w:val="21"/>
                      <w:lang w:val="en-US" w:eastAsia="zh-CN"/>
                      <w:highlight w:val="none"/>
                    </w:rPr>
                    <w:t>10kV</w:t>
                  </w:r>
                  <w:r>
                    <w:rPr>
                      <w:rFonts w:ascii="Times New Roman" w:eastAsia="宋体" w:cs="Times New Roman" w:hAnsi="Times New Roman" w:hint="eastAsia"/>
                      <w:color w:val="auto"/>
                      <w:sz w:val="21"/>
                      <w:szCs w:val="21"/>
                      <w:lang w:val="en-US" w:eastAsia="zh-CN"/>
                      <w:highlight w:val="none"/>
                    </w:rPr>
                    <w:t>，低压配电电压为</w:t>
                  </w:r>
                  <w:r>
                    <w:rPr>
                      <w:rFonts w:ascii="Times New Roman" w:eastAsia="宋体" w:cs="Times New Roman" w:hAnsi="Times New Roman"/>
                      <w:color w:val="auto"/>
                      <w:sz w:val="21"/>
                      <w:szCs w:val="21"/>
                      <w:lang w:val="en-US" w:eastAsia="zh-CN"/>
                      <w:highlight w:val="none"/>
                    </w:rPr>
                    <w:t>0.4kV</w:t>
                  </w:r>
                  <w:r>
                    <w:rPr>
                      <w:rFonts w:ascii="Times New Roman" w:eastAsia="宋体" w:cs="Times New Roman" w:hAnsi="Times New Roman" w:hint="eastAsia"/>
                      <w:color w:val="auto"/>
                      <w:sz w:val="21"/>
                      <w:szCs w:val="21"/>
                      <w:lang w:val="en-US" w:eastAsia="zh-CN"/>
                      <w:highlight w:val="none"/>
                    </w:rPr>
                    <w:t>（</w:t>
                  </w:r>
                  <w:r>
                    <w:rPr>
                      <w:rFonts w:ascii="Times New Roman" w:eastAsia="宋体" w:cs="Times New Roman" w:hAnsi="Times New Roman"/>
                      <w:color w:val="auto"/>
                      <w:sz w:val="21"/>
                      <w:szCs w:val="21"/>
                      <w:lang w:val="en-US" w:eastAsia="zh-CN"/>
                      <w:highlight w:val="none"/>
                    </w:rPr>
                    <w:t>220/380V</w:t>
                  </w:r>
                  <w:r>
                    <w:rPr>
                      <w:rFonts w:ascii="Times New Roman" w:eastAsia="宋体" w:cs="Times New Roman" w:hAnsi="Times New Roman" w:hint="eastAsia"/>
                      <w:color w:val="auto"/>
                      <w:sz w:val="21"/>
                      <w:szCs w:val="21"/>
                      <w:lang w:val="en-US" w:eastAsia="zh-CN"/>
                      <w:highlight w:val="none"/>
                    </w:rPr>
                    <w:t>）。规划保留园区范围内</w:t>
                  </w:r>
                  <w:r>
                    <w:rPr>
                      <w:rFonts w:ascii="Times New Roman" w:eastAsia="宋体" w:cs="Times New Roman" w:hAnsi="Times New Roman"/>
                      <w:color w:val="auto"/>
                      <w:sz w:val="21"/>
                      <w:szCs w:val="21"/>
                      <w:lang w:val="en-US" w:eastAsia="zh-CN"/>
                      <w:highlight w:val="none"/>
                    </w:rPr>
                    <w:t>220kV</w:t>
                  </w:r>
                  <w:r>
                    <w:rPr>
                      <w:rFonts w:ascii="Times New Roman" w:eastAsia="宋体" w:cs="Times New Roman" w:hAnsi="Times New Roman" w:hint="eastAsia"/>
                      <w:color w:val="auto"/>
                      <w:sz w:val="21"/>
                      <w:szCs w:val="21"/>
                      <w:lang w:val="en-US" w:eastAsia="zh-CN"/>
                      <w:highlight w:val="none"/>
                    </w:rPr>
                    <w:t>龙岗站、</w:t>
                  </w:r>
                  <w:r>
                    <w:rPr>
                      <w:rFonts w:ascii="Times New Roman" w:eastAsia="宋体" w:cs="Times New Roman" w:hAnsi="Times New Roman"/>
                      <w:color w:val="auto"/>
                      <w:sz w:val="21"/>
                      <w:szCs w:val="21"/>
                      <w:lang w:val="en-US" w:eastAsia="zh-CN"/>
                      <w:highlight w:val="none"/>
                    </w:rPr>
                    <w:t>110kV</w:t>
                  </w:r>
                  <w:r>
                    <w:rPr>
                      <w:rFonts w:ascii="Times New Roman" w:eastAsia="宋体" w:cs="Times New Roman" w:hAnsi="Times New Roman" w:hint="eastAsia"/>
                      <w:color w:val="auto"/>
                      <w:sz w:val="21"/>
                      <w:szCs w:val="21"/>
                      <w:lang w:val="en-US" w:eastAsia="zh-CN"/>
                      <w:highlight w:val="none"/>
                    </w:rPr>
                    <w:t>栾城站、</w:t>
                  </w:r>
                  <w:r>
                    <w:rPr>
                      <w:rFonts w:ascii="Times New Roman" w:eastAsia="宋体" w:cs="Times New Roman" w:hAnsi="Times New Roman"/>
                      <w:color w:val="auto"/>
                      <w:sz w:val="21"/>
                      <w:szCs w:val="21"/>
                      <w:lang w:val="en-US" w:eastAsia="zh-CN"/>
                      <w:highlight w:val="none"/>
                    </w:rPr>
                    <w:t>110kV</w:t>
                  </w:r>
                  <w:r>
                    <w:rPr>
                      <w:rFonts w:ascii="Times New Roman" w:eastAsia="宋体" w:cs="Times New Roman" w:hAnsi="Times New Roman" w:hint="eastAsia"/>
                      <w:color w:val="auto"/>
                      <w:sz w:val="21"/>
                      <w:szCs w:val="21"/>
                      <w:lang w:val="en-US" w:eastAsia="zh-CN"/>
                      <w:highlight w:val="none"/>
                    </w:rPr>
                    <w:t>窦妪站、</w:t>
                  </w:r>
                  <w:r>
                    <w:rPr>
                      <w:rFonts w:ascii="Times New Roman" w:eastAsia="宋体" w:cs="Times New Roman" w:hAnsi="Times New Roman"/>
                      <w:color w:val="auto"/>
                      <w:sz w:val="21"/>
                      <w:szCs w:val="21"/>
                      <w:lang w:val="en-US" w:eastAsia="zh-CN"/>
                      <w:highlight w:val="none"/>
                    </w:rPr>
                    <w:t>110kV</w:t>
                  </w:r>
                  <w:r>
                    <w:rPr>
                      <w:rFonts w:ascii="Times New Roman" w:eastAsia="宋体" w:cs="Times New Roman" w:hAnsi="Times New Roman" w:hint="eastAsia"/>
                      <w:color w:val="auto"/>
                      <w:sz w:val="21"/>
                      <w:szCs w:val="21"/>
                      <w:lang w:val="en-US" w:eastAsia="zh-CN"/>
                      <w:highlight w:val="none"/>
                    </w:rPr>
                    <w:t>苏邱站</w:t>
                  </w:r>
                  <w:r>
                    <w:rPr>
                      <w:rFonts w:ascii="Times New Roman" w:eastAsia="宋体" w:cs="Times New Roman" w:hAnsi="Times New Roman"/>
                      <w:color w:val="auto"/>
                      <w:sz w:val="21"/>
                      <w:szCs w:val="21"/>
                      <w:lang w:val="en-US" w:eastAsia="zh-CN"/>
                      <w:highlight w:val="none"/>
                    </w:rPr>
                    <w:t>4</w:t>
                  </w:r>
                  <w:r>
                    <w:rPr>
                      <w:rFonts w:ascii="Times New Roman" w:eastAsia="宋体" w:cs="Times New Roman" w:hAnsi="Times New Roman" w:hint="eastAsia"/>
                      <w:color w:val="auto"/>
                      <w:sz w:val="21"/>
                      <w:szCs w:val="21"/>
                      <w:lang w:val="en-US" w:eastAsia="zh-CN"/>
                      <w:highlight w:val="none"/>
                    </w:rPr>
                    <w:t>座变电站，并新建</w:t>
                  </w:r>
                  <w:r>
                    <w:rPr>
                      <w:rFonts w:ascii="Times New Roman" w:eastAsia="宋体" w:cs="Times New Roman" w:hAnsi="Times New Roman"/>
                      <w:color w:val="auto"/>
                      <w:sz w:val="21"/>
                      <w:szCs w:val="21"/>
                      <w:lang w:val="en-US" w:eastAsia="zh-CN"/>
                      <w:highlight w:val="none"/>
                    </w:rPr>
                    <w:t>220kV</w:t>
                  </w:r>
                  <w:r>
                    <w:rPr>
                      <w:rFonts w:ascii="Times New Roman" w:eastAsia="宋体" w:cs="Times New Roman" w:hAnsi="Times New Roman" w:hint="eastAsia"/>
                      <w:color w:val="auto"/>
                      <w:sz w:val="21"/>
                      <w:szCs w:val="21"/>
                      <w:lang w:val="en-US" w:eastAsia="zh-CN"/>
                      <w:highlight w:val="none"/>
                    </w:rPr>
                    <w:t>变电站一座、</w:t>
                  </w:r>
                  <w:r>
                    <w:rPr>
                      <w:rFonts w:ascii="Times New Roman" w:eastAsia="宋体" w:cs="Times New Roman" w:hAnsi="Times New Roman"/>
                      <w:color w:val="auto"/>
                      <w:sz w:val="21"/>
                      <w:szCs w:val="21"/>
                      <w:lang w:val="en-US" w:eastAsia="zh-CN"/>
                      <w:highlight w:val="none"/>
                    </w:rPr>
                    <w:t>110kV</w:t>
                  </w:r>
                  <w:r>
                    <w:rPr>
                      <w:rFonts w:ascii="Times New Roman" w:eastAsia="宋体" w:cs="Times New Roman" w:hAnsi="Times New Roman" w:hint="eastAsia"/>
                      <w:color w:val="auto"/>
                      <w:sz w:val="21"/>
                      <w:szCs w:val="21"/>
                      <w:lang w:val="en-US" w:eastAsia="zh-CN"/>
                      <w:highlight w:val="none"/>
                    </w:rPr>
                    <w:t>变电站</w:t>
                  </w:r>
                  <w:r>
                    <w:rPr>
                      <w:rFonts w:ascii="Times New Roman" w:eastAsia="宋体" w:cs="Times New Roman" w:hAnsi="Times New Roman"/>
                      <w:color w:val="auto"/>
                      <w:sz w:val="21"/>
                      <w:szCs w:val="21"/>
                      <w:lang w:val="en-US" w:eastAsia="zh-CN"/>
                      <w:highlight w:val="none"/>
                    </w:rPr>
                    <w:t>4</w:t>
                  </w:r>
                  <w:r>
                    <w:rPr>
                      <w:rFonts w:ascii="Times New Roman" w:eastAsia="宋体" w:cs="Times New Roman" w:hAnsi="Times New Roman" w:hint="eastAsia"/>
                      <w:color w:val="auto"/>
                      <w:sz w:val="21"/>
                      <w:szCs w:val="21"/>
                      <w:lang w:val="en-US" w:eastAsia="zh-CN"/>
                      <w:highlight w:val="none"/>
                    </w:rPr>
                    <w:t>座。</w:t>
                  </w:r>
                </w:p>
              </w:tc>
              <w:tc>
                <w:tcPr>
                  <w:tcW w:w="160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项目用电由园区供电管网提供。</w:t>
                  </w:r>
                </w:p>
              </w:tc>
              <w:tc>
                <w:tcPr>
                  <w:tcW w:w="98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符合</w:t>
                  </w:r>
                </w:p>
              </w:tc>
            </w:tr>
            <w:tr>
              <w:trPr>
                <w:trHeight w:val="2995"/>
              </w:trPr>
              <w:tc>
                <w:tcPr>
                  <w:tcW w:w="426" w:type="dxa"/>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燃气</w:t>
                  </w:r>
                </w:p>
              </w:tc>
              <w:tc>
                <w:tcPr>
                  <w:tcW w:w="4633"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bidi="ar-SA"/>
                      <w:highlight w:val="none"/>
                    </w:rPr>
                    <w:t>规划以天然气为主要气源，管道天然气采用京石邯长输管道为气源。栾城区境内接入点为西营门站，元氏县境内接入点为城东门站。</w:t>
                  </w:r>
                </w:p>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bidi="ar-SA"/>
                      <w:highlight w:val="none"/>
                    </w:rPr>
                    <w:t>园区规划远期天然气新增用量为</w:t>
                  </w:r>
                  <w:r>
                    <w:rPr>
                      <w:rFonts w:ascii="Times New Roman" w:cs="Times New Roman" w:hAnsi="Times New Roman" w:hint="eastAsia"/>
                      <w:color w:val="auto"/>
                      <w:kern w:val="0"/>
                      <w:sz w:val="21"/>
                      <w:szCs w:val="21"/>
                      <w:lang w:val="en-US" w:eastAsia="zh-CN" w:bidi="ar-SA"/>
                      <w:highlight w:val="none"/>
                    </w:rPr>
                    <w:t>2855.43</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cs="Times New Roman" w:hAnsi="Times New Roman" w:hint="eastAsia"/>
                      <w:color w:val="auto"/>
                      <w:kern w:val="0"/>
                      <w:sz w:val="21"/>
                      <w:szCs w:val="21"/>
                      <w:vertAlign w:val="baseline"/>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年，其中栾城区境内天然气用量为</w:t>
                  </w:r>
                  <w:r>
                    <w:rPr>
                      <w:rFonts w:ascii="Times New Roman" w:cs="Times New Roman" w:hAnsi="Times New Roman" w:hint="eastAsia"/>
                      <w:color w:val="auto"/>
                      <w:kern w:val="0"/>
                      <w:sz w:val="21"/>
                      <w:szCs w:val="21"/>
                      <w:lang w:val="en-US" w:eastAsia="zh-CN" w:bidi="ar-SA"/>
                      <w:highlight w:val="none"/>
                    </w:rPr>
                    <w:t>2647.32</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cs="Times New Roman" w:hAnsi="Times New Roman" w:hint="eastAsia"/>
                      <w:color w:val="auto"/>
                      <w:kern w:val="0"/>
                      <w:sz w:val="21"/>
                      <w:szCs w:val="21"/>
                      <w:vertAlign w:val="baseline"/>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年、元氏县境内天然气用量为</w:t>
                  </w:r>
                  <w:r>
                    <w:rPr>
                      <w:rFonts w:ascii="Times New Roman" w:cs="Times New Roman" w:hAnsi="Times New Roman" w:hint="eastAsia"/>
                      <w:color w:val="auto"/>
                      <w:kern w:val="0"/>
                      <w:sz w:val="21"/>
                      <w:szCs w:val="21"/>
                      <w:lang w:val="en-US" w:eastAsia="zh-CN" w:bidi="ar-SA"/>
                      <w:highlight w:val="none"/>
                    </w:rPr>
                    <w:t>208.11</w:t>
                  </w:r>
                  <w:r>
                    <w:rPr>
                      <w:rFonts w:ascii="Times New Roman" w:eastAsia="宋体" w:cs="Times New Roman" w:hAnsi="Times New Roman" w:hint="eastAsia"/>
                      <w:color w:val="auto"/>
                      <w:kern w:val="0"/>
                      <w:sz w:val="21"/>
                      <w:szCs w:val="21"/>
                      <w:lang w:val="en-US" w:eastAsia="zh-CN" w:bidi="ar-SA"/>
                      <w:highlight w:val="none"/>
                    </w:rPr>
                    <w:t>万</w:t>
                  </w:r>
                  <w:r>
                    <w:rPr>
                      <w:rFonts w:ascii="Times New Roman" w:eastAsia="宋体" w:cs="Times New Roman" w:hAnsi="Times New Roman"/>
                      <w:color w:val="auto"/>
                      <w:kern w:val="0"/>
                      <w:sz w:val="21"/>
                      <w:szCs w:val="21"/>
                      <w:lang w:val="en-US" w:eastAsia="zh-CN" w:bidi="ar-SA"/>
                      <w:highlight w:val="none"/>
                    </w:rPr>
                    <w:t>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cs="Times New Roman" w:hAnsi="Times New Roman" w:hint="eastAsia"/>
                      <w:color w:val="auto"/>
                      <w:kern w:val="0"/>
                      <w:sz w:val="21"/>
                      <w:szCs w:val="21"/>
                      <w:vertAlign w:val="baseline"/>
                      <w:lang w:val="en-US" w:eastAsia="zh-CN" w:bidi="ar-SA"/>
                      <w:highlight w:val="none"/>
                    </w:rPr>
                    <w:t>/</w:t>
                  </w:r>
                  <w:r>
                    <w:rPr>
                      <w:rFonts w:ascii="Times New Roman" w:eastAsia="宋体" w:cs="Times New Roman" w:hAnsi="Times New Roman" w:hint="eastAsia"/>
                      <w:color w:val="auto"/>
                      <w:kern w:val="0"/>
                      <w:sz w:val="21"/>
                      <w:szCs w:val="21"/>
                      <w:lang w:val="en-US" w:eastAsia="zh-CN" w:bidi="ar-SA"/>
                      <w:highlight w:val="none"/>
                    </w:rPr>
                    <w:t>年。</w:t>
                  </w:r>
                </w:p>
                <w:p>
                  <w:pPr>
                    <w:keepNext w:val="0"/>
                    <w:keepLines w:val="0"/>
                    <w:widowControl/>
                    <w:suppressLineNumbers w:val="0"/>
                    <w:spacing w:before="0" w:beforeAutospacing="0" w:after="0" w:afterAutospacing="0"/>
                    <w:ind w:left="0" w:right="0"/>
                    <w:jc w:val="center"/>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kern w:val="0"/>
                      <w:sz w:val="21"/>
                      <w:szCs w:val="21"/>
                      <w:lang w:val="en-US" w:eastAsia="zh-CN" w:bidi="ar-SA"/>
                      <w:highlight w:val="none"/>
                    </w:rPr>
                    <w:t>园区天然气管网采用中压一级管网系统，工作压力</w:t>
                  </w:r>
                  <w:r>
                    <w:rPr>
                      <w:rFonts w:ascii="Times New Roman" w:eastAsia="宋体" w:cs="Times New Roman" w:hAnsi="Times New Roman"/>
                      <w:color w:val="auto"/>
                      <w:kern w:val="0"/>
                      <w:sz w:val="21"/>
                      <w:szCs w:val="21"/>
                      <w:lang w:val="en-US" w:eastAsia="zh-CN" w:bidi="ar-SA"/>
                      <w:highlight w:val="none"/>
                    </w:rPr>
                    <w:t>0.4Mpa</w:t>
                  </w:r>
                  <w:r>
                    <w:rPr>
                      <w:rFonts w:ascii="Times New Roman" w:eastAsia="宋体" w:cs="Times New Roman" w:hAnsi="Times New Roman" w:hint="eastAsia"/>
                      <w:color w:val="auto"/>
                      <w:kern w:val="0"/>
                      <w:sz w:val="21"/>
                      <w:szCs w:val="21"/>
                      <w:lang w:val="en-US" w:eastAsia="zh-CN" w:bidi="ar-SA"/>
                      <w:highlight w:val="none"/>
                    </w:rPr>
                    <w:t>，由京石邯天然气长输管线供应，经调压站调压至用户。燃气管网采用环形管网，保证燃气的供气安全，管径为</w:t>
                  </w:r>
                  <w:r>
                    <w:rPr>
                      <w:rFonts w:ascii="Times New Roman" w:eastAsia="宋体" w:cs="Times New Roman" w:hAnsi="Times New Roman"/>
                      <w:color w:val="auto"/>
                      <w:kern w:val="0"/>
                      <w:sz w:val="21"/>
                      <w:szCs w:val="21"/>
                      <w:lang w:val="en-US" w:eastAsia="zh-CN" w:bidi="ar-SA"/>
                      <w:highlight w:val="none"/>
                    </w:rPr>
                    <w:t>150-250mm</w:t>
                  </w:r>
                  <w:r>
                    <w:rPr>
                      <w:rFonts w:ascii="Times New Roman" w:eastAsia="宋体" w:cs="Times New Roman" w:hAnsi="Times New Roman" w:hint="eastAsia"/>
                      <w:color w:val="auto"/>
                      <w:kern w:val="0"/>
                      <w:sz w:val="21"/>
                      <w:szCs w:val="21"/>
                      <w:lang w:val="en-US" w:eastAsia="zh-CN" w:bidi="ar-SA"/>
                      <w:highlight w:val="none"/>
                    </w:rPr>
                    <w:t>。</w:t>
                  </w:r>
                </w:p>
              </w:tc>
              <w:tc>
                <w:tcPr>
                  <w:tcW w:w="160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项目不使用天然气。</w:t>
                  </w:r>
                </w:p>
              </w:tc>
              <w:tc>
                <w:tcPr>
                  <w:tcW w:w="981" w:type="dxa"/>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符合</w:t>
                  </w:r>
                </w:p>
              </w:tc>
            </w:tr>
          </w:tbl>
          <w:p>
            <w:pPr>
              <w:pStyle w:val="178"/>
              <w:keepNext w:val="0"/>
              <w:keepLines w:val="0"/>
              <w:suppressLineNumbers w:val="0"/>
              <w:spacing w:before="0" w:beforeAutospacing="0" w:after="0" w:afterAutospacing="0"/>
              <w:ind w:left="0" w:right="0"/>
              <w:rPr>
                <w:rFonts w:ascii="Times New Roman" w:eastAsia="宋体" w:cs="Times New Roman" w:hAnsi="Times New Roman"/>
                <w:b/>
                <w:bCs/>
                <w:color w:val="auto"/>
                <w:lang w:val="en-US" w:eastAsia="zh-CN"/>
                <w:highlight w:val="none"/>
              </w:rPr>
            </w:pPr>
          </w:p>
          <w:p>
            <w:pPr>
              <w:pStyle w:val="178"/>
              <w:keepNext w:val="0"/>
              <w:keepLines w:val="0"/>
              <w:suppressLineNumbers w:val="0"/>
              <w:spacing w:before="0" w:beforeAutospacing="0" w:after="0" w:afterAutospacing="0"/>
              <w:ind w:left="0" w:right="0"/>
              <w:rPr>
                <w:rFonts w:ascii="Times New Roman" w:eastAsia="宋体" w:cs="Times New Roman" w:hAnsi="Times New Roman"/>
                <w:b/>
                <w:bCs/>
                <w:color w:val="auto"/>
                <w:lang w:val="en-US" w:eastAsia="zh-CN"/>
                <w:highlight w:val="none"/>
              </w:rPr>
            </w:pPr>
          </w:p>
          <w:p>
            <w:pPr>
              <w:pStyle w:val="178"/>
              <w:keepNext w:val="0"/>
              <w:keepLines w:val="0"/>
              <w:suppressLineNumbers w:val="0"/>
              <w:spacing w:before="0" w:beforeAutospacing="0" w:after="0" w:afterAutospacing="0"/>
              <w:ind w:left="0" w:right="0"/>
              <w:rPr>
                <w:rFonts w:ascii="Times New Roman" w:eastAsia="宋体" w:cs="Times New Roman" w:hAnsi="Times New Roman"/>
                <w:b/>
                <w:bCs/>
                <w:color w:val="auto"/>
                <w:lang w:val="en-US" w:eastAsia="zh-CN"/>
                <w:highlight w:val="none"/>
              </w:rPr>
            </w:pPr>
          </w:p>
          <w:p>
            <w:pPr>
              <w:pStyle w:val="178"/>
              <w:keepNext w:val="0"/>
              <w:keepLines w:val="0"/>
              <w:suppressLineNumbers w:val="0"/>
              <w:spacing w:before="0" w:beforeAutospacing="0" w:after="0" w:afterAutospacing="0"/>
              <w:ind w:left="0" w:right="0"/>
              <w:rPr>
                <w:rFonts w:ascii="Times New Roman" w:eastAsia="宋体" w:cs="Times New Roman" w:hAnsi="Times New Roman"/>
                <w:b/>
                <w:bCs/>
                <w:color w:val="auto"/>
                <w:lang w:val="en-US" w:eastAsia="zh-CN"/>
                <w:highlight w:val="none"/>
              </w:rPr>
            </w:pPr>
            <w:r>
              <w:rPr>
                <w:rFonts w:ascii="Times New Roman" w:eastAsia="宋体" w:cs="Times New Roman" w:hAnsi="Times New Roman"/>
                <w:b/>
                <w:bCs/>
                <w:color w:val="auto"/>
                <w:sz w:val="24"/>
                <w:szCs w:val="20"/>
                <w:lang w:val="en-US" w:eastAsia="zh-CN"/>
                <w:highlight w:val="none"/>
              </w:rPr>
              <w:t>2、</w:t>
            </w:r>
            <w:r>
              <w:rPr>
                <w:rFonts w:ascii="Times New Roman" w:eastAsia="宋体" w:cs="Times New Roman" w:hAnsi="Times New Roman" w:hint="eastAsia"/>
                <w:b/>
                <w:bCs/>
                <w:color w:val="auto"/>
                <w:sz w:val="24"/>
                <w:szCs w:val="20"/>
                <w:lang w:val="en-US" w:eastAsia="zh-CN"/>
                <w:highlight w:val="none"/>
              </w:rPr>
              <w:t>规划环评结论符合性</w:t>
            </w:r>
          </w:p>
          <w:p>
            <w:pPr>
              <w:pStyle w:val="178"/>
              <w:keepNext w:val="0"/>
              <w:keepLines w:val="0"/>
              <w:suppressLineNumbers w:val="0"/>
              <w:spacing w:before="0" w:beforeAutospacing="0" w:after="0" w:afterAutospacing="0"/>
              <w:ind w:left="0" w:right="0"/>
              <w:rPr>
                <w:rFonts w:ascii="Times New Roman" w:eastAsia="宋体" w:cs="Times New Roman" w:hAnsi="Times New Roman" w:hint="eastAsia"/>
                <w:color w:val="auto"/>
                <w:lang w:val="en-US" w:eastAsia="zh-CN"/>
                <w:highlight w:val="none"/>
              </w:rPr>
            </w:pPr>
            <w:r>
              <w:rPr>
                <w:rFonts w:ascii="Times New Roman" w:eastAsia="宋体" w:cs="Times New Roman" w:hAnsi="Times New Roman" w:hint="eastAsia"/>
                <w:color w:val="auto"/>
                <w:sz w:val="24"/>
                <w:szCs w:val="20"/>
                <w:lang w:val="en-US" w:eastAsia="zh-CN"/>
                <w:highlight w:val="none"/>
              </w:rPr>
              <w:t>本项目与规划环评结论符合性分析情况见下表：</w:t>
            </w:r>
          </w:p>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eastAsia="宋体" w:cs="Times New Roman" w:hAnsi="Times New Roman"/>
                <w:b/>
                <w:bCs/>
                <w:color w:val="auto"/>
                <w:sz w:val="24"/>
                <w:highlight w:val="none"/>
              </w:rPr>
            </w:pPr>
            <w:r>
              <w:rPr>
                <w:rFonts w:ascii="Times New Roman" w:eastAsia="宋体" w:cs="Times New Roman" w:hAnsi="Times New Roman" w:hint="eastAsia"/>
                <w:b/>
                <w:bCs/>
                <w:color w:val="auto"/>
                <w:sz w:val="24"/>
                <w:szCs w:val="20"/>
                <w:lang w:val="en-US" w:eastAsia="zh-CN"/>
                <w:highlight w:val="none"/>
              </w:rPr>
              <w:t>表</w:t>
            </w:r>
            <w:r>
              <w:rPr>
                <w:rFonts w:ascii="Times New Roman" w:eastAsia="宋体" w:cs="Times New Roman" w:hAnsi="Times New Roman"/>
                <w:b/>
                <w:bCs/>
                <w:color w:val="auto"/>
                <w:sz w:val="24"/>
                <w:szCs w:val="20"/>
                <w:lang w:val="en-US" w:eastAsia="zh-CN"/>
                <w:highlight w:val="none"/>
              </w:rPr>
              <w:t>1-</w:t>
            </w:r>
            <w:r>
              <w:rPr>
                <w:rFonts w:ascii="Times New Roman" w:cs="Times New Roman" w:hAnsi="Times New Roman" w:hint="eastAsia"/>
                <w:b/>
                <w:bCs/>
                <w:color w:val="auto"/>
                <w:sz w:val="24"/>
                <w:szCs w:val="20"/>
                <w:lang w:val="en-US" w:eastAsia="zh-CN"/>
                <w:highlight w:val="none"/>
              </w:rPr>
              <w:t>3</w:t>
            </w:r>
            <w:r>
              <w:rPr>
                <w:rFonts w:ascii="Times New Roman" w:eastAsia="宋体" w:cs="Times New Roman" w:hAnsi="Times New Roman" w:hint="eastAsia"/>
                <w:color w:val="auto"/>
                <w:sz w:val="24"/>
                <w:szCs w:val="20"/>
                <w:lang w:val="en-US" w:eastAsia="zh-CN"/>
                <w:highlight w:val="none"/>
              </w:rPr>
              <w:t xml:space="preserve">  </w:t>
            </w:r>
            <w:r>
              <w:rPr>
                <w:rFonts w:ascii="Times New Roman" w:eastAsia="宋体" w:cs="Times New Roman" w:hAnsi="Times New Roman"/>
                <w:color w:val="auto"/>
                <w:sz w:val="24"/>
                <w:szCs w:val="20"/>
                <w:lang w:val="en-US" w:eastAsia="zh-CN"/>
                <w:highlight w:val="none"/>
              </w:rPr>
              <w:t xml:space="preserve"> </w:t>
            </w:r>
            <w:r>
              <w:rPr>
                <w:rFonts w:ascii="Times New Roman" w:eastAsia="宋体" w:cs="Times New Roman" w:hAnsi="Times New Roman" w:hint="eastAsia"/>
                <w:b/>
                <w:bCs/>
                <w:color w:val="auto"/>
                <w:sz w:val="24"/>
                <w:szCs w:val="20"/>
                <w:lang w:val="en-US" w:eastAsia="zh-CN"/>
                <w:highlight w:val="none"/>
              </w:rPr>
              <w:t>项目与规划环评结论符合性分析一览表</w:t>
            </w:r>
          </w:p>
          <w:tbl>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734"/>
              <w:gridCol w:w="4043"/>
              <w:gridCol w:w="1832"/>
              <w:gridCol w:w="983"/>
            </w:tblGrid>
            <w:tr>
              <w:trPr>
                <w:trHeight w:val="397"/>
              </w:trPr>
              <w:tc>
                <w:tcPr>
                  <w:tcW w:w="734" w:type="dxa"/>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eastAsia="宋体" w:cs="Times New Roman" w:hAnsi="Times New Roman" w:hint="eastAsia"/>
                      <w:b/>
                      <w:bCs/>
                      <w:color w:val="auto"/>
                      <w:kern w:val="2"/>
                      <w:sz w:val="21"/>
                      <w:szCs w:val="21"/>
                      <w:lang w:val="en-US" w:eastAsia="zh-CN" w:bidi="ar-SA"/>
                      <w:highlight w:val="none"/>
                    </w:rPr>
                  </w:pPr>
                  <w:r>
                    <w:rPr>
                      <w:rFonts w:ascii="Times New Roman" w:eastAsia="宋体" w:cs="Times New Roman" w:hAnsi="Times New Roman" w:hint="eastAsia"/>
                      <w:b/>
                      <w:bCs/>
                      <w:color w:val="auto"/>
                      <w:kern w:val="2"/>
                      <w:sz w:val="21"/>
                      <w:szCs w:val="21"/>
                      <w:lang w:val="en-US" w:eastAsia="zh-CN" w:bidi="ar-SA"/>
                      <w:highlight w:val="none"/>
                    </w:rPr>
                    <w:t>序号</w:t>
                  </w:r>
                </w:p>
              </w:tc>
              <w:tc>
                <w:tcPr>
                  <w:tcW w:w="4043" w:type="dxa"/>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b/>
                      <w:bCs/>
                      <w:color w:val="auto"/>
                      <w:kern w:val="2"/>
                      <w:sz w:val="21"/>
                      <w:szCs w:val="21"/>
                      <w:lang w:val="en-US" w:eastAsia="zh-CN" w:bidi="ar-SA"/>
                      <w:highlight w:val="none"/>
                    </w:rPr>
                  </w:pPr>
                  <w:r>
                    <w:rPr>
                      <w:rFonts w:ascii="Times New Roman" w:eastAsia="宋体" w:cs="Times New Roman" w:hAnsi="Times New Roman" w:hint="eastAsia"/>
                      <w:b/>
                      <w:bCs/>
                      <w:color w:val="auto"/>
                      <w:kern w:val="2"/>
                      <w:sz w:val="21"/>
                      <w:szCs w:val="21"/>
                      <w:lang w:val="en-US" w:eastAsia="zh-CN" w:bidi="ar-SA"/>
                      <w:highlight w:val="none"/>
                    </w:rPr>
                    <w:t>相关内容</w:t>
                  </w:r>
                </w:p>
              </w:tc>
              <w:tc>
                <w:tcPr>
                  <w:tcW w:w="1832" w:type="dxa"/>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b/>
                      <w:bCs/>
                      <w:color w:val="auto"/>
                      <w:kern w:val="2"/>
                      <w:sz w:val="21"/>
                      <w:szCs w:val="21"/>
                      <w:lang w:val="en-US" w:eastAsia="zh-CN" w:bidi="ar-SA"/>
                      <w:highlight w:val="none"/>
                    </w:rPr>
                  </w:pPr>
                  <w:r>
                    <w:rPr>
                      <w:rFonts w:ascii="Times New Roman" w:eastAsia="宋体" w:cs="Times New Roman" w:hAnsi="Times New Roman" w:hint="eastAsia"/>
                      <w:b/>
                      <w:bCs/>
                      <w:color w:val="auto"/>
                      <w:kern w:val="2"/>
                      <w:sz w:val="21"/>
                      <w:szCs w:val="21"/>
                      <w:lang w:val="en-US" w:eastAsia="zh-CN" w:bidi="ar-SA"/>
                      <w:highlight w:val="none"/>
                    </w:rPr>
                    <w:t>项目情况</w:t>
                  </w:r>
                </w:p>
              </w:tc>
              <w:tc>
                <w:tcPr>
                  <w:tcW w:w="983" w:type="dxa"/>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b/>
                      <w:bCs/>
                      <w:color w:val="auto"/>
                      <w:kern w:val="2"/>
                      <w:sz w:val="21"/>
                      <w:szCs w:val="21"/>
                      <w:lang w:val="en-US" w:eastAsia="zh-CN" w:bidi="ar-SA"/>
                      <w:highlight w:val="none"/>
                    </w:rPr>
                  </w:pPr>
                  <w:r>
                    <w:rPr>
                      <w:rFonts w:ascii="Times New Roman" w:eastAsia="宋体" w:cs="Times New Roman" w:hAnsi="Times New Roman" w:hint="eastAsia"/>
                      <w:b/>
                      <w:bCs/>
                      <w:color w:val="auto"/>
                      <w:kern w:val="2"/>
                      <w:sz w:val="21"/>
                      <w:szCs w:val="21"/>
                      <w:lang w:val="en-US" w:eastAsia="zh-CN" w:bidi="ar-SA"/>
                      <w:highlight w:val="none"/>
                    </w:rPr>
                    <w:t>符合性</w:t>
                  </w:r>
                </w:p>
              </w:tc>
            </w:tr>
            <w:tr>
              <w:trPr>
                <w:trHeight w:val="397"/>
              </w:trPr>
              <w:tc>
                <w:tcPr>
                  <w:tcW w:w="734" w:type="dxa"/>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hint="eastAsia"/>
                      <w:color w:val="auto"/>
                      <w:szCs w:val="21"/>
                      <w:lang w:val="en-US" w:eastAsia="zh-CN"/>
                      <w:highlight w:val="none"/>
                    </w:rPr>
                  </w:pPr>
                  <w:r>
                    <w:rPr>
                      <w:rFonts w:ascii="Times New Roman" w:eastAsia="宋体" w:cs="Times New Roman" w:hAnsi="Times New Roman" w:hint="eastAsia"/>
                      <w:color w:val="auto"/>
                      <w:sz w:val="21"/>
                      <w:szCs w:val="21"/>
                      <w:lang w:val="en-US" w:eastAsia="zh-CN"/>
                      <w:highlight w:val="none"/>
                    </w:rPr>
                    <w:t>1</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szCs w:val="21"/>
                      <w:highlight w:val="none"/>
                    </w:rPr>
                  </w:pPr>
                  <w:r>
                    <w:rPr>
                      <w:rFonts w:ascii="Times New Roman" w:eastAsia="宋体" w:cs="Times New Roman" w:hAnsi="Times New Roman" w:hint="eastAsia"/>
                      <w:color w:val="auto"/>
                      <w:kern w:val="2"/>
                      <w:sz w:val="21"/>
                      <w:szCs w:val="21"/>
                      <w:lang w:val="en-US" w:eastAsia="zh-CN" w:bidi="ar-SA"/>
                      <w:highlight w:val="none"/>
                    </w:rPr>
                    <w:t>规划分析结论：阐述了规划期限、范围、园区性质、产业定位。</w:t>
                  </w:r>
                </w:p>
              </w:tc>
              <w:tc>
                <w:tcPr>
                  <w:tcW w:w="1832" w:type="dxa"/>
                  <w:vMerge w:val="restart"/>
                  <w:tcBorders>
                    <w:left w:val="single" w:sz="4" w:space="0" w:color="auto"/>
                  </w:tcBorders>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both"/>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本项目位于石家庄栾城区装备制造产业园内，</w:t>
                  </w:r>
                  <w:r>
                    <w:rPr>
                      <w:rFonts w:ascii="Times New Roman" w:cs="Times New Roman" w:hAnsi="Times New Roman" w:hint="eastAsia"/>
                      <w:color w:val="auto"/>
                      <w:kern w:val="2"/>
                      <w:sz w:val="21"/>
                      <w:szCs w:val="21"/>
                      <w:lang w:val="en-US" w:eastAsia="zh-CN" w:bidi="ar-SA"/>
                      <w:highlight w:val="none"/>
                    </w:rPr>
                    <w:t>窦妪村装备制造产业园区奥翔街6-1号（院内3号房）</w:t>
                  </w:r>
                  <w:r>
                    <w:rPr>
                      <w:rFonts w:ascii="Times New Roman" w:eastAsia="宋体" w:cs="Times New Roman" w:hAnsi="Times New Roman" w:hint="eastAsia"/>
                      <w:color w:val="auto"/>
                      <w:kern w:val="2"/>
                      <w:sz w:val="21"/>
                      <w:szCs w:val="21"/>
                      <w:lang w:val="en-US" w:eastAsia="zh-CN" w:bidi="ar-SA"/>
                      <w:highlight w:val="none"/>
                    </w:rPr>
                    <w:t>，</w:t>
                  </w:r>
                  <w:r>
                    <w:rPr>
                      <w:rFonts w:ascii="Times New Roman" w:cs="Times New Roman" w:hAnsi="Times New Roman" w:hint="eastAsia"/>
                      <w:color w:val="auto"/>
                      <w:kern w:val="2"/>
                      <w:sz w:val="21"/>
                      <w:szCs w:val="21"/>
                      <w:lang w:val="en-US" w:eastAsia="zh-CN" w:bidi="ar-SA"/>
                      <w:highlight w:val="none"/>
                    </w:rPr>
                    <w:t>本项目为改建项目，项目产品为汽车塑料配件，属于汽车零部件，符合园区规划定位</w:t>
                  </w:r>
                  <w:r>
                    <w:rPr>
                      <w:rFonts w:ascii="Times New Roman" w:eastAsia="宋体" w:cs="Times New Roman" w:hAnsi="Times New Roman" w:hint="eastAsia"/>
                      <w:color w:val="auto"/>
                      <w:kern w:val="2"/>
                      <w:sz w:val="21"/>
                      <w:szCs w:val="21"/>
                      <w:lang w:val="en-US" w:eastAsia="zh-CN" w:bidi="ar-SA"/>
                      <w:highlight w:val="none"/>
                    </w:rPr>
                    <w:t>。</w:t>
                  </w:r>
                </w:p>
              </w:tc>
              <w:tc>
                <w:tcPr>
                  <w:tcW w:w="983"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符合</w:t>
                  </w:r>
                </w:p>
              </w:tc>
            </w:tr>
            <w:tr>
              <w:trPr>
                <w:trHeight w:val="397"/>
              </w:trPr>
              <w:tc>
                <w:tcPr>
                  <w:tcW w:w="734" w:type="dxa"/>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hint="eastAsia"/>
                      <w:color w:val="auto"/>
                      <w:szCs w:val="21"/>
                      <w:lang w:val="en-US" w:eastAsia="zh-CN"/>
                      <w:highlight w:val="none"/>
                    </w:rPr>
                  </w:pPr>
                  <w:r>
                    <w:rPr>
                      <w:rFonts w:ascii="Times New Roman" w:eastAsia="宋体" w:cs="Times New Roman" w:hAnsi="Times New Roman" w:hint="eastAsia"/>
                      <w:color w:val="auto"/>
                      <w:sz w:val="21"/>
                      <w:szCs w:val="21"/>
                      <w:lang w:val="en-US" w:eastAsia="zh-CN"/>
                      <w:highlight w:val="none"/>
                    </w:rPr>
                    <w:t>2</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szCs w:val="21"/>
                      <w:highlight w:val="none"/>
                    </w:rPr>
                  </w:pPr>
                  <w:r>
                    <w:rPr>
                      <w:rFonts w:ascii="Times New Roman" w:eastAsia="宋体" w:cs="Times New Roman" w:hAnsi="Times New Roman" w:hint="eastAsia"/>
                      <w:color w:val="auto"/>
                      <w:kern w:val="2"/>
                      <w:sz w:val="21"/>
                      <w:szCs w:val="21"/>
                      <w:lang w:val="en-US" w:eastAsia="zh-CN" w:bidi="ar-SA"/>
                      <w:highlight w:val="none"/>
                    </w:rPr>
                    <w:t>规划的协调性分析结论：通过与国家、省、市有关规划的分析，规划与国民经济发展规划、环保规划、行业规划等相关规划的要求基本一致。规划发展的产业定位与相关的产业政策和规划要求也一致或不冲突。</w:t>
                  </w:r>
                </w:p>
              </w:tc>
              <w:tc>
                <w:tcPr>
                  <w:tcW w:w="1832" w:type="dxa"/>
                  <w:vMerge/>
                  <w:tcBorders>
                    <w:left w:val="single" w:sz="4" w:space="0" w:color="auto"/>
                  </w:tcBorders>
                  <w:vAlign w:val="center"/>
                </w:tcPr>
                <w:p/>
              </w:tc>
              <w:tc>
                <w:tcPr>
                  <w:tcW w:w="983"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符合</w:t>
                  </w:r>
                </w:p>
              </w:tc>
            </w:tr>
            <w:tr>
              <w:trPr>
                <w:trHeight w:val="397"/>
              </w:trPr>
              <w:tc>
                <w:tcPr>
                  <w:tcW w:w="734" w:type="dxa"/>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3</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环境质量现状分析结论</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大气环境中PM</w:t>
                  </w:r>
                  <w:r>
                    <w:rPr>
                      <w:rFonts w:ascii="Times New Roman" w:eastAsia="宋体" w:cs="Times New Roman" w:hAnsi="Times New Roman" w:hint="eastAsia"/>
                      <w:color w:val="auto"/>
                      <w:kern w:val="2"/>
                      <w:sz w:val="21"/>
                      <w:szCs w:val="21"/>
                      <w:vertAlign w:val="subscript"/>
                      <w:lang w:val="en-US" w:eastAsia="zh-CN" w:bidi="ar-SA"/>
                      <w:highlight w:val="none"/>
                    </w:rPr>
                    <w:t>10</w:t>
                  </w:r>
                  <w:r>
                    <w:rPr>
                      <w:rFonts w:ascii="Times New Roman" w:eastAsia="宋体" w:cs="Times New Roman" w:hAnsi="Times New Roman" w:hint="eastAsia"/>
                      <w:color w:val="auto"/>
                      <w:kern w:val="2"/>
                      <w:sz w:val="21"/>
                      <w:szCs w:val="21"/>
                      <w:lang w:val="en-US" w:eastAsia="zh-CN" w:bidi="ar-SA"/>
                      <w:highlight w:val="none"/>
                    </w:rPr>
                    <w:t>、PM</w:t>
                  </w:r>
                  <w:r>
                    <w:rPr>
                      <w:rFonts w:ascii="Times New Roman" w:cs="Times New Roman" w:hAnsi="Times New Roman" w:hint="eastAsia"/>
                      <w:color w:val="auto"/>
                      <w:kern w:val="2"/>
                      <w:sz w:val="21"/>
                      <w:szCs w:val="21"/>
                      <w:vertAlign w:val="subscript"/>
                      <w:lang w:val="en-US" w:eastAsia="zh-CN" w:bidi="ar-SA"/>
                      <w:highlight w:val="none"/>
                    </w:rPr>
                    <w:t>2.5</w:t>
                  </w:r>
                  <w:r>
                    <w:rPr>
                      <w:rFonts w:ascii="Times New Roman" w:eastAsia="宋体" w:cs="Times New Roman" w:hAnsi="Times New Roman" w:hint="eastAsia"/>
                      <w:color w:val="auto"/>
                      <w:kern w:val="2"/>
                      <w:sz w:val="21"/>
                      <w:szCs w:val="21"/>
                      <w:lang w:val="en-US" w:eastAsia="zh-CN" w:bidi="ar-SA"/>
                      <w:highlight w:val="none"/>
                    </w:rPr>
                    <w:t>、</w:t>
                  </w:r>
                  <w:r>
                    <w:rPr>
                      <w:rFonts w:ascii="Times New Roman" w:cs="Times New Roman" w:hAnsi="Times New Roman" w:hint="eastAsia"/>
                      <w:color w:val="auto"/>
                      <w:kern w:val="2"/>
                      <w:sz w:val="21"/>
                      <w:szCs w:val="21"/>
                      <w:lang w:val="en-US" w:eastAsia="zh-CN" w:bidi="ar-SA"/>
                      <w:highlight w:val="none"/>
                    </w:rPr>
                    <w:t>O</w:t>
                  </w:r>
                  <w:r>
                    <w:rPr>
                      <w:rFonts w:ascii="Times New Roman" w:eastAsia="宋体" w:cs="Times New Roman" w:hAnsi="Times New Roman" w:hint="eastAsia"/>
                      <w:color w:val="auto"/>
                      <w:kern w:val="2"/>
                      <w:sz w:val="21"/>
                      <w:szCs w:val="21"/>
                      <w:vertAlign w:val="subscript"/>
                      <w:lang w:val="en-US" w:eastAsia="zh-CN" w:bidi="ar-SA"/>
                      <w:highlight w:val="none"/>
                    </w:rPr>
                    <w:t>3</w:t>
                  </w:r>
                  <w:r>
                    <w:rPr>
                      <w:rFonts w:ascii="Times New Roman" w:eastAsia="宋体" w:cs="Times New Roman" w:hAnsi="Times New Roman" w:hint="eastAsia"/>
                      <w:color w:val="auto"/>
                      <w:kern w:val="2"/>
                      <w:sz w:val="21"/>
                      <w:szCs w:val="21"/>
                      <w:lang w:val="en-US" w:eastAsia="zh-CN" w:bidi="ar-SA"/>
                      <w:highlight w:val="none"/>
                    </w:rPr>
                    <w:t>污染物年评价指标及部分监测点中补充监测TSP24小时平均浓度不满足，其他因子均符合相关空气质量标准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地表水环境中洨河、石家庄总退水渠、北沙河、槐河中总氮超标外其他因子均符合相关地表水质量标准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地下水环境中除总硬度</w:t>
                  </w:r>
                  <w:r>
                    <w:rPr>
                      <w:rFonts w:ascii="Times New Roman" w:cs="Times New Roman" w:hAnsi="Times New Roman" w:hint="eastAsia"/>
                      <w:color w:val="auto"/>
                      <w:kern w:val="2"/>
                      <w:sz w:val="21"/>
                      <w:szCs w:val="21"/>
                      <w:lang w:val="en-US" w:eastAsia="zh-CN" w:bidi="ar-SA"/>
                      <w:highlight w:val="none"/>
                    </w:rPr>
                    <w:t>和溶解性总固体</w:t>
                  </w:r>
                  <w:r>
                    <w:rPr>
                      <w:rFonts w:ascii="Times New Roman" w:eastAsia="宋体" w:cs="Times New Roman" w:hAnsi="Times New Roman" w:hint="eastAsia"/>
                      <w:color w:val="auto"/>
                      <w:kern w:val="2"/>
                      <w:sz w:val="21"/>
                      <w:szCs w:val="21"/>
                      <w:lang w:val="en-US" w:eastAsia="zh-CN" w:bidi="ar-SA"/>
                      <w:highlight w:val="none"/>
                    </w:rPr>
                    <w:t>外，其他因子均符合相关地下水质量标准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区域声环境八里庄村北侧衡井公路道路交通声环境、马家庄村西侧石栾大街道路交通声环境夜间不能满足《声环境质量标准》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GB3096-2008</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4a类声环境功能区限值要求、内营村距离石栾大街较近，夜间出现不能满足《声环境质量标准》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GB3096-2008</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2类声环境功能区限值要求。其余监测点位满足相应功能区划要求</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园区土壤环境中各监测点位监测因子均满足《土壤环境质量 建设用地土壤污染风险管控标准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试行</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GB36600-2018</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、《建设用地土壤污染风险筛选</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DB13/T5216-2022</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、《土壤环境质量 农用地土壤值》污染风险管控标准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试行</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GB15618-2018</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要求。</w:t>
                  </w:r>
                </w:p>
              </w:tc>
              <w:tc>
                <w:tcPr>
                  <w:tcW w:w="1832" w:type="dxa"/>
                  <w:vMerge w:val="restart"/>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color w:val="auto"/>
                      <w:szCs w:val="20"/>
                      <w:highlight w:val="none"/>
                    </w:rPr>
                  </w:pPr>
                  <w:r>
                    <w:rPr>
                      <w:rFonts w:ascii="Times New Roman" w:eastAsia="宋体" w:cs="Times New Roman" w:hAnsi="Times New Roman" w:hint="eastAsia"/>
                      <w:color w:val="auto"/>
                      <w:kern w:val="2"/>
                      <w:sz w:val="21"/>
                      <w:szCs w:val="21"/>
                      <w:lang w:val="en-US" w:eastAsia="zh-CN" w:bidi="ar-SA"/>
                      <w:highlight w:val="none"/>
                    </w:rPr>
                    <w:t>项目废气采取有效治理措施后可达标排放；</w:t>
                  </w:r>
                  <w:r>
                    <w:rPr>
                      <w:rFonts w:ascii="Times New Roman" w:cs="Times New Roman" w:hAnsi="Times New Roman" w:hint="eastAsia"/>
                      <w:color w:val="auto"/>
                      <w:sz w:val="21"/>
                      <w:szCs w:val="21"/>
                      <w:lang w:val="en-US" w:eastAsia="zh-CN"/>
                      <w:highlight w:val="none"/>
                    </w:rPr>
                    <w:t>项目废水主要为职工生活污水，生活污水经集成式生物化粪池处理后经园区污水管网排入绿源污水处理有限公司进一步处理</w:t>
                  </w:r>
                  <w:r>
                    <w:rPr>
                      <w:rFonts w:ascii="Times New Roman" w:eastAsia="宋体" w:cs="Times New Roman" w:hAnsi="Times New Roman" w:hint="eastAsia"/>
                      <w:color w:val="auto"/>
                      <w:sz w:val="21"/>
                      <w:szCs w:val="21"/>
                      <w:lang w:val="en-US" w:eastAsia="zh-CN"/>
                      <w:highlight w:val="none"/>
                    </w:rPr>
                    <w:t>。</w:t>
                  </w:r>
                  <w:r>
                    <w:rPr>
                      <w:rFonts w:ascii="Times New Roman" w:eastAsia="宋体" w:cs="Times New Roman" w:hAnsi="Times New Roman" w:hint="eastAsia"/>
                      <w:color w:val="auto"/>
                      <w:kern w:val="2"/>
                      <w:sz w:val="21"/>
                      <w:szCs w:val="21"/>
                      <w:lang w:val="en-US" w:eastAsia="zh-CN" w:bidi="ar-SA"/>
                      <w:highlight w:val="none"/>
                    </w:rPr>
                    <w:t>固体废物全部得到合理处置；项目选用低噪音设备，采取基础减振、厂房隔声等措施，经预测分析，可保证厂界噪声达标；项目无土壤污染因子和污染途径。项目利用现有闲置厂房进行建设，不会对生态环境造成影响；项目经采取相应防范措施，环境风险可控。综上分析，项目的实施不会对区域环境质量造成明显影响。</w:t>
                  </w:r>
                </w:p>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rPr>
                      <w:rFonts w:ascii="Times New Roman" w:cs="Times New Roman" w:hAnsi="Times New Roman"/>
                      <w:color w:val="auto"/>
                      <w:vertAlign w:val="baseline"/>
                      <w:highlight w:val="none"/>
                    </w:rPr>
                  </w:pPr>
                </w:p>
              </w:tc>
              <w:tc>
                <w:tcPr>
                  <w:tcW w:w="983" w:type="dxa"/>
                  <w:vMerge w:val="restart"/>
                  <w:tcBorders>
                    <w:left w:val="single" w:sz="4" w:space="0" w:color="auto"/>
                  </w:tcBorders>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cs="Times New Roman" w:hAnsi="Times New Roman"/>
                      <w:color w:val="auto"/>
                      <w:vertAlign w:val="baseline"/>
                      <w:highlight w:val="none"/>
                    </w:rPr>
                  </w:pPr>
                  <w:r>
                    <w:rPr>
                      <w:rFonts w:ascii="Times New Roman" w:eastAsia="宋体" w:cs="Times New Roman" w:hAnsi="Times New Roman" w:hint="eastAsia"/>
                      <w:color w:val="auto"/>
                      <w:kern w:val="2"/>
                      <w:sz w:val="21"/>
                      <w:szCs w:val="21"/>
                      <w:lang w:val="en-US" w:eastAsia="zh-CN" w:bidi="ar-SA"/>
                      <w:highlight w:val="none"/>
                    </w:rPr>
                    <w:t>符合</w:t>
                  </w:r>
                </w:p>
              </w:tc>
            </w:tr>
            <w:tr>
              <w:trPr>
                <w:trHeight w:val="397"/>
              </w:trPr>
              <w:tc>
                <w:tcPr>
                  <w:tcW w:w="734" w:type="dxa"/>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4</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环境影响分析预测结论</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产业园区规划实施后，通过淘汰低效产能企业、提升现有企业环保措施、完善集中供热方案等措施，根据 PM</w:t>
                  </w:r>
                  <w:r>
                    <w:rPr>
                      <w:rFonts w:ascii="Times New Roman" w:cs="Times New Roman" w:hAnsi="Times New Roman" w:hint="eastAsia"/>
                      <w:color w:val="auto"/>
                      <w:kern w:val="2"/>
                      <w:sz w:val="21"/>
                      <w:szCs w:val="21"/>
                      <w:vertAlign w:val="subscript"/>
                      <w:lang w:val="en-US" w:eastAsia="zh-CN" w:bidi="ar-SA"/>
                      <w:highlight w:val="none"/>
                    </w:rPr>
                    <w:t>10</w:t>
                  </w:r>
                  <w:r>
                    <w:rPr>
                      <w:rFonts w:ascii="Times New Roman" w:eastAsia="宋体" w:cs="Times New Roman" w:hAnsi="Times New Roman" w:hint="eastAsia"/>
                      <w:color w:val="auto"/>
                      <w:kern w:val="2"/>
                      <w:sz w:val="21"/>
                      <w:szCs w:val="21"/>
                      <w:lang w:val="en-US" w:eastAsia="zh-CN" w:bidi="ar-SA"/>
                      <w:highlight w:val="none"/>
                    </w:rPr>
                    <w:t>、PM</w:t>
                  </w:r>
                  <w:r>
                    <w:rPr>
                      <w:rFonts w:ascii="Times New Roman" w:eastAsia="宋体" w:cs="Times New Roman" w:hAnsi="Times New Roman" w:hint="eastAsia"/>
                      <w:color w:val="auto"/>
                      <w:kern w:val="2"/>
                      <w:sz w:val="21"/>
                      <w:szCs w:val="21"/>
                      <w:vertAlign w:val="subscript"/>
                      <w:lang w:val="en-US" w:eastAsia="zh-CN" w:bidi="ar-SA"/>
                      <w:highlight w:val="none"/>
                    </w:rPr>
                    <w:t>2</w:t>
                  </w:r>
                  <w:r>
                    <w:rPr>
                      <w:rFonts w:ascii="Times New Roman" w:cs="Times New Roman" w:hAnsi="Times New Roman" w:hint="eastAsia"/>
                      <w:color w:val="auto"/>
                      <w:kern w:val="2"/>
                      <w:sz w:val="21"/>
                      <w:szCs w:val="21"/>
                      <w:vertAlign w:val="subscript"/>
                      <w:lang w:val="en-US" w:eastAsia="zh-CN" w:bidi="ar-SA"/>
                      <w:highlight w:val="none"/>
                    </w:rPr>
                    <w:t>.</w:t>
                  </w:r>
                  <w:r>
                    <w:rPr>
                      <w:rFonts w:ascii="Times New Roman" w:eastAsia="宋体" w:cs="Times New Roman" w:hAnsi="Times New Roman" w:hint="eastAsia"/>
                      <w:color w:val="auto"/>
                      <w:kern w:val="2"/>
                      <w:sz w:val="21"/>
                      <w:szCs w:val="21"/>
                      <w:vertAlign w:val="subscript"/>
                      <w:lang w:val="en-US" w:eastAsia="zh-CN" w:bidi="ar-SA"/>
                      <w:highlight w:val="none"/>
                    </w:rPr>
                    <w:t>5</w:t>
                  </w:r>
                  <w:r>
                    <w:rPr>
                      <w:rFonts w:ascii="Times New Roman" w:eastAsia="宋体" w:cs="Times New Roman" w:hAnsi="Times New Roman" w:hint="eastAsia"/>
                      <w:color w:val="auto"/>
                      <w:kern w:val="2"/>
                      <w:sz w:val="21"/>
                      <w:szCs w:val="21"/>
                      <w:lang w:val="en-US" w:eastAsia="zh-CN" w:bidi="ar-SA"/>
                      <w:highlight w:val="none"/>
                    </w:rPr>
                    <w:t>、SO</w:t>
                  </w:r>
                  <w:r>
                    <w:rPr>
                      <w:rFonts w:ascii="Times New Roman" w:cs="Times New Roman" w:hAnsi="Times New Roman" w:hint="eastAsia"/>
                      <w:color w:val="auto"/>
                      <w:kern w:val="2"/>
                      <w:sz w:val="21"/>
                      <w:szCs w:val="21"/>
                      <w:vertAlign w:val="subscript"/>
                      <w:lang w:val="en-US" w:eastAsia="zh-CN" w:bidi="ar-SA"/>
                      <w:highlight w:val="none"/>
                    </w:rPr>
                    <w:t>2</w:t>
                  </w:r>
                  <w:r>
                    <w:rPr>
                      <w:rFonts w:ascii="Times New Roman" w:eastAsia="宋体" w:cs="Times New Roman" w:hAnsi="Times New Roman" w:hint="eastAsia"/>
                      <w:color w:val="auto"/>
                      <w:kern w:val="2"/>
                      <w:sz w:val="21"/>
                      <w:szCs w:val="21"/>
                      <w:lang w:val="en-US" w:eastAsia="zh-CN" w:bidi="ar-SA"/>
                      <w:highlight w:val="none"/>
                    </w:rPr>
                    <w:t>及NO</w:t>
                  </w:r>
                  <w:r>
                    <w:rPr>
                      <w:rFonts w:ascii="Times New Roman" w:cs="Times New Roman" w:hAnsi="Times New Roman" w:hint="eastAsia"/>
                      <w:color w:val="auto"/>
                      <w:kern w:val="2"/>
                      <w:sz w:val="21"/>
                      <w:szCs w:val="21"/>
                      <w:vertAlign w:val="subscript"/>
                      <w:lang w:val="en-US" w:eastAsia="zh-CN" w:bidi="ar-SA"/>
                      <w:highlight w:val="none"/>
                    </w:rPr>
                    <w:t>2</w:t>
                  </w:r>
                  <w:r>
                    <w:rPr>
                      <w:rFonts w:ascii="Times New Roman" w:eastAsia="宋体" w:cs="Times New Roman" w:hAnsi="Times New Roman" w:hint="eastAsia"/>
                      <w:color w:val="auto"/>
                      <w:kern w:val="2"/>
                      <w:sz w:val="21"/>
                      <w:szCs w:val="21"/>
                      <w:lang w:val="en-US" w:eastAsia="zh-CN" w:bidi="ar-SA"/>
                      <w:highlight w:val="none"/>
                    </w:rPr>
                    <w:t>预测结果，区域PM</w:t>
                  </w:r>
                  <w:r>
                    <w:rPr>
                      <w:rFonts w:ascii="Times New Roman" w:cs="Times New Roman" w:hAnsi="Times New Roman" w:hint="eastAsia"/>
                      <w:color w:val="auto"/>
                      <w:kern w:val="2"/>
                      <w:sz w:val="21"/>
                      <w:szCs w:val="21"/>
                      <w:vertAlign w:val="subscript"/>
                      <w:lang w:val="en-US" w:eastAsia="zh-CN" w:bidi="ar-SA"/>
                      <w:highlight w:val="none"/>
                    </w:rPr>
                    <w:t>10</w:t>
                  </w:r>
                  <w:r>
                    <w:rPr>
                      <w:rFonts w:ascii="Times New Roman" w:eastAsia="宋体" w:cs="Times New Roman" w:hAnsi="Times New Roman" w:hint="eastAsia"/>
                      <w:color w:val="auto"/>
                      <w:kern w:val="2"/>
                      <w:sz w:val="21"/>
                      <w:szCs w:val="21"/>
                      <w:lang w:val="en-US" w:eastAsia="zh-CN" w:bidi="ar-SA"/>
                      <w:highlight w:val="none"/>
                    </w:rPr>
                    <w:t>、PM</w:t>
                  </w:r>
                  <w:r>
                    <w:rPr>
                      <w:rFonts w:ascii="Times New Roman" w:eastAsia="宋体" w:cs="Times New Roman" w:hAnsi="Times New Roman" w:hint="eastAsia"/>
                      <w:color w:val="auto"/>
                      <w:kern w:val="2"/>
                      <w:sz w:val="21"/>
                      <w:szCs w:val="21"/>
                      <w:vertAlign w:val="subscript"/>
                      <w:lang w:val="en-US" w:eastAsia="zh-CN" w:bidi="ar-SA"/>
                      <w:highlight w:val="none"/>
                    </w:rPr>
                    <w:t>2.5</w:t>
                  </w:r>
                  <w:r>
                    <w:rPr>
                      <w:rFonts w:ascii="Times New Roman" w:eastAsia="宋体" w:cs="Times New Roman" w:hAnsi="Times New Roman" w:hint="eastAsia"/>
                      <w:color w:val="auto"/>
                      <w:kern w:val="2"/>
                      <w:sz w:val="21"/>
                      <w:szCs w:val="21"/>
                      <w:lang w:val="en-US" w:eastAsia="zh-CN" w:bidi="ar-SA"/>
                      <w:highlight w:val="none"/>
                    </w:rPr>
                    <w:t>、SO</w:t>
                  </w:r>
                  <w:r>
                    <w:rPr>
                      <w:rFonts w:ascii="Times New Roman" w:eastAsia="宋体" w:cs="Times New Roman" w:hAnsi="Times New Roman" w:hint="eastAsia"/>
                      <w:color w:val="auto"/>
                      <w:kern w:val="2"/>
                      <w:sz w:val="21"/>
                      <w:szCs w:val="21"/>
                      <w:vertAlign w:val="subscript"/>
                      <w:lang w:val="en-US" w:eastAsia="zh-CN" w:bidi="ar-SA"/>
                      <w:highlight w:val="none"/>
                    </w:rPr>
                    <w:t>2</w:t>
                  </w:r>
                  <w:r>
                    <w:rPr>
                      <w:rFonts w:ascii="Times New Roman" w:eastAsia="宋体" w:cs="Times New Roman" w:hAnsi="Times New Roman" w:hint="eastAsia"/>
                      <w:color w:val="auto"/>
                      <w:kern w:val="2"/>
                      <w:sz w:val="21"/>
                      <w:szCs w:val="21"/>
                      <w:lang w:val="en-US" w:eastAsia="zh-CN" w:bidi="ar-SA"/>
                      <w:highlight w:val="none"/>
                    </w:rPr>
                    <w:t>及NO</w:t>
                  </w:r>
                  <w:r>
                    <w:rPr>
                      <w:rFonts w:ascii="Times New Roman" w:cs="Times New Roman" w:hAnsi="Times New Roman" w:hint="eastAsia"/>
                      <w:color w:val="auto"/>
                      <w:kern w:val="2"/>
                      <w:sz w:val="21"/>
                      <w:szCs w:val="21"/>
                      <w:vertAlign w:val="subscript"/>
                      <w:lang w:val="en-US" w:eastAsia="zh-CN" w:bidi="ar-SA"/>
                      <w:highlight w:val="none"/>
                    </w:rPr>
                    <w:t>2</w:t>
                  </w:r>
                  <w:r>
                    <w:rPr>
                      <w:rFonts w:ascii="Times New Roman" w:eastAsia="宋体" w:cs="Times New Roman" w:hAnsi="Times New Roman" w:hint="eastAsia"/>
                      <w:color w:val="auto"/>
                      <w:kern w:val="2"/>
                      <w:sz w:val="21"/>
                      <w:szCs w:val="21"/>
                      <w:lang w:val="en-US" w:eastAsia="zh-CN" w:bidi="ar-SA"/>
                      <w:highlight w:val="none"/>
                    </w:rPr>
                    <w:t>年平均浓度均为改善的，另外，结合产业园区及周边区域PM</w:t>
                  </w:r>
                  <w:r>
                    <w:rPr>
                      <w:rFonts w:ascii="Times New Roman" w:eastAsia="宋体" w:cs="Times New Roman" w:hAnsi="Times New Roman" w:hint="eastAsia"/>
                      <w:color w:val="auto"/>
                      <w:kern w:val="2"/>
                      <w:sz w:val="21"/>
                      <w:szCs w:val="21"/>
                      <w:vertAlign w:val="subscript"/>
                      <w:lang w:val="en-US" w:eastAsia="zh-CN" w:bidi="ar-SA"/>
                      <w:highlight w:val="none"/>
                    </w:rPr>
                    <w:t>2</w:t>
                  </w:r>
                  <w:r>
                    <w:rPr>
                      <w:rFonts w:ascii="Times New Roman" w:cs="Times New Roman" w:hAnsi="Times New Roman" w:hint="eastAsia"/>
                      <w:color w:val="auto"/>
                      <w:kern w:val="2"/>
                      <w:sz w:val="21"/>
                      <w:szCs w:val="21"/>
                      <w:vertAlign w:val="subscript"/>
                      <w:lang w:val="en-US" w:eastAsia="zh-CN" w:bidi="ar-SA"/>
                      <w:highlight w:val="none"/>
                    </w:rPr>
                    <w:t>.</w:t>
                  </w:r>
                  <w:r>
                    <w:rPr>
                      <w:rFonts w:ascii="Times New Roman" w:eastAsia="宋体" w:cs="Times New Roman" w:hAnsi="Times New Roman" w:hint="eastAsia"/>
                      <w:color w:val="auto"/>
                      <w:kern w:val="2"/>
                      <w:sz w:val="21"/>
                      <w:szCs w:val="21"/>
                      <w:vertAlign w:val="subscript"/>
                      <w:lang w:val="en-US" w:eastAsia="zh-CN" w:bidi="ar-SA"/>
                      <w:highlight w:val="none"/>
                    </w:rPr>
                    <w:t>5</w:t>
                  </w:r>
                  <w:r>
                    <w:rPr>
                      <w:rFonts w:ascii="Times New Roman" w:eastAsia="宋体" w:cs="Times New Roman" w:hAnsi="Times New Roman" w:hint="eastAsia"/>
                      <w:color w:val="auto"/>
                      <w:kern w:val="2"/>
                      <w:sz w:val="21"/>
                      <w:szCs w:val="21"/>
                      <w:lang w:val="en-US" w:eastAsia="zh-CN" w:bidi="ar-SA"/>
                      <w:highlight w:val="none"/>
                    </w:rPr>
                    <w:t>本底监测可知，在计算本规划削减源的改善作用后，近期产业园区区域PM</w:t>
                  </w:r>
                  <w:r>
                    <w:rPr>
                      <w:rFonts w:ascii="Times New Roman" w:cs="Times New Roman" w:hAnsi="Times New Roman" w:hint="eastAsia"/>
                      <w:color w:val="auto"/>
                      <w:kern w:val="2"/>
                      <w:sz w:val="21"/>
                      <w:szCs w:val="21"/>
                      <w:vertAlign w:val="subscript"/>
                      <w:lang w:val="en-US" w:eastAsia="zh-CN" w:bidi="ar-SA"/>
                      <w:highlight w:val="none"/>
                    </w:rPr>
                    <w:t>2.5</w:t>
                  </w:r>
                  <w:r>
                    <w:rPr>
                      <w:rFonts w:ascii="Times New Roman" w:eastAsia="宋体" w:cs="Times New Roman" w:hAnsi="Times New Roman" w:hint="eastAsia"/>
                      <w:color w:val="auto"/>
                      <w:kern w:val="2"/>
                      <w:sz w:val="21"/>
                      <w:szCs w:val="21"/>
                      <w:lang w:val="en-US" w:eastAsia="zh-CN" w:bidi="ar-SA"/>
                      <w:highlight w:val="none"/>
                    </w:rPr>
                    <w:t>可满足石家庄“十四五”环境保护规划中PM</w:t>
                  </w:r>
                  <w:r>
                    <w:rPr>
                      <w:rFonts w:ascii="Times New Roman" w:cs="Times New Roman" w:hAnsi="Times New Roman" w:hint="eastAsia"/>
                      <w:color w:val="auto"/>
                      <w:kern w:val="2"/>
                      <w:sz w:val="21"/>
                      <w:szCs w:val="21"/>
                      <w:vertAlign w:val="subscript"/>
                      <w:lang w:val="en-US" w:eastAsia="zh-CN" w:bidi="ar-SA"/>
                      <w:highlight w:val="none"/>
                    </w:rPr>
                    <w:t>2.5</w:t>
                  </w:r>
                  <w:r>
                    <w:rPr>
                      <w:rFonts w:ascii="Times New Roman" w:eastAsia="宋体" w:cs="Times New Roman" w:hAnsi="Times New Roman" w:hint="eastAsia"/>
                      <w:color w:val="auto"/>
                      <w:kern w:val="2"/>
                      <w:sz w:val="21"/>
                      <w:szCs w:val="21"/>
                      <w:lang w:val="en-US" w:eastAsia="zh-CN" w:bidi="ar-SA"/>
                      <w:highlight w:val="none"/>
                    </w:rPr>
                    <w:t>环境目标控制要求</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通过加强污水处理厂和规划排水企业水污染控制措施</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能够保证废水全部进入集中污水处理厂进行处理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污水处理厂处理能力、处理工艺能够满足规划产业废水处理要求，处理后的废水能够稳定达标排放。通过中水回用率的提高，可以减少水污染物对洨河、槐河的影响。本评价提出了入区企业和各污水处理厂事故状态下的防范措施，保证事故工况下不会对区域地表水产生污染影响</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正常状况下的跑冒滴漏对地下水影响较小。此外，区域第四系孔隙水与岩溶水之间存在稳定的隔水层，污染物更不会透过隔水层对岩溶水水质造成影响。产业园区规划实施后，通过合理布局、源头控制、分区防渗应急响应、跟踪监测等措施，规划产业的发展不会加重区域水环境风险，不会对区域地下水环境产生明显污染影响;通过合理设计布局，采取完善的隔声降噪措施，产业园区的声环境质量可达到《声环境质量标准》</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GB3096-2008</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中</w:t>
                  </w:r>
                  <w:r>
                    <w:rPr>
                      <w:rFonts w:ascii="Times New Roman" w:cs="Times New Roman" w:hAnsi="Times New Roman" w:hint="eastAsia"/>
                      <w:color w:val="auto"/>
                      <w:kern w:val="2"/>
                      <w:sz w:val="21"/>
                      <w:szCs w:val="21"/>
                      <w:lang w:val="en-US" w:eastAsia="zh-CN" w:bidi="ar-SA"/>
                      <w:highlight w:val="none"/>
                    </w:rPr>
                    <w:t>各类</w:t>
                  </w:r>
                  <w:r>
                    <w:rPr>
                      <w:rFonts w:ascii="Times New Roman" w:eastAsia="宋体" w:cs="Times New Roman" w:hAnsi="Times New Roman" w:hint="eastAsia"/>
                      <w:color w:val="auto"/>
                      <w:kern w:val="2"/>
                      <w:sz w:val="21"/>
                      <w:szCs w:val="21"/>
                      <w:lang w:val="en-US" w:eastAsia="zh-CN" w:bidi="ar-SA"/>
                      <w:highlight w:val="none"/>
                    </w:rPr>
                    <w:t>功能区标准要求，规划的实施不会改变区域声环境功能，满足环境质量底线要求</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在落实本评价提出的固体废物处置措施的情况下，产业园区产生的固体废物可全部综合利用或妥善处置，不会对区域环境产生明显不良影响</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在严格按照土壤污染防护措施后，规划实施对区域土壤环境影响可接受</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在产业园区基础设施和入区企业建设严格落实总体规划和本评价提出的预防措施的前提下，产业园区规划的实施对区域生态环境的影响是可以接受的</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在采取完善的风险防范措施并且对风险源进行合理布局的条件下</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环境风险可防控控制。同时，开发区通过采取项目准入控制措施、工程措施管理措施、监控措施、修复治理措施多项措施，可避免规划实施后对区域环境产生污染影响。</w:t>
                  </w:r>
                </w:p>
              </w:tc>
              <w:tc>
                <w:tcPr>
                  <w:tcW w:w="1832" w:type="dxa"/>
                  <w:vMerge/>
                  <w:tcBorders>
                    <w:left w:val="single" w:sz="4" w:space="0" w:color="auto"/>
                  </w:tcBorders>
                  <w:vAlign w:val="center"/>
                </w:tcPr>
                <w:p/>
              </w:tc>
              <w:tc>
                <w:tcPr>
                  <w:tcW w:w="983" w:type="dxa"/>
                  <w:vMerge/>
                  <w:tcBorders>
                    <w:left w:val="single" w:sz="4" w:space="0" w:color="auto"/>
                  </w:tcBorders>
                  <w:vAlign w:val="center"/>
                </w:tcPr>
                <w:p/>
              </w:tc>
            </w:tr>
            <w:tr>
              <w:trPr>
                <w:trHeight w:val="397"/>
              </w:trPr>
              <w:tc>
                <w:tcPr>
                  <w:tcW w:w="734" w:type="dxa"/>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5</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资源与环境承载力分析结论</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在充分利用回用水和南水北调地表水的前提下，区域水资源可承载规划的实施</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产业园区划建设用地占用一部分一般农田</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规划实施过程中应通过土地复垦、加大农用地整理和农村居民点用地整理力度、开发未利用地等措施，对土地资源进行开发整理。建议产业园区加大对未利用地的复垦、开发，增加后备耕地面积，实现耕地“先补后占、占补平衡”，确保耕地总量不减少，不突破土地资源利用上线</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区域大气环境容量可承载规划的实施:规划通过配建再生水装置，提高再生水回用率，废水集中收集处理净化后回用，规划近期主要废水污染物COD和氨氨排放总量相对现状均有一定削减</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有利于地表水体环境质量进一步改善。</w:t>
                  </w:r>
                </w:p>
              </w:tc>
              <w:tc>
                <w:tcPr>
                  <w:tcW w:w="1832"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本项目用水</w:t>
                  </w:r>
                  <w:r>
                    <w:rPr>
                      <w:rFonts w:ascii="Times New Roman" w:cs="Times New Roman" w:hAnsi="Times New Roman" w:hint="eastAsia"/>
                      <w:color w:val="auto"/>
                      <w:sz w:val="21"/>
                      <w:szCs w:val="21"/>
                      <w:highlight w:val="none"/>
                    </w:rPr>
                    <w:t>由</w:t>
                  </w:r>
                  <w:r>
                    <w:rPr>
                      <w:rFonts w:ascii="Times New Roman" w:cs="Times New Roman" w:hAnsi="Times New Roman" w:hint="eastAsia"/>
                      <w:color w:val="auto"/>
                      <w:sz w:val="21"/>
                      <w:szCs w:val="21"/>
                      <w:lang w:val="en-US" w:eastAsia="zh-CN"/>
                      <w:highlight w:val="none"/>
                    </w:rPr>
                    <w:t>园区</w:t>
                  </w:r>
                  <w:r>
                    <w:rPr>
                      <w:rFonts w:ascii="Times New Roman" w:cs="Times New Roman" w:hAnsi="Times New Roman" w:hint="eastAsia"/>
                      <w:color w:val="auto"/>
                      <w:sz w:val="21"/>
                      <w:szCs w:val="21"/>
                      <w:highlight w:val="none"/>
                    </w:rPr>
                    <w:t>供水管网提供</w:t>
                  </w:r>
                  <w:r>
                    <w:rPr>
                      <w:rFonts w:ascii="Times New Roman" w:cs="Times New Roman" w:hAnsi="Times New Roman" w:hint="eastAsia"/>
                      <w:color w:val="auto"/>
                      <w:sz w:val="21"/>
                      <w:szCs w:val="21"/>
                      <w:lang w:eastAsia="zh-CN"/>
                      <w:highlight w:val="none"/>
                    </w:rPr>
                    <w:t>；</w:t>
                  </w:r>
                  <w:r>
                    <w:rPr>
                      <w:rFonts w:ascii="Times New Roman" w:cs="Times New Roman" w:hAnsi="Times New Roman" w:hint="eastAsia"/>
                      <w:color w:val="auto"/>
                      <w:sz w:val="21"/>
                      <w:szCs w:val="21"/>
                      <w:lang w:val="en-US" w:eastAsia="zh-CN"/>
                      <w:highlight w:val="none"/>
                    </w:rPr>
                    <w:t>项目占地为工业用地；项目废水主要为职工生活污水，生活污水经集成式生物化粪池处理后经园区污水管网排入绿源污水处理有限公司进一步处理</w:t>
                  </w:r>
                  <w:r>
                    <w:rPr>
                      <w:rFonts w:ascii="Times New Roman" w:eastAsia="宋体" w:cs="Times New Roman" w:hAnsi="Times New Roman" w:hint="eastAsia"/>
                      <w:color w:val="auto"/>
                      <w:kern w:val="2"/>
                      <w:sz w:val="21"/>
                      <w:szCs w:val="21"/>
                      <w:lang w:val="en-US" w:eastAsia="zh-CN" w:bidi="ar-SA"/>
                      <w:highlight w:val="none"/>
                    </w:rPr>
                    <w:t>。</w:t>
                  </w:r>
                </w:p>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rPr>
                      <w:rFonts w:ascii="Times New Roman" w:eastAsia="宋体" w:cs="Times New Roman" w:hAnsi="Times New Roman"/>
                      <w:color w:val="auto"/>
                      <w:kern w:val="2"/>
                      <w:sz w:val="21"/>
                      <w:szCs w:val="21"/>
                      <w:lang w:val="en-US" w:eastAsia="zh-CN" w:bidi="ar-SA"/>
                      <w:highlight w:val="none"/>
                    </w:rPr>
                  </w:pPr>
                </w:p>
              </w:tc>
              <w:tc>
                <w:tcPr>
                  <w:tcW w:w="983" w:type="dxa"/>
                  <w:tcBorders>
                    <w:left w:val="single" w:sz="4" w:space="0" w:color="auto"/>
                  </w:tcBorders>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符合</w:t>
                  </w:r>
                </w:p>
              </w:tc>
            </w:tr>
            <w:tr>
              <w:trPr>
                <w:trHeight w:val="397"/>
              </w:trPr>
              <w:tc>
                <w:tcPr>
                  <w:tcW w:w="734" w:type="dxa"/>
                  <w:vAlign w:val="center"/>
                </w:tcPr>
                <w:p>
                  <w:pPr>
                    <w:pStyle w:val="178"/>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6</w:t>
                  </w:r>
                </w:p>
              </w:tc>
              <w:tc>
                <w:tcPr>
                  <w:tcW w:w="4043"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规划实施制约因素及优化调整建议</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开发区与国家、河北省石家庄市和栾城区的“相关法律法规及政策”“上层位'十四五’规划”、“相关主体功能区划”相符合或协调。同时，评价要求开发区规划严格在区域“三线一单”框架要求下实施</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不占用生态保护红线及生态空间，不突破环境质量底线、资源利用上线</w:t>
                  </w:r>
                  <w:r>
                    <w:rPr>
                      <w:rFonts w:ascii="Times New Roman" w:cs="Times New Roman" w:hAnsi="Times New Roman" w:hint="eastAsia"/>
                      <w:color w:val="auto"/>
                      <w:kern w:val="2"/>
                      <w:sz w:val="21"/>
                      <w:szCs w:val="21"/>
                      <w:lang w:val="en-US" w:eastAsia="zh-CN" w:bidi="ar-SA"/>
                      <w:highlight w:val="none"/>
                    </w:rPr>
                    <w:t>，</w:t>
                  </w:r>
                  <w:r>
                    <w:rPr>
                      <w:rFonts w:ascii="Times New Roman" w:eastAsia="宋体" w:cs="Times New Roman" w:hAnsi="Times New Roman" w:hint="eastAsia"/>
                      <w:color w:val="auto"/>
                      <w:kern w:val="2"/>
                      <w:sz w:val="21"/>
                      <w:szCs w:val="21"/>
                      <w:lang w:val="en-US" w:eastAsia="zh-CN" w:bidi="ar-SA"/>
                      <w:highlight w:val="none"/>
                    </w:rPr>
                    <w:t>严格遵守开发区所在区域生态环境准入清单确定的相关环境管控要求。规划目标和发展定位合理，区域资源环境能够支撑规划实施，规划布局、能源结构和产业结构设置合理,环境目标和评价指标通过落实规划文本和本评价提出的各项措施之后是可以达到的。另外，从维护生态功能、改善环境质量、提高资源利用率、保障人居健康、优化区域格局和产业结构等方面进行综合分析，规划的实施环境效益明显。</w:t>
                  </w:r>
                </w:p>
              </w:tc>
              <w:tc>
                <w:tcPr>
                  <w:tcW w:w="1832" w:type="dxa"/>
                  <w:tcBorders>
                    <w:left w:val="single" w:sz="4" w:space="0" w:color="auto"/>
                  </w:tcBorders>
                  <w:vAlign w:val="center"/>
                </w:tcPr>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240" w:lineRule="auto"/>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项目符合国家、河北省石家庄和栾城区相关法律法规和政策，符合园规划</w:t>
                  </w:r>
                  <w:r>
                    <w:rPr>
                      <w:rFonts w:ascii="Times New Roman" w:eastAsia="宋体" w:cs="Times New Roman" w:hAnsi="Times New Roman" w:hint="eastAsia"/>
                      <w:color w:val="auto"/>
                      <w:kern w:val="2"/>
                      <w:sz w:val="21"/>
                      <w:szCs w:val="21"/>
                      <w:lang w:val="en-US" w:eastAsia="zh-CN" w:bidi="ar-SA"/>
                      <w:highlight w:val="none"/>
                    </w:rPr>
                    <w:t>。</w:t>
                  </w:r>
                </w:p>
              </w:tc>
              <w:tc>
                <w:tcPr>
                  <w:tcW w:w="983" w:type="dxa"/>
                  <w:tcBorders>
                    <w:left w:val="single" w:sz="4" w:space="0" w:color="auto"/>
                  </w:tcBorders>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2"/>
                      <w:sz w:val="21"/>
                      <w:szCs w:val="21"/>
                      <w:lang w:val="en-US" w:eastAsia="zh-CN" w:bidi="ar-SA"/>
                      <w:highlight w:val="none"/>
                    </w:rPr>
                    <w:t>符合</w:t>
                  </w: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kern w:val="0"/>
                <w:sz w:val="24"/>
                <w:szCs w:val="20"/>
                <w:lang w:val="en-US" w:eastAsia="zh-CN" w:bidi="ar-SA"/>
                <w:highlight w:val="none"/>
              </w:rPr>
            </w:pPr>
            <w:r>
              <w:rPr>
                <w:rFonts w:ascii="Times New Roman" w:eastAsia="宋体" w:cs="Times New Roman" w:hAnsi="Times New Roman" w:hint="eastAsia"/>
                <w:color w:val="auto"/>
                <w:kern w:val="0"/>
                <w:sz w:val="24"/>
                <w:szCs w:val="20"/>
                <w:lang w:val="en-US" w:eastAsia="zh-CN" w:bidi="ar-SA"/>
                <w:highlight w:val="none"/>
              </w:rPr>
              <w:t>综上，本项目的建设符合规划环境影响评价结论。</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b/>
                <w:bCs/>
                <w:color w:val="auto"/>
                <w:kern w:val="0"/>
                <w:sz w:val="24"/>
                <w:szCs w:val="20"/>
                <w:lang w:val="en-US" w:eastAsia="zh-CN" w:bidi="ar-SA"/>
                <w:highlight w:val="none"/>
              </w:rPr>
            </w:pPr>
            <w:r>
              <w:rPr>
                <w:rFonts w:ascii="Times New Roman" w:eastAsia="宋体" w:cs="Times New Roman" w:hAnsi="Times New Roman"/>
                <w:b/>
                <w:bCs/>
                <w:color w:val="auto"/>
                <w:kern w:val="0"/>
                <w:sz w:val="24"/>
                <w:szCs w:val="20"/>
                <w:lang w:val="en-US" w:eastAsia="zh-CN" w:bidi="ar-SA"/>
                <w:highlight w:val="none"/>
              </w:rPr>
              <w:t>3</w:t>
            </w:r>
            <w:r>
              <w:rPr>
                <w:rFonts w:ascii="Times New Roman" w:eastAsia="宋体" w:cs="Times New Roman" w:hAnsi="Times New Roman" w:hint="eastAsia"/>
                <w:b/>
                <w:bCs/>
                <w:color w:val="auto"/>
                <w:kern w:val="0"/>
                <w:sz w:val="24"/>
                <w:szCs w:val="20"/>
                <w:lang w:val="en-US" w:eastAsia="zh-CN" w:bidi="ar-SA"/>
                <w:highlight w:val="none"/>
              </w:rPr>
              <w:t xml:space="preserve">、规划审查意见符合性 </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kern w:val="0"/>
                <w:sz w:val="24"/>
                <w:szCs w:val="20"/>
                <w:lang w:val="en-US" w:eastAsia="zh-CN" w:bidi="ar-SA"/>
                <w:highlight w:val="none"/>
              </w:rPr>
            </w:pPr>
            <w:r>
              <w:rPr>
                <w:rFonts w:ascii="Times New Roman" w:eastAsia="宋体" w:cs="Times New Roman" w:hAnsi="Times New Roman" w:hint="eastAsia"/>
                <w:color w:val="auto"/>
                <w:kern w:val="0"/>
                <w:sz w:val="24"/>
                <w:szCs w:val="20"/>
                <w:lang w:val="en-US" w:eastAsia="zh-CN" w:bidi="ar-SA"/>
                <w:highlight w:val="none"/>
              </w:rPr>
              <w:t xml:space="preserve">根据河北省生态环境厅关于《河北石家庄装备制造产业园总体规划（2022-2030年）环境影响报告书》的审查意见（冀环环评函[2025]1839号）。在规划实施过程中，除严格落实规划环评报告书中各项要求外，还应做好以下工作： </w:t>
            </w:r>
          </w:p>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hint="eastAsia"/>
                <w:b/>
                <w:bCs/>
                <w:color w:val="auto"/>
                <w:kern w:val="0"/>
                <w:sz w:val="24"/>
                <w:szCs w:val="20"/>
                <w:lang w:val="en-US" w:eastAsia="zh-CN" w:bidi="ar-SA"/>
                <w:highlight w:val="none"/>
              </w:rPr>
            </w:pPr>
            <w:r>
              <w:rPr>
                <w:rFonts w:ascii="Times New Roman" w:eastAsia="宋体" w:cs="Times New Roman" w:hAnsi="Times New Roman" w:hint="eastAsia"/>
                <w:b/>
                <w:bCs/>
                <w:color w:val="auto"/>
                <w:kern w:val="0"/>
                <w:sz w:val="24"/>
                <w:szCs w:val="20"/>
                <w:lang w:val="en-US" w:eastAsia="zh-CN" w:bidi="ar-SA"/>
                <w:highlight w:val="none"/>
              </w:rPr>
              <w:t>表1-4  规划审查意见符合性分析一览表</w:t>
            </w:r>
          </w:p>
          <w:tbl>
            <w:tblPr>
              <w:jc w:val="left"/>
              <w:tblInd w:w="0" w:type="dxa"/>
              <w:tblW w:w="7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435"/>
              <w:gridCol w:w="3161"/>
            </w:tblGrid>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b/>
                      <w:bCs/>
                      <w:color w:val="auto"/>
                      <w:kern w:val="0"/>
                      <w:sz w:val="21"/>
                      <w:szCs w:val="21"/>
                      <w:lang w:val="en-US" w:eastAsia="zh-CN" w:bidi="ar-SA"/>
                    </w:rPr>
                  </w:pPr>
                  <w:r>
                    <w:rPr>
                      <w:rFonts w:ascii="Times New Roman" w:eastAsia="宋体" w:cs="Times New Roman" w:hAnsi="Times New Roman" w:hint="eastAsia"/>
                      <w:b/>
                      <w:bCs/>
                      <w:color w:val="auto"/>
                      <w:kern w:val="0"/>
                      <w:sz w:val="21"/>
                      <w:szCs w:val="21"/>
                      <w:lang w:val="en-US" w:eastAsia="zh-CN" w:bidi="ar-SA"/>
                    </w:rPr>
                    <w:t>审查意见</w:t>
                  </w:r>
                </w:p>
              </w:tc>
              <w:tc>
                <w:tcPr>
                  <w:tcW w:w="3161"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b/>
                      <w:bCs/>
                      <w:color w:val="auto"/>
                      <w:kern w:val="0"/>
                      <w:sz w:val="21"/>
                      <w:szCs w:val="21"/>
                      <w:lang w:val="en-US" w:eastAsia="zh-CN" w:bidi="ar-SA"/>
                    </w:rPr>
                  </w:pPr>
                  <w:r>
                    <w:rPr>
                      <w:rFonts w:ascii="Times New Roman" w:eastAsia="宋体" w:cs="Times New Roman" w:hAnsi="Times New Roman" w:hint="eastAsia"/>
                      <w:b/>
                      <w:bCs/>
                      <w:color w:val="auto"/>
                      <w:kern w:val="0"/>
                      <w:sz w:val="21"/>
                      <w:szCs w:val="21"/>
                      <w:lang w:val="en-US" w:eastAsia="zh-CN" w:bidi="ar-SA"/>
                    </w:rPr>
                    <w:t>项目内容</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一</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落实国家及区域发展战略，坚持生态优先、提质增效，以生态环境质量改善为核心，做好与各级国土空间规划和生态环境分区管控体系的协调衔接，进一步优化《规划》布局、产业定位和发展规模。</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0"/>
                      <w:sz w:val="21"/>
                      <w:szCs w:val="21"/>
                      <w:lang w:val="en-US" w:eastAsia="zh-CN" w:bidi="ar-SA"/>
                    </w:rPr>
                  </w:pPr>
                  <w:r>
                    <w:rPr>
                      <w:rFonts w:ascii="Segoe UI" w:eastAsia="宋体" w:cs="Segoe UI" w:hAnsi="Segoe UI" w:hint="eastAsia"/>
                      <w:i w:val="0"/>
                      <w:iCs w:val="0"/>
                      <w:caps w:val="0"/>
                      <w:smallCaps w:val="0"/>
                      <w:color w:val="auto"/>
                      <w:spacing w:val="0"/>
                      <w:sz w:val="21"/>
                      <w:szCs w:val="21"/>
                      <w:shd w:val="clear" w:color="auto" w:fill="FFFFFF"/>
                      <w:lang w:val="en-US" w:eastAsia="zh-CN"/>
                    </w:rPr>
                    <w:t>项目位于石家庄市栾城区窦妪村装备制造产业园区奥翔街6-1号（院内3号房），位于规划范围内</w:t>
                  </w:r>
                  <w:r>
                    <w:rPr>
                      <w:rFonts w:ascii="Segoe UI" w:eastAsia="Segoe UI" w:cs="Segoe UI" w:hAnsi="Segoe UI"/>
                      <w:i w:val="0"/>
                      <w:iCs w:val="0"/>
                      <w:caps w:val="0"/>
                      <w:smallCaps w:val="0"/>
                      <w:color w:val="auto"/>
                      <w:spacing w:val="0"/>
                      <w:sz w:val="21"/>
                      <w:szCs w:val="21"/>
                      <w:shd w:val="clear" w:color="auto" w:fill="FFFFFF"/>
                    </w:rPr>
                    <w:t>，租赁现有工业厂房进行生产，占地为工业用地，符合园区用地规划。</w:t>
                  </w:r>
                  <w:r>
                    <w:rPr>
                      <w:rFonts w:ascii="Segoe UI" w:eastAsia="Segoe UI" w:cs="Segoe UI" w:hAnsi="Segoe UI" w:hint="eastAsia"/>
                      <w:i w:val="0"/>
                      <w:iCs w:val="0"/>
                      <w:caps w:val="0"/>
                      <w:smallCaps w:val="0"/>
                      <w:color w:val="auto"/>
                      <w:spacing w:val="0"/>
                      <w:sz w:val="21"/>
                      <w:szCs w:val="21"/>
                      <w:shd w:val="clear" w:color="auto" w:fill="FFFFFF"/>
                    </w:rPr>
                    <w:t>本项目为改建项目，项目产品为汽车塑料配件，属于汽车零部件，符合园区规划定位</w:t>
                  </w:r>
                  <w:r>
                    <w:rPr>
                      <w:rFonts w:ascii="Segoe UI" w:eastAsia="Segoe UI" w:cs="Segoe UI" w:hAnsi="Segoe UI"/>
                      <w:i w:val="0"/>
                      <w:iCs w:val="0"/>
                      <w:caps w:val="0"/>
                      <w:smallCaps w:val="0"/>
                      <w:color w:val="auto"/>
                      <w:spacing w:val="0"/>
                      <w:sz w:val="21"/>
                      <w:szCs w:val="21"/>
                      <w:shd w:val="clear" w:color="auto" w:fill="FFFFFF"/>
                    </w:rPr>
                    <w:t>。项目在“三线一单”符合性分析中已论证其符合生态保护红线、环境质量底线、资源利用上线及生态环境准入清单的要求。</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二</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推进产业园绿色低碳转型发展，实现减污降碳协同增效目标。根据国家、地方碳减排和碳达峰行动方案及路径要求，进一步优化产业园能源结构、交通运输方式等《规划》内容</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0"/>
                      <w:sz w:val="21"/>
                      <w:szCs w:val="21"/>
                      <w:lang w:val="en-US" w:eastAsia="zh-CN" w:bidi="ar-SA"/>
                    </w:rPr>
                  </w:pPr>
                  <w:r>
                    <w:rPr>
                      <w:rFonts w:ascii="Segoe UI" w:eastAsia="Segoe UI" w:cs="Segoe UI" w:hAnsi="Segoe UI" w:hint="eastAsia"/>
                      <w:i w:val="0"/>
                      <w:iCs w:val="0"/>
                      <w:caps w:val="0"/>
                      <w:smallCaps w:val="0"/>
                      <w:color w:val="auto"/>
                      <w:spacing w:val="0"/>
                      <w:sz w:val="21"/>
                      <w:szCs w:val="21"/>
                      <w:shd w:val="clear" w:color="auto" w:fill="FFFFFF"/>
                    </w:rPr>
                    <w:t>项目生产采用电加热，职工冬季采暖由空调提供</w:t>
                  </w:r>
                  <w:r>
                    <w:rPr>
                      <w:rFonts w:ascii="Segoe UI" w:eastAsia="Segoe UI" w:cs="Segoe UI" w:hAnsi="Segoe UI"/>
                      <w:i w:val="0"/>
                      <w:iCs w:val="0"/>
                      <w:caps w:val="0"/>
                      <w:smallCaps w:val="0"/>
                      <w:color w:val="auto"/>
                      <w:spacing w:val="0"/>
                      <w:sz w:val="21"/>
                      <w:szCs w:val="21"/>
                      <w:shd w:val="clear" w:color="auto" w:fill="FFFFFF"/>
                    </w:rPr>
                    <w:t>。</w:t>
                  </w:r>
                  <w:r>
                    <w:rPr>
                      <w:rFonts w:ascii="Segoe UI" w:eastAsia="宋体" w:cs="Segoe UI" w:hAnsi="Segoe UI" w:hint="eastAsia"/>
                      <w:i w:val="0"/>
                      <w:iCs w:val="0"/>
                      <w:caps w:val="0"/>
                      <w:smallCaps w:val="0"/>
                      <w:color w:val="auto"/>
                      <w:spacing w:val="0"/>
                      <w:sz w:val="21"/>
                      <w:szCs w:val="21"/>
                      <w:shd w:val="clear" w:color="auto" w:fill="FFFFFF"/>
                      <w:lang w:val="en-US" w:eastAsia="zh-CN"/>
                    </w:rPr>
                    <w:t>按照当地要求合理规划交通运输方式</w:t>
                  </w:r>
                  <w:r>
                    <w:rPr>
                      <w:rFonts w:ascii="Segoe UI" w:eastAsia="Segoe UI" w:cs="Segoe UI" w:hAnsi="Segoe UI"/>
                      <w:i w:val="0"/>
                      <w:iCs w:val="0"/>
                      <w:caps w:val="0"/>
                      <w:smallCaps w:val="0"/>
                      <w:color w:val="auto"/>
                      <w:spacing w:val="0"/>
                      <w:sz w:val="21"/>
                      <w:szCs w:val="21"/>
                      <w:shd w:val="clear" w:color="auto" w:fill="FFFFFF"/>
                    </w:rPr>
                    <w:t>。</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三</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严格空间管控要求，进一步优化产业园空间布局。教育文化科研区、绿地禁止开展其他无关建设活动。严格落实饮用水源地保护区、文物保护单位、河流管理范围的管理要求。落实《报告书》提出的空间布局引导和管控要求，优化工业、居住等各类用地的空间布局和产业的梯级布局，严格涉风险源企业管理，确保人居环境安全。</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0"/>
                      <w:sz w:val="21"/>
                      <w:szCs w:val="21"/>
                      <w:lang w:val="en-US" w:eastAsia="zh-CN" w:bidi="ar-SA"/>
                    </w:rPr>
                  </w:pPr>
                  <w:r>
                    <w:rPr>
                      <w:rFonts w:ascii="Segoe UI" w:eastAsia="Segoe UI" w:cs="Segoe UI" w:hAnsi="Segoe UI"/>
                      <w:i w:val="0"/>
                      <w:iCs w:val="0"/>
                      <w:caps w:val="0"/>
                      <w:smallCaps w:val="0"/>
                      <w:color w:val="auto"/>
                      <w:spacing w:val="0"/>
                      <w:sz w:val="21"/>
                      <w:szCs w:val="21"/>
                      <w:shd w:val="clear" w:color="auto" w:fill="FFFFFF"/>
                    </w:rPr>
                    <w:t>项目位于</w:t>
                  </w:r>
                  <w:r>
                    <w:rPr>
                      <w:rFonts w:ascii="Times New Roman" w:cs="Times New Roman" w:hAnsi="Times New Roman" w:hint="eastAsia"/>
                      <w:color w:val="auto"/>
                      <w:sz w:val="21"/>
                      <w:szCs w:val="21"/>
                      <w:lang w:val="en-US" w:eastAsia="zh-CN"/>
                      <w:highlight w:val="none"/>
                    </w:rPr>
                    <w:t>装备制造产业园区</w:t>
                  </w:r>
                  <w:r>
                    <w:rPr>
                      <w:rFonts w:ascii="Segoe UI" w:eastAsia="Segoe UI" w:cs="Segoe UI" w:hAnsi="Segoe UI"/>
                      <w:i w:val="0"/>
                      <w:iCs w:val="0"/>
                      <w:caps w:val="0"/>
                      <w:smallCaps w:val="0"/>
                      <w:color w:val="auto"/>
                      <w:spacing w:val="0"/>
                      <w:sz w:val="21"/>
                      <w:szCs w:val="21"/>
                      <w:shd w:val="clear" w:color="auto" w:fill="FFFFFF"/>
                    </w:rPr>
                    <w:t>内的工业用地，不涉及教育文化科研区、绿地。项目不在生态保护红线、饮用水源地保</w:t>
                  </w:r>
                  <w:r>
                    <w:rPr>
                      <w:rFonts w:ascii="Times New Roman" w:eastAsia="Segoe UI" w:cs="Times New Roman" w:hAnsi="Times New Roman"/>
                      <w:i w:val="0"/>
                      <w:iCs w:val="0"/>
                      <w:caps w:val="0"/>
                      <w:smallCaps w:val="0"/>
                      <w:color w:val="auto"/>
                      <w:spacing w:val="0"/>
                      <w:sz w:val="21"/>
                      <w:szCs w:val="21"/>
                      <w:shd w:val="clear" w:color="auto" w:fill="FFFFFF"/>
                    </w:rPr>
                    <w:t>护区、文物保护单位等环境敏感区内，</w:t>
                  </w:r>
                  <w:r>
                    <w:rPr>
                      <w:rFonts w:ascii="Times New Roman" w:eastAsia="Segoe UI" w:cs="Times New Roman" w:hAnsi="Times New Roman"/>
                      <w:i w:val="0"/>
                      <w:iCs w:val="0"/>
                      <w:caps w:val="0"/>
                      <w:smallCaps w:val="0"/>
                      <w:color w:val="auto"/>
                      <w:spacing w:val="0"/>
                      <w:sz w:val="21"/>
                      <w:szCs w:val="21"/>
                      <w:shd w:val="clear" w:color="auto" w:fill="FFFFFF"/>
                      <w:highlight w:val="none"/>
                    </w:rPr>
                    <w:t>最近敏感点为西南侧710m处的锦悦桦庭</w:t>
                  </w:r>
                  <w:r>
                    <w:rPr>
                      <w:rFonts w:ascii="Times New Roman" w:eastAsia="Segoe UI" w:cs="Times New Roman" w:hAnsi="Times New Roman"/>
                      <w:i w:val="0"/>
                      <w:iCs w:val="0"/>
                      <w:caps w:val="0"/>
                      <w:smallCaps w:val="0"/>
                      <w:color w:val="auto"/>
                      <w:spacing w:val="0"/>
                      <w:sz w:val="21"/>
                      <w:szCs w:val="21"/>
                      <w:shd w:val="clear" w:color="auto" w:fill="FFFFFF"/>
                    </w:rPr>
                    <w:t>。项目不属于高风险项目，</w:t>
                  </w:r>
                  <w:r>
                    <w:rPr>
                      <w:rFonts w:ascii="Times New Roman" w:eastAsia="宋体" w:cs="Times New Roman" w:hAnsi="Times New Roman" w:hint="eastAsia"/>
                      <w:i w:val="0"/>
                      <w:iCs w:val="0"/>
                      <w:caps w:val="0"/>
                      <w:smallCaps w:val="0"/>
                      <w:color w:val="auto"/>
                      <w:spacing w:val="0"/>
                      <w:sz w:val="21"/>
                      <w:szCs w:val="21"/>
                      <w:shd w:val="clear" w:color="auto" w:fill="FFFFFF"/>
                      <w:lang w:val="en-US" w:eastAsia="zh-CN"/>
                    </w:rPr>
                    <w:t>项目对于风险物质</w:t>
                  </w:r>
                  <w:r>
                    <w:rPr>
                      <w:rFonts w:ascii="Times New Roman" w:eastAsia="Segoe UI" w:cs="Times New Roman" w:hAnsi="Times New Roman"/>
                      <w:i w:val="0"/>
                      <w:iCs w:val="0"/>
                      <w:caps w:val="0"/>
                      <w:smallCaps w:val="0"/>
                      <w:color w:val="auto"/>
                      <w:spacing w:val="0"/>
                      <w:sz w:val="21"/>
                      <w:szCs w:val="21"/>
                      <w:shd w:val="clear" w:color="auto" w:fill="FFFFFF"/>
                    </w:rPr>
                    <w:t>采取</w:t>
                  </w:r>
                  <w:r>
                    <w:rPr>
                      <w:rFonts w:ascii="Times New Roman" w:eastAsia="宋体" w:cs="Times New Roman" w:hAnsi="Times New Roman" w:hint="eastAsia"/>
                      <w:i w:val="0"/>
                      <w:iCs w:val="0"/>
                      <w:caps w:val="0"/>
                      <w:smallCaps w:val="0"/>
                      <w:color w:val="auto"/>
                      <w:spacing w:val="0"/>
                      <w:sz w:val="21"/>
                      <w:szCs w:val="21"/>
                      <w:shd w:val="clear" w:color="auto" w:fill="FFFFFF"/>
                      <w:lang w:val="en-US" w:eastAsia="zh-CN"/>
                    </w:rPr>
                    <w:t>相应</w:t>
                  </w:r>
                  <w:r>
                    <w:rPr>
                      <w:rFonts w:ascii="Times New Roman" w:eastAsia="Segoe UI" w:cs="Times New Roman" w:hAnsi="Times New Roman"/>
                      <w:i w:val="0"/>
                      <w:iCs w:val="0"/>
                      <w:caps w:val="0"/>
                      <w:smallCaps w:val="0"/>
                      <w:color w:val="auto"/>
                      <w:spacing w:val="0"/>
                      <w:sz w:val="21"/>
                      <w:szCs w:val="21"/>
                      <w:shd w:val="clear" w:color="auto" w:fill="FFFFFF"/>
                    </w:rPr>
                    <w:t>风险防范措施。</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四</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严守环境质量底线，强化污染物排放总量管控。提升现有及入区企业污染治理设施及环境管理水平，严格落实《报告书》污染物减排方案，确保环境质量持续改善目标。强化涉重废水污染治理，电镀等涉重工序废水在厂区内处理达标后全部回用，不外排。按照《关于加强重点行业建设项目区域削减措施监督管理的通知》要求，环境质量未达到国家或者地方环境质量标准之前，重点行业建设项目主要污染物实行区域倍量削减。</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Segoe UI" w:eastAsia="Segoe UI" w:cs="Segoe UI" w:hAnsi="Segoe UI" w:hint="eastAsia"/>
                      <w:i w:val="0"/>
                      <w:iCs w:val="0"/>
                      <w:caps w:val="0"/>
                      <w:smallCaps w:val="0"/>
                      <w:color w:val="auto"/>
                      <w:spacing w:val="0"/>
                      <w:sz w:val="21"/>
                      <w:szCs w:val="21"/>
                      <w:shd w:val="clear" w:color="auto" w:fill="FFFFFF"/>
                      <w:lang w:val="en-US" w:eastAsia="zh-CN"/>
                    </w:rPr>
                  </w:pPr>
                  <w:r>
                    <w:rPr>
                      <w:rFonts w:ascii="Segoe UI" w:eastAsia="Segoe UI" w:cs="Segoe UI" w:hAnsi="Segoe UI" w:hint="eastAsia"/>
                      <w:i w:val="0"/>
                      <w:iCs w:val="0"/>
                      <w:caps w:val="0"/>
                      <w:smallCaps w:val="0"/>
                      <w:color w:val="auto"/>
                      <w:spacing w:val="0"/>
                      <w:sz w:val="21"/>
                      <w:szCs w:val="21"/>
                      <w:shd w:val="clear" w:color="auto" w:fill="FFFFFF"/>
                    </w:rPr>
                    <w:t>项目污染物排放满足总量控制指</w:t>
                  </w:r>
                  <w:r>
                    <w:rPr>
                      <w:rFonts w:ascii="Segoe UI" w:eastAsia="Segoe UI" w:cs="Segoe UI" w:hAnsi="Segoe UI" w:hint="eastAsia"/>
                      <w:i w:val="0"/>
                      <w:iCs w:val="0"/>
                      <w:caps w:val="0"/>
                      <w:smallCaps w:val="0"/>
                      <w:color w:val="auto"/>
                      <w:spacing w:val="0"/>
                      <w:sz w:val="21"/>
                      <w:szCs w:val="21"/>
                      <w:shd w:val="clear" w:color="auto" w:fill="FFFFFF"/>
                      <w:highlight w:val="none"/>
                    </w:rPr>
                    <w:t>标</w:t>
                  </w:r>
                  <w:r>
                    <w:rPr>
                      <w:rFonts w:ascii="Segoe UI" w:eastAsia="Segoe UI" w:cs="Segoe UI" w:hAnsi="Segoe UI"/>
                      <w:i w:val="0"/>
                      <w:iCs w:val="0"/>
                      <w:caps w:val="0"/>
                      <w:smallCaps w:val="0"/>
                      <w:color w:val="auto"/>
                      <w:spacing w:val="0"/>
                      <w:sz w:val="21"/>
                      <w:szCs w:val="21"/>
                      <w:shd w:val="clear" w:color="auto" w:fill="FFFFFF"/>
                      <w:highlight w:val="none"/>
                    </w:rPr>
                    <w:t>。</w:t>
                  </w:r>
                  <w:r>
                    <w:rPr>
                      <w:rFonts w:ascii="Segoe UI" w:eastAsia="Segoe UI" w:cs="Segoe UI" w:hAnsi="Segoe UI" w:hint="eastAsia"/>
                      <w:i w:val="0"/>
                      <w:iCs w:val="0"/>
                      <w:caps w:val="0"/>
                      <w:smallCaps w:val="0"/>
                      <w:color w:val="auto"/>
                      <w:spacing w:val="0"/>
                      <w:sz w:val="21"/>
                      <w:szCs w:val="21"/>
                      <w:shd w:val="clear" w:color="auto" w:fill="FFFFFF"/>
                      <w:highlight w:val="none"/>
                    </w:rPr>
                    <w:t>项目废水主要为职工生活污水，生活污水经集成式生物化粪池处理后经园区污水管网排入绿源污水处理有限公司进一步处理</w:t>
                  </w:r>
                  <w:r>
                    <w:rPr>
                      <w:rFonts w:ascii="Segoe UI" w:eastAsia="Segoe UI" w:cs="Segoe UI" w:hAnsi="Segoe UI"/>
                      <w:i w:val="0"/>
                      <w:iCs w:val="0"/>
                      <w:caps w:val="0"/>
                      <w:smallCaps w:val="0"/>
                      <w:color w:val="auto"/>
                      <w:spacing w:val="0"/>
                      <w:sz w:val="21"/>
                      <w:szCs w:val="21"/>
                      <w:shd w:val="clear" w:color="auto" w:fill="FFFFFF"/>
                    </w:rPr>
                    <w:t>。项目不属于审查意见中提到的电镀等涉重行业。</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五</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严格入区项目生态环境准入，推动绿色低碳高质量发展。严格落实《报告书》提出的产业园生态环境准入要求及现有企业环境管理要求。禁止“两高”项目准入</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严格落实好省、市重点化工监控点管理要求</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严格化学药品原料药制造项目准入，满足防护距离要求。不断提高现有企业清洁生产水平，促进产业园产业转型升级与生态环境保护、人居环境安全相协调。</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Segoe UI" w:eastAsia="宋体" w:cs="Segoe UI" w:hAnsi="Segoe UI" w:hint="eastAsia"/>
                      <w:i w:val="0"/>
                      <w:iCs w:val="0"/>
                      <w:caps w:val="0"/>
                      <w:smallCaps w:val="0"/>
                      <w:color w:val="auto"/>
                      <w:spacing w:val="0"/>
                      <w:sz w:val="21"/>
                      <w:szCs w:val="21"/>
                      <w:shd w:val="clear" w:color="auto" w:fill="FFFFFF"/>
                      <w:lang w:val="en-US" w:eastAsia="zh-CN"/>
                    </w:rPr>
                  </w:pPr>
                  <w:r>
                    <w:rPr>
                      <w:rFonts w:ascii="Segoe UI" w:eastAsia="Segoe UI" w:cs="Segoe UI" w:hAnsi="Segoe UI"/>
                      <w:i w:val="0"/>
                      <w:iCs w:val="0"/>
                      <w:caps w:val="0"/>
                      <w:smallCaps w:val="0"/>
                      <w:color w:val="auto"/>
                      <w:spacing w:val="0"/>
                      <w:sz w:val="21"/>
                      <w:szCs w:val="21"/>
                      <w:shd w:val="clear" w:color="auto" w:fill="FFFFFF"/>
                    </w:rPr>
                    <w:t>项目不属于“两高”项目。项目</w:t>
                  </w:r>
                  <w:r>
                    <w:rPr>
                      <w:rFonts w:ascii="Segoe UI" w:eastAsia="宋体" w:cs="Segoe UI" w:hAnsi="Segoe UI" w:hint="eastAsia"/>
                      <w:i w:val="0"/>
                      <w:iCs w:val="0"/>
                      <w:caps w:val="0"/>
                      <w:smallCaps w:val="0"/>
                      <w:color w:val="auto"/>
                      <w:spacing w:val="0"/>
                      <w:sz w:val="21"/>
                      <w:szCs w:val="21"/>
                      <w:shd w:val="clear" w:color="auto" w:fill="FFFFFF"/>
                      <w:lang w:val="en-US" w:eastAsia="zh-CN"/>
                    </w:rPr>
                    <w:t>符合国家及地方</w:t>
                  </w:r>
                  <w:r>
                    <w:rPr>
                      <w:rFonts w:ascii="Segoe UI" w:eastAsia="Segoe UI" w:cs="Segoe UI" w:hAnsi="Segoe UI"/>
                      <w:i w:val="0"/>
                      <w:iCs w:val="0"/>
                      <w:caps w:val="0"/>
                      <w:smallCaps w:val="0"/>
                      <w:color w:val="auto"/>
                      <w:spacing w:val="0"/>
                      <w:sz w:val="21"/>
                      <w:szCs w:val="21"/>
                      <w:shd w:val="clear" w:color="auto" w:fill="FFFFFF"/>
                    </w:rPr>
                    <w:t>产业政策，不属于国家及地方禁止和限制类产业</w:t>
                  </w:r>
                  <w:r>
                    <w:rPr>
                      <w:rFonts w:ascii="Segoe UI" w:eastAsia="宋体" w:cs="Segoe UI" w:hAnsi="Segoe UI" w:hint="eastAsia"/>
                      <w:i w:val="0"/>
                      <w:iCs w:val="0"/>
                      <w:caps w:val="0"/>
                      <w:smallCaps w:val="0"/>
                      <w:color w:val="auto"/>
                      <w:spacing w:val="0"/>
                      <w:sz w:val="21"/>
                      <w:szCs w:val="21"/>
                      <w:shd w:val="clear" w:color="auto" w:fill="FFFFFF"/>
                      <w:lang w:eastAsia="zh-CN"/>
                    </w:rPr>
                    <w:t>。</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六</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统筹基础设施建设，严格落实《报告书》提出的建设内容及时限。加快产业园内供水、排水、供热管网建设进度，逐步完善再生水管网布局，充分利用再生水资源。产业园企业优先使用天然气、电能等清洁能源，根据供热管网建设时序，现有企业自建锅炉淘汰或作为备用锅炉。</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Segoe UI" w:eastAsia="Segoe UI" w:cs="Segoe UI" w:hAnsi="Segoe UI" w:hint="eastAsia"/>
                      <w:i w:val="0"/>
                      <w:iCs w:val="0"/>
                      <w:caps w:val="0"/>
                      <w:smallCaps w:val="0"/>
                      <w:color w:val="auto"/>
                      <w:spacing w:val="0"/>
                      <w:sz w:val="21"/>
                      <w:szCs w:val="21"/>
                      <w:shd w:val="clear" w:color="auto" w:fill="FFFFFF"/>
                      <w:lang w:val="en-US" w:eastAsia="zh-CN"/>
                    </w:rPr>
                  </w:pPr>
                  <w:r>
                    <w:rPr>
                      <w:rFonts w:ascii="Segoe UI" w:eastAsia="Segoe UI" w:cs="Segoe UI" w:hAnsi="Segoe UI"/>
                      <w:i w:val="0"/>
                      <w:iCs w:val="0"/>
                      <w:caps w:val="0"/>
                      <w:smallCaps w:val="0"/>
                      <w:color w:val="auto"/>
                      <w:spacing w:val="0"/>
                      <w:sz w:val="21"/>
                      <w:szCs w:val="21"/>
                      <w:shd w:val="clear" w:color="auto" w:fill="FFFFFF"/>
                    </w:rPr>
                    <w:t>项目用水、用电均由园区管网提供。项目生产使用电能，符合优先使用清洁能源的要求。</w:t>
                  </w:r>
                  <w:r>
                    <w:rPr>
                      <w:rFonts w:ascii="Segoe UI" w:eastAsia="Segoe UI" w:cs="Segoe UI" w:hAnsi="Segoe UI" w:hint="eastAsia"/>
                      <w:i w:val="0"/>
                      <w:iCs w:val="0"/>
                      <w:caps w:val="0"/>
                      <w:smallCaps w:val="0"/>
                      <w:color w:val="auto"/>
                      <w:spacing w:val="0"/>
                      <w:sz w:val="21"/>
                      <w:szCs w:val="21"/>
                      <w:shd w:val="clear" w:color="auto" w:fill="FFFFFF"/>
                      <w:highlight w:val="none"/>
                    </w:rPr>
                    <w:t>项目废水主要为职工生活污水，生活污水经集成式生物化粪池处理后经园区污水管网排入绿源污水处理有限公司进一步处理</w:t>
                  </w:r>
                  <w:r>
                    <w:rPr>
                      <w:rFonts w:ascii="Segoe UI" w:eastAsia="Segoe UI" w:cs="Segoe UI" w:hAnsi="Segoe UI"/>
                      <w:i w:val="0"/>
                      <w:iCs w:val="0"/>
                      <w:caps w:val="0"/>
                      <w:smallCaps w:val="0"/>
                      <w:color w:val="auto"/>
                      <w:spacing w:val="0"/>
                      <w:sz w:val="21"/>
                      <w:szCs w:val="21"/>
                      <w:shd w:val="clear" w:color="auto" w:fill="FFFFFF"/>
                    </w:rPr>
                    <w:t>。</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七</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优化运输方式，落实应急运输响应方案。鼓励产业园提高清洁能源汽车运输比例，减轻公路运输产生的不利环境影响结合秋冬行业错峰生产和重污染天气应急响应要求，在黄色及以上重污染天气预警期间，重点用车企业实施应急运输响应。</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Segoe UI" w:eastAsia="Segoe UI" w:cs="Segoe UI" w:hAnsi="Segoe UI" w:hint="eastAsia"/>
                      <w:i w:val="0"/>
                      <w:iCs w:val="0"/>
                      <w:caps w:val="0"/>
                      <w:smallCaps w:val="0"/>
                      <w:color w:val="auto"/>
                      <w:spacing w:val="0"/>
                      <w:sz w:val="21"/>
                      <w:szCs w:val="21"/>
                      <w:shd w:val="clear" w:color="auto" w:fill="FFFFFF"/>
                      <w:lang w:val="en-US" w:eastAsia="zh-CN"/>
                    </w:rPr>
                  </w:pPr>
                  <w:r>
                    <w:rPr>
                      <w:rFonts w:ascii="Segoe UI" w:eastAsia="Segoe UI" w:cs="Segoe UI" w:hAnsi="Segoe UI"/>
                      <w:i w:val="0"/>
                      <w:iCs w:val="0"/>
                      <w:caps w:val="0"/>
                      <w:smallCaps w:val="0"/>
                      <w:color w:val="auto"/>
                      <w:spacing w:val="0"/>
                      <w:sz w:val="21"/>
                      <w:szCs w:val="21"/>
                      <w:shd w:val="clear" w:color="auto" w:fill="FFFFFF"/>
                    </w:rPr>
                    <w:t>项目</w:t>
                  </w:r>
                  <w:r>
                    <w:rPr>
                      <w:rFonts w:ascii="Segoe UI" w:eastAsia="宋体" w:cs="Segoe UI" w:hAnsi="Segoe UI" w:hint="eastAsia"/>
                      <w:i w:val="0"/>
                      <w:iCs w:val="0"/>
                      <w:caps w:val="0"/>
                      <w:smallCaps w:val="0"/>
                      <w:color w:val="auto"/>
                      <w:spacing w:val="0"/>
                      <w:sz w:val="21"/>
                      <w:szCs w:val="21"/>
                      <w:shd w:val="clear" w:color="auto" w:fill="FFFFFF"/>
                      <w:lang w:val="en-US" w:eastAsia="zh-CN"/>
                    </w:rPr>
                    <w:t>按照当地要求的交通运输方式运转</w:t>
                  </w:r>
                  <w:r>
                    <w:rPr>
                      <w:rFonts w:ascii="Segoe UI" w:eastAsia="Segoe UI" w:cs="Segoe UI" w:hAnsi="Segoe UI"/>
                      <w:i w:val="0"/>
                      <w:iCs w:val="0"/>
                      <w:caps w:val="0"/>
                      <w:smallCaps w:val="0"/>
                      <w:color w:val="auto"/>
                      <w:spacing w:val="0"/>
                      <w:sz w:val="21"/>
                      <w:szCs w:val="21"/>
                      <w:shd w:val="clear" w:color="auto" w:fill="FFFFFF"/>
                    </w:rPr>
                    <w:t>。项目将根据要求，在重污染天气预警期间执行相应的应急运输响应措施。</w:t>
                  </w:r>
                </w:p>
              </w:tc>
            </w:tr>
            <w:tr>
              <w:trPr>
                <w:trHeight w:val="397"/>
              </w:trPr>
              <w:tc>
                <w:tcPr>
                  <w:tcW w:w="4435" w:type="dxa"/>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both"/>
                    <w:textAlignment w:val="auto"/>
                    <w:rPr>
                      <w:rFonts w:ascii="Times New Roman" w:eastAsia="宋体" w:cs="Times New Roman" w:hAnsi="Times New Roman"/>
                      <w:color w:val="auto"/>
                      <w:kern w:val="0"/>
                      <w:sz w:val="21"/>
                      <w:szCs w:val="21"/>
                      <w:lang w:val="en-US" w:eastAsia="zh-CN" w:bidi="ar-SA"/>
                    </w:rPr>
                  </w:pP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八</w:t>
                  </w:r>
                  <w:r>
                    <w:rPr>
                      <w:rFonts w:ascii="Times New Roman" w:eastAsia="宋体" w:cs="Times New Roman" w:hAnsi="Times New Roman" w:hint="eastAsia"/>
                      <w:color w:val="auto"/>
                      <w:kern w:val="0"/>
                      <w:sz w:val="21"/>
                      <w:szCs w:val="21"/>
                      <w:lang w:val="en-US" w:eastAsia="zh-CN" w:bidi="ar-SA"/>
                    </w:rPr>
                    <w:t>）</w:t>
                  </w:r>
                  <w:r>
                    <w:rPr>
                      <w:rFonts w:ascii="Times New Roman" w:eastAsia="宋体" w:cs="Times New Roman" w:hAnsi="Times New Roman"/>
                      <w:color w:val="auto"/>
                      <w:kern w:val="0"/>
                      <w:sz w:val="21"/>
                      <w:szCs w:val="21"/>
                      <w:lang w:val="en-US" w:eastAsia="zh-CN" w:bidi="ar-SA"/>
                    </w:rPr>
                    <w:t>健全完善环境监测体系，强化环境风险防范。健全完善包括环境空气、地表水、地下水、土壤等环境要素的监控体系;强化产业园风险防控体系的建立，健全应急响应联动机制。严格落实《报告书》提出的各项环境风险防控措施，加强产业园与周边敏感区环境风险防范设施建设，提升环境风险防控和应急响应能力，保障区域环境安全。</w:t>
                  </w:r>
                </w:p>
              </w:tc>
              <w:tc>
                <w:tcPr>
                  <w:tcW w:w="3161" w:type="dxa"/>
                  <w:tcBorders>
                    <w:left w:val="single" w:sz="4" w:space="0" w:color="auto"/>
                  </w:tcBorders>
                  <w:vAlign w:val="center"/>
                </w:tcPr>
                <w:p>
                  <w:pPr>
                    <w:pStyle w:val="15"/>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jc w:val="center"/>
                    <w:textAlignment w:val="auto"/>
                    <w:rPr>
                      <w:rFonts w:ascii="Segoe UI" w:eastAsia="Segoe UI" w:cs="Segoe UI" w:hAnsi="Segoe UI" w:hint="eastAsia"/>
                      <w:i w:val="0"/>
                      <w:iCs w:val="0"/>
                      <w:caps w:val="0"/>
                      <w:smallCaps w:val="0"/>
                      <w:color w:val="auto"/>
                      <w:spacing w:val="0"/>
                      <w:sz w:val="21"/>
                      <w:szCs w:val="21"/>
                      <w:shd w:val="clear" w:color="auto" w:fill="FFFFFF"/>
                      <w:lang w:val="en-US" w:eastAsia="zh-CN"/>
                    </w:rPr>
                  </w:pPr>
                  <w:r>
                    <w:rPr>
                      <w:rFonts w:ascii="Segoe UI" w:eastAsia="Segoe UI" w:cs="Segoe UI" w:hAnsi="Segoe UI"/>
                      <w:i w:val="0"/>
                      <w:iCs w:val="0"/>
                      <w:caps w:val="0"/>
                      <w:smallCaps w:val="0"/>
                      <w:color w:val="auto"/>
                      <w:spacing w:val="0"/>
                      <w:sz w:val="21"/>
                      <w:szCs w:val="21"/>
                      <w:shd w:val="clear" w:color="auto" w:fill="FFFFFF"/>
                    </w:rPr>
                    <w:t>项目</w:t>
                  </w:r>
                  <w:r>
                    <w:rPr>
                      <w:rFonts w:ascii="Segoe UI" w:eastAsia="宋体" w:cs="Segoe UI" w:hAnsi="Segoe UI" w:hint="eastAsia"/>
                      <w:i w:val="0"/>
                      <w:iCs w:val="0"/>
                      <w:caps w:val="0"/>
                      <w:smallCaps w:val="0"/>
                      <w:color w:val="auto"/>
                      <w:spacing w:val="0"/>
                      <w:sz w:val="21"/>
                      <w:szCs w:val="21"/>
                      <w:shd w:val="clear" w:color="auto" w:fill="FFFFFF"/>
                      <w:lang w:val="en-US" w:eastAsia="zh-CN"/>
                    </w:rPr>
                    <w:t>按照要求</w:t>
                  </w:r>
                  <w:r>
                    <w:rPr>
                      <w:rFonts w:ascii="Segoe UI" w:eastAsia="Segoe UI" w:cs="Segoe UI" w:hAnsi="Segoe UI"/>
                      <w:i w:val="0"/>
                      <w:iCs w:val="0"/>
                      <w:caps w:val="0"/>
                      <w:smallCaps w:val="0"/>
                      <w:color w:val="auto"/>
                      <w:spacing w:val="0"/>
                      <w:sz w:val="21"/>
                      <w:szCs w:val="21"/>
                      <w:shd w:val="clear" w:color="auto" w:fill="FFFFFF"/>
                    </w:rPr>
                    <w:t>开展监测。项目将成立应急组织机构，制定应急预案，定期开展应急演练，强化风险防控。</w:t>
                  </w: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color w:val="auto"/>
                <w:kern w:val="0"/>
                <w:sz w:val="24"/>
                <w:szCs w:val="20"/>
                <w:lang w:val="en-US" w:eastAsia="zh-CN" w:bidi="ar-SA"/>
                <w:highlight w:val="none"/>
              </w:rPr>
            </w:pPr>
            <w:r>
              <w:rPr>
                <w:rFonts w:ascii="Times New Roman" w:eastAsia="宋体" w:cs="Times New Roman" w:hAnsi="Times New Roman" w:hint="eastAsia"/>
                <w:color w:val="auto"/>
                <w:kern w:val="0"/>
                <w:sz w:val="24"/>
                <w:szCs w:val="20"/>
                <w:lang w:val="en-US" w:eastAsia="zh-CN" w:bidi="ar-SA"/>
                <w:highlight w:val="none"/>
              </w:rPr>
              <w:t>综上所述，项目符合审查意见中的各项要求。</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b/>
                <w:bCs/>
                <w:color w:val="auto"/>
                <w:kern w:val="0"/>
                <w:sz w:val="24"/>
                <w:szCs w:val="20"/>
                <w:lang w:val="en-US" w:eastAsia="zh-CN" w:bidi="ar-SA"/>
                <w:highlight w:val="none"/>
              </w:rPr>
            </w:pPr>
            <w:r>
              <w:rPr>
                <w:rFonts w:ascii="Times New Roman" w:eastAsia="宋体" w:cs="Times New Roman" w:hAnsi="Times New Roman"/>
                <w:b/>
                <w:bCs/>
                <w:color w:val="auto"/>
                <w:kern w:val="0"/>
                <w:sz w:val="24"/>
                <w:szCs w:val="20"/>
                <w:lang w:val="en-US" w:eastAsia="zh-CN" w:bidi="ar-SA"/>
                <w:highlight w:val="none"/>
              </w:rPr>
              <w:t>4</w:t>
            </w:r>
            <w:r>
              <w:rPr>
                <w:rFonts w:ascii="Times New Roman" w:eastAsia="宋体" w:cs="Times New Roman" w:hAnsi="Times New Roman" w:hint="eastAsia"/>
                <w:b/>
                <w:bCs/>
                <w:color w:val="auto"/>
                <w:kern w:val="0"/>
                <w:sz w:val="24"/>
                <w:szCs w:val="20"/>
                <w:lang w:val="en-US" w:eastAsia="zh-CN" w:bidi="ar-SA"/>
                <w:highlight w:val="none"/>
              </w:rPr>
              <w:t>、规划环评</w:t>
            </w:r>
            <w:r>
              <w:rPr>
                <w:rFonts w:ascii="Times New Roman" w:cs="Times New Roman" w:hAnsi="Times New Roman" w:hint="eastAsia"/>
                <w:b/>
                <w:bCs/>
                <w:color w:val="auto"/>
                <w:kern w:val="0"/>
                <w:sz w:val="24"/>
                <w:szCs w:val="20"/>
                <w:lang w:val="en-US" w:eastAsia="zh-CN" w:bidi="ar-SA"/>
                <w:highlight w:val="none"/>
              </w:rPr>
              <w:t>准入要求</w:t>
            </w:r>
            <w:r>
              <w:rPr>
                <w:rFonts w:ascii="Times New Roman" w:eastAsia="宋体" w:cs="Times New Roman" w:hAnsi="Times New Roman" w:hint="eastAsia"/>
                <w:b/>
                <w:bCs/>
                <w:color w:val="auto"/>
                <w:kern w:val="0"/>
                <w:sz w:val="24"/>
                <w:szCs w:val="20"/>
                <w:lang w:val="en-US" w:eastAsia="zh-CN" w:bidi="ar-SA"/>
                <w:highlight w:val="none"/>
              </w:rPr>
              <w:t xml:space="preserve"> </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kern w:val="0"/>
                <w:sz w:val="24"/>
                <w:szCs w:val="20"/>
                <w:lang w:val="en-US" w:eastAsia="zh-CN" w:bidi="ar-SA"/>
                <w:highlight w:val="none"/>
              </w:rPr>
            </w:pPr>
            <w:r>
              <w:rPr>
                <w:rFonts w:ascii="Times New Roman" w:eastAsia="宋体" w:cs="Times New Roman" w:hAnsi="Times New Roman" w:hint="eastAsia"/>
                <w:color w:val="auto"/>
                <w:kern w:val="0"/>
                <w:sz w:val="24"/>
                <w:szCs w:val="20"/>
                <w:lang w:val="en-US" w:eastAsia="zh-CN" w:bidi="ar-SA"/>
                <w:highlight w:val="none"/>
              </w:rPr>
              <w:t>本项目与河北石家庄装备制造产业园准入要求符合性分析见下表：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b/>
                <w:bCs/>
                <w:color w:val="auto"/>
                <w:kern w:val="0"/>
                <w:sz w:val="24"/>
                <w:szCs w:val="20"/>
                <w:lang w:val="en-US" w:eastAsia="zh-CN" w:bidi="ar-SA"/>
                <w:highlight w:val="none"/>
              </w:rPr>
            </w:pPr>
            <w:r>
              <w:rPr>
                <w:rFonts w:ascii="Times New Roman" w:eastAsia="宋体" w:cs="Times New Roman" w:hAnsi="Times New Roman" w:hint="eastAsia"/>
                <w:b/>
                <w:bCs/>
                <w:color w:val="auto"/>
                <w:kern w:val="0"/>
                <w:sz w:val="24"/>
                <w:szCs w:val="20"/>
                <w:lang w:val="en-US" w:eastAsia="zh-CN" w:bidi="ar-SA"/>
                <w:highlight w:val="none"/>
              </w:rPr>
              <w:t>表</w:t>
            </w:r>
            <w:r>
              <w:rPr>
                <w:rFonts w:ascii="Times New Roman" w:eastAsia="宋体" w:cs="Times New Roman" w:hAnsi="Times New Roman"/>
                <w:b/>
                <w:bCs/>
                <w:color w:val="auto"/>
                <w:kern w:val="0"/>
                <w:sz w:val="24"/>
                <w:szCs w:val="20"/>
                <w:lang w:val="en-US" w:eastAsia="zh-CN" w:bidi="ar-SA"/>
                <w:highlight w:val="none"/>
              </w:rPr>
              <w:t>1-</w:t>
            </w:r>
            <w:r>
              <w:rPr>
                <w:rFonts w:ascii="Times New Roman" w:cs="Times New Roman" w:hAnsi="Times New Roman" w:hint="eastAsia"/>
                <w:b/>
                <w:bCs/>
                <w:color w:val="auto"/>
                <w:kern w:val="0"/>
                <w:sz w:val="24"/>
                <w:szCs w:val="20"/>
                <w:lang w:val="en-US" w:eastAsia="zh-CN" w:bidi="ar-SA"/>
                <w:highlight w:val="none"/>
              </w:rPr>
              <w:t>5</w:t>
            </w:r>
            <w:r>
              <w:rPr>
                <w:rFonts w:ascii="Times New Roman" w:eastAsia="宋体" w:cs="Times New Roman" w:hAnsi="Times New Roman"/>
                <w:b/>
                <w:bCs/>
                <w:color w:val="auto"/>
                <w:kern w:val="0"/>
                <w:sz w:val="24"/>
                <w:szCs w:val="20"/>
                <w:lang w:val="en-US" w:eastAsia="zh-CN" w:bidi="ar-SA"/>
                <w:highlight w:val="none"/>
              </w:rPr>
              <w:t xml:space="preserve"> </w:t>
            </w:r>
            <w:r>
              <w:rPr>
                <w:rFonts w:ascii="Times New Roman" w:eastAsia="宋体" w:cs="Times New Roman" w:hAnsi="Times New Roman" w:hint="eastAsia"/>
                <w:b/>
                <w:bCs/>
                <w:color w:val="auto"/>
                <w:kern w:val="0"/>
                <w:sz w:val="24"/>
                <w:szCs w:val="20"/>
                <w:lang w:val="en-US" w:eastAsia="zh-CN" w:bidi="ar-SA"/>
                <w:highlight w:val="none"/>
              </w:rPr>
              <w:t xml:space="preserve">  项目与河北石家庄装备制造产业园准入要求符合性分析一览表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364"/>
              <w:gridCol w:w="560"/>
              <w:gridCol w:w="4106"/>
              <w:gridCol w:w="2607"/>
            </w:tblGrid>
            <w:tr>
              <w:trPr>
                <w:trHeight w:val="397"/>
              </w:trPr>
              <w:tc>
                <w:tcPr>
                  <w:tcW w:w="585" w:type="pct"/>
                  <w:gridSpan w:val="2"/>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eastAsia="宋体" w:cs="Times New Roman" w:hAnsi="Times New Roman"/>
                      <w:b/>
                      <w:bCs w:val="0"/>
                      <w:color w:val="auto"/>
                      <w:sz w:val="21"/>
                      <w:szCs w:val="21"/>
                      <w:lang w:eastAsia="zh-CN"/>
                      <w:highlight w:val="none"/>
                    </w:rPr>
                  </w:pPr>
                  <w:r>
                    <w:rPr>
                      <w:rFonts w:ascii="Times New Roman" w:cs="Times New Roman" w:hAnsi="Times New Roman"/>
                      <w:b/>
                      <w:bCs w:val="0"/>
                      <w:color w:val="auto"/>
                      <w:sz w:val="21"/>
                      <w:szCs w:val="21"/>
                      <w:lang w:val="en-US" w:eastAsia="zh-CN"/>
                      <w:highlight w:val="none"/>
                    </w:rPr>
                    <w:t>项目</w:t>
                  </w:r>
                </w:p>
              </w:tc>
              <w:tc>
                <w:tcPr>
                  <w:tcW w:w="2702" w:type="pct"/>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b/>
                      <w:bCs w:val="0"/>
                      <w:color w:val="auto"/>
                      <w:sz w:val="21"/>
                      <w:szCs w:val="21"/>
                      <w:lang w:val="en-US"/>
                      <w:highlight w:val="none"/>
                    </w:rPr>
                  </w:pPr>
                  <w:r>
                    <w:rPr>
                      <w:rFonts w:ascii="Times New Roman" w:cs="Times New Roman" w:hAnsi="Times New Roman"/>
                      <w:b/>
                      <w:bCs w:val="0"/>
                      <w:color w:val="auto"/>
                      <w:sz w:val="21"/>
                      <w:szCs w:val="21"/>
                      <w:lang w:val="en-US" w:eastAsia="zh-CN"/>
                      <w:highlight w:val="none"/>
                    </w:rPr>
                    <w:t>准入要求</w:t>
                  </w:r>
                </w:p>
              </w:tc>
              <w:tc>
                <w:tcPr>
                  <w:tcW w:w="1711" w:type="pct"/>
                  <w:vAlign w:val="center"/>
                </w:tcPr>
                <w:p>
                  <w:pPr>
                    <w:pStyle w:val="178"/>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Chars="0" w:firstLine="0"/>
                    <w:jc w:val="center"/>
                    <w:textAlignment w:val="baseline"/>
                    <w:rPr>
                      <w:rFonts w:ascii="Times New Roman" w:cs="Times New Roman" w:hAnsi="Times New Roman"/>
                      <w:color w:val="auto"/>
                      <w:sz w:val="21"/>
                      <w:szCs w:val="21"/>
                      <w:highlight w:val="none"/>
                    </w:rPr>
                  </w:pPr>
                  <w:r>
                    <w:rPr>
                      <w:rFonts w:ascii="Times New Roman" w:cs="Times New Roman" w:hAnsi="Times New Roman"/>
                      <w:b/>
                      <w:bCs/>
                      <w:color w:val="auto"/>
                      <w:sz w:val="21"/>
                      <w:szCs w:val="21"/>
                      <w:lang w:val="en-US" w:eastAsia="zh-CN"/>
                      <w:highlight w:val="none"/>
                    </w:rPr>
                    <w:t>项目情况</w:t>
                  </w:r>
                </w:p>
              </w:tc>
            </w:tr>
            <w:tr>
              <w:trPr>
                <w:trHeight w:val="397"/>
              </w:trPr>
              <w:tc>
                <w:tcPr>
                  <w:tcW w:w="585" w:type="pct"/>
                  <w:gridSpan w:val="2"/>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eastAsia="宋体" w:cs="Times New Roman" w:hAnsi="Times New Roman"/>
                      <w:color w:val="auto"/>
                      <w:sz w:val="21"/>
                      <w:szCs w:val="21"/>
                      <w:lang w:val="en-US" w:eastAsia="zh-CN"/>
                      <w:highlight w:val="none"/>
                    </w:rPr>
                  </w:pPr>
                  <w:r>
                    <w:rPr>
                      <w:rFonts w:ascii="Times New Roman" w:cs="Times New Roman" w:hAnsi="Times New Roman"/>
                      <w:color w:val="auto"/>
                      <w:sz w:val="21"/>
                      <w:szCs w:val="21"/>
                      <w:lang w:val="en-US" w:eastAsia="zh-CN"/>
                      <w:highlight w:val="none"/>
                    </w:rPr>
                    <w:t>总体要求</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1、符合“石家庄市</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三线一单</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生态环境分区管控意见”的动态更新成果中全市总体准入要求，具体内容不再列出；</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2、新建、改建、扩建项目需符合生态环境保护相关规划，满足重点污染物排放总量控制要求实施倍量替代，生态环境准入清单和相应行业建设项目环境准入要求、环评审批原则。</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3、规划区禁止建设《河北省发展和改革委员会关于加强新建“两高”项目管理的通知》（冀发改环资[2022]691号）中的“两高”项目。</w:t>
                  </w:r>
                </w:p>
              </w:tc>
              <w:tc>
                <w:tcPr>
                  <w:tcW w:w="171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1、项目符合</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石家庄市三线一单生态环境分区管控意见</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的动态更新成果中全市总体准入要求</w:t>
                  </w:r>
                  <w:r>
                    <w:rPr>
                      <w:rFonts w:ascii="Times New Roman" w:cs="Times New Roman" w:hAnsi="Times New Roman"/>
                      <w:color w:val="auto"/>
                      <w:kern w:val="0"/>
                      <w:sz w:val="21"/>
                      <w:szCs w:val="21"/>
                      <w:lang w:val="en-US" w:eastAsia="zh-CN" w:bidi="ar-SA"/>
                      <w:highlight w:val="none"/>
                    </w:rPr>
                    <w:t>；</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2、项目为</w:t>
                  </w:r>
                  <w:r>
                    <w:rPr>
                      <w:rFonts w:ascii="Times New Roman" w:cs="Times New Roman" w:hAnsi="Times New Roman" w:hint="eastAsia"/>
                      <w:color w:val="auto"/>
                      <w:kern w:val="0"/>
                      <w:sz w:val="21"/>
                      <w:szCs w:val="21"/>
                      <w:lang w:val="en-US" w:eastAsia="zh-CN" w:bidi="ar-SA"/>
                      <w:highlight w:val="none"/>
                    </w:rPr>
                    <w:t>改建项目</w:t>
                  </w:r>
                  <w:r>
                    <w:rPr>
                      <w:rFonts w:ascii="Times New Roman" w:eastAsia="宋体" w:cs="Times New Roman" w:hAnsi="Times New Roman"/>
                      <w:color w:val="auto"/>
                      <w:kern w:val="0"/>
                      <w:sz w:val="21"/>
                      <w:szCs w:val="21"/>
                      <w:lang w:val="en-US" w:eastAsia="zh-CN" w:bidi="ar-SA"/>
                      <w:highlight w:val="none"/>
                    </w:rPr>
                    <w:t>，据环评分析</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重点污染物排放总量不新增</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满足生态环境准入清单和相应行业建设项目环境准入要求</w:t>
                  </w:r>
                  <w:r>
                    <w:rPr>
                      <w:rFonts w:ascii="Times New Roman" w:cs="Times New Roman" w:hAnsi="Times New Roman"/>
                      <w:color w:val="auto"/>
                      <w:kern w:val="0"/>
                      <w:sz w:val="21"/>
                      <w:szCs w:val="21"/>
                      <w:lang w:val="en-US" w:eastAsia="zh-CN" w:bidi="ar-SA"/>
                      <w:highlight w:val="none"/>
                    </w:rPr>
                    <w:t>；</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3、本项目不属于</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两高</w:t>
                  </w:r>
                  <w:r>
                    <w:rPr>
                      <w:rFonts w:ascii="Times New Roman" w:cs="Times New Roman" w:hAnsi="Times New Roman"/>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项目</w:t>
                  </w:r>
                  <w:r>
                    <w:rPr>
                      <w:rFonts w:ascii="Times New Roman" w:cs="Times New Roman" w:hAnsi="Times New Roman"/>
                      <w:color w:val="auto"/>
                      <w:kern w:val="0"/>
                      <w:sz w:val="21"/>
                      <w:szCs w:val="21"/>
                      <w:lang w:val="en-US" w:eastAsia="zh-CN" w:bidi="ar-SA"/>
                      <w:highlight w:val="none"/>
                    </w:rPr>
                    <w:t>。</w:t>
                  </w:r>
                </w:p>
              </w:tc>
            </w:tr>
            <w:tr>
              <w:trPr>
                <w:trHeight w:val="397"/>
              </w:trPr>
              <w:tc>
                <w:tcPr>
                  <w:tcW w:w="228" w:type="pct"/>
                  <w:vMerge w:val="restart"/>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河北石家庄装备制造产业园</w:t>
                  </w:r>
                </w:p>
              </w:tc>
              <w:tc>
                <w:tcPr>
                  <w:tcW w:w="357"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产业及政策准入管理要求</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1、满足《产业结构调整指导目录》、《产业发展与转移指导目录》的要求。</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2、入区项目各污染物排放指标必须满足清洁生产指标国内先进水平要求（如有）；</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3、严格限制工业涂装、包装印刷等使用高VOCs排放的涂料、胶粘剂等。</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4、铸造企业应满足《&lt;关于推动铸造和锻压行业高质量发展的若干措施&gt;的通知》（冀工信装[2023]127 号）等动态更新文件的要求。</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5、禁燃区内任何单位不得新建、扩建高污染燃料燃用设施，不得将其他燃料设施改造为高污染燃料燃用设施。</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6、按照《河北省化工重点监控点认定办法》、《石家庄市化工重点监控点认定程序和管理办法（试行）》要求执行。列入重点化工监控点的企业，在项目审批、建设和管理方面参照化工园区内企业执行。化工重点监控点现状产品中百草枯、可可碱、咖啡因属于《产业结构调整指导目录》（2024版）限制类产品。①石家庄杰克化工有限公司、河北圣泰材料股份有限公司、石家庄驰远化工有限公司（及第一分公司）、河北三农农用化工有限公司、石家庄宝丰化工有限公司、石药创新制药股份有限公司、河北科硕化工有限公司周边无可发展用地，在无用地指标前，用地规模及范围控制在现有厂区内，可根据《石家庄市化工重点监控点认定程序和管理办法》，依法依规在厂区内新建、改建、扩建现有装备产品和产业链上下游项目。②河北圣泰材料股份有限公司子公司河北圣泰锂化新材料科技有限公司周边有闲置用地，在无用地指标前，用地规模及范围控制在现有厂区内，用地指标落实后可根据《石家庄市化工重点监控点认定程序和管理办法》，可依法依规在厂区内或紧邻厂区新建、改建、扩建现有装备产品和产业链上下游项目。</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7、严格建设用地土壤环境准入。在永久基本农田集中区域禁止新建重金属、持久性有机污染物类项目。装备制造行业禁止建设集中电镀、镀层、阳极氧化的金属表面处理及热处理加工企业。战略性新兴产业和高新技术产业，新、改、扩建项目包括少量电镀、涂装、酸洗等表面处理工艺，但不属于主要生产工序的，不视为表面处理建设项目，新增少量电镀工序企业，不排放含重金属的废水（采用无氰电镀，禁止采用剧毒的氰化物电解液）。</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8、现有化工企业在不增加污染物的情况下，允许原厂区内改扩建。</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9、根据《河北省生态环境分区管控更新成果（2023版）》、《石家庄市生态环境准入清单（2023版）》中地表水环境总体管控要求，严格控制高污染、高耗水行业新增产能。食品加工业根据《关于印发钢铁等十八项工业用水定额的通知》，禁止建设高耗水项目。</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10、医药制造业：禁止建设《产业结构调整指导目录（2024 本）》限制类和淘汰类原料药。</w:t>
                  </w:r>
                </w:p>
              </w:tc>
              <w:tc>
                <w:tcPr>
                  <w:tcW w:w="1711"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both"/>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1、项目不属于《产业结构调整指导目录（2024年本）》中限制类、淘汰类项目；</w:t>
                  </w:r>
                </w:p>
                <w:p>
                  <w:pPr>
                    <w:keepNext w:val="0"/>
                    <w:keepLines w:val="0"/>
                    <w:pageBreakBefore w:val="0"/>
                    <w:widowControl/>
                    <w:suppressLineNumbers w:val="0"/>
                    <w:kinsoku/>
                    <w:wordWrap/>
                    <w:overflowPunct/>
                    <w:bidi w:val="0"/>
                    <w:spacing w:before="0" w:beforeAutospacing="0" w:after="0" w:afterAutospacing="0"/>
                    <w:ind w:left="0" w:right="0"/>
                    <w:jc w:val="both"/>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2、项目参照《包装行业清洁生产评价指标体系（试行）》中塑料包装制品，单位原辅材料使用量万元增加值为2.02，＜2.20；综合能耗为1.58，＜2.00，固体废物回收利用率为100%，清洁生产水平可达到国内先进（二级水平）要求；</w:t>
                  </w:r>
                </w:p>
                <w:p>
                  <w:pPr>
                    <w:keepNext w:val="0"/>
                    <w:keepLines w:val="0"/>
                    <w:pageBreakBefore w:val="0"/>
                    <w:widowControl/>
                    <w:suppressLineNumbers w:val="0"/>
                    <w:kinsoku/>
                    <w:wordWrap/>
                    <w:overflowPunct/>
                    <w:bidi w:val="0"/>
                    <w:spacing w:before="0" w:beforeAutospacing="0" w:after="0" w:afterAutospacing="0"/>
                    <w:ind w:left="0" w:right="0"/>
                    <w:jc w:val="both"/>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3、</w:t>
                  </w:r>
                  <w:r>
                    <w:rPr>
                      <w:rFonts w:ascii="Times New Roman" w:eastAsia="宋体" w:cs="Times New Roman" w:hAnsi="Times New Roman" w:hint="eastAsia"/>
                      <w:color w:val="auto"/>
                      <w:kern w:val="0"/>
                      <w:sz w:val="21"/>
                      <w:szCs w:val="21"/>
                      <w:lang w:val="en-US" w:eastAsia="zh-CN"/>
                      <w:highlight w:val="none"/>
                    </w:rPr>
                    <w:t>不涉及</w:t>
                  </w:r>
                  <w:r>
                    <w:rPr>
                      <w:rFonts w:ascii="Times New Roman" w:eastAsia="宋体" w:cs="Times New Roman" w:hAnsi="Times New Roman"/>
                      <w:color w:val="auto"/>
                      <w:kern w:val="0"/>
                      <w:sz w:val="21"/>
                      <w:szCs w:val="21"/>
                      <w:lang w:val="en-US" w:eastAsia="zh-CN"/>
                      <w:highlight w:val="none"/>
                    </w:rPr>
                    <w:t>；</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4、不涉及；</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5、项目不使用燃料；</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 xml:space="preserve">6、不涉及； </w:t>
                  </w:r>
                </w:p>
                <w:p>
                  <w:pPr>
                    <w:keepNext w:val="0"/>
                    <w:keepLines w:val="0"/>
                    <w:pageBreakBefore w:val="0"/>
                    <w:widowControl/>
                    <w:suppressLineNumbers w:val="0"/>
                    <w:kinsoku/>
                    <w:wordWrap/>
                    <w:overflowPunct/>
                    <w:bidi w:val="0"/>
                    <w:spacing w:before="0" w:beforeAutospacing="0" w:after="0" w:afterAutospacing="0"/>
                    <w:ind w:left="0" w:right="0"/>
                    <w:jc w:val="both"/>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 xml:space="preserve">7、项目不新增占地，现有占地为工业用地，不占用永久基本农田，本项目不属于电镀、镀层、阳极氧化的金属表面处理及热处理加工项目； </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8、不涉及；</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9、本项目不属于高耗水项目；</w:t>
                  </w:r>
                </w:p>
                <w:p>
                  <w:pPr>
                    <w:keepNext w:val="0"/>
                    <w:keepLines w:val="0"/>
                    <w:pageBreakBefore w:val="0"/>
                    <w:widowControl/>
                    <w:suppressLineNumbers w:val="0"/>
                    <w:kinsoku/>
                    <w:wordWrap/>
                    <w:overflowPunct/>
                    <w:bidi w:val="0"/>
                    <w:spacing w:before="0" w:beforeAutospacing="0" w:after="0" w:afterAutospacing="0"/>
                    <w:ind w:left="0" w:right="0"/>
                    <w:jc w:val="left"/>
                    <w:rPr>
                      <w:rFonts w:ascii="Times New Roman" w:cs="Times New Roman" w:hAnsi="Times New Roman"/>
                      <w:color w:val="auto"/>
                      <w:sz w:val="21"/>
                      <w:szCs w:val="21"/>
                      <w:highlight w:val="none"/>
                    </w:rPr>
                  </w:pPr>
                  <w:r>
                    <w:rPr>
                      <w:rFonts w:ascii="Times New Roman" w:eastAsia="宋体" w:cs="Times New Roman" w:hAnsi="Times New Roman"/>
                      <w:color w:val="auto"/>
                      <w:kern w:val="0"/>
                      <w:sz w:val="21"/>
                      <w:szCs w:val="21"/>
                      <w:lang w:val="en-US" w:eastAsia="zh-CN"/>
                      <w:highlight w:val="none"/>
                    </w:rPr>
                    <w:t>10、不涉及</w:t>
                  </w:r>
                  <w:r>
                    <w:rPr>
                      <w:rFonts w:ascii="Times New Roman" w:eastAsia="宋体" w:cs="Times New Roman" w:hAnsi="Times New Roman" w:hint="eastAsia"/>
                      <w:color w:val="auto"/>
                      <w:kern w:val="0"/>
                      <w:sz w:val="21"/>
                      <w:szCs w:val="21"/>
                      <w:lang w:val="en-US" w:eastAsia="zh-CN"/>
                      <w:highlight w:val="none"/>
                    </w:rPr>
                    <w:t>。</w:t>
                  </w:r>
                </w:p>
              </w:tc>
            </w:tr>
            <w:tr>
              <w:trPr>
                <w:trHeight w:val="397"/>
              </w:trPr>
              <w:tc>
                <w:tcPr>
                  <w:tcW w:w="228" w:type="pct"/>
                  <w:vMerge/>
                  <w:vAlign w:val="center"/>
                </w:tcPr>
                <w:p/>
              </w:tc>
              <w:tc>
                <w:tcPr>
                  <w:tcW w:w="357"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空间布局约束</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1、禁止在公园绿地、防护绿地等规划绿地范围内开展与绿地无关的建设活动。</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2、禁止占用公路用地红线，在公路两侧建筑控制线范围内，禁止建设除公路附属设施外的其他永久性建筑物、构筑物和设施。</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产业园区及周边划定了2处饮用水源地一级保护区，石家庄市栾城区水利局第一供水厂水源地一级保护区、交通公园水源井（1#）一级保护区。①在饮用水水源保护区内，禁止设置排污口。②禁止在饮用水水源一级保护区内新建、改建、扩建与供水设施和保护水源无关的建设项目；已建成的与供水设施和保护水源无关的建设项目，由县级以上人民政府责令拆除或者关闭2处饮用水源地未划定二级保护区，现状一级保护区内均未建设与供水设施和保护水源无关的建设项目）。③禁止在饮用水水源一级保护区内从事网箱养殖、旅游、游泳、垂钓或者其他可能污染饮用水水体的活动。</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4、产业园区及周边划定了1处饮用水源地准保护区，交通公园水源井（1#）准保护区。禁止在饮用水水源准保护区内新建、扩建对水体污染严重的建设项目；改建建设项目，不得增加排污量（交通公园水源井（1#）准保护区现状未建设有建设项目）。</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5、栾武台保护范围：以栾武台台基边线为基线，向东150米至栾城镇加油站西侧，向南100米至内营村农田，向西150米至小裴村农田，向北100米至小裴村农田。建设控制地带：以栾武台保护范围边线为基线，向东150米至308国道，向南100米至内营村农田，向西150米至小裴村村中，向北100米至小裴村农田。栾武台遗址为省级重点文物保护单位。</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6、入区企业应优先选址于距离居住区等环境敏感点较远区域；选址于居住区等环境敏感点周边的应设置绿化隔离带，工业用地靠近居住区一侧在布置工业项目时重点考虑对居住区的环境影响分析，需满足大气环境防护距离和风险防护距离要求。距离居住用地、教育用地0～50m范围内禁止新上涉及废气排放的工序；50～100m范围内新上涉及废气排放的工序应执行A级企业管控要求，并严格控制恶臭异味物质排放，以减少工业活动对居民生活的影响。新上企业应将污染物产生量少、环境影响轻的建筑物（如包装车间、仓库等）、办公楼等靠近居住区布置；强化废气处理设施，加强车间密闭，确保达标排放。新规划居住用地、教育用地与工业用地之间至少保留50m防护绿地。</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7、入区项目按照规划产业定位和布局进行选址；不符合产业规划的现有企业在不影响规划产业园区主导功能的情况下可在现有厂区范围内改扩建，强化污染物排放控制要求；对于污染轻微附加值高且符合相关产业政策要求的项目在不影响规划产业园区主导功能的情况下可适度入驻。</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8、保留的与规划不符现有企业应严格落实排污许可、国家及地方环保要求，达标排放，通过不断提升环保措施及管理水平，最大限度降低环境污染影响，鼓励其通过技术革新，实现经济效益和环境效益的双赢，促进产业园区绿色发展。</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9、对于现有工业企业后续退出的遗留用地，应按照《中华人民共和国土壤污染防治法》《关于贯彻落实土壤污染防治法推动解决突出土壤污染问题的实施意见》（环办土壤[2019]47 号）要求，土地用途变更为住宅、公共管理与公共服务用地的，变更前应当按照规定进行土壤污染状况调查，编制土壤污染状况调查报告。</w:t>
                  </w:r>
                </w:p>
              </w:tc>
              <w:tc>
                <w:tcPr>
                  <w:tcW w:w="171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cs="Times New Roman" w:hint="eastAsia"/>
                      <w:color w:val="auto"/>
                      <w:kern w:val="0"/>
                      <w:sz w:val="21"/>
                      <w:szCs w:val="21"/>
                      <w:lang w:val="en-US" w:eastAsia="zh-CN" w:bidi="ar-SA"/>
                      <w:highlight w:val="none"/>
                    </w:rPr>
                  </w:pPr>
                  <w:r>
                    <w:rPr>
                      <w:rFonts w:ascii="Times New Roman" w:eastAsia="宋体" w:cs="Times New Roman" w:hAnsi="Times New Roman" w:hint="eastAsia"/>
                      <w:bCs/>
                      <w:color w:val="auto"/>
                      <w:kern w:val="0"/>
                      <w:sz w:val="21"/>
                      <w:szCs w:val="21"/>
                      <w:lang w:val="en-US" w:eastAsia="zh-CN" w:bidi="ar-SA"/>
                      <w:highlight w:val="none"/>
                    </w:rPr>
                    <w:t>1、</w:t>
                  </w:r>
                  <w:r>
                    <w:rPr>
                      <w:rFonts w:ascii="Times New Roman" w:cs="Times New Roman" w:hAnsi="Times New Roman" w:hint="eastAsia"/>
                      <w:color w:val="auto"/>
                      <w:kern w:val="0"/>
                      <w:sz w:val="21"/>
                      <w:szCs w:val="21"/>
                      <w:lang w:val="en-US" w:eastAsia="zh-CN" w:bidi="ar-SA"/>
                      <w:highlight w:val="none"/>
                    </w:rPr>
                    <w:t>不涉及；</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cs="Times New Roman" w:hint="eastAsia"/>
                      <w:color w:val="auto"/>
                      <w:kern w:val="0"/>
                      <w:sz w:val="21"/>
                      <w:szCs w:val="21"/>
                      <w:lang w:val="en-US" w:eastAsia="zh-CN" w:bidi="ar-SA"/>
                      <w:highlight w:val="none"/>
                    </w:rPr>
                  </w:pPr>
                  <w:r>
                    <w:rPr>
                      <w:rFonts w:ascii="Times New Roman" w:eastAsia="宋体" w:cs="Times New Roman" w:hAnsi="Times New Roman" w:hint="eastAsia"/>
                      <w:bCs/>
                      <w:color w:val="auto"/>
                      <w:kern w:val="0"/>
                      <w:sz w:val="21"/>
                      <w:szCs w:val="21"/>
                      <w:lang w:val="en-US" w:eastAsia="zh-CN" w:bidi="ar-SA"/>
                      <w:highlight w:val="none"/>
                    </w:rPr>
                    <w:t>2、</w:t>
                  </w:r>
                  <w:r>
                    <w:rPr>
                      <w:rFonts w:ascii="Times New Roman" w:cs="Times New Roman" w:hAnsi="Times New Roman" w:hint="eastAsia"/>
                      <w:color w:val="auto"/>
                      <w:kern w:val="0"/>
                      <w:sz w:val="21"/>
                      <w:szCs w:val="21"/>
                      <w:lang w:val="en-US" w:eastAsia="zh-CN" w:bidi="ar-SA"/>
                      <w:highlight w:val="none"/>
                    </w:rPr>
                    <w:t>不涉及；</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cs="Times New Roman"/>
                      <w:color w:val="auto"/>
                      <w:kern w:val="0"/>
                      <w:sz w:val="21"/>
                      <w:szCs w:val="21"/>
                      <w:lang w:val="en-US" w:eastAsia="zh-CN" w:bidi="ar-SA"/>
                      <w:highlight w:val="none"/>
                    </w:rPr>
                  </w:pPr>
                  <w:r>
                    <w:rPr>
                      <w:rFonts w:ascii="Times New Roman" w:eastAsia="宋体" w:cs="Times New Roman" w:hAnsi="Times New Roman"/>
                      <w:bCs/>
                      <w:color w:val="auto"/>
                      <w:kern w:val="0"/>
                      <w:sz w:val="21"/>
                      <w:szCs w:val="21"/>
                      <w:lang w:val="en-US" w:eastAsia="zh-CN" w:bidi="ar-SA"/>
                      <w:highlight w:val="none"/>
                    </w:rPr>
                    <w:t>3、</w:t>
                  </w:r>
                  <w:r>
                    <w:rPr>
                      <w:rFonts w:ascii="Times New Roman" w:cs="Times New Roman" w:hAnsi="Times New Roman" w:hint="eastAsia"/>
                      <w:bCs/>
                      <w:color w:val="auto"/>
                      <w:kern w:val="0"/>
                      <w:sz w:val="21"/>
                      <w:szCs w:val="21"/>
                      <w:lang w:val="en-US" w:eastAsia="zh-CN" w:bidi="ar-SA"/>
                      <w:highlight w:val="none"/>
                    </w:rPr>
                    <w:t>4、5、</w:t>
                  </w:r>
                  <w:r>
                    <w:rPr>
                      <w:rFonts w:ascii="Times New Roman" w:cs="Times New Roman" w:hAnsi="Times New Roman" w:hint="eastAsia"/>
                      <w:color w:val="auto"/>
                      <w:kern w:val="0"/>
                      <w:sz w:val="21"/>
                      <w:szCs w:val="21"/>
                      <w:lang w:val="en-US" w:eastAsia="zh-CN" w:bidi="ar-SA"/>
                      <w:highlight w:val="none"/>
                    </w:rPr>
                    <w:t>项目不在</w:t>
                  </w:r>
                  <w:r>
                    <w:rPr>
                      <w:rFonts w:ascii="Times New Roman" w:cs="Times New Roman" w:hAnsi="Times New Roman"/>
                      <w:color w:val="auto"/>
                      <w:kern w:val="0"/>
                      <w:sz w:val="21"/>
                      <w:szCs w:val="21"/>
                      <w:lang w:val="en-US" w:eastAsia="zh-CN" w:bidi="ar-SA"/>
                      <w:highlight w:val="none"/>
                    </w:rPr>
                    <w:t>饮用水源地一级保护区</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饮用水源地准保护区</w:t>
                  </w:r>
                  <w:r>
                    <w:rPr>
                      <w:rFonts w:ascii="Times New Roman" w:cs="Times New Roman" w:hAnsi="Times New Roman" w:hint="eastAsia"/>
                      <w:color w:val="auto"/>
                      <w:kern w:val="0"/>
                      <w:sz w:val="21"/>
                      <w:szCs w:val="21"/>
                      <w:lang w:val="en-US" w:eastAsia="zh-CN" w:bidi="ar-SA"/>
                      <w:highlight w:val="none"/>
                    </w:rPr>
                    <w:t>、</w:t>
                  </w:r>
                  <w:r>
                    <w:rPr>
                      <w:rFonts w:ascii="Times New Roman" w:eastAsia="宋体" w:cs="Times New Roman" w:hAnsi="Times New Roman"/>
                      <w:color w:val="auto"/>
                      <w:kern w:val="0"/>
                      <w:sz w:val="21"/>
                      <w:szCs w:val="21"/>
                      <w:lang w:val="en-US" w:eastAsia="zh-CN" w:bidi="ar-SA"/>
                      <w:highlight w:val="none"/>
                    </w:rPr>
                    <w:t>栾武台遗址</w:t>
                  </w:r>
                  <w:r>
                    <w:rPr>
                      <w:rFonts w:ascii="Times New Roman" w:cs="Times New Roman" w:hAnsi="Times New Roman" w:hint="eastAsia"/>
                      <w:color w:val="auto"/>
                      <w:kern w:val="0"/>
                      <w:sz w:val="21"/>
                      <w:szCs w:val="21"/>
                      <w:lang w:val="en-US" w:eastAsia="zh-CN" w:bidi="ar-SA"/>
                      <w:highlight w:val="none"/>
                    </w:rPr>
                    <w:t>文物保护范围内，项目废水主要为职工生活污水，生活污水经集成式生物化粪池处理后经园区污水管网排入绿源污水处理有限公司进一步处理，不设置直接排污口；</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cs="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6、</w:t>
                  </w:r>
                  <w:r>
                    <w:rPr>
                      <w:rFonts w:ascii="Times New Roman" w:cs="Times New Roman" w:hAnsi="Times New Roman"/>
                      <w:color w:val="auto"/>
                      <w:kern w:val="0"/>
                      <w:sz w:val="21"/>
                      <w:szCs w:val="21"/>
                      <w:lang w:val="en-US" w:eastAsia="zh-CN" w:bidi="ar-SA"/>
                      <w:highlight w:val="none"/>
                    </w:rPr>
                    <w:t>距离项目</w:t>
                  </w:r>
                  <w:r>
                    <w:rPr>
                      <w:rFonts w:ascii="Times New Roman" w:eastAsia="Segoe UI" w:cs="Times New Roman" w:hAnsi="Times New Roman"/>
                      <w:i w:val="0"/>
                      <w:iCs w:val="0"/>
                      <w:caps w:val="0"/>
                      <w:smallCaps w:val="0"/>
                      <w:color w:val="auto"/>
                      <w:spacing w:val="0"/>
                      <w:sz w:val="21"/>
                      <w:szCs w:val="21"/>
                      <w:shd w:val="clear" w:color="auto" w:fill="FFFFFF"/>
                      <w:highlight w:val="none"/>
                    </w:rPr>
                    <w:t>最近敏感点为西南侧710m处的锦悦桦庭</w:t>
                  </w:r>
                  <w:r>
                    <w:rPr>
                      <w:rFonts w:ascii="Times New Roman" w:cs="Times New Roman" w:hAnsi="Times New Roman" w:hint="eastAsia"/>
                      <w:color w:val="auto"/>
                      <w:kern w:val="0"/>
                      <w:sz w:val="21"/>
                      <w:szCs w:val="21"/>
                      <w:lang w:val="en-US" w:eastAsia="zh-CN" w:bidi="ar-SA"/>
                      <w:highlight w:val="none"/>
                    </w:rPr>
                    <w:t>。项目各污染物均设置在厂房内，污染物经采取措施后达标排放，不会对周围居民产生明显影响。</w:t>
                  </w:r>
                </w:p>
                <w:p>
                  <w:pPr>
                    <w:keepNext w:val="0"/>
                    <w:keepLines w:val="0"/>
                    <w:pageBreakBefore w:val="0"/>
                    <w:suppressLineNumbers w:val="0"/>
                    <w:kinsoku/>
                    <w:wordWrap/>
                    <w:overflowPunct/>
                    <w:bidi w:val="0"/>
                    <w:spacing w:before="0" w:beforeAutospacing="0" w:after="0" w:afterAutospacing="0"/>
                    <w:ind w:left="0" w:right="0"/>
                    <w:jc w:val="both"/>
                    <w:rPr>
                      <w:rFonts w:ascii="Times New Roman" w:cs="Times New Roman" w:hAnsi="Times New Roman"/>
                      <w:color w:val="auto"/>
                      <w:sz w:val="21"/>
                      <w:szCs w:val="21"/>
                      <w:highlight w:val="none"/>
                    </w:rPr>
                  </w:pPr>
                  <w:r>
                    <w:rPr>
                      <w:rFonts w:ascii="Times New Roman" w:cs="Times New Roman" w:hAnsi="Times New Roman" w:hint="eastAsia"/>
                      <w:color w:val="auto"/>
                      <w:sz w:val="21"/>
                      <w:szCs w:val="20"/>
                      <w:lang w:val="en-US" w:eastAsia="zh-CN"/>
                      <w:highlight w:val="none"/>
                    </w:rPr>
                    <w:t>7、</w:t>
                  </w:r>
                  <w:r>
                    <w:rPr>
                      <w:rFonts w:ascii="Times New Roman" w:cs="Times New Roman" w:hAnsi="Times New Roman" w:hint="eastAsia"/>
                      <w:color w:val="auto"/>
                      <w:sz w:val="21"/>
                      <w:szCs w:val="21"/>
                      <w:lang w:val="en-US" w:eastAsia="zh-CN"/>
                      <w:highlight w:val="none"/>
                    </w:rPr>
                    <w:t>本项目为改建项目，项目产品为汽车塑料配件，属于汽车零部件，符合园区规划定位。</w:t>
                  </w:r>
                  <w:r>
                    <w:rPr>
                      <w:rFonts w:ascii="Times New Roman" w:eastAsia="宋体" w:cs="Times New Roman" w:hAnsi="Times New Roman" w:hint="eastAsia"/>
                      <w:color w:val="auto"/>
                      <w:sz w:val="21"/>
                      <w:szCs w:val="21"/>
                      <w:lang w:val="en-US" w:eastAsia="zh-CN"/>
                      <w:highlight w:val="none"/>
                    </w:rPr>
                    <w:t>租赁现有厂房进行建设汽车塑料配件改扩建项目，根据不动产权证，占地为工业用地，符合用地规划</w:t>
                  </w:r>
                  <w:r>
                    <w:rPr>
                      <w:rFonts w:ascii="Times New Roman" w:cs="Times New Roman" w:hAnsi="Times New Roman"/>
                      <w:color w:val="auto"/>
                      <w:sz w:val="21"/>
                      <w:szCs w:val="21"/>
                      <w:highlight w:val="none"/>
                    </w:rPr>
                    <w:t>。</w:t>
                  </w:r>
                </w:p>
                <w:p>
                  <w:pPr>
                    <w:keepNext w:val="0"/>
                    <w:keepLines w:val="0"/>
                    <w:pageBreakBefore w:val="0"/>
                    <w:suppressLineNumbers w:val="0"/>
                    <w:kinsoku/>
                    <w:wordWrap/>
                    <w:overflowPunct/>
                    <w:bidi w:val="0"/>
                    <w:spacing w:before="0" w:beforeAutospacing="0" w:after="0" w:afterAutospacing="0"/>
                    <w:ind w:left="0" w:right="0"/>
                    <w:jc w:val="both"/>
                    <w:rPr>
                      <w:color w:val="auto"/>
                      <w:szCs w:val="20"/>
                      <w:lang w:val="en-US" w:eastAsia="zh-CN"/>
                      <w:highlight w:val="none"/>
                    </w:rPr>
                  </w:pPr>
                  <w:r>
                    <w:rPr>
                      <w:rFonts w:ascii="Times New Roman" w:cs="Times New Roman" w:hAnsi="Times New Roman" w:hint="eastAsia"/>
                      <w:color w:val="auto"/>
                      <w:sz w:val="21"/>
                      <w:szCs w:val="21"/>
                      <w:lang w:val="en-US" w:eastAsia="zh-CN"/>
                      <w:highlight w:val="none"/>
                    </w:rPr>
                    <w:t>8、9、不属于</w:t>
                  </w:r>
                  <w:r>
                    <w:rPr>
                      <w:rFonts w:ascii="Times New Roman" w:eastAsia="宋体" w:cs="Times New Roman" w:hAnsi="Times New Roman"/>
                      <w:color w:val="auto"/>
                      <w:kern w:val="0"/>
                      <w:sz w:val="21"/>
                      <w:szCs w:val="21"/>
                      <w:lang w:val="en-US" w:eastAsia="zh-CN" w:bidi="ar-SA"/>
                      <w:highlight w:val="none"/>
                    </w:rPr>
                    <w:t>与规划不符现有企业</w:t>
                  </w:r>
                  <w:r>
                    <w:rPr>
                      <w:rFonts w:ascii="Times New Roman" w:cs="Times New Roman" w:hAnsi="Times New Roman" w:hint="eastAsia"/>
                      <w:color w:val="auto"/>
                      <w:sz w:val="21"/>
                      <w:szCs w:val="21"/>
                      <w:lang w:val="en-US" w:eastAsia="zh-CN"/>
                      <w:highlight w:val="none"/>
                    </w:rPr>
                    <w:t>；</w:t>
                  </w:r>
                </w:p>
              </w:tc>
            </w:tr>
            <w:tr>
              <w:trPr>
                <w:trHeight w:val="397"/>
              </w:trPr>
              <w:tc>
                <w:tcPr>
                  <w:tcW w:w="228" w:type="pct"/>
                  <w:vMerge/>
                  <w:vAlign w:val="center"/>
                </w:tcPr>
                <w:p/>
              </w:tc>
              <w:tc>
                <w:tcPr>
                  <w:tcW w:w="357"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污染物排放管控</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1、鼓励优先引入集中式环保治理工程；入区项目需满足建设项目主要污污染物排放削减替代和总量控制要求。</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2、强化VOCs大气特征污染物管控，新建具有绩效评级要求的涉气建设项目，应达到B级及以上水平。</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3、废气污染物近期排放总量：颗粒物：81.696t/a，SO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：99.369t/a，NOx：196.372t/a，VOCs：101.608t/a。废气污染物远期排放总量量：颗粒物：103.447t/a，SO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：95.374t/a，NOx：195.47t/a，VOCs：132.481t/a。</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4、废气污染物近期新增排放量：颗粒物：8.563t/a，SO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：0.167t/a，NOx：1.266t/a，VOCs：22.396t/a。废气污染物远期排放总量量：颗粒物：31.4t/a，SO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：0.959/a，NOx：7.261t/a，VOCs：53.269t/a。</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5、入区企业废水应全部纳入污水管网进入污水处理厂集中处理，严禁排入周边地表水体。近期排放量：COD：249.66t/a，氨氮：12.483t/a，远期排放量：COD：361.35t/a，氨氮：18.068t/a。</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6、一般工业固体废物：近期 117.2918万吨/年，远期150.7986 万吨/年。</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7、危险废物：近期9.2073万t/a，远期13.9646万t/a。</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8、单位工业产值二氧化碳排放量：近期：0.40tCO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/万元产值，远期：0.233tCO</w:t>
                  </w:r>
                  <w:r>
                    <w:rPr>
                      <w:rFonts w:ascii="Times New Roman" w:eastAsia="宋体" w:cs="Times New Roman" w:hAnsi="Times New Roman"/>
                      <w:color w:val="auto"/>
                      <w:kern w:val="0"/>
                      <w:sz w:val="21"/>
                      <w:szCs w:val="21"/>
                      <w:vertAlign w:val="sub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/万元产值。</w:t>
                  </w:r>
                </w:p>
              </w:tc>
              <w:tc>
                <w:tcPr>
                  <w:tcW w:w="171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cs="Times New Roman" w:hAnsi="Times New Roman"/>
                      <w:color w:val="auto"/>
                      <w:sz w:val="21"/>
                      <w:szCs w:val="21"/>
                      <w:highlight w:val="none"/>
                    </w:rPr>
                  </w:pPr>
                  <w:r>
                    <w:rPr>
                      <w:rFonts w:ascii="Times New Roman" w:eastAsia="宋体" w:cs="Times New Roman" w:hAnsi="Times New Roman"/>
                      <w:bCs w:val="0"/>
                      <w:color w:val="auto"/>
                      <w:kern w:val="0"/>
                      <w:sz w:val="21"/>
                      <w:szCs w:val="21"/>
                      <w:lang w:val="en-US" w:eastAsia="zh-CN" w:bidi="ar-SA"/>
                      <w:highlight w:val="none"/>
                    </w:rPr>
                    <w:t>项目需满足建设项目主要污染物排放削减替代和总量控制要求</w:t>
                  </w:r>
                  <w:r>
                    <w:rPr>
                      <w:rFonts w:ascii="Times New Roman" w:cs="Times New Roman" w:hAnsi="Times New Roman" w:hint="eastAsia"/>
                      <w:bCs w:val="0"/>
                      <w:color w:val="auto"/>
                      <w:kern w:val="0"/>
                      <w:sz w:val="21"/>
                      <w:szCs w:val="21"/>
                      <w:lang w:val="en-US" w:eastAsia="zh-CN" w:bidi="ar-SA"/>
                      <w:highlight w:val="none"/>
                    </w:rPr>
                    <w:t>；</w:t>
                  </w:r>
                  <w:r>
                    <w:rPr>
                      <w:rFonts w:ascii="Times New Roman" w:eastAsia="宋体" w:cs="Times New Roman" w:hAnsi="Times New Roman"/>
                      <w:bCs w:val="0"/>
                      <w:color w:val="auto"/>
                      <w:kern w:val="0"/>
                      <w:sz w:val="21"/>
                      <w:szCs w:val="21"/>
                      <w:lang w:val="en-US" w:eastAsia="zh-CN" w:bidi="ar-SA"/>
                      <w:highlight w:val="none"/>
                    </w:rPr>
                    <w:t>项目废气经处理后达标排放，</w:t>
                  </w:r>
                  <w:r>
                    <w:rPr>
                      <w:rFonts w:ascii="Times New Roman" w:eastAsia="宋体" w:cs="Times New Roman" w:hAnsi="Times New Roman" w:hint="eastAsia"/>
                      <w:bCs w:val="0"/>
                      <w:color w:val="auto"/>
                      <w:kern w:val="0"/>
                      <w:sz w:val="21"/>
                      <w:szCs w:val="21"/>
                      <w:lang w:val="en-US" w:eastAsia="zh-CN" w:bidi="ar-SA"/>
                      <w:highlight w:val="none"/>
                    </w:rPr>
                    <w:t>项目不涉及B级要求</w:t>
                  </w:r>
                  <w:r>
                    <w:rPr>
                      <w:rFonts w:ascii="Times New Roman" w:cs="Times New Roman" w:hAnsi="Times New Roman" w:hint="eastAsia"/>
                      <w:bCs w:val="0"/>
                      <w:color w:val="auto"/>
                      <w:kern w:val="0"/>
                      <w:sz w:val="21"/>
                      <w:szCs w:val="21"/>
                      <w:lang w:val="en-US" w:eastAsia="zh-CN" w:bidi="ar-SA"/>
                      <w:highlight w:val="none"/>
                    </w:rPr>
                    <w:t>；</w:t>
                  </w:r>
                  <w:r>
                    <w:rPr>
                      <w:rFonts w:ascii="Times New Roman" w:eastAsia="宋体" w:cs="Times New Roman" w:hAnsi="Times New Roman"/>
                      <w:bCs w:val="0"/>
                      <w:color w:val="auto"/>
                      <w:kern w:val="0"/>
                      <w:sz w:val="21"/>
                      <w:szCs w:val="21"/>
                      <w:lang w:val="en-US" w:eastAsia="zh-CN" w:bidi="ar-SA"/>
                      <w:highlight w:val="none"/>
                    </w:rPr>
                    <w:t>项目无生产废水，项目废水主要为职工生活污水，生活污水经集成式生物化粪池处理后经园区污水管网排入绿源污水处理有限公司进一步处理</w:t>
                  </w:r>
                  <w:r>
                    <w:rPr>
                      <w:rFonts w:ascii="Times New Roman" w:eastAsia="宋体" w:cs="Times New Roman" w:hAnsi="Times New Roman" w:hint="eastAsia"/>
                      <w:bCs w:val="0"/>
                      <w:color w:val="auto"/>
                      <w:kern w:val="0"/>
                      <w:sz w:val="21"/>
                      <w:szCs w:val="21"/>
                      <w:lang w:val="en-US" w:eastAsia="zh-CN" w:bidi="ar-SA"/>
                      <w:highlight w:val="none"/>
                    </w:rPr>
                    <w:t>；</w:t>
                  </w:r>
                  <w:r>
                    <w:rPr>
                      <w:rFonts w:ascii="Times New Roman" w:eastAsia="宋体" w:cs="Times New Roman" w:hAnsi="Times New Roman"/>
                      <w:bCs w:val="0"/>
                      <w:color w:val="auto"/>
                      <w:kern w:val="0"/>
                      <w:sz w:val="21"/>
                      <w:szCs w:val="21"/>
                      <w:lang w:val="en-US" w:eastAsia="zh-CN" w:bidi="ar-SA"/>
                      <w:highlight w:val="none"/>
                    </w:rPr>
                    <w:t>本项目固体废物全部妥善处置不外排</w:t>
                  </w:r>
                  <w:r>
                    <w:rPr>
                      <w:rFonts w:ascii="Times New Roman" w:cs="Times New Roman" w:hAnsi="Times New Roman" w:hint="eastAsia"/>
                      <w:bCs w:val="0"/>
                      <w:color w:val="auto"/>
                      <w:kern w:val="0"/>
                      <w:sz w:val="21"/>
                      <w:szCs w:val="21"/>
                      <w:lang w:val="en-US" w:eastAsia="zh-CN" w:bidi="ar-SA"/>
                      <w:highlight w:val="none"/>
                    </w:rPr>
                    <w:t>。</w:t>
                  </w:r>
                </w:p>
              </w:tc>
            </w:tr>
            <w:tr>
              <w:trPr>
                <w:trHeight w:val="397"/>
              </w:trPr>
              <w:tc>
                <w:tcPr>
                  <w:tcW w:w="228" w:type="pct"/>
                  <w:vMerge/>
                  <w:vAlign w:val="center"/>
                </w:tcPr>
                <w:p/>
              </w:tc>
              <w:tc>
                <w:tcPr>
                  <w:tcW w:w="357"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环境风险防控</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1、重点监管企业和产业园区周边土壤环境定期开展监督性监测，重点监测重金属和持久性有机污染物。</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2、对于易导致环境风险的有毒有害和易燃易爆物质的生产、使用、排放、贮运等新建、改扩建项目，风险防控措施应满足本评价提出的环境风险管理要求。</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3、距离石家庄市栾城区水利局第一供水厂水源地水源地一级保护区较近的项目应重点关注水环境风险应急措施，确保突发事故情况水环境风险物质不进入地下水。</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4、入区企业应按照相关要求，组织编制《环境风险应急预案》，成立应急组织机构，定期开展应急演练，提高区域环境风险防范能力。</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6</w:t>
                  </w:r>
                  <w:r>
                    <w:rPr>
                      <w:rFonts w:ascii="Times New Roman" w:eastAsia="宋体" w:cs="Times New Roman" w:hAnsi="Times New Roman"/>
                      <w:color w:val="auto"/>
                      <w:kern w:val="0"/>
                      <w:sz w:val="21"/>
                      <w:szCs w:val="21"/>
                      <w:lang w:val="en-US" w:eastAsia="zh-CN" w:bidi="ar-SA"/>
                      <w:highlight w:val="none"/>
                    </w:rPr>
                    <w:t>、建设风险较大的储罐距离居住区等环境保护目标应满足以下距离要求：甲醛储罐＞100m，液氨储罐＞20m，甲醇储罐＞10m，液氯储罐＞500m，同时风险较大的储罐还应满足建设项目环评提出的要求。</w:t>
                  </w:r>
                </w:p>
              </w:tc>
              <w:tc>
                <w:tcPr>
                  <w:tcW w:w="171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cs="Times New Roman" w:hint="eastAsia"/>
                      <w:color w:val="auto"/>
                      <w:kern w:val="0"/>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1.项目不属于</w:t>
                  </w:r>
                  <w:r>
                    <w:rPr>
                      <w:rFonts w:ascii="Times New Roman" w:eastAsia="宋体" w:cs="Times New Roman" w:hAnsi="Times New Roman"/>
                      <w:color w:val="auto"/>
                      <w:kern w:val="0"/>
                      <w:sz w:val="21"/>
                      <w:szCs w:val="21"/>
                      <w:lang w:val="en-US" w:eastAsia="zh-CN" w:bidi="ar-SA"/>
                      <w:highlight w:val="none"/>
                    </w:rPr>
                    <w:t>重点监管企业</w:t>
                  </w:r>
                  <w:r>
                    <w:rPr>
                      <w:rFonts w:ascii="Times New Roman" w:cs="Times New Roman" w:hAnsi="Times New Roman" w:hint="eastAsia"/>
                      <w:color w:val="auto"/>
                      <w:kern w:val="0"/>
                      <w:sz w:val="21"/>
                      <w:szCs w:val="21"/>
                      <w:lang w:val="en-US" w:eastAsia="zh-CN" w:bidi="ar-SA"/>
                      <w:highlight w:val="none"/>
                    </w:rPr>
                    <w:t>；</w:t>
                  </w:r>
                </w:p>
                <w:p>
                  <w:pPr>
                    <w:keepNext w:val="0"/>
                    <w:keepLines w:val="0"/>
                    <w:suppressLineNumbers w:val="0"/>
                    <w:spacing w:before="0" w:beforeAutospacing="0" w:after="0" w:afterAutospacing="0"/>
                    <w:ind w:left="0" w:right="0"/>
                    <w:jc w:val="both"/>
                    <w:rPr>
                      <w:rFonts w:cs="Times New Roman" w:hint="eastAsia"/>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2.项目采取环境风险防范措施后，风险可控；</w:t>
                  </w:r>
                </w:p>
                <w:p>
                  <w:pPr>
                    <w:keepNext w:val="0"/>
                    <w:keepLines w:val="0"/>
                    <w:suppressLineNumbers w:val="0"/>
                    <w:spacing w:before="0" w:beforeAutospacing="0" w:after="0" w:afterAutospacing="0"/>
                    <w:ind w:left="0" w:right="0"/>
                    <w:jc w:val="both"/>
                    <w:rPr>
                      <w:rFonts w:cs="Times New Roman" w:hint="eastAsia"/>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3.项目采取分区防渗措施后，突发情况下水环境风险物质不会进入地下水；</w:t>
                  </w:r>
                </w:p>
                <w:p>
                  <w:pPr>
                    <w:keepNext w:val="0"/>
                    <w:keepLines w:val="0"/>
                    <w:suppressLineNumbers w:val="0"/>
                    <w:spacing w:before="0" w:beforeAutospacing="0" w:after="0" w:afterAutospacing="0"/>
                    <w:ind w:left="0" w:right="0"/>
                    <w:jc w:val="both"/>
                    <w:rPr>
                      <w:rFonts w:cs="Times New Roman" w:hint="eastAsia"/>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4.企业按照当地要求编制应急预案；</w:t>
                  </w:r>
                </w:p>
                <w:p>
                  <w:pPr>
                    <w:keepNext w:val="0"/>
                    <w:keepLines w:val="0"/>
                    <w:suppressLineNumbers w:val="0"/>
                    <w:spacing w:before="0" w:beforeAutospacing="0" w:after="0" w:afterAutospacing="0"/>
                    <w:ind w:left="0" w:right="0"/>
                    <w:jc w:val="both"/>
                    <w:rPr>
                      <w:rFonts w:cs="Times New Roman" w:hint="eastAsia"/>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5.项目危废转移采用密闭材料转移，制定严格危废管理制度，组织人员培训，发生突发环境事件后采取风险防范措施并向当地有关部门报告；</w:t>
                  </w:r>
                </w:p>
                <w:p>
                  <w:pPr>
                    <w:keepNext w:val="0"/>
                    <w:keepLines w:val="0"/>
                    <w:suppressLineNumbers w:val="0"/>
                    <w:spacing w:before="0" w:beforeAutospacing="0" w:after="0" w:afterAutospacing="0"/>
                    <w:ind w:left="0" w:right="0"/>
                    <w:jc w:val="both"/>
                    <w:rPr>
                      <w:color w:val="auto"/>
                      <w:szCs w:val="20"/>
                      <w:lang w:val="en-US" w:eastAsia="zh-CN"/>
                      <w:highlight w:val="none"/>
                    </w:rPr>
                  </w:pPr>
                  <w:r>
                    <w:rPr>
                      <w:rFonts w:ascii="Times New Roman" w:cs="Times New Roman" w:hAnsi="Times New Roman" w:hint="eastAsia"/>
                      <w:color w:val="auto"/>
                      <w:kern w:val="0"/>
                      <w:sz w:val="21"/>
                      <w:szCs w:val="21"/>
                      <w:lang w:val="en-US" w:eastAsia="zh-CN" w:bidi="ar-SA"/>
                      <w:highlight w:val="none"/>
                    </w:rPr>
                    <w:t>10、不涉及。</w:t>
                  </w:r>
                </w:p>
              </w:tc>
            </w:tr>
            <w:tr>
              <w:trPr>
                <w:trHeight w:val="397"/>
              </w:trPr>
              <w:tc>
                <w:tcPr>
                  <w:tcW w:w="228" w:type="pct"/>
                  <w:vMerge/>
                  <w:vAlign w:val="center"/>
                </w:tcPr>
                <w:p/>
              </w:tc>
              <w:tc>
                <w:tcPr>
                  <w:tcW w:w="357"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资源利用效率</w:t>
                  </w:r>
                </w:p>
              </w:tc>
              <w:tc>
                <w:tcPr>
                  <w:tcW w:w="5000" w:type="pct"/>
                  <w:tcBorders>
                    <w:left w:val="single" w:sz="4" w:space="0" w:color="auto"/>
                  </w:tcBorders>
                  <w:vAlign w:val="center"/>
                </w:tcPr>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1.减少新鲜水用量，提高中水回用率。</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2.禁止新建、扩建采用非清洁燃料的项目和设施。</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3.生产用水全部采用南水北调水，禁止新增开采地下水。</w:t>
                  </w:r>
                </w:p>
                <w:p>
                  <w:pPr>
                    <w:keepNext w:val="0"/>
                    <w:keepLines w:val="0"/>
                    <w:pageBreakBefore w:val="0"/>
                    <w:widowControl/>
                    <w:suppressLineNumbers w:val="0"/>
                    <w:kinsoku/>
                    <w:wordWrap/>
                    <w:overflowPunct/>
                    <w:bidi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bidi="ar-SA"/>
                      <w:highlight w:val="none"/>
                    </w:rPr>
                    <w:t>4.项目实施后资源和能源消耗量应满足园区划定的土地、水、能源等主要资源能源可开发利用总量上线；河北石家庄装备制造产业园整体能源利用上线：近期52.5万tce，远期 102万tce。水资源利用上线：近期工业新鲜水耗792万m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eastAsia="宋体" w:cs="Times New Roman" w:hAnsi="Times New Roman"/>
                      <w:color w:val="auto"/>
                      <w:kern w:val="0"/>
                      <w:sz w:val="21"/>
                      <w:szCs w:val="21"/>
                      <w:lang w:val="en-US" w:eastAsia="zh-CN" w:bidi="ar-SA"/>
                      <w:highlight w:val="none"/>
                    </w:rPr>
                    <w:t>/a，远期为 1657.65万m</w:t>
                  </w:r>
                  <w:r>
                    <w:rPr>
                      <w:rFonts w:ascii="Times New Roman" w:eastAsia="宋体" w:cs="Times New Roman" w:hAnsi="Times New Roman"/>
                      <w:color w:val="auto"/>
                      <w:kern w:val="0"/>
                      <w:sz w:val="21"/>
                      <w:szCs w:val="21"/>
                      <w:vertAlign w:val="superscript"/>
                      <w:lang w:val="en-US" w:eastAsia="zh-CN" w:bidi="ar-SA"/>
                      <w:highlight w:val="none"/>
                    </w:rPr>
                    <w:t>3</w:t>
                  </w:r>
                  <w:r>
                    <w:rPr>
                      <w:rFonts w:ascii="Times New Roman" w:eastAsia="宋体" w:cs="Times New Roman" w:hAnsi="Times New Roman"/>
                      <w:color w:val="auto"/>
                      <w:kern w:val="0"/>
                      <w:sz w:val="21"/>
                      <w:szCs w:val="21"/>
                      <w:lang w:val="en-US" w:eastAsia="zh-CN" w:bidi="ar-SA"/>
                      <w:highlight w:val="none"/>
                    </w:rPr>
                    <w:t>/a。土地利用上线：近期工业用地面积1169.31hm</w:t>
                  </w:r>
                  <w:r>
                    <w:rPr>
                      <w:rFonts w:ascii="Times New Roman" w:eastAsia="宋体" w:cs="Times New Roman" w:hAnsi="Times New Roman"/>
                      <w:color w:val="auto"/>
                      <w:kern w:val="0"/>
                      <w:sz w:val="21"/>
                      <w:szCs w:val="21"/>
                      <w:vertAlign w:val="super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，远期：2048.96hm</w:t>
                  </w:r>
                  <w:r>
                    <w:rPr>
                      <w:rFonts w:ascii="Times New Roman" w:eastAsia="宋体" w:cs="Times New Roman" w:hAnsi="Times New Roman"/>
                      <w:color w:val="auto"/>
                      <w:kern w:val="0"/>
                      <w:sz w:val="21"/>
                      <w:szCs w:val="21"/>
                      <w:vertAlign w:val="superscript"/>
                      <w:lang w:val="en-US" w:eastAsia="zh-CN" w:bidi="ar-SA"/>
                      <w:highlight w:val="none"/>
                    </w:rPr>
                    <w:t>2</w:t>
                  </w:r>
                  <w:r>
                    <w:rPr>
                      <w:rFonts w:ascii="Times New Roman" w:eastAsia="宋体" w:cs="Times New Roman" w:hAnsi="Times New Roman"/>
                      <w:color w:val="auto"/>
                      <w:kern w:val="0"/>
                      <w:sz w:val="21"/>
                      <w:szCs w:val="21"/>
                      <w:lang w:val="en-US" w:eastAsia="zh-CN" w:bidi="ar-SA"/>
                      <w:highlight w:val="none"/>
                    </w:rPr>
                    <w:t>。</w:t>
                  </w:r>
                </w:p>
              </w:tc>
              <w:tc>
                <w:tcPr>
                  <w:tcW w:w="171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baseline"/>
                    <w:rPr>
                      <w:rFonts w:ascii="Times New Roman" w:cs="Times New Roman" w:hAnsi="Times New Roman"/>
                      <w:color w:val="auto"/>
                      <w:szCs w:val="21"/>
                      <w:highlight w:val="none"/>
                    </w:rPr>
                  </w:pPr>
                  <w:r>
                    <w:rPr>
                      <w:rFonts w:ascii="Times New Roman" w:cs="Times New Roman" w:hAnsi="Times New Roman" w:hint="eastAsia"/>
                      <w:color w:val="auto"/>
                      <w:sz w:val="21"/>
                      <w:szCs w:val="21"/>
                      <w:lang w:val="en-US" w:eastAsia="zh-CN"/>
                      <w:highlight w:val="none"/>
                    </w:rPr>
                    <w:t>1.3.项目新鲜水</w:t>
                  </w:r>
                  <w:r>
                    <w:rPr>
                      <w:rFonts w:ascii="Times New Roman" w:cs="Times New Roman" w:hAnsi="Times New Roman" w:hint="eastAsia"/>
                      <w:color w:val="auto"/>
                      <w:sz w:val="21"/>
                      <w:szCs w:val="21"/>
                      <w:highlight w:val="none"/>
                    </w:rPr>
                    <w:t>由</w:t>
                  </w:r>
                  <w:r>
                    <w:rPr>
                      <w:rFonts w:ascii="Times New Roman" w:cs="Times New Roman" w:hAnsi="Times New Roman" w:hint="eastAsia"/>
                      <w:color w:val="auto"/>
                      <w:sz w:val="21"/>
                      <w:szCs w:val="21"/>
                      <w:lang w:val="en-US" w:eastAsia="zh-CN"/>
                      <w:highlight w:val="none"/>
                    </w:rPr>
                    <w:t>园区</w:t>
                  </w:r>
                  <w:r>
                    <w:rPr>
                      <w:rFonts w:ascii="Times New Roman" w:cs="Times New Roman" w:hAnsi="Times New Roman" w:hint="eastAsia"/>
                      <w:color w:val="auto"/>
                      <w:sz w:val="21"/>
                      <w:szCs w:val="21"/>
                      <w:highlight w:val="none"/>
                    </w:rPr>
                    <w:t>供水管网提供</w:t>
                  </w:r>
                  <w:r>
                    <w:rPr>
                      <w:rFonts w:ascii="Times New Roman" w:cs="Times New Roman" w:hAnsi="Times New Roman" w:hint="eastAsia"/>
                      <w:color w:val="auto"/>
                      <w:sz w:val="21"/>
                      <w:szCs w:val="21"/>
                      <w:lang w:eastAsia="zh-CN"/>
                      <w:highlight w:val="none"/>
                    </w:rPr>
                    <w:t>，</w:t>
                  </w:r>
                  <w:r>
                    <w:rPr>
                      <w:rFonts w:ascii="Times New Roman" w:cs="Times New Roman" w:hAnsi="Times New Roman" w:hint="eastAsia"/>
                      <w:color w:val="auto"/>
                      <w:sz w:val="21"/>
                      <w:szCs w:val="21"/>
                      <w:lang w:val="en-US" w:eastAsia="zh-CN"/>
                      <w:highlight w:val="none"/>
                    </w:rPr>
                    <w:t>不开采地下水；</w:t>
                  </w:r>
                </w:p>
                <w:p>
                  <w:pPr>
                    <w:keepNext w:val="0"/>
                    <w:keepLines w:val="0"/>
                    <w:suppressLineNumbers w:val="0"/>
                    <w:spacing w:before="0" w:beforeAutospacing="0" w:after="0" w:afterAutospacing="0"/>
                    <w:ind w:left="0" w:right="0"/>
                    <w:jc w:val="both"/>
                    <w:rPr>
                      <w:rFonts w:cs="Times New Roman"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2.项目不涉及燃烧的使用；</w:t>
                  </w:r>
                </w:p>
                <w:p>
                  <w:pPr>
                    <w:keepNext w:val="0"/>
                    <w:keepLines w:val="0"/>
                    <w:suppressLineNumbers w:val="0"/>
                    <w:spacing w:before="0" w:beforeAutospacing="0" w:after="0" w:afterAutospacing="0"/>
                    <w:ind w:left="0" w:right="0"/>
                    <w:jc w:val="both"/>
                    <w:rPr>
                      <w:rFonts w:eastAsia="宋体"/>
                      <w:color w:val="auto"/>
                      <w:szCs w:val="20"/>
                      <w:lang w:val="en-US" w:eastAsia="zh-CN"/>
                      <w:highlight w:val="none"/>
                    </w:rPr>
                  </w:pPr>
                  <w:r>
                    <w:rPr>
                      <w:rFonts w:ascii="Times New Roman" w:cs="Times New Roman" w:hAnsi="Times New Roman" w:hint="eastAsia"/>
                      <w:color w:val="auto"/>
                      <w:sz w:val="21"/>
                      <w:szCs w:val="21"/>
                      <w:lang w:val="en-US" w:eastAsia="zh-CN"/>
                      <w:highlight w:val="none"/>
                    </w:rPr>
                    <w:t>4.</w:t>
                  </w:r>
                  <w:r>
                    <w:rPr>
                      <w:rFonts w:ascii="Times New Roman" w:cs="Times New Roman" w:hAnsi="Times New Roman"/>
                      <w:color w:val="auto"/>
                      <w:sz w:val="21"/>
                      <w:szCs w:val="21"/>
                      <w:lang w:val="en-US" w:eastAsia="zh-CN"/>
                      <w:highlight w:val="none"/>
                    </w:rPr>
                    <w:t>项目用电</w:t>
                  </w:r>
                  <w:r>
                    <w:rPr>
                      <w:rFonts w:ascii="Times New Roman" w:cs="Times New Roman" w:hAnsi="Times New Roman" w:hint="eastAsia"/>
                      <w:color w:val="auto"/>
                      <w:sz w:val="21"/>
                      <w:szCs w:val="21"/>
                      <w:lang w:val="en-US" w:eastAsia="zh-CN"/>
                      <w:highlight w:val="none"/>
                    </w:rPr>
                    <w:t>由园区供电管网提供</w:t>
                  </w:r>
                  <w:r>
                    <w:rPr>
                      <w:rFonts w:ascii="Times New Roman" w:cs="Times New Roman" w:hAnsi="Times New Roman"/>
                      <w:color w:val="auto"/>
                      <w:sz w:val="21"/>
                      <w:szCs w:val="21"/>
                      <w:lang w:val="en-US" w:eastAsia="zh-CN"/>
                      <w:highlight w:val="none"/>
                    </w:rPr>
                    <w:t>；项目占地为工业用地。项目所用原辅料、水、电等在生产过程中均尽可能做到合理利用和节约能耗，资源消耗均未超出区域负荷上限，符合资源利用上线要求。</w:t>
                  </w:r>
                </w:p>
              </w:tc>
            </w:tr>
          </w:tbl>
          <w:p>
            <w:pPr>
              <w:pStyle w:val="178"/>
              <w:keepNext w:val="0"/>
              <w:keepLines w:val="0"/>
              <w:suppressLineNumbers w:val="0"/>
              <w:spacing w:before="0" w:beforeAutospacing="0" w:after="0" w:afterAutospacing="0"/>
              <w:ind w:left="0" w:right="0" w:firstLineChars="200" w:firstLine="480"/>
              <w:rPr>
                <w:rFonts w:ascii="Times New Roman" w:eastAsia="宋体" w:cs="Times New Roman" w:hAnsi="Times New Roman"/>
                <w:color w:val="auto"/>
                <w:kern w:val="0"/>
                <w:sz w:val="24"/>
                <w:szCs w:val="20"/>
                <w:lang w:val="en-US" w:eastAsia="zh-CN" w:bidi="ar-SA"/>
                <w:highlight w:val="none"/>
              </w:rPr>
            </w:pPr>
            <w:r>
              <w:rPr>
                <w:rFonts w:ascii="Times New Roman" w:cs="Times New Roman" w:hAnsi="Times New Roman"/>
                <w:color w:val="auto"/>
                <w:sz w:val="24"/>
                <w:szCs w:val="20"/>
                <w:highlight w:val="none"/>
              </w:rPr>
              <w:t>由上表可知，本项目</w:t>
            </w:r>
            <w:r>
              <w:rPr>
                <w:rFonts w:ascii="Times New Roman" w:cs="Times New Roman" w:hAnsi="Times New Roman" w:hint="eastAsia"/>
                <w:color w:val="auto"/>
                <w:sz w:val="24"/>
                <w:szCs w:val="20"/>
                <w:lang w:val="en-US" w:eastAsia="zh-CN"/>
                <w:highlight w:val="none"/>
              </w:rPr>
              <w:t>符合</w:t>
            </w:r>
            <w:r>
              <w:rPr>
                <w:rFonts w:ascii="Times New Roman" w:cs="Times New Roman" w:hAnsi="Times New Roman"/>
                <w:color w:val="auto"/>
                <w:sz w:val="24"/>
                <w:szCs w:val="20"/>
                <w:highlight w:val="none"/>
              </w:rPr>
              <w:t>河北石家庄装备制造产业园准入要求。</w:t>
            </w:r>
          </w:p>
        </w:tc>
      </w:tr>
      <w:tr>
        <w:trPr>
          <w:trHeight w:val="90"/>
        </w:trPr>
        <w:tc>
          <w:tcPr>
            <w:tcW w:w="827" w:type="pct"/>
            <w:tcMar>
              <w:left w:w="108" w:type="dxa"/>
            </w:tcMar>
            <w:vAlign w:val="center"/>
          </w:tcPr>
          <w:p>
            <w:pPr>
              <w:pStyle w:val="137"/>
              <w:keepNext w:val="0"/>
              <w:keepLines w:val="0"/>
              <w:suppressLineNumbers w:val="0"/>
              <w:spacing w:before="0" w:beforeAutospacing="0" w:after="0" w:afterAutospacing="0"/>
              <w:ind w:left="0" w:right="0" w:firstLineChars="0" w:firstLine="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其他符合性分析</w:t>
            </w:r>
          </w:p>
        </w:tc>
        <w:tc>
          <w:tcPr>
            <w:tcW w:w="4172" w:type="pct"/>
            <w:gridSpan w:val="3"/>
            <w:tcBorders>
              <w:left w:val="single" w:sz="4" w:space="0" w:color="auto"/>
            </w:tcBorders>
            <w:tcMar>
              <w:left w:w="108" w:type="dxa"/>
            </w:tcMar>
            <w:vAlign w:val="center"/>
          </w:tcPr>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1、产业政策符合性分析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（1）对照《</w:t>
            </w:r>
            <w:r>
              <w:rPr>
                <w:rFonts w:ascii="Times New Roman" w:cs="Times New Roman" w:hAnsi="Times New Roman" w:hint="eastAsia"/>
                <w:caps w:val="0"/>
                <w:smallCaps w:val="0"/>
                <w:color w:val="auto"/>
                <w:spacing w:val="0"/>
                <w:sz w:val="24"/>
                <w:szCs w:val="20"/>
                <w:lang w:eastAsia="zh-CN"/>
                <w:highlight w:val="none"/>
              </w:rPr>
              <w:t>市场准入负面清单（2025年版）</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eastAsia="zh-CN"/>
                <w:highlight w:val="none"/>
              </w:rPr>
              <w:t>发改体改规（2025）466号</w:t>
            </w:r>
            <w:r>
              <w:rPr>
                <w:rFonts w:ascii="Times New Roman" w:cs="Times New Roman" w:hAnsi="Times New Roman"/>
                <w:caps w:val="0"/>
                <w:smallCaps w:val="0"/>
                <w:color w:val="auto"/>
                <w:spacing w:val="0"/>
                <w:sz w:val="24"/>
                <w:szCs w:val="20"/>
                <w:highlight w:val="none"/>
              </w:rPr>
              <w:t>）中相关规定</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项目不属于禁止</w:t>
            </w:r>
            <w:r>
              <w:rPr>
                <w:rFonts w:ascii="Times New Roman" w:cs="Times New Roman" w:hAnsi="Times New Roman" w:hint="eastAsia"/>
                <w:caps w:val="0"/>
                <w:smallCaps w:val="0"/>
                <w:color w:val="auto"/>
                <w:spacing w:val="0"/>
                <w:sz w:val="24"/>
                <w:szCs w:val="20"/>
                <w:lang w:val="en-US" w:eastAsia="zh-CN"/>
                <w:highlight w:val="none"/>
              </w:rPr>
              <w:t>准入</w:t>
            </w:r>
            <w:r>
              <w:rPr>
                <w:rFonts w:ascii="Times New Roman" w:cs="Times New Roman" w:hAnsi="Times New Roman"/>
                <w:caps w:val="0"/>
                <w:smallCaps w:val="0"/>
                <w:color w:val="auto"/>
                <w:spacing w:val="0"/>
                <w:sz w:val="24"/>
                <w:szCs w:val="20"/>
                <w:highlight w:val="none"/>
              </w:rPr>
              <w:t>类项目</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符合要求；</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（2）对照</w:t>
            </w:r>
            <w:r>
              <w:rPr>
                <w:rFonts w:ascii="Times New Roman" w:cs="Times New Roman" w:hAnsi="Times New Roman" w:hint="eastAsia"/>
                <w:caps w:val="0"/>
                <w:smallCaps w:val="0"/>
                <w:color w:val="auto"/>
                <w:spacing w:val="0"/>
                <w:sz w:val="24"/>
                <w:szCs w:val="20"/>
                <w:lang w:eastAsia="zh-CN"/>
                <w:highlight w:val="none"/>
              </w:rPr>
              <w:t>《产业结构调整指导目录（2024年本）》</w:t>
            </w:r>
            <w:r>
              <w:rPr>
                <w:rFonts w:ascii="Times New Roman" w:cs="Times New Roman" w:hAnsi="Times New Roman"/>
                <w:caps w:val="0"/>
                <w:smallCaps w:val="0"/>
                <w:color w:val="auto"/>
                <w:spacing w:val="0"/>
                <w:sz w:val="24"/>
                <w:szCs w:val="20"/>
                <w:highlight w:val="none"/>
              </w:rPr>
              <w:t>中相关规定</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项目不属于鼓励类、限制类、淘汰类项目</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为允许类建设项目</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符合要求；</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项目已于</w:t>
            </w:r>
            <w:r>
              <w:rPr>
                <w:rFonts w:ascii="Times New Roman" w:cs="Times New Roman" w:hAnsi="Times New Roman" w:hint="eastAsia"/>
                <w:caps w:val="0"/>
                <w:smallCaps w:val="0"/>
                <w:color w:val="auto"/>
                <w:spacing w:val="0"/>
                <w:sz w:val="24"/>
                <w:szCs w:val="20"/>
                <w:lang w:eastAsia="zh-CN"/>
                <w:highlight w:val="none"/>
              </w:rPr>
              <w:t>2025年9月10日</w:t>
            </w:r>
            <w:r>
              <w:rPr>
                <w:rFonts w:ascii="Times New Roman" w:cs="Times New Roman" w:hAnsi="Times New Roman"/>
                <w:caps w:val="0"/>
                <w:smallCaps w:val="0"/>
                <w:color w:val="auto"/>
                <w:spacing w:val="0"/>
                <w:sz w:val="24"/>
                <w:szCs w:val="20"/>
                <w:highlight w:val="none"/>
              </w:rPr>
              <w:t>在</w:t>
            </w:r>
            <w:r>
              <w:rPr>
                <w:rFonts w:ascii="Times New Roman" w:cs="Times New Roman" w:hAnsi="Times New Roman" w:hint="eastAsia"/>
                <w:caps w:val="0"/>
                <w:smallCaps w:val="0"/>
                <w:color w:val="auto"/>
                <w:spacing w:val="0"/>
                <w:sz w:val="24"/>
                <w:szCs w:val="20"/>
                <w:lang w:eastAsia="zh-CN"/>
                <w:highlight w:val="none"/>
              </w:rPr>
              <w:t>河北石家庄装备制造产业园管理委员会</w:t>
            </w:r>
            <w:r>
              <w:rPr>
                <w:rFonts w:ascii="Times New Roman" w:cs="Times New Roman" w:hAnsi="Times New Roman"/>
                <w:caps w:val="0"/>
                <w:smallCaps w:val="0"/>
                <w:color w:val="auto"/>
                <w:spacing w:val="0"/>
                <w:sz w:val="24"/>
                <w:szCs w:val="20"/>
                <w:highlight w:val="none"/>
              </w:rPr>
              <w:t>进行备案</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备案文号为：</w:t>
            </w:r>
            <w:r>
              <w:rPr>
                <w:rFonts w:ascii="Times New Roman" w:cs="Times New Roman" w:hAnsi="Times New Roman" w:hint="eastAsia"/>
                <w:caps w:val="0"/>
                <w:smallCaps w:val="0"/>
                <w:color w:val="auto"/>
                <w:spacing w:val="0"/>
                <w:sz w:val="24"/>
                <w:szCs w:val="20"/>
                <w:lang w:eastAsia="zh-CN"/>
                <w:highlight w:val="none"/>
              </w:rPr>
              <w:t>装管委投资备字〔2025〕5号。</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综上所述</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本项目建设符合国家及地方相关产业政策。</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szCs w:val="20"/>
                <w:highlight w:val="none"/>
              </w:rPr>
            </w:pPr>
            <w:r>
              <w:rPr>
                <w:rFonts w:ascii="Times New Roman" w:cs="Times New Roman" w:hAnsi="Times New Roman"/>
                <w:b/>
                <w:caps w:val="0"/>
                <w:smallCaps w:val="0"/>
                <w:color w:val="auto"/>
                <w:spacing w:val="0"/>
                <w:sz w:val="24"/>
                <w:szCs w:val="20"/>
                <w:highlight w:val="none"/>
              </w:rPr>
              <w:t>2、选址合理性分析</w:t>
            </w:r>
          </w:p>
          <w:p>
            <w:pPr>
              <w:pStyle w:val="137"/>
              <w:keepNext w:val="0"/>
              <w:keepLines w:val="0"/>
              <w:suppressLineNumbers w:val="0"/>
              <w:spacing w:before="0" w:beforeAutospacing="0" w:after="0" w:afterAutospacing="0"/>
              <w:ind w:left="0" w:right="0"/>
              <w:rPr>
                <w:rFonts w:ascii="Times New Roman" w:cs="Times New Roman" w:hAnsi="Times New Roman"/>
                <w:b w:val="0"/>
                <w:bCs/>
                <w:caps w:val="0"/>
                <w:smallCaps w:val="0"/>
                <w:color w:val="auto"/>
                <w:spacing w:val="0"/>
                <w:szCs w:val="20"/>
                <w:highlight w:val="none"/>
              </w:rPr>
            </w:pPr>
            <w:r>
              <w:rPr>
                <w:rFonts w:ascii="Times New Roman" w:cs="Times New Roman" w:hAnsi="Times New Roman"/>
                <w:b w:val="0"/>
                <w:bCs/>
                <w:caps w:val="0"/>
                <w:smallCaps w:val="0"/>
                <w:color w:val="auto"/>
                <w:spacing w:val="0"/>
                <w:sz w:val="24"/>
                <w:szCs w:val="20"/>
                <w:highlight w:val="none"/>
              </w:rPr>
              <w:t>（1）项目位于河北省石家庄市栾城区</w:t>
            </w:r>
            <w:r>
              <w:rPr>
                <w:rFonts w:ascii="Times New Roman" w:cs="Times New Roman" w:hAnsi="Times New Roman" w:hint="eastAsia"/>
                <w:b w:val="0"/>
                <w:bCs/>
                <w:caps w:val="0"/>
                <w:smallCaps w:val="0"/>
                <w:color w:val="auto"/>
                <w:spacing w:val="0"/>
                <w:sz w:val="24"/>
                <w:szCs w:val="20"/>
                <w:lang w:eastAsia="zh-CN"/>
                <w:highlight w:val="none"/>
              </w:rPr>
              <w:t>窦妪村装备制造产业园区奥翔街6-1号（院内3号房）</w:t>
            </w:r>
            <w:r>
              <w:rPr>
                <w:rFonts w:ascii="Times New Roman" w:cs="Times New Roman" w:hAnsi="Times New Roman"/>
                <w:b w:val="0"/>
                <w:bCs/>
                <w:caps w:val="0"/>
                <w:smallCaps w:val="0"/>
                <w:color w:val="auto"/>
                <w:spacing w:val="0"/>
                <w:sz w:val="24"/>
                <w:szCs w:val="20"/>
                <w:highlight w:val="none"/>
              </w:rPr>
              <w:t>，</w:t>
            </w:r>
            <w:r>
              <w:rPr>
                <w:rFonts w:ascii="Times New Roman" w:cs="Times New Roman" w:hAnsi="Times New Roman" w:hint="eastAsia"/>
                <w:b w:val="0"/>
                <w:bCs/>
                <w:caps w:val="0"/>
                <w:smallCaps w:val="0"/>
                <w:color w:val="auto"/>
                <w:spacing w:val="0"/>
                <w:sz w:val="24"/>
                <w:szCs w:val="20"/>
                <w:lang w:eastAsia="zh-CN"/>
                <w:highlight w:val="none"/>
              </w:rPr>
              <w:t>租赁现有厂房进行生产</w:t>
            </w:r>
            <w:r>
              <w:rPr>
                <w:rFonts w:ascii="Times New Roman" w:cs="Times New Roman" w:hAnsi="Times New Roman"/>
                <w:b w:val="0"/>
                <w:bCs/>
                <w:caps w:val="0"/>
                <w:smallCaps w:val="0"/>
                <w:color w:val="auto"/>
                <w:spacing w:val="0"/>
                <w:sz w:val="24"/>
                <w:szCs w:val="20"/>
                <w:highlight w:val="none"/>
              </w:rPr>
              <w:t>。</w:t>
            </w:r>
            <w:r>
              <w:rPr>
                <w:rFonts w:ascii="Times New Roman" w:cs="Times New Roman" w:hAnsi="Times New Roman" w:hint="eastAsia"/>
                <w:b w:val="0"/>
                <w:bCs/>
                <w:caps w:val="0"/>
                <w:smallCaps w:val="0"/>
                <w:color w:val="auto"/>
                <w:spacing w:val="0"/>
                <w:sz w:val="24"/>
                <w:szCs w:val="20"/>
                <w:lang w:eastAsia="zh-CN"/>
                <w:highlight w:val="none"/>
              </w:rPr>
              <w:t>厂区东侧为道路，隔路为石家庄天祥电机配件有限公司，南侧为道路，隔路为帆布厂，西侧为闲置厂房，北侧为石家庄建臣机械制造有限公司</w:t>
            </w:r>
            <w:r>
              <w:rPr>
                <w:rFonts w:ascii="Times New Roman" w:cs="Times New Roman" w:hAnsi="Times New Roman"/>
                <w:b w:val="0"/>
                <w:bCs/>
                <w:caps w:val="0"/>
                <w:smallCaps w:val="0"/>
                <w:color w:val="auto"/>
                <w:spacing w:val="0"/>
                <w:sz w:val="24"/>
                <w:szCs w:val="20"/>
                <w:highlight w:val="none"/>
              </w:rPr>
              <w:t>。</w:t>
            </w:r>
            <w:r>
              <w:rPr>
                <w:rFonts w:ascii="Times New Roman" w:cs="Times New Roman" w:hAnsi="Times New Roman" w:hint="eastAsia"/>
                <w:b w:val="0"/>
                <w:bCs/>
                <w:caps w:val="0"/>
                <w:smallCaps w:val="0"/>
                <w:color w:val="auto"/>
                <w:spacing w:val="0"/>
                <w:sz w:val="24"/>
                <w:szCs w:val="20"/>
                <w:lang w:eastAsia="zh-CN"/>
                <w:highlight w:val="none"/>
              </w:rPr>
              <w:t>项目最近敏感点为西南侧710m处的锦悦桦庭</w:t>
            </w:r>
            <w:r>
              <w:rPr>
                <w:rFonts w:ascii="Times New Roman" w:cs="Times New Roman" w:hAnsi="Times New Roman"/>
                <w:b w:val="0"/>
                <w:bCs/>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rPr>
                <w:rFonts w:cs="Times New Roman" w:hint="eastAsia"/>
                <w:b w:val="0"/>
                <w:bCs/>
                <w:caps w:val="0"/>
                <w:smallCaps w:val="0"/>
                <w:color w:val="auto"/>
                <w:spacing w:val="0"/>
                <w:szCs w:val="20"/>
                <w:lang w:eastAsia="zh-CN"/>
                <w:highlight w:val="none"/>
              </w:rPr>
            </w:pPr>
            <w:r>
              <w:rPr>
                <w:rFonts w:ascii="Times New Roman" w:cs="Times New Roman" w:hAnsi="Times New Roman"/>
                <w:b w:val="0"/>
                <w:bCs/>
                <w:caps w:val="0"/>
                <w:smallCaps w:val="0"/>
                <w:color w:val="auto"/>
                <w:spacing w:val="0"/>
                <w:sz w:val="24"/>
                <w:szCs w:val="20"/>
                <w:highlight w:val="none"/>
              </w:rPr>
              <w:t>（2）项目厂址附近无自然保护区、风景名胜区、集中式生活饮用水源地等环境敏感区。项目厂址所在地交通较为便利，有利于项目原料、产品的运输。建设区内电力、通讯等基础设施配套状况良好，为项目的建设提供了良好的环境。</w:t>
            </w:r>
            <w:r>
              <w:rPr>
                <w:rFonts w:ascii="Times New Roman" w:cs="Times New Roman" w:hAnsi="Times New Roman"/>
                <w:color w:val="auto"/>
                <w:sz w:val="24"/>
                <w:szCs w:val="20"/>
                <w:highlight w:val="none"/>
              </w:rPr>
              <w:t>根据</w:t>
            </w:r>
            <w:r>
              <w:rPr>
                <w:rFonts w:ascii="Times New Roman" w:cs="Times New Roman" w:hAnsi="Times New Roman" w:hint="eastAsia"/>
                <w:color w:val="auto"/>
                <w:sz w:val="24"/>
                <w:szCs w:val="20"/>
                <w:lang w:val="en-US" w:eastAsia="zh-CN"/>
                <w:highlight w:val="none"/>
              </w:rPr>
              <w:t>不动产权证，</w:t>
            </w:r>
            <w:r>
              <w:rPr>
                <w:rFonts w:ascii="Times New Roman" w:cs="Times New Roman" w:hAnsi="Times New Roman"/>
                <w:color w:val="auto"/>
                <w:sz w:val="24"/>
                <w:szCs w:val="20"/>
                <w:highlight w:val="none"/>
              </w:rPr>
              <w:t>占地为工业用地，符合用地规划</w:t>
            </w:r>
            <w:r>
              <w:rPr>
                <w:rFonts w:ascii="Times New Roman" w:cs="Times New Roman" w:hAnsi="Times New Roman" w:hint="eastAsia"/>
                <w:b w:val="0"/>
                <w:bCs/>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cs="Times New Roman" w:hint="eastAsia"/>
                <w:b w:val="0"/>
                <w:bCs/>
                <w:caps w:val="0"/>
                <w:smallCaps w:val="0"/>
                <w:color w:val="auto"/>
                <w:spacing w:val="0"/>
                <w:szCs w:val="20"/>
                <w:lang w:eastAsia="zh-CN"/>
                <w:highlight w:val="none"/>
              </w:rPr>
            </w:pPr>
            <w:r>
              <w:rPr>
                <w:rFonts w:ascii="Times New Roman" w:cs="Times New Roman" w:hAnsi="Times New Roman"/>
                <w:b w:val="0"/>
                <w:bCs/>
                <w:caps w:val="0"/>
                <w:smallCaps w:val="0"/>
                <w:color w:val="auto"/>
                <w:spacing w:val="0"/>
                <w:sz w:val="24"/>
                <w:szCs w:val="20"/>
                <w:highlight w:val="none"/>
              </w:rPr>
              <w:t>（3）项目不属于</w:t>
            </w:r>
            <w:r>
              <w:rPr>
                <w:rFonts w:ascii="Times New Roman" w:cs="Times New Roman" w:hAnsi="Times New Roman" w:hint="eastAsia"/>
                <w:b w:val="0"/>
                <w:bCs/>
                <w:caps w:val="0"/>
                <w:smallCaps w:val="0"/>
                <w:color w:val="auto"/>
                <w:spacing w:val="0"/>
                <w:sz w:val="24"/>
                <w:szCs w:val="20"/>
                <w:lang w:eastAsia="zh-CN"/>
                <w:highlight w:val="none"/>
              </w:rPr>
              <w:t>《自然资源要素支撑产业高质量发展指导目录（2024年本）》中鼓励类、限制类和禁止类项目，属于允许类项目。</w:t>
            </w:r>
          </w:p>
          <w:p>
            <w:pPr>
              <w:pStyle w:val="137"/>
              <w:keepNext w:val="0"/>
              <w:keepLines w:val="0"/>
              <w:suppressLineNumbers w:val="0"/>
              <w:spacing w:before="0" w:beforeAutospacing="0" w:after="0" w:afterAutospacing="0"/>
              <w:ind w:left="0" w:right="0"/>
              <w:rPr>
                <w:rFonts w:cs="Times New Roman" w:hint="eastAsia"/>
                <w:b w:val="0"/>
                <w:bCs/>
                <w:caps w:val="0"/>
                <w:smallCaps w:val="0"/>
                <w:color w:val="auto"/>
                <w:spacing w:val="0"/>
                <w:szCs w:val="20"/>
                <w:lang w:eastAsia="zh-CN"/>
                <w:highlight w:val="none"/>
              </w:rPr>
            </w:pPr>
            <w:r>
              <w:rPr>
                <w:rFonts w:ascii="Times New Roman" w:cs="Times New Roman" w:hAnsi="Times New Roman" w:hint="eastAsia"/>
                <w:b w:val="0"/>
                <w:bCs/>
                <w:caps w:val="0"/>
                <w:smallCaps w:val="0"/>
                <w:color w:val="auto"/>
                <w:spacing w:val="0"/>
                <w:sz w:val="24"/>
                <w:szCs w:val="20"/>
                <w:lang w:eastAsia="zh-CN"/>
                <w:highlight w:val="none"/>
              </w:rPr>
              <w:t>（</w:t>
            </w:r>
            <w:r>
              <w:rPr>
                <w:rFonts w:ascii="Times New Roman" w:cs="Times New Roman" w:hAnsi="Times New Roman" w:hint="eastAsia"/>
                <w:b w:val="0"/>
                <w:bCs/>
                <w:caps w:val="0"/>
                <w:smallCaps w:val="0"/>
                <w:color w:val="auto"/>
                <w:spacing w:val="0"/>
                <w:sz w:val="24"/>
                <w:szCs w:val="20"/>
                <w:lang w:val="en-US" w:eastAsia="zh-CN"/>
                <w:highlight w:val="none"/>
              </w:rPr>
              <w:t>4</w:t>
            </w:r>
            <w:r>
              <w:rPr>
                <w:rFonts w:ascii="Times New Roman" w:cs="Times New Roman" w:hAnsi="Times New Roman" w:hint="eastAsia"/>
                <w:b w:val="0"/>
                <w:bCs/>
                <w:caps w:val="0"/>
                <w:smallCaps w:val="0"/>
                <w:color w:val="auto"/>
                <w:spacing w:val="0"/>
                <w:sz w:val="24"/>
                <w:szCs w:val="20"/>
                <w:lang w:eastAsia="zh-CN"/>
                <w:highlight w:val="none"/>
              </w:rPr>
              <w:t>）本项目为改建项目，项目产品为汽车塑料配件，属于汽车零部件，符合园区规划定位；租赁现有厂房进行建设汽车塑料配件改扩建项目，根据不动产权证，占地为工业用地，符合用地规划。</w:t>
            </w:r>
          </w:p>
          <w:p>
            <w:pPr>
              <w:pStyle w:val="137"/>
              <w:keepNext w:val="0"/>
              <w:keepLines w:val="0"/>
              <w:suppressLineNumbers w:val="0"/>
              <w:spacing w:before="0" w:beforeAutospacing="0" w:after="0" w:afterAutospacing="0"/>
              <w:ind w:left="0" w:right="0"/>
              <w:rPr>
                <w:rFonts w:ascii="Times New Roman" w:cs="Times New Roman" w:hAnsi="Times New Roman"/>
                <w:b w:val="0"/>
                <w:bCs/>
                <w:caps w:val="0"/>
                <w:smallCaps w:val="0"/>
                <w:color w:val="auto"/>
                <w:spacing w:val="0"/>
                <w:szCs w:val="20"/>
                <w:highlight w:val="none"/>
              </w:rPr>
            </w:pPr>
            <w:r>
              <w:rPr>
                <w:rFonts w:ascii="Times New Roman" w:cs="Times New Roman" w:hAnsi="Times New Roman" w:hint="eastAsia"/>
                <w:b w:val="0"/>
                <w:bCs/>
                <w:caps w:val="0"/>
                <w:smallCaps w:val="0"/>
                <w:color w:val="auto"/>
                <w:spacing w:val="0"/>
                <w:sz w:val="24"/>
                <w:szCs w:val="20"/>
                <w:lang w:eastAsia="zh-CN"/>
                <w:highlight w:val="none"/>
              </w:rPr>
              <w:t>（</w:t>
            </w:r>
            <w:r>
              <w:rPr>
                <w:rFonts w:ascii="Times New Roman" w:cs="Times New Roman" w:hAnsi="Times New Roman" w:hint="eastAsia"/>
                <w:b w:val="0"/>
                <w:bCs/>
                <w:caps w:val="0"/>
                <w:smallCaps w:val="0"/>
                <w:color w:val="auto"/>
                <w:spacing w:val="0"/>
                <w:sz w:val="24"/>
                <w:szCs w:val="20"/>
                <w:lang w:val="en-US" w:eastAsia="zh-CN"/>
                <w:highlight w:val="none"/>
              </w:rPr>
              <w:t>5</w:t>
            </w:r>
            <w:r>
              <w:rPr>
                <w:rFonts w:ascii="Times New Roman" w:cs="Times New Roman" w:hAnsi="Times New Roman" w:hint="eastAsia"/>
                <w:b w:val="0"/>
                <w:bCs/>
                <w:caps w:val="0"/>
                <w:smallCaps w:val="0"/>
                <w:color w:val="auto"/>
                <w:spacing w:val="0"/>
                <w:sz w:val="24"/>
                <w:szCs w:val="20"/>
                <w:lang w:eastAsia="zh-CN"/>
                <w:highlight w:val="none"/>
              </w:rPr>
              <w:t>）</w:t>
            </w:r>
            <w:r>
              <w:rPr>
                <w:rFonts w:ascii="Times New Roman" w:cs="Times New Roman" w:hAnsi="Times New Roman" w:hint="eastAsia"/>
                <w:b w:val="0"/>
                <w:bCs/>
                <w:caps w:val="0"/>
                <w:smallCaps w:val="0"/>
                <w:color w:val="auto"/>
                <w:spacing w:val="0"/>
                <w:sz w:val="24"/>
                <w:szCs w:val="20"/>
                <w:lang w:val="en-US" w:eastAsia="zh-CN"/>
                <w:highlight w:val="none"/>
              </w:rPr>
              <w:t>项目建成后，废气采取合理措施后均达标排放，固废均合理处置，对周围环境影响较小</w:t>
            </w:r>
            <w:r>
              <w:rPr>
                <w:rFonts w:ascii="Times New Roman" w:cs="Times New Roman" w:hAnsi="Times New Roman"/>
                <w:b w:val="0"/>
                <w:bCs/>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val="0"/>
                <w:bCs/>
                <w:caps w:val="0"/>
                <w:smallCaps w:val="0"/>
                <w:color w:val="auto"/>
                <w:spacing w:val="0"/>
                <w:szCs w:val="20"/>
                <w:highlight w:val="none"/>
              </w:rPr>
            </w:pPr>
            <w:r>
              <w:rPr>
                <w:rFonts w:ascii="Times New Roman" w:cs="Times New Roman" w:hAnsi="Times New Roman"/>
                <w:b w:val="0"/>
                <w:bCs/>
                <w:caps w:val="0"/>
                <w:smallCaps w:val="0"/>
                <w:color w:val="auto"/>
                <w:spacing w:val="0"/>
                <w:sz w:val="24"/>
                <w:szCs w:val="20"/>
                <w:highlight w:val="none"/>
              </w:rPr>
              <w:t>综上所述，项目选址合理。</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hint="eastAsia"/>
                <w:b/>
                <w:caps w:val="0"/>
                <w:smallCaps w:val="0"/>
                <w:color w:val="auto"/>
                <w:spacing w:val="0"/>
                <w:sz w:val="24"/>
                <w:szCs w:val="20"/>
                <w:lang w:val="en-US" w:eastAsia="zh-CN"/>
                <w:highlight w:val="none"/>
              </w:rPr>
              <w:t>3</w:t>
            </w:r>
            <w:r>
              <w:rPr>
                <w:rFonts w:ascii="Times New Roman" w:cs="Times New Roman" w:hAnsi="Times New Roman"/>
                <w:b/>
                <w:caps w:val="0"/>
                <w:smallCaps w:val="0"/>
                <w:color w:val="auto"/>
                <w:spacing w:val="0"/>
                <w:sz w:val="24"/>
                <w:szCs w:val="20"/>
                <w:highlight w:val="none"/>
              </w:rPr>
              <w:t>、“三线一单”符合性分析</w:t>
            </w:r>
          </w:p>
          <w:p>
            <w:pPr>
              <w:keepNext w:val="0"/>
              <w:keepLines w:val="0"/>
              <w:suppressLineNumbers w:val="0"/>
              <w:spacing w:before="0" w:beforeAutospacing="0" w:after="0" w:afterAutospacing="0" w:line="440" w:lineRule="exact"/>
              <w:ind w:left="0" w:right="0" w:firstLineChars="200" w:firstLine="480"/>
              <w:rPr>
                <w:rFonts w:ascii="Times New Roman" w:cs="Times New Roman" w:hAnsi="Times New Roman"/>
                <w:caps w:val="0"/>
                <w:smallCaps w:val="0"/>
                <w:color w:val="auto"/>
                <w:spacing w:val="0"/>
                <w:sz w:val="24"/>
                <w:szCs w:val="20"/>
                <w:highlight w:val="none"/>
              </w:rPr>
            </w:pPr>
            <w:r>
              <w:rPr>
                <w:rFonts w:ascii="Times New Roman" w:cs="Times New Roman" w:hAnsi="Times New Roman"/>
                <w:caps w:val="0"/>
                <w:smallCaps w:val="0"/>
                <w:color w:val="auto"/>
                <w:spacing w:val="0"/>
                <w:sz w:val="24"/>
                <w:szCs w:val="20"/>
                <w:highlight w:val="none"/>
              </w:rPr>
              <w:t>根据《关于以改善环境质量为核心加强环境影响评价管理的通知》（环环评[2016]150号），项目与“三线一单”符合性分析见表1-</w:t>
            </w:r>
            <w:r>
              <w:rPr>
                <w:rFonts w:ascii="Times New Roman" w:cs="Times New Roman" w:hAnsi="Times New Roman" w:hint="eastAsia"/>
                <w:caps w:val="0"/>
                <w:smallCaps w:val="0"/>
                <w:color w:val="auto"/>
                <w:spacing w:val="0"/>
                <w:sz w:val="24"/>
                <w:szCs w:val="20"/>
                <w:lang w:val="en-US" w:eastAsia="zh-CN"/>
                <w:highlight w:val="none"/>
              </w:rPr>
              <w:t>6</w:t>
            </w:r>
            <w:r>
              <w:rPr>
                <w:rFonts w:ascii="Times New Roman" w:cs="Times New Roman" w:hAnsi="Times New Roman"/>
                <w:caps w:val="0"/>
                <w:smallCaps w:val="0"/>
                <w:color w:val="auto"/>
                <w:spacing w:val="0"/>
                <w:sz w:val="24"/>
                <w:szCs w:val="20"/>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6</w:t>
            </w:r>
            <w:r>
              <w:rPr>
                <w:rFonts w:ascii="Times New Roman" w:cs="Times New Roman" w:hAnsi="Times New Roman"/>
                <w:caps w:val="0"/>
                <w:smallCaps w:val="0"/>
                <w:color w:val="auto"/>
                <w:spacing w:val="0"/>
                <w:sz w:val="24"/>
                <w:szCs w:val="20"/>
                <w:highlight w:val="none"/>
              </w:rPr>
              <w:t xml:space="preserve">    “三线一单”符合性分析表</w:t>
            </w:r>
          </w:p>
          <w:tbl>
            <w:tblPr>
              <w:jc w:val="left"/>
              <w:tblInd w:w="0" w:type="dx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11"/>
              <w:gridCol w:w="3898"/>
              <w:gridCol w:w="2766"/>
              <w:gridCol w:w="564"/>
            </w:tblGrid>
            <w:tr>
              <w:trPr>
                <w:tblHeader/>
              </w:trPr>
              <w:tc>
                <w:tcPr>
                  <w:tcW w:w="2820" w:type="pct"/>
                  <w:gridSpan w:val="2"/>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内容</w:t>
                  </w:r>
                </w:p>
              </w:tc>
              <w:tc>
                <w:tcPr>
                  <w:tcW w:w="1810"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本项目</w:t>
                  </w:r>
                </w:p>
              </w:tc>
              <w:tc>
                <w:tcPr>
                  <w:tcW w:w="369"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结论</w:t>
                  </w:r>
                </w:p>
              </w:tc>
            </w:tr>
            <w:tr>
              <w:tc>
                <w:tcPr>
                  <w:tcW w:w="269"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生态保护红线</w:t>
                  </w:r>
                </w:p>
              </w:tc>
              <w:tc>
                <w:tcPr>
                  <w:tcW w:w="2551"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生态保护红线是生态空间范围内具有特殊重要生态功能必须实行强制性严格保护的区域。相关规划环评应将生态空间管控作为重要内容</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规划区域涉及生态保护红线的</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在规划环评结论和审查意见中应落实生态保护红线的管理要求</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提出相应对策措施。除受自然条件限制、确实无法避让的铁路、公路、航道、防洪、管道、干渠、通讯、输变电等重要基础设施项目外</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在生态保护红线范围内</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严控各类开发建设活动</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依法不予审批新建工业项目和矿产开发项目的环评文件。</w:t>
                  </w:r>
                </w:p>
              </w:tc>
              <w:tc>
                <w:tcPr>
                  <w:tcW w:w="1810"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，不在生态保护红线范围内，满足生态保护红线要求。</w:t>
                  </w:r>
                </w:p>
              </w:tc>
              <w:tc>
                <w:tcPr>
                  <w:tcW w:w="369"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符合</w:t>
                  </w:r>
                </w:p>
              </w:tc>
            </w:tr>
            <w:tr>
              <w:tc>
                <w:tcPr>
                  <w:tcW w:w="269"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环境质量底线</w:t>
                  </w:r>
                </w:p>
              </w:tc>
              <w:tc>
                <w:tcPr>
                  <w:tcW w:w="2551"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环境质量底线是国家和地方设置的大气、水和土壤环境质量目标</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也是改善环境质量的基准线。有关规划环评应落实区域环境质量目标管理要求</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提出区域或者行业污染物排放总量管控建议以及优化区域或行业发展布局、结构和规模的对策措施。项目环评应对照区域环境质量目标</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深入分析预测项目建设对环境质量的影响</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强化污染防治措施和污染物排放控制要求。</w:t>
                  </w:r>
                </w:p>
              </w:tc>
              <w:tc>
                <w:tcPr>
                  <w:tcW w:w="1810" w:type="pct"/>
                  <w:tcBorders>
                    <w:left w:val="single" w:sz="4" w:space="0" w:color="auto"/>
                  </w:tcBorders>
                  <w:shd w:val="clear" w:color="auto" w:fill="auto"/>
                  <w:tcMar>
                    <w:left w:w="28" w:type="dxa"/>
                    <w:right w:w="28" w:type="dxa"/>
                  </w:tcMar>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①环境空气：项目所在区域环境空气为二类功能区，执行《环境空气质量标准》（GB3095-2012）二级</w:t>
                  </w:r>
                  <w:r>
                    <w:rPr>
                      <w:rFonts w:ascii="Times New Roman" w:eastAsia="宋体" w:cs="Times New Roman" w:hAnsi="Times New Roman" w:hint="eastAsia"/>
                      <w:color w:val="auto"/>
                      <w:sz w:val="21"/>
                      <w:szCs w:val="21"/>
                      <w:highlight w:val="none"/>
                    </w:rPr>
                    <w:t>标准及修改单要求要求</w:t>
                  </w:r>
                  <w:r>
                    <w:rPr>
                      <w:rFonts w:ascii="Times New Roman" w:cs="Times New Roman" w:hAnsi="Times New Roman" w:hint="eastAsia"/>
                      <w:color w:val="auto"/>
                      <w:sz w:val="21"/>
                      <w:szCs w:val="21"/>
                      <w:lang w:eastAsia="zh-CN"/>
                      <w:highlight w:val="none"/>
                    </w:rPr>
                    <w:t>、《环境空气质量 非甲烷总烃限值》（DB13/1577-2012）中的二级标准</w:t>
                  </w:r>
                  <w:r>
                    <w:rPr>
                      <w:rFonts w:ascii="Times New Roman" w:eastAsia="宋体" w:cs="Times New Roman" w:hAnsi="Times New Roman" w:hint="eastAsia"/>
                      <w:color w:val="auto"/>
                      <w:sz w:val="21"/>
                      <w:szCs w:val="21"/>
                      <w:highlight w:val="none"/>
                    </w:rPr>
                    <w:t>；</w:t>
                  </w:r>
                  <w:r>
                    <w:rPr>
                      <w:rFonts w:ascii="Times New Roman" w:cs="Times New Roman" w:hAnsi="Times New Roman" w:hint="eastAsia"/>
                      <w:color w:val="auto"/>
                      <w:sz w:val="21"/>
                      <w:szCs w:val="21"/>
                      <w:highlight w:val="none"/>
                    </w:rPr>
                    <w:t>根据</w:t>
                  </w:r>
                  <w:r>
                    <w:rPr>
                      <w:rFonts w:ascii="Times New Roman" w:cs="Times New Roman" w:hAnsi="Times New Roman" w:hint="eastAsia"/>
                      <w:color w:val="auto"/>
                      <w:sz w:val="21"/>
                      <w:szCs w:val="21"/>
                      <w:lang w:val="en-US" w:eastAsia="zh-CN"/>
                      <w:highlight w:val="none"/>
                    </w:rPr>
                    <w:t>区域削减方案</w:t>
                  </w:r>
                  <w:r>
                    <w:rPr>
                      <w:rFonts w:ascii="Times New Roman" w:cs="Times New Roman" w:hAnsi="Times New Roman" w:hint="eastAsia"/>
                      <w:color w:val="auto"/>
                      <w:sz w:val="21"/>
                      <w:szCs w:val="21"/>
                      <w:highlight w:val="none"/>
                    </w:rPr>
                    <w:t>，空气质量将逐渐好转</w:t>
                  </w:r>
                  <w:r>
                    <w:rPr>
                      <w:rFonts w:ascii="Times New Roman" w:cs="Times New Roman" w:hAnsi="Times New Roman"/>
                      <w:color w:val="auto"/>
                      <w:sz w:val="21"/>
                      <w:szCs w:val="21"/>
                      <w:lang w:val="zh-CN"/>
                      <w:highlight w:val="none"/>
                    </w:rPr>
                    <w:t>。</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②水环境：项目所在区域附近无地表水体，项目距离最近的水体为</w:t>
                  </w:r>
                  <w:r>
                    <w:rPr>
                      <w:rFonts w:ascii="Times New Roman" w:cs="Times New Roman" w:hAnsi="Times New Roman" w:hint="eastAsia"/>
                      <w:color w:val="auto"/>
                      <w:sz w:val="21"/>
                      <w:szCs w:val="21"/>
                      <w:lang w:eastAsia="zh-CN"/>
                      <w:highlight w:val="none"/>
                    </w:rPr>
                    <w:t>西南侧约345m的洨河</w:t>
                  </w:r>
                  <w:r>
                    <w:rPr>
                      <w:rFonts w:ascii="Times New Roman" w:cs="Times New Roman" w:hAnsi="Times New Roman"/>
                      <w:color w:val="auto"/>
                      <w:sz w:val="21"/>
                      <w:szCs w:val="21"/>
                      <w:highlight w:val="none"/>
                    </w:rPr>
                    <w:t>，</w:t>
                  </w:r>
                  <w:r>
                    <w:rPr>
                      <w:rFonts w:ascii="Times New Roman" w:cs="Times New Roman" w:hAnsi="Times New Roman" w:hint="eastAsia"/>
                      <w:color w:val="auto"/>
                      <w:sz w:val="21"/>
                      <w:szCs w:val="21"/>
                      <w:highlight w:val="none"/>
                    </w:rPr>
                    <w:t>根据石家庄市生态环境局</w:t>
                  </w:r>
                  <w:r>
                    <w:rPr>
                      <w:rFonts w:ascii="Times New Roman" w:cs="Times New Roman" w:hAnsi="Times New Roman" w:hint="eastAsia"/>
                      <w:color w:val="auto"/>
                      <w:sz w:val="21"/>
                      <w:szCs w:val="21"/>
                      <w:lang w:eastAsia="zh-CN"/>
                      <w:highlight w:val="none"/>
                    </w:rPr>
                    <w:t>2025年6月</w:t>
                  </w:r>
                  <w:r>
                    <w:rPr>
                      <w:rFonts w:ascii="Times New Roman" w:cs="Times New Roman" w:hAnsi="Times New Roman" w:hint="eastAsia"/>
                      <w:color w:val="auto"/>
                      <w:sz w:val="21"/>
                      <w:szCs w:val="21"/>
                      <w:highlight w:val="none"/>
                    </w:rPr>
                    <w:t>发布的《</w:t>
                  </w:r>
                  <w:r>
                    <w:rPr>
                      <w:rFonts w:ascii="Times New Roman" w:cs="Times New Roman" w:hAnsi="Times New Roman" w:hint="eastAsia"/>
                      <w:color w:val="auto"/>
                      <w:sz w:val="21"/>
                      <w:szCs w:val="21"/>
                      <w:lang w:eastAsia="zh-CN"/>
                      <w:highlight w:val="none"/>
                    </w:rPr>
                    <w:t>石家庄市生态环境状况公报（2024年）</w:t>
                  </w:r>
                  <w:r>
                    <w:rPr>
                      <w:rFonts w:ascii="Times New Roman" w:cs="Times New Roman" w:hAnsi="Times New Roman" w:hint="eastAsia"/>
                      <w:color w:val="auto"/>
                      <w:sz w:val="21"/>
                      <w:szCs w:val="21"/>
                      <w:highlight w:val="none"/>
                    </w:rPr>
                    <w:t>》洨河水质</w:t>
                  </w:r>
                  <w:r>
                    <w:rPr>
                      <w:rFonts w:ascii="Times New Roman" w:cs="Times New Roman" w:hAnsi="Times New Roman" w:hint="eastAsia"/>
                      <w:color w:val="auto"/>
                      <w:sz w:val="21"/>
                      <w:szCs w:val="21"/>
                      <w:lang w:val="en-US" w:eastAsia="zh-CN"/>
                      <w:highlight w:val="none"/>
                    </w:rPr>
                    <w:t>为</w:t>
                  </w:r>
                  <w:r>
                    <w:rPr>
                      <w:rFonts w:ascii="Times New Roman" w:cs="Times New Roman" w:hAnsi="Times New Roman" w:hint="eastAsia"/>
                      <w:color w:val="auto"/>
                      <w:sz w:val="21"/>
                      <w:szCs w:val="21"/>
                      <w:highlight w:val="none"/>
                    </w:rPr>
                    <w:t>轻度污染。</w:t>
                  </w:r>
                  <w:r>
                    <w:rPr>
                      <w:rFonts w:ascii="Times New Roman" w:cs="Times New Roman" w:hAnsi="Times New Roman" w:hint="eastAsia"/>
                      <w:color w:val="auto"/>
                      <w:sz w:val="21"/>
                      <w:szCs w:val="21"/>
                      <w:lang w:eastAsia="zh-CN"/>
                      <w:highlight w:val="none"/>
                    </w:rPr>
                    <w:t>项目废水主要为职工生活污水，生活污水经集成式生物化粪池处理后经园区污水管网排入绿源污水处理有限公司进一步处理</w:t>
                  </w:r>
                  <w:r>
                    <w:rPr>
                      <w:rFonts w:ascii="Times New Roman" w:cs="Times New Roman" w:hAnsi="Times New Roman" w:hint="eastAsia"/>
                      <w:color w:val="auto"/>
                      <w:sz w:val="21"/>
                      <w:szCs w:val="21"/>
                      <w:highlight w:val="none"/>
                    </w:rPr>
                    <w:t>。</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③声环境：项目所在区域为</w:t>
                  </w:r>
                  <w:r>
                    <w:rPr>
                      <w:rFonts w:ascii="Times New Roman" w:cs="Times New Roman" w:hAnsi="Times New Roman" w:hint="eastAsia"/>
                      <w:color w:val="auto"/>
                      <w:sz w:val="21"/>
                      <w:szCs w:val="21"/>
                      <w:lang w:val="en-US" w:eastAsia="zh-CN"/>
                      <w:highlight w:val="none"/>
                    </w:rPr>
                    <w:t>3类</w:t>
                  </w:r>
                  <w:r>
                    <w:rPr>
                      <w:rFonts w:ascii="Times New Roman" w:cs="Times New Roman" w:hAnsi="Times New Roman" w:hint="eastAsia"/>
                      <w:color w:val="auto"/>
                      <w:sz w:val="21"/>
                      <w:szCs w:val="21"/>
                      <w:highlight w:val="none"/>
                    </w:rPr>
                    <w:t>声环境功能区。声环境质量现状执行《声环境质量标准》（GB3096-2008）中相关标准要求。根据预测，项目噪声采取措施后，达标排放。</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④土壤环境：项目物料全部在生产车间内暂存，车间采取分区防渗措施，不存在地表漫流和垂直入渗的污染途径。项目固废均得到合理处置，不会突破土壤环境质量底线。</w:t>
                  </w:r>
                </w:p>
              </w:tc>
              <w:tc>
                <w:tcPr>
                  <w:tcW w:w="369"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符合</w:t>
                  </w:r>
                </w:p>
              </w:tc>
            </w:tr>
            <w:tr>
              <w:tc>
                <w:tcPr>
                  <w:tcW w:w="269"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资源利用上线</w:t>
                  </w:r>
                </w:p>
              </w:tc>
              <w:tc>
                <w:tcPr>
                  <w:tcW w:w="2551"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资源利用上线是各地区能源、水、土地等资源消耗不得突破的“天花板”。相关规划环评应依据有关资源利用上线</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对规划实施及规划内项目的资源开发利用</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区分不同行业</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从能源资源开发等量或减量替代、开采方式和规模控制、利用效率和保护措施等方面提出建议</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为规划编制和审批决策提供重要依据。</w:t>
                  </w:r>
                </w:p>
              </w:tc>
              <w:tc>
                <w:tcPr>
                  <w:tcW w:w="1810"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项目用水、用电均由</w:t>
                  </w:r>
                  <w:r>
                    <w:rPr>
                      <w:rFonts w:ascii="Times New Roman" w:cs="Times New Roman" w:hAnsi="Times New Roman" w:hint="eastAsia"/>
                      <w:caps w:val="0"/>
                      <w:smallCaps w:val="0"/>
                      <w:color w:val="auto"/>
                      <w:spacing w:val="0"/>
                      <w:sz w:val="21"/>
                      <w:szCs w:val="20"/>
                      <w:lang w:val="en-US" w:eastAsia="zh-CN"/>
                      <w:highlight w:val="none"/>
                    </w:rPr>
                    <w:t>当地</w:t>
                  </w:r>
                  <w:r>
                    <w:rPr>
                      <w:rFonts w:ascii="Times New Roman" w:cs="Times New Roman" w:hAnsi="Times New Roman"/>
                      <w:caps w:val="0"/>
                      <w:smallCaps w:val="0"/>
                      <w:color w:val="auto"/>
                      <w:spacing w:val="0"/>
                      <w:sz w:val="21"/>
                      <w:szCs w:val="20"/>
                      <w:highlight w:val="none"/>
                    </w:rPr>
                    <w:t>供水管网及电网提供</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不新增占地</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项目建设不会突破资源上限。</w:t>
                  </w:r>
                </w:p>
              </w:tc>
              <w:tc>
                <w:tcPr>
                  <w:tcW w:w="369"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符合</w:t>
                  </w:r>
                </w:p>
              </w:tc>
            </w:tr>
            <w:tr>
              <w:tc>
                <w:tcPr>
                  <w:tcW w:w="269" w:type="pct"/>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环境准入负面清单</w:t>
                  </w:r>
                </w:p>
              </w:tc>
              <w:tc>
                <w:tcPr>
                  <w:tcW w:w="2551"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环境准入负面清单是基于生态保护红线、环境质量底线和资源利用上线</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以清单方式列出的禁止、限制等差别化环境准入条件和要求。要在规划环评清单式管理试点的基础上</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从布局选址、资源利用效率、资源配置方式等方面入手</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制定环境准入负面清单</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充分发挥负面清单对产业发展和项目准入的指导和约束作用。</w:t>
                  </w:r>
                </w:p>
              </w:tc>
              <w:tc>
                <w:tcPr>
                  <w:tcW w:w="1810"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项目符合国家及地方相关产业政策要求</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不属于高污染项目</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未被列入国家环境准入负面清单</w:t>
                  </w:r>
                  <w:r>
                    <w:rPr>
                      <w:rFonts w:ascii="Times New Roman" w:cs="Times New Roman" w:hAnsi="Times New Roman"/>
                      <w:caps w:val="0"/>
                      <w:smallCaps w:val="0"/>
                      <w:color w:val="auto"/>
                      <w:spacing w:val="0"/>
                      <w:sz w:val="21"/>
                      <w:szCs w:val="20"/>
                      <w:lang w:eastAsia="zh-CN"/>
                      <w:highlight w:val="none"/>
                    </w:rPr>
                    <w:t>，</w:t>
                  </w:r>
                  <w:r>
                    <w:rPr>
                      <w:rFonts w:ascii="Times New Roman" w:cs="Times New Roman" w:hAnsi="Times New Roman"/>
                      <w:caps w:val="0"/>
                      <w:smallCaps w:val="0"/>
                      <w:color w:val="auto"/>
                      <w:spacing w:val="0"/>
                      <w:sz w:val="21"/>
                      <w:szCs w:val="20"/>
                      <w:highlight w:val="none"/>
                    </w:rPr>
                    <w:t>不在有关环境政策规定的准入负面清单内。</w:t>
                  </w:r>
                </w:p>
              </w:tc>
              <w:tc>
                <w:tcPr>
                  <w:tcW w:w="369" w:type="pct"/>
                  <w:tcBorders>
                    <w:left w:val="single" w:sz="4" w:space="0" w:color="auto"/>
                  </w:tcBorders>
                  <w:tcMar>
                    <w:left w:w="28" w:type="dxa"/>
                    <w:right w:w="28" w:type="dxa"/>
                  </w:tcMar>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符合</w:t>
                  </w:r>
                </w:p>
              </w:tc>
            </w:tr>
          </w:tbl>
          <w:p>
            <w:pPr>
              <w:keepNext w:val="0"/>
              <w:keepLines w:val="0"/>
              <w:suppressLineNumbers w:val="0"/>
              <w:adjustRightInd w:val="0"/>
              <w:snapToGrid w:val="0"/>
              <w:spacing w:before="0" w:beforeAutospacing="0" w:after="0" w:afterAutospacing="0" w:line="500" w:lineRule="exact"/>
              <w:ind w:left="0" w:right="0" w:firstLineChars="200" w:firstLine="480"/>
              <w:rPr>
                <w:rFonts w:hint="eastAsia"/>
                <w:b/>
                <w:bCs/>
                <w:color w:val="auto"/>
                <w:sz w:val="24"/>
                <w:szCs w:val="20"/>
                <w:highlight w:val="none"/>
              </w:rPr>
            </w:pPr>
            <w:r>
              <w:rPr>
                <w:rFonts w:ascii="Times New Roman" w:cs="Times New Roman" w:hAnsi="Times New Roman" w:hint="eastAsia"/>
                <w:b/>
                <w:bCs/>
                <w:color w:val="auto"/>
                <w:sz w:val="24"/>
                <w:szCs w:val="20"/>
                <w:highlight w:val="none"/>
              </w:rPr>
              <w:t>5、项目与《石家庄市生态环境准入清单（2023年版）》符合性分析</w:t>
            </w:r>
          </w:p>
          <w:p>
            <w:pPr>
              <w:keepNext w:val="0"/>
              <w:keepLines w:val="0"/>
              <w:suppressLineNumbers w:val="0"/>
              <w:adjustRightInd w:val="0"/>
              <w:snapToGrid w:val="0"/>
              <w:spacing w:before="0" w:beforeAutospacing="0" w:after="0" w:afterAutospacing="0" w:line="500" w:lineRule="exact"/>
              <w:ind w:left="0" w:right="0" w:firstLineChars="200" w:firstLine="480"/>
              <w:rPr>
                <w:rFonts w:hint="eastAsia"/>
                <w:color w:val="auto"/>
                <w:sz w:val="24"/>
                <w:szCs w:val="20"/>
                <w:highlight w:val="none"/>
              </w:rPr>
            </w:pPr>
            <w:r>
              <w:rPr>
                <w:rFonts w:ascii="Times New Roman" w:cs="Times New Roman" w:hAnsi="Times New Roman" w:hint="eastAsia"/>
                <w:color w:val="auto"/>
                <w:sz w:val="24"/>
                <w:szCs w:val="20"/>
                <w:highlight w:val="none"/>
              </w:rPr>
              <w:t>项目位于河北省石家庄市栾城区</w:t>
            </w:r>
            <w:r>
              <w:rPr>
                <w:rFonts w:ascii="Times New Roman" w:cs="Times New Roman" w:hAnsi="Times New Roman" w:hint="eastAsia"/>
                <w:color w:val="auto"/>
                <w:sz w:val="24"/>
                <w:szCs w:val="20"/>
                <w:lang w:eastAsia="zh-CN"/>
                <w:highlight w:val="none"/>
              </w:rPr>
              <w:t>窦妪村装备制造产业园区奥翔街6-1号（院内3号房）</w:t>
            </w:r>
            <w:r>
              <w:rPr>
                <w:rFonts w:ascii="Times New Roman" w:cs="Times New Roman" w:hAnsi="Times New Roman" w:hint="eastAsia"/>
                <w:color w:val="auto"/>
                <w:sz w:val="24"/>
                <w:szCs w:val="20"/>
                <w:highlight w:val="none"/>
              </w:rPr>
              <w:t>，根据</w:t>
            </w:r>
            <w:r>
              <w:rPr>
                <w:rFonts w:ascii="Times New Roman" w:cs="Times New Roman" w:hAnsi="Times New Roman" w:hint="eastAsia"/>
                <w:color w:val="auto"/>
                <w:sz w:val="24"/>
                <w:szCs w:val="20"/>
                <w:lang w:val="en-US" w:eastAsia="zh-CN"/>
                <w:highlight w:val="none"/>
              </w:rPr>
              <w:t>2024年4月28日更新的</w:t>
            </w:r>
            <w:r>
              <w:rPr>
                <w:rFonts w:ascii="Times New Roman" w:cs="Times New Roman" w:hAnsi="Times New Roman" w:hint="eastAsia"/>
                <w:color w:val="auto"/>
                <w:sz w:val="24"/>
                <w:szCs w:val="20"/>
                <w:highlight w:val="none"/>
              </w:rPr>
              <w:t>《石家庄市生态环境准入清单（2023年版）》及河北省环评预约挂号服务平台-</w:t>
            </w:r>
            <w:r>
              <w:rPr>
                <w:rFonts w:ascii="Times New Roman" w:cs="Times New Roman" w:hAnsi="Times New Roman"/>
                <w:color w:val="auto"/>
                <w:sz w:val="24"/>
                <w:szCs w:val="20"/>
                <w:highlight w:val="none"/>
              </w:rPr>
              <w:t>三线一单</w:t>
            </w:r>
            <w:r>
              <w:rPr>
                <w:rFonts w:ascii="Times New Roman" w:cs="Times New Roman" w:hAnsi="Times New Roman" w:hint="eastAsia"/>
                <w:color w:val="auto"/>
                <w:sz w:val="24"/>
                <w:szCs w:val="20"/>
                <w:highlight w:val="none"/>
              </w:rPr>
              <w:t>查询，石家庄市、栾城区重点管控单元生态环境准入清单如下：</w:t>
            </w:r>
          </w:p>
          <w:p>
            <w:pPr>
              <w:keepNext w:val="0"/>
              <w:keepLines w:val="0"/>
              <w:suppressLineNumbers w:val="0"/>
              <w:spacing w:before="0" w:beforeAutospacing="0" w:after="0" w:afterAutospacing="0"/>
              <w:ind w:left="0" w:right="0" w:firstLineChars="200" w:firstLine="480"/>
              <w:jc w:val="center"/>
              <w:rPr>
                <w:rFonts w:hint="eastAsia"/>
                <w:b/>
                <w:bCs/>
                <w:color w:val="auto"/>
                <w:sz w:val="24"/>
                <w:szCs w:val="20"/>
                <w:highlight w:val="none"/>
              </w:rPr>
            </w:pPr>
            <w:r>
              <w:rPr>
                <w:rFonts w:ascii="Times New Roman" w:cs="Times New Roman" w:hAnsi="Times New Roman" w:hint="eastAsia"/>
                <w:b/>
                <w:bCs/>
                <w:color w:val="auto"/>
                <w:sz w:val="24"/>
                <w:szCs w:val="20"/>
                <w:highlight w:val="none"/>
              </w:rPr>
              <w:t>表1-</w:t>
            </w:r>
            <w:r>
              <w:rPr>
                <w:rFonts w:ascii="Times New Roman" w:cs="Times New Roman" w:hAnsi="Times New Roman" w:hint="eastAsia"/>
                <w:b/>
                <w:bCs/>
                <w:color w:val="auto"/>
                <w:sz w:val="24"/>
                <w:szCs w:val="20"/>
                <w:lang w:val="en-US" w:eastAsia="zh-CN"/>
                <w:highlight w:val="none"/>
              </w:rPr>
              <w:t>4</w:t>
            </w:r>
            <w:r>
              <w:rPr>
                <w:rFonts w:ascii="Times New Roman" w:cs="Times New Roman" w:hAnsi="Times New Roman" w:hint="eastAsia"/>
                <w:b/>
                <w:bCs/>
                <w:color w:val="auto"/>
                <w:sz w:val="24"/>
                <w:szCs w:val="20"/>
                <w:highlight w:val="none"/>
              </w:rPr>
              <w:t xml:space="preserve">  石家庄市生态环境准入清单（2023年版）（节选）</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26"/>
              <w:gridCol w:w="287"/>
              <w:gridCol w:w="160"/>
              <w:gridCol w:w="712"/>
              <w:gridCol w:w="2862"/>
              <w:gridCol w:w="2205"/>
              <w:gridCol w:w="989"/>
            </w:tblGrid>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全市生态环境准入综合管控要求</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重点区域</w:t>
                  </w:r>
                </w:p>
              </w:tc>
              <w:tc>
                <w:tcPr>
                  <w:tcW w:w="2339"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管控策略</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90"/>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全市域</w:t>
                  </w:r>
                </w:p>
              </w:tc>
              <w:tc>
                <w:tcPr>
                  <w:tcW w:w="2339"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1、优化产业结构。落实国家、省、市产业政策，严格“两高”项目环评审批，落实区域削减要求，推进减污降碳协同控制。</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2、强化产业入园。优化园区布局，提升园区规划、环评实效性，提升园区资源利用效率和绿色低碳水平，加强新建项目入园，严格现有分散企业污染管控。</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1</w:t>
                  </w:r>
                  <w:r>
                    <w:rPr>
                      <w:rFonts w:ascii="Times New Roman" w:cs="Times New Roman" w:hAnsi="Times New Roman" w:hint="eastAsia"/>
                      <w:color w:val="auto"/>
                      <w:sz w:val="21"/>
                      <w:szCs w:val="21"/>
                      <w:highlight w:val="none"/>
                    </w:rPr>
                    <w:t>、项目不属于</w:t>
                  </w:r>
                  <w:r>
                    <w:rPr>
                      <w:rFonts w:ascii="Times New Roman" w:cs="Times New Roman" w:hAnsi="Times New Roman"/>
                      <w:color w:val="auto"/>
                      <w:sz w:val="21"/>
                      <w:szCs w:val="21"/>
                      <w:highlight w:val="none"/>
                    </w:rPr>
                    <w:t>“</w:t>
                  </w:r>
                  <w:r>
                    <w:rPr>
                      <w:rFonts w:ascii="Times New Roman" w:cs="Times New Roman" w:hAnsi="Times New Roman" w:hint="eastAsia"/>
                      <w:color w:val="auto"/>
                      <w:sz w:val="21"/>
                      <w:szCs w:val="21"/>
                      <w:highlight w:val="none"/>
                    </w:rPr>
                    <w:t>两高</w:t>
                  </w:r>
                  <w:r>
                    <w:rPr>
                      <w:rFonts w:ascii="Times New Roman" w:cs="Times New Roman" w:hAnsi="Times New Roman"/>
                      <w:color w:val="auto"/>
                      <w:sz w:val="21"/>
                      <w:szCs w:val="21"/>
                      <w:highlight w:val="none"/>
                    </w:rPr>
                    <w:t>”</w:t>
                  </w:r>
                  <w:r>
                    <w:rPr>
                      <w:rFonts w:ascii="Times New Roman" w:cs="Times New Roman" w:hAnsi="Times New Roman" w:hint="eastAsia"/>
                      <w:color w:val="auto"/>
                      <w:sz w:val="21"/>
                      <w:szCs w:val="21"/>
                      <w:highlight w:val="none"/>
                    </w:rPr>
                    <w:t>项目，属于《产业结构调整指导目录（</w:t>
                  </w:r>
                  <w:r>
                    <w:rPr>
                      <w:rFonts w:ascii="Times New Roman" w:cs="Times New Roman" w:hAnsi="Times New Roman"/>
                      <w:color w:val="auto"/>
                      <w:sz w:val="21"/>
                      <w:szCs w:val="21"/>
                      <w:highlight w:val="none"/>
                    </w:rPr>
                    <w:t>2024</w:t>
                  </w:r>
                  <w:r>
                    <w:rPr>
                      <w:rFonts w:ascii="Times New Roman" w:cs="Times New Roman" w:hAnsi="Times New Roman" w:hint="eastAsia"/>
                      <w:color w:val="auto"/>
                      <w:sz w:val="21"/>
                      <w:szCs w:val="21"/>
                      <w:highlight w:val="none"/>
                    </w:rPr>
                    <w:t>年本）》中的允许类项目，项目已在</w:t>
                  </w:r>
                  <w:r>
                    <w:rPr>
                      <w:rFonts w:ascii="Times New Roman" w:cs="Times New Roman" w:hAnsi="Times New Roman" w:hint="eastAsia"/>
                      <w:color w:val="auto"/>
                      <w:sz w:val="21"/>
                      <w:szCs w:val="21"/>
                      <w:lang w:eastAsia="zh-CN"/>
                      <w:highlight w:val="none"/>
                    </w:rPr>
                    <w:t>河北石家庄装备制造产业园管理委员会</w:t>
                  </w:r>
                  <w:r>
                    <w:rPr>
                      <w:rFonts w:ascii="Times New Roman" w:cs="Times New Roman" w:hAnsi="Times New Roman" w:hint="eastAsia"/>
                      <w:color w:val="auto"/>
                      <w:sz w:val="21"/>
                      <w:szCs w:val="21"/>
                      <w:highlight w:val="none"/>
                    </w:rPr>
                    <w:t>备案，符合国家、地方产业政策；</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2</w:t>
                  </w:r>
                  <w:r>
                    <w:rPr>
                      <w:rFonts w:ascii="Times New Roman" w:cs="Times New Roman" w:hAnsi="Times New Roman" w:hint="eastAsia"/>
                      <w:color w:val="auto"/>
                      <w:sz w:val="21"/>
                      <w:szCs w:val="21"/>
                      <w:highlight w:val="none"/>
                    </w:rPr>
                    <w:t>、项目位于河北省石家庄市栾城区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w:t>
                  </w:r>
                  <w:r>
                    <w:rPr>
                      <w:rFonts w:ascii="Times New Roman" w:cs="Times New Roman" w:hAnsi="Times New Roman" w:hint="eastAsia"/>
                      <w:color w:val="auto"/>
                      <w:sz w:val="21"/>
                      <w:szCs w:val="21"/>
                      <w:lang w:eastAsia="zh-CN"/>
                      <w:highlight w:val="none"/>
                    </w:rPr>
                    <w:t>租赁现有厂房进行汽车塑料配件生产</w:t>
                  </w:r>
                  <w:r>
                    <w:rPr>
                      <w:rFonts w:ascii="Times New Roman" w:cs="Times New Roman" w:hAnsi="Times New Roman" w:hint="eastAsia"/>
                      <w:color w:val="auto"/>
                      <w:sz w:val="21"/>
                      <w:szCs w:val="21"/>
                      <w:highlight w:val="none"/>
                    </w:rPr>
                    <w:t>，</w:t>
                  </w:r>
                  <w:r>
                    <w:rPr>
                      <w:rFonts w:ascii="Times New Roman" w:cs="Times New Roman" w:hAnsi="Times New Roman" w:hint="eastAsia"/>
                      <w:color w:val="auto"/>
                      <w:sz w:val="21"/>
                      <w:szCs w:val="21"/>
                      <w:lang w:val="en-US" w:eastAsia="zh-CN"/>
                      <w:highlight w:val="none"/>
                    </w:rPr>
                    <w:t>位于石家庄栾城区装备制造产业园内</w:t>
                  </w:r>
                  <w:r>
                    <w:rPr>
                      <w:rFonts w:ascii="Times New Roman" w:cs="Times New Roman" w:hAnsi="Times New Roman" w:hint="eastAsia"/>
                      <w:color w:val="auto"/>
                      <w:sz w:val="21"/>
                      <w:szCs w:val="21"/>
                      <w:highlight w:val="none"/>
                    </w:rPr>
                    <w:t>。</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地下水重点管控区</w:t>
                  </w:r>
                </w:p>
              </w:tc>
              <w:tc>
                <w:tcPr>
                  <w:tcW w:w="2339"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443" w:type="pct"/>
                  <w:tcBorders>
                    <w:left w:val="single" w:sz="4" w:space="0" w:color="auto"/>
                  </w:tcBorders>
                  <w:vAlign w:val="center"/>
                </w:tcPr>
                <w:p>
                  <w:pPr>
                    <w:keepNext w:val="0"/>
                    <w:keepLines w:val="0"/>
                    <w:widowControl/>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项目用水</w:t>
                  </w:r>
                  <w:r>
                    <w:rPr>
                      <w:rFonts w:ascii="Times New Roman" w:cs="Times New Roman" w:hAnsi="Times New Roman" w:hint="eastAsia"/>
                      <w:color w:val="auto"/>
                      <w:sz w:val="21"/>
                      <w:szCs w:val="21"/>
                      <w:lang w:eastAsia="zh-CN"/>
                      <w:highlight w:val="none"/>
                    </w:rPr>
                    <w:t>由园区供水管网提供</w:t>
                  </w:r>
                  <w:r>
                    <w:rPr>
                      <w:rFonts w:ascii="Times New Roman" w:cs="Times New Roman" w:hAnsi="Times New Roman" w:hint="eastAsia"/>
                      <w:color w:val="auto"/>
                      <w:sz w:val="21"/>
                      <w:szCs w:val="21"/>
                      <w:highlight w:val="none"/>
                    </w:rPr>
                    <w:t>，不开采地下水。</w:t>
                  </w:r>
                </w:p>
              </w:tc>
              <w:tc>
                <w:tcPr>
                  <w:tcW w:w="646" w:type="pct"/>
                  <w:tcBorders>
                    <w:left w:val="single" w:sz="4" w:space="0" w:color="auto"/>
                  </w:tcBorders>
                  <w:vAlign w:val="center"/>
                </w:tcPr>
                <w:p>
                  <w:pPr>
                    <w:keepNext w:val="0"/>
                    <w:keepLines w:val="0"/>
                    <w:widowControl/>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全市生态空间总体管控要求</w:t>
                  </w:r>
                </w:p>
              </w:tc>
            </w:tr>
            <w:tr>
              <w:trPr>
                <w:trHeight w:val="283"/>
              </w:trPr>
              <w:tc>
                <w:tcPr>
                  <w:tcW w:w="278" w:type="pct"/>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属性</w:t>
                  </w:r>
                </w:p>
              </w:tc>
              <w:tc>
                <w:tcPr>
                  <w:tcW w:w="759" w:type="pct"/>
                  <w:gridSpan w:val="3"/>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278" w:type="pct"/>
                  <w:vMerge w:val="restar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生态保护</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红线</w:t>
                  </w:r>
                </w:p>
              </w:tc>
              <w:tc>
                <w:tcPr>
                  <w:tcW w:w="292" w:type="pct"/>
                  <w:gridSpan w:val="2"/>
                  <w:vMerge w:val="restar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空间布局</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约束</w:t>
                  </w: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禁止开发</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建设活动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的要求</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1、生态保护红线原则上按禁止开发区域的要求进行管理。严禁不符合主体功能定位的各类开发活动，严禁任意改变用途。</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2、自然保护地核心保护区原则上禁止人为活动，其他区域严格禁止开发性、生产性建设</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活动，法律法规另有规定的，从其规定。生态保护红线内自然保护区、风景名胜区、饮用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水水源保护区等区域，依照相关法律法规执行。</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，不在生态保护红线范围内，不涉及生态红线内各类开发活动，不改变生态红线用途。</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2、项目不在生态保护红线范围内，不在自然保护地核心保护区范围内，不涉及保护区人为、开发性、生产性建设活动。</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278" w:type="pct"/>
                  <w:vMerge/>
                  <w:vAlign w:val="center"/>
                </w:tcPr>
                <w:p/>
              </w:tc>
              <w:tc>
                <w:tcPr>
                  <w:tcW w:w="292" w:type="pct"/>
                  <w:gridSpan w:val="2"/>
                  <w:vMerge/>
                  <w:tcBorders>
                    <w:left w:val="single" w:sz="4" w:space="0" w:color="auto"/>
                  </w:tcBorders>
                  <w:vAlign w:val="center"/>
                </w:tcP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有限人为</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活动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1、自然保护地核心区外，在符合法律法规的情况下，除国家重大战略外，仅允许以下对</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生态功能不造成破坏的有限人为活动。①管护巡护、保护执法、科学研究、调查监测、测绘导航、防灾减灾救灾、军事国防、疫情防控等活动及相关的必要设施修筑。②原住居民和其他合法权益主体，允许在不扩大现有建设用地、用海用岛、耕地、水产养殖规模和放牧强度(符合草畜平衡管理规定)的前提下，开展种植、放牧、捕捞、养殖（不包括投礁型海洋牧场、围海养殖）等活动，修筑生产生活设施。③经依法批准的考古调查发掘、古生物化石调查发掘、标本采集和文物保护活动。④按规定对人工商品林进行抚育采伐，或以提升森林质量、优化栖息地、建设生物防火隔离带等为目的的树种更新，依法开展的竹林采伐经营。⑤不破坏生态功能的适度参观旅游、科普宣教及符合相关规划的配套性服务设施和相关的必要公共设施建设及维护。⑥必须且无法避让、符合县级以上国土空间规划的线性基础设施、通讯和防洪、供水设施建设和船舶航行、航道疏浚清淤等活动；已有的合法水利、交通运输等设施运行维护改造。⑦地质调查与矿产资源勘查开采。包括：基础地质调查和战略性矿产资源远景调查等公益性工作；铀矿勘查开采活动，可办理矿业权登记；已依法设立的油气探矿权继续勘查活动，可办理探矿权延续、变更(不含扩大勘查区块范围)、保留、注销，当发现可供开采油气资源并探明储量时，可将开采拟占用的地表或海域范围依照国家相关规定调出生态保护红线；已依法设立的油气采矿权不扩大用地用海范围，继续开采，可办理采矿权延续、变更（不含扩大矿区范围）、注销；已依法设立的矿泉水和地热采矿权，在不超出已经核定的生产规模、不新增生产设施的前提下继续开采，可办理采矿权延续、变更（不含扩大矿区范围）、注销；已依法设立和新立铬、铜、镍、锂、钴、锆、钾盐、(中)重稀土矿等战略性矿产探矿权开展勘查活动，可办理探矿权登记，因国家战略需要开展开采活动的，可办理采矿权登记。上述勘查开采活动，应落实减缓生态环境影响措施，严格执行绿色勘查、开采及矿山环境生态修复相关要求。⑧依据县级以上国土空间规划和生态保护修复专项规划开展的生态修复。⑨根据我国相关法律法规和与邻国签署的国界管理制度协定(条约)开展的边界边境通视道清理以及界务工程的修建、维护和拆除工作。⑩法律法规规定允许的其他人为活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对审批中发现涉及生态保护红线和相关法定保护区的输气管线、铁路等线性项目，指导督促项目优化调整选线、主动避让；确实无法避让的，要求建设单位采取无害化穿（跨）越方式，或依法依规向有关行政主管部门履行穿越法定保护区的行政许可手续、强化减缓和补偿措施。</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3、涉及饮用水水源地保护区的区域，还应严格执行《水污染防治法》《集中式饮用水水</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源地规范化建设环境保护技术要求(HJ773-2015)》相关要求。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1.</w:t>
                  </w:r>
                  <w:r>
                    <w:rPr>
                      <w:rFonts w:ascii="Times New Roman" w:cs="Times New Roman" w:hAnsi="Times New Roman" w:hint="eastAsia"/>
                      <w:color w:val="auto"/>
                      <w:sz w:val="21"/>
                      <w:szCs w:val="21"/>
                      <w:highlight w:val="none"/>
                    </w:rPr>
                    <w:t>项目不在自然保护地核心保护区范围内，不涉及保护区有限人为活动。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2、项目不在生态保护红线范围内，不属于输气管线、铁路等线性项目。</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3、项目不在饮用水水源地保护区范围内。</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278" w:type="pct"/>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一般生态空间</w:t>
                  </w:r>
                </w:p>
              </w:tc>
              <w:tc>
                <w:tcPr>
                  <w:tcW w:w="292"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总体要求</w:t>
                  </w: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空间布局约束</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①严格矿产资源开发与管控，矿产开发管控依照《河北省加强矿产资源开发管控十条措</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施》、《河北省人民代表大会常务委员会关于加强矿产开发管控保护生态环境的决定》等相关文件要求执行。</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②涉及饮用水水源地保护区的，水环境总体管控要求中饮用水水源地保护区相关要求进行管控。</w:t>
                  </w:r>
                </w:p>
              </w:tc>
              <w:tc>
                <w:tcPr>
                  <w:tcW w:w="1443" w:type="pct"/>
                  <w:tcBorders>
                    <w:left w:val="single" w:sz="4" w:space="0" w:color="auto"/>
                  </w:tcBorders>
                  <w:vAlign w:val="center"/>
                </w:tcPr>
                <w:p>
                  <w:pPr>
                    <w:keepNext w:val="0"/>
                    <w:keepLines w:val="0"/>
                    <w:numPr>
                      <w:ilvl w:val="0"/>
                      <w:numId w:val="1"/>
                    </w:numPr>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项目不涉及矿产资源开发。</w:t>
                  </w:r>
                </w:p>
                <w:p>
                  <w:pPr>
                    <w:keepNext w:val="0"/>
                    <w:keepLines w:val="0"/>
                    <w:numPr>
                      <w:ilvl w:val="0"/>
                      <w:numId w:val="1"/>
                    </w:numPr>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项目不在饮用水水源地保护区范围内。</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全市水环境总体管控要求</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分类</w:t>
                  </w: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管控类型</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571" w:type="pct"/>
                  <w:gridSpan w:val="3"/>
                  <w:vMerge w:val="restar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水环境其他重点管控区</w:t>
                  </w: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空间布局约束</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1、针对断流河道优先保障水生态流量和生态安全。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2、调整和优化产业结构，严格按照区域环境承载能力，合理规划居住区与工业功能区。</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项目厂界距离</w:t>
                  </w:r>
                  <w:r>
                    <w:rPr>
                      <w:rFonts w:ascii="Times New Roman" w:cs="Times New Roman" w:hAnsi="Times New Roman" w:hint="eastAsia"/>
                      <w:color w:val="auto"/>
                      <w:sz w:val="21"/>
                      <w:szCs w:val="21"/>
                      <w:lang w:eastAsia="zh-CN"/>
                      <w:highlight w:val="none"/>
                    </w:rPr>
                    <w:t>西南侧约345m的洨河</w:t>
                  </w:r>
                  <w:r>
                    <w:rPr>
                      <w:rFonts w:ascii="Times New Roman" w:cs="Times New Roman" w:hAnsi="Times New Roman" w:hint="eastAsia"/>
                      <w:color w:val="auto"/>
                      <w:sz w:val="21"/>
                      <w:szCs w:val="21"/>
                      <w:highlight w:val="none"/>
                    </w:rPr>
                    <w:t>，用地属于</w:t>
                  </w:r>
                  <w:r>
                    <w:rPr>
                      <w:rFonts w:ascii="Times New Roman" w:cs="Times New Roman" w:hAnsi="Times New Roman" w:hint="eastAsia"/>
                      <w:color w:val="auto"/>
                      <w:sz w:val="21"/>
                      <w:szCs w:val="21"/>
                      <w:lang w:val="en-US" w:eastAsia="zh-CN"/>
                      <w:highlight w:val="none"/>
                    </w:rPr>
                    <w:t>工业</w:t>
                  </w:r>
                  <w:r>
                    <w:rPr>
                      <w:rFonts w:ascii="Times New Roman" w:cs="Times New Roman" w:hAnsi="Times New Roman" w:hint="eastAsia"/>
                      <w:color w:val="auto"/>
                      <w:sz w:val="21"/>
                      <w:szCs w:val="21"/>
                      <w:highlight w:val="none"/>
                    </w:rPr>
                    <w:t>用地未在居民区，满足居住区与工业功能区分离要求。</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71" w:type="pct"/>
                  <w:gridSpan w:val="3"/>
                  <w:vMerge/>
                  <w:vAlign w:val="center"/>
                </w:tcPr>
                <w:p/>
              </w:tc>
              <w:tc>
                <w:tcPr>
                  <w:tcW w:w="46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污染物排放管控</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1、执行《子牙河流域水污染物排放标准》（DB13/2796-2018）或《大清河流域水污染物排放标准》</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(DB13/2795-2018)水污染物排放标准，实施区域污染物总量控制，减少新建高污染项目，整改治理污染项目。</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2、加强农业农村和工业企业污染防治，有效控制入河污染物排放。</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highlight w:val="none"/>
                    </w:rPr>
                    <w:t>项目废水主要为职工生活污水，生活污水经集成式生物化粪池处理后经园区污水管网排入绿源污水处理有限公司进一步处理</w:t>
                  </w:r>
                  <w:r>
                    <w:rPr>
                      <w:rFonts w:ascii="Times New Roman" w:cs="Times New Roman" w:hAnsi="Times New Roman" w:hint="eastAsia"/>
                      <w:color w:val="auto"/>
                      <w:sz w:val="21"/>
                      <w:szCs w:val="21"/>
                      <w:lang w:eastAsia="zh-CN"/>
                      <w:highlight w:val="none"/>
                    </w:rPr>
                    <w:t>，</w:t>
                  </w:r>
                  <w:r>
                    <w:rPr>
                      <w:rFonts w:ascii="Times New Roman" w:cs="Times New Roman" w:hAnsi="Times New Roman" w:hint="eastAsia"/>
                      <w:color w:val="auto"/>
                      <w:sz w:val="21"/>
                      <w:szCs w:val="21"/>
                      <w:lang w:val="en-US" w:eastAsia="zh-CN"/>
                      <w:highlight w:val="none"/>
                    </w:rPr>
                    <w:t>项目不涉及新增劳动定员，不新增生活废水排放</w:t>
                  </w:r>
                  <w:r>
                    <w:rPr>
                      <w:rFonts w:ascii="Times New Roman" w:cs="Times New Roman" w:hAnsi="Times New Roman" w:hint="eastAsia"/>
                      <w:color w:val="auto"/>
                      <w:sz w:val="21"/>
                      <w:szCs w:val="21"/>
                      <w:highlight w:val="none"/>
                    </w:rPr>
                    <w:t>，不涉及</w:t>
                  </w:r>
                  <w:r>
                    <w:rPr>
                      <w:rFonts w:ascii="Times New Roman" w:cs="Times New Roman" w:hAnsi="Times New Roman" w:hint="eastAsia"/>
                      <w:color w:val="auto"/>
                      <w:sz w:val="21"/>
                      <w:szCs w:val="21"/>
                      <w:lang w:val="en-US" w:eastAsia="zh-CN"/>
                      <w:highlight w:val="none"/>
                    </w:rPr>
                    <w:t>新增</w:t>
                  </w:r>
                  <w:r>
                    <w:rPr>
                      <w:rFonts w:ascii="Times New Roman" w:cs="Times New Roman" w:hAnsi="Times New Roman" w:hint="eastAsia"/>
                      <w:color w:val="auto"/>
                      <w:sz w:val="21"/>
                      <w:szCs w:val="21"/>
                      <w:highlight w:val="none"/>
                    </w:rPr>
                    <w:t>水污染物总量，不属于高污染项目</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大气环境总体准入要求</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管控类型</w:t>
                  </w:r>
                </w:p>
              </w:tc>
              <w:tc>
                <w:tcPr>
                  <w:tcW w:w="2339"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准入要求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571" w:type="pct"/>
                  <w:gridSpan w:val="3"/>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空间布局约束</w:t>
                  </w:r>
                </w:p>
              </w:tc>
              <w:tc>
                <w:tcPr>
                  <w:tcW w:w="2339" w:type="pct"/>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1、加大钢铁、焦化等行业结构调整力度，推进化工、石化企业治理改造，优先发展</w:t>
                  </w:r>
                  <w:r>
                    <w:rPr>
                      <w:rFonts w:ascii="Times New Roman" w:cs="Times New Roman" w:hAnsi="Times New Roman"/>
                      <w:color w:val="auto"/>
                      <w:sz w:val="21"/>
                      <w:szCs w:val="21"/>
                      <w:highlight w:val="none"/>
                    </w:rPr>
                    <w:t>战略性新兴产业</w:t>
                  </w:r>
                  <w:r>
                    <w:rPr>
                      <w:rFonts w:ascii="Times New Roman" w:cs="Times New Roman" w:hAnsi="Times New Roman" w:hint="eastAsia"/>
                      <w:color w:val="auto"/>
                      <w:sz w:val="21"/>
                      <w:szCs w:val="21"/>
                      <w:highlight w:val="none"/>
                    </w:rPr>
                    <w:t>和先进制造业，坚决遏制高耗能高排放低水平项目盲目发展。</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2、引导重点行业向环境容量充足、扩散条件较好区域布局。</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3、大气环境受体敏感重点管控区、大气环境布局敏感重点管控区、大气环境弱扩散重点管控区严格控制高耗能、高排放项目建设。严禁新增钢铁、焦化、水泥、平板玻璃、电解铝等产能。</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4、大气环境受体敏感重点管控区中重点涉气行业企业，除必须依托城市或直接服务于城市的企业外，均应规划退城搬迁。</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5、大气环境弱扩散重点管控区内严格控制新建、扩建燃煤火电、钢铁，以及除国家、省、市规划外的石化等高污染高排放项目。</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6、对热效率低下、敞开未封闭，装备简易落后、自动化程度低，布局分散、规模小、无组织排放突出，以及无治理设施或治理设施工艺落后的工业炉窑，依法责令停业关闭。</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44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1.项目不属于钢铁、焦化等行业，不属于高耗能高排放低水平项目；</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2.项目不属于重点行业。</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3.项目不属于高耗能、高排放项目，不属于钢铁、焦化、水泥、平板玻璃、电解铝等新增产能项目。</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，不在城区范围内。</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5.项目不属于新建、扩建燃煤火电、钢铁，以及除国家、省、市规划外的石化等高污染高排放项目。</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6.项目不涉及工业炉窑。</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7.项目不涉及锅炉使用。</w:t>
                  </w:r>
                </w:p>
                <w:p>
                  <w:pPr>
                    <w:keepNext w:val="0"/>
                    <w:keepLines w:val="0"/>
                    <w:suppressLineNumbers w:val="0"/>
                    <w:spacing w:before="0" w:beforeAutospacing="0" w:after="0" w:afterAutospacing="0"/>
                    <w:ind w:left="0" w:right="0"/>
                    <w:jc w:val="center"/>
                    <w:rPr>
                      <w:color w:val="auto"/>
                      <w:szCs w:val="20"/>
                      <w:highlight w:val="none"/>
                    </w:rPr>
                  </w:pPr>
                  <w:r>
                    <w:rPr>
                      <w:rFonts w:ascii="Times New Roman" w:cs="Times New Roman" w:hAnsi="Times New Roman" w:hint="eastAsia"/>
                      <w:color w:val="auto"/>
                      <w:sz w:val="21"/>
                      <w:szCs w:val="21"/>
                      <w:highlight w:val="none"/>
                    </w:rPr>
                    <w:t>8.项目不涉及煤炭、重油、渣油等高污染燃料的使用，项目生产均采用电能，不涉及二氧化硫、氮氧化物的排放。</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71" w:type="pct"/>
                  <w:gridSpan w:val="3"/>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污染物排放管控</w:t>
                  </w:r>
                </w:p>
              </w:tc>
              <w:tc>
                <w:tcPr>
                  <w:tcW w:w="2339" w:type="pct"/>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1、严格区域削减要求。严格执行《生态环境部办公厅关于加强重点行业建设项目区域削减措施监督管理的通知》（环办环评〔2020〕36号）相关要求。</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2、对保留的工业炉窑开展环保提标改造，配套建设高效脱硫脱硝除尘设施，确保稳定达标排放，按照《河北省工业炉窑综合治理实施方案》执行。</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4、加强无组织排放治理，开展钢铁、水泥、燃煤电厂、焦化平板玻璃、陶瓷等行业重点行业无组织排放检查工作，物料存储运输等全部采用密闭或封闭形式。</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5、加快推进铁路专用线建设，大宗货物及产品年货运量150万吨以上的企业原则上全部修建铁路专用线，达不到的采用清洁能源汽车或国六排放标准汽车代替。</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7、严禁秸秆、垃圾露天焚烧，实施农村地区的散煤替代及清洁开发利用工程。</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8、巩固钢铁、焦化、煤电、水泥、平板玻璃、陶瓷等行业超低排放成效，实施工艺全流程深度治理，全面加强无组织排放管控。</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9、对以煤、石油焦、重油等为燃料的工业炉窑，加快使用清洁低碳能源以及利用工厂余热、电厂热力等进行替代，全市禁止掺烧高硫石油焦（硫含量大于3%）。玻璃行业全面禁止掺烧高硫石油焦。</w:t>
                  </w:r>
                </w:p>
              </w:tc>
              <w:tc>
                <w:tcPr>
                  <w:tcW w:w="144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1.项目</w:t>
                  </w:r>
                  <w:r>
                    <w:rPr>
                      <w:rFonts w:ascii="Times New Roman" w:cs="Times New Roman" w:hAnsi="Times New Roman" w:hint="eastAsia"/>
                      <w:color w:val="auto"/>
                      <w:sz w:val="21"/>
                      <w:szCs w:val="21"/>
                      <w:lang w:val="en-US" w:eastAsia="zh-CN"/>
                      <w:highlight w:val="none"/>
                    </w:rPr>
                    <w:t>不属于重点行业</w:t>
                  </w:r>
                  <w:r>
                    <w:rPr>
                      <w:rFonts w:ascii="Times New Roman" w:cs="Times New Roman" w:hAnsi="Times New Roman" w:hint="eastAsia"/>
                      <w:color w:val="auto"/>
                      <w:sz w:val="21"/>
                      <w:szCs w:val="21"/>
                      <w:highlight w:val="none"/>
                    </w:rPr>
                    <w:t>。</w:t>
                  </w:r>
                </w:p>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2.项目不涉及工业炉窑使用。</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3.项目不涉及涂料。</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4.项目车间密闭，</w:t>
                  </w:r>
                  <w:r>
                    <w:rPr>
                      <w:rFonts w:ascii="Times New Roman" w:cs="Times New Roman" w:hAnsi="Times New Roman" w:hint="eastAsia"/>
                      <w:color w:val="auto"/>
                      <w:sz w:val="21"/>
                      <w:szCs w:val="21"/>
                      <w:lang w:val="en-US" w:eastAsia="zh-CN"/>
                      <w:highlight w:val="none"/>
                    </w:rPr>
                    <w:t>物料存储在密闭厂房内</w:t>
                  </w:r>
                  <w:r>
                    <w:rPr>
                      <w:rFonts w:ascii="Times New Roman" w:cs="Times New Roman" w:hAnsi="Times New Roman" w:hint="eastAsia"/>
                      <w:color w:val="auto"/>
                      <w:sz w:val="21"/>
                      <w:szCs w:val="21"/>
                      <w:highlight w:val="none"/>
                    </w:rPr>
                    <w:t>。</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w:t>
                  </w:r>
                  <w:r>
                    <w:rPr>
                      <w:rFonts w:ascii="Times New Roman" w:cs="Times New Roman" w:hAnsi="Times New Roman" w:hint="eastAsia"/>
                      <w:color w:val="auto"/>
                      <w:sz w:val="21"/>
                      <w:szCs w:val="21"/>
                      <w:lang w:val="en-US" w:eastAsia="zh-CN"/>
                      <w:highlight w:val="none"/>
                    </w:rPr>
                    <w:t>不涉及</w:t>
                  </w:r>
                  <w:r>
                    <w:rPr>
                      <w:rFonts w:ascii="Times New Roman" w:cs="Times New Roman" w:hAnsi="Times New Roman" w:hint="eastAsia"/>
                      <w:color w:val="auto"/>
                      <w:sz w:val="21"/>
                      <w:szCs w:val="21"/>
                      <w:highlight w:val="none"/>
                    </w:rPr>
                    <w:t>。</w:t>
                  </w:r>
                </w:p>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6.</w:t>
                  </w:r>
                  <w:r>
                    <w:rPr>
                      <w:rFonts w:ascii="Times New Roman" w:cs="Times New Roman" w:hAnsi="Times New Roman" w:hint="eastAsia"/>
                      <w:color w:val="auto"/>
                      <w:sz w:val="21"/>
                      <w:szCs w:val="21"/>
                      <w:lang w:val="zh-CN"/>
                      <w:highlight w:val="none"/>
                    </w:rPr>
                    <w:t>项目</w:t>
                  </w:r>
                  <w:r>
                    <w:rPr>
                      <w:rFonts w:ascii="Times New Roman" w:cs="Times New Roman" w:hAnsi="Times New Roman" w:hint="eastAsia"/>
                      <w:color w:val="auto"/>
                      <w:sz w:val="21"/>
                      <w:szCs w:val="21"/>
                      <w:lang w:eastAsia="zh-CN"/>
                      <w:highlight w:val="none"/>
                    </w:rPr>
                    <w:t>租赁现有厂房进行汽车塑料配件生产</w:t>
                  </w:r>
                  <w:r>
                    <w:rPr>
                      <w:rFonts w:ascii="Times New Roman" w:cs="Times New Roman" w:hAnsi="Times New Roman" w:hint="eastAsia"/>
                      <w:color w:val="auto"/>
                      <w:sz w:val="21"/>
                      <w:szCs w:val="21"/>
                      <w:highlight w:val="none"/>
                    </w:rPr>
                    <w:t>，不涉及施工扬尘。</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7.项目不涉及散煤使用，不涉及秸秆、垃圾露天焚烧。</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8.项目不属于钢铁、焦化、煤电、水泥、平板玻璃、陶瓷等行业，产生的污染物经采取措施后达标排放。</w:t>
                  </w:r>
                </w:p>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9.项目不涉及煤、石油焦、重油等为燃料的使用，不涉及工业炉窑使用。</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71" w:type="pct"/>
                  <w:gridSpan w:val="3"/>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环境风险防控</w:t>
                  </w:r>
                </w:p>
              </w:tc>
              <w:tc>
                <w:tcPr>
                  <w:tcW w:w="2339" w:type="pct"/>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44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项目不涉及有毒有害化学物质使用，不属于石油化工、涂料、纺织印染、橡胶、农药、医药等行业新污染物环境风险管控，项目要求待企业取得批复后，根据要求，成立应急组织机构，定期开展应急演练。</w:t>
                  </w:r>
                </w:p>
              </w:tc>
              <w:tc>
                <w:tcPr>
                  <w:tcW w:w="6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全市土壤环境总体管控要求</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属性</w:t>
                  </w:r>
                </w:p>
              </w:tc>
              <w:tc>
                <w:tcPr>
                  <w:tcW w:w="2339"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管控要求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571" w:type="pct"/>
                  <w:gridSpan w:val="3"/>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建设用地风险管控和</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修复</w:t>
                  </w:r>
                </w:p>
              </w:tc>
              <w:tc>
                <w:tcPr>
                  <w:tcW w:w="2339" w:type="pct"/>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1、依法推进建设用地土壤状况调查评估。以用途变更为“一住两公”地块，以及腾退工矿企业用地为重点，依法开展土壤污染状况调查和风险评估。</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2、对土壤污染状况调查报告评审表明污染物含量超过土壤污染风险管控标准的建设用地地块，土壤污染责任人、土地使用权人应当按照国务院生态环境主管部门的规定进行土壤污染风险评估。</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3、对建设用地土壤污染风险管控和修复名录中需要实施修复的地块，土壤污染责任人应当结合土地利用总体规划和城乡规划编制修复方案，报地方人民政府生态环境主管部门备案并实施。</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4、风险管控、修复活动完成后，需要实施后期管理的，土壤污染责任人应当按照要求实施后期管理。</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5、各县（市、区）在编制国土空间等相关规划时，充分考虑建设用地土壤污染环境风险，合理确定土地用途。</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6、严格落实建设用地土壤污染风险管控和修复名录制度。未达到土壤污染风险评估报告确定的风险管控、修复目标的地块，不得开工建设与风险管控和修复无关的项目。</w:t>
                  </w:r>
                </w:p>
              </w:tc>
              <w:tc>
                <w:tcPr>
                  <w:tcW w:w="144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1.项目位于河北省石家庄市栾城区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w:t>
                  </w:r>
                  <w:r>
                    <w:rPr>
                      <w:rFonts w:ascii="Times New Roman" w:cs="Times New Roman" w:hAnsi="Times New Roman" w:hint="eastAsia"/>
                      <w:color w:val="auto"/>
                      <w:sz w:val="21"/>
                      <w:szCs w:val="21"/>
                      <w:lang w:eastAsia="zh-CN"/>
                      <w:highlight w:val="none"/>
                    </w:rPr>
                    <w:t>根据不动产权证，占地为工业用地</w:t>
                  </w:r>
                  <w:r>
                    <w:rPr>
                      <w:rFonts w:ascii="Times New Roman" w:eastAsia="宋体" w:cs="Times New Roman" w:hAnsi="Times New Roman" w:hint="eastAsia"/>
                      <w:color w:val="auto"/>
                      <w:sz w:val="21"/>
                      <w:szCs w:val="21"/>
                      <w:lang w:val="en-US" w:eastAsia="zh-CN"/>
                      <w:highlight w:val="none"/>
                    </w:rPr>
                    <w:t>，</w:t>
                  </w:r>
                  <w:r>
                    <w:rPr>
                      <w:rFonts w:ascii="Times New Roman" w:cs="Times New Roman" w:hAnsi="Times New Roman" w:hint="eastAsia"/>
                      <w:color w:val="auto"/>
                      <w:sz w:val="21"/>
                      <w:szCs w:val="21"/>
                      <w:highlight w:val="none"/>
                    </w:rPr>
                    <w:t>符合</w:t>
                  </w:r>
                  <w:r>
                    <w:rPr>
                      <w:rFonts w:ascii="Times New Roman" w:cs="Times New Roman" w:hAnsi="Times New Roman" w:hint="eastAsia"/>
                      <w:color w:val="auto"/>
                      <w:sz w:val="21"/>
                      <w:szCs w:val="21"/>
                      <w:lang w:eastAsia="zh-CN"/>
                      <w:highlight w:val="none"/>
                    </w:rPr>
                    <w:t>河北省石家庄装备制造产业园总体规划要求</w:t>
                  </w:r>
                  <w:r>
                    <w:rPr>
                      <w:rFonts w:ascii="Times New Roman" w:cs="Times New Roman" w:hAnsi="Times New Roman" w:hint="eastAsia"/>
                      <w:color w:val="auto"/>
                      <w:sz w:val="21"/>
                      <w:szCs w:val="21"/>
                      <w:highlight w:val="none"/>
                    </w:rPr>
                    <w:t>。项目不涉及土地用途变更情况，不涉及土壤环境状况调查评估。同时，项目采取分区防渗措施项目固废合理处置，正常生产情况下，项目对厂区及附近土壤环境的影响较小。</w:t>
                  </w:r>
                </w:p>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2.项目不涉及土地用途变更情况，不涉及土壤环境状况调查评估。</w:t>
                  </w:r>
                </w:p>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3.项目不涉及土壤环境状况调查评估，不涉及土壤污染风险管控和修复名录中需要实施修复的地块。</w:t>
                  </w:r>
                </w:p>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4.项目不涉及需要实施修复的地块。</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w:t>
                  </w:r>
                  <w:r>
                    <w:rPr>
                      <w:rFonts w:ascii="Times New Roman" w:cs="Times New Roman" w:hAnsi="Times New Roman" w:hint="eastAsia"/>
                      <w:color w:val="auto"/>
                      <w:sz w:val="21"/>
                      <w:szCs w:val="21"/>
                      <w:lang w:eastAsia="zh-CN"/>
                      <w:highlight w:val="none"/>
                    </w:rPr>
                    <w:t>根据不动产权证，占地为工业用地，</w:t>
                  </w:r>
                  <w:r>
                    <w:rPr>
                      <w:rFonts w:ascii="Times New Roman" w:cs="Times New Roman" w:hAnsi="Times New Roman" w:hint="eastAsia"/>
                      <w:color w:val="auto"/>
                      <w:sz w:val="21"/>
                      <w:szCs w:val="21"/>
                      <w:highlight w:val="none"/>
                    </w:rPr>
                    <w:t>符合</w:t>
                  </w:r>
                  <w:r>
                    <w:rPr>
                      <w:rFonts w:ascii="Times New Roman" w:cs="Times New Roman" w:hAnsi="Times New Roman" w:hint="eastAsia"/>
                      <w:color w:val="auto"/>
                      <w:sz w:val="21"/>
                      <w:szCs w:val="21"/>
                      <w:lang w:eastAsia="zh-CN"/>
                      <w:highlight w:val="none"/>
                    </w:rPr>
                    <w:t>河北省石家庄装备制造产业园总体规划要求</w:t>
                  </w:r>
                  <w:r>
                    <w:rPr>
                      <w:rFonts w:ascii="Times New Roman" w:cs="Times New Roman" w:hAnsi="Times New Roman" w:hint="eastAsia"/>
                      <w:color w:val="auto"/>
                      <w:sz w:val="21"/>
                      <w:szCs w:val="21"/>
                      <w:highlight w:val="none"/>
                    </w:rPr>
                    <w:t>。</w:t>
                  </w:r>
                </w:p>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6.项目不涉及需要实施修复的地块。</w:t>
                  </w:r>
                </w:p>
              </w:tc>
              <w:tc>
                <w:tcPr>
                  <w:tcW w:w="6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全市自然资源总体管控要求</w:t>
                  </w:r>
                </w:p>
              </w:tc>
            </w:tr>
            <w:tr>
              <w:trPr>
                <w:trHeight w:val="283"/>
              </w:trPr>
              <w:tc>
                <w:tcPr>
                  <w:tcW w:w="466" w:type="pct"/>
                  <w:gridSpan w:val="2"/>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要素</w:t>
                  </w:r>
                </w:p>
              </w:tc>
              <w:tc>
                <w:tcPr>
                  <w:tcW w:w="570"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管控类型</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管控要求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466" w:type="pct"/>
                  <w:gridSpan w:val="2"/>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水资源</w:t>
                  </w:r>
                </w:p>
              </w:tc>
              <w:tc>
                <w:tcPr>
                  <w:tcW w:w="570" w:type="pct"/>
                  <w:gridSpan w:val="2"/>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一般管控区</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1、严格执行“最严格水资源管理制度”确定的用水总量控制指标，加强水资源取水论证，严格水资源总量考核管理，同时全面推进节水型社会建设，提高用水效率。</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项目用水</w:t>
                  </w:r>
                  <w:r>
                    <w:rPr>
                      <w:rFonts w:ascii="Times New Roman" w:cs="Times New Roman" w:hAnsi="Times New Roman" w:hint="eastAsia"/>
                      <w:color w:val="auto"/>
                      <w:sz w:val="21"/>
                      <w:szCs w:val="21"/>
                      <w:lang w:eastAsia="zh-CN"/>
                      <w:highlight w:val="none"/>
                    </w:rPr>
                    <w:t>由园区供水管网提供</w:t>
                  </w:r>
                  <w:r>
                    <w:rPr>
                      <w:rFonts w:ascii="Times New Roman" w:cs="Times New Roman" w:hAnsi="Times New Roman" w:hint="eastAsia"/>
                      <w:color w:val="auto"/>
                      <w:sz w:val="21"/>
                      <w:szCs w:val="21"/>
                      <w:highlight w:val="none"/>
                    </w:rPr>
                    <w:t>，不开采地下水。</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466" w:type="pct"/>
                  <w:gridSpan w:val="2"/>
                  <w:vMerge w:val="restart"/>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能源</w:t>
                  </w:r>
                </w:p>
              </w:tc>
              <w:tc>
                <w:tcPr>
                  <w:tcW w:w="570" w:type="pct"/>
                  <w:gridSpan w:val="2"/>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高污染燃料禁燃区</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1、禁燃区内不得新建、改建、扩建燃烧煤炭、重油、渣油等高污染燃料的设施；现有燃烧高污染燃料的设施，应当限期改用清洁能源；未改用清洁能源替代的高污染燃料设施，应当配套建设先进工艺的脱硫、</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脱硝、除尘装置或者采取其他措施，控制二氧化硫、氮氧化物和烟尘等排放；仍未达到大气污染物排放标准的，应当停止使用。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2、禁燃区内禁止销售、使用高污染燃料。</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3、禁燃区内禁止原煤散烧。</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4、其他平原县和山区县执行县级政府确定的禁燃区范围和管理要求。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1.项目采用电能，不涉及煤炭、重油、渣油等高污染燃料的使用。2.项目不涉及高污染燃料销售、使用；3.项目不涉及原煤散烧；4.项目采用电能，满足禁燃区范围和管理要求。</w:t>
                  </w:r>
                </w:p>
              </w:tc>
              <w:tc>
                <w:tcPr>
                  <w:tcW w:w="6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466" w:type="pct"/>
                  <w:gridSpan w:val="2"/>
                  <w:vMerge/>
                  <w:vAlign w:val="center"/>
                </w:tcPr>
                <w:p/>
              </w:tc>
              <w:tc>
                <w:tcPr>
                  <w:tcW w:w="570" w:type="pct"/>
                  <w:gridSpan w:val="2"/>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一般管控区</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强化能源消费约束，严格实施能源消费总量和强度“双控”。从工艺技术、主要用能设备、节能措施等方面切实加强项目单耗先进性审查，新建高能耗项目单位产品（产值）能耗达到国际先进水平，用能设备达到国家一级能效标准。</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2、以工业、建筑和交通运输领域为重点，深入推进技术节能和管理节能。推进农业和农村节能，强化商用和民用节能，实施公共机构节能。完善节能措施引导，完善峰谷电价、阶梯气价等价格政策等。</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3、控制煤炭消费总量，加快产业结构向高新高端产业转变，推进钢铁、水泥等重点行业去产能。大力实施散煤替代。</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144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lang w:eastAsia="zh-CN"/>
                      <w:highlight w:val="none"/>
                    </w:rPr>
                    <w:t>项目生产采用电加热</w:t>
                  </w:r>
                  <w:r>
                    <w:rPr>
                      <w:rFonts w:ascii="Times New Roman" w:cs="Times New Roman" w:hAnsi="Times New Roman" w:hint="eastAsia"/>
                      <w:snapToGrid w:val="0"/>
                      <w:color w:val="auto"/>
                      <w:kern w:val="0"/>
                      <w:sz w:val="21"/>
                      <w:szCs w:val="21"/>
                      <w:highlight w:val="none"/>
                    </w:rPr>
                    <w:t>，职工日常办公供暖由空调提供</w:t>
                  </w:r>
                  <w:r>
                    <w:rPr>
                      <w:rFonts w:ascii="Times New Roman" w:cs="Times New Roman" w:hAnsi="Times New Roman" w:hint="eastAsia"/>
                      <w:color w:val="auto"/>
                      <w:sz w:val="21"/>
                      <w:szCs w:val="21"/>
                      <w:highlight w:val="none"/>
                    </w:rPr>
                    <w:t>，来源为电能，不涉及</w:t>
                  </w:r>
                  <w:r>
                    <w:rPr>
                      <w:rStyle w:val="64"/>
                      <w:rFonts w:ascii="Times New Roman" w:cs="Times New Roman" w:hAnsi="Times New Roman"/>
                      <w:color w:val="auto"/>
                      <w:sz w:val="21"/>
                      <w:szCs w:val="21"/>
                      <w:highlight w:val="none"/>
                    </w:rPr>
                    <w:t>煤炭使用情况。</w:t>
                  </w:r>
                </w:p>
              </w:tc>
              <w:tc>
                <w:tcPr>
                  <w:tcW w:w="6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5000" w:type="pct"/>
                  <w:gridSpan w:val="7"/>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b/>
                      <w:bCs/>
                      <w:color w:val="auto"/>
                      <w:sz w:val="21"/>
                      <w:szCs w:val="21"/>
                      <w:highlight w:val="none"/>
                    </w:rPr>
                    <w:t>全市产业布局总体管控要求</w:t>
                  </w:r>
                </w:p>
              </w:tc>
            </w:tr>
            <w:tr>
              <w:trPr>
                <w:trHeight w:val="283"/>
              </w:trPr>
              <w:tc>
                <w:tcPr>
                  <w:tcW w:w="1037" w:type="pct"/>
                  <w:gridSpan w:val="4"/>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分类</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管控要求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283"/>
              </w:trPr>
              <w:tc>
                <w:tcPr>
                  <w:tcW w:w="1037" w:type="pct"/>
                  <w:gridSpan w:val="4"/>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产业总体布局要求</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1、严格建设项目环境准入，新、改、扩建项目的环境影响评价应满足区域、规划环评要求。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2、新建、改建、扩建用煤项目，应当实行煤炭的等量或者减量替代。</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3、严格执行国家《产业结构调整指导目录》、《市场准入负面清单》以及《河北省禁止投资的产业目录》中准入要求。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4、严格控制《环境保护综合名录》中“高污染、高环境风险”产品加工项目，城市工业企业退城搬迁改造及产能置换项目除外。</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5、新建项目一律不得违规占用河库管理范围。</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6、以石化、化工、涂装、医药、包装印刷、油品储运销等行业领域为重点，安全高效推进挥发性有机物(VOCs)综合治理，实施原辅材料和产品源头替代、无组织排放和末端深度治理等提升改造工程。</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7、锅炉大气污染物排放控制要求、污染物监测要求、达标判定要求按照河北省地标《锅炉大气污染物排放标准》(DB13/5161-2020)执行。</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8、禁止在居民区和学校、医院、疗养院、养老院等单位周边新建、改建、扩建有色金属冶炼、石油加工、焦化、化工、电镀、制革等可能造成土壤污染的建设项目。</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9、在地下水超采区控制高耗水产业发展。</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10、涉重金属重点行业企业“十四五”期间依法依规至少开展一轮强制性清洁生产审核，到2025年底，涉重金属重点行业企业基本达到国内清洁生产先进水平。</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11、按照《关于进一步加强塑料污染治理的实施方案》要求，石家庄城市建成区和重点领域禁止、限制部分塑料制品的生产、销售和使用。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1.项目不属于《</w:t>
                  </w:r>
                  <w:r>
                    <w:rPr>
                      <w:rFonts w:ascii="Times New Roman" w:cs="Times New Roman" w:hAnsi="Times New Roman" w:hint="eastAsia"/>
                      <w:color w:val="auto"/>
                      <w:sz w:val="21"/>
                      <w:szCs w:val="21"/>
                      <w:lang w:eastAsia="zh-CN"/>
                      <w:highlight w:val="none"/>
                    </w:rPr>
                    <w:t>市场准入负面清单（2025年版）</w:t>
                  </w:r>
                  <w:r>
                    <w:rPr>
                      <w:rFonts w:ascii="Times New Roman" w:cs="Times New Roman" w:hAnsi="Times New Roman" w:hint="eastAsia"/>
                      <w:color w:val="auto"/>
                      <w:sz w:val="21"/>
                      <w:szCs w:val="21"/>
                      <w:highlight w:val="none"/>
                    </w:rPr>
                    <w:t>》中的禁止类项目，为《产业结构调整指导目录（2024年本）》允许建设项目，</w:t>
                  </w:r>
                  <w:r>
                    <w:rPr>
                      <w:rFonts w:ascii="Times New Roman" w:cs="Times New Roman" w:hAnsi="Times New Roman" w:hint="eastAsia"/>
                      <w:color w:val="auto"/>
                      <w:sz w:val="21"/>
                      <w:szCs w:val="21"/>
                      <w:lang w:eastAsia="zh-CN"/>
                      <w:highlight w:val="none"/>
                    </w:rPr>
                    <w:t>根据不动产权证，占地为工业用地</w:t>
                  </w:r>
                  <w:r>
                    <w:rPr>
                      <w:rFonts w:ascii="Times New Roman" w:cs="Times New Roman" w:hAnsi="Times New Roman" w:hint="eastAsia"/>
                      <w:color w:val="auto"/>
                      <w:sz w:val="21"/>
                      <w:szCs w:val="21"/>
                      <w:highlight w:val="none"/>
                    </w:rPr>
                    <w:t>，符合</w:t>
                  </w:r>
                  <w:r>
                    <w:rPr>
                      <w:rFonts w:ascii="Times New Roman" w:cs="Times New Roman" w:hAnsi="Times New Roman" w:hint="eastAsia"/>
                      <w:color w:val="auto"/>
                      <w:sz w:val="21"/>
                      <w:szCs w:val="21"/>
                      <w:lang w:eastAsia="zh-CN"/>
                      <w:highlight w:val="none"/>
                    </w:rPr>
                    <w:t>河北省石家庄装备制造产业园总体规划要求</w:t>
                  </w:r>
                  <w:r>
                    <w:rPr>
                      <w:rFonts w:ascii="Times New Roman" w:cs="Times New Roman" w:hAnsi="Times New Roman" w:hint="eastAsia"/>
                      <w:color w:val="auto"/>
                      <w:sz w:val="21"/>
                      <w:szCs w:val="21"/>
                      <w:highlight w:val="none"/>
                    </w:rPr>
                    <w:t>。</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2.项目不涉及煤炭的使用。</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3.项目不属于《</w:t>
                  </w:r>
                  <w:r>
                    <w:rPr>
                      <w:rFonts w:ascii="Times New Roman" w:cs="Times New Roman" w:hAnsi="Times New Roman" w:hint="eastAsia"/>
                      <w:color w:val="auto"/>
                      <w:sz w:val="21"/>
                      <w:szCs w:val="21"/>
                      <w:lang w:eastAsia="zh-CN"/>
                      <w:highlight w:val="none"/>
                    </w:rPr>
                    <w:t>市场准入负面清单（2025年版）</w:t>
                  </w:r>
                  <w:r>
                    <w:rPr>
                      <w:rFonts w:ascii="Times New Roman" w:cs="Times New Roman" w:hAnsi="Times New Roman" w:hint="eastAsia"/>
                      <w:color w:val="auto"/>
                      <w:sz w:val="21"/>
                      <w:szCs w:val="21"/>
                      <w:highlight w:val="none"/>
                    </w:rPr>
                    <w:t>》中的禁止类项目</w:t>
                  </w:r>
                  <w:r>
                    <w:rPr>
                      <w:rFonts w:ascii="Times New Roman" w:cs="Times New Roman" w:hAnsi="Times New Roman" w:hint="eastAsia"/>
                      <w:color w:val="auto"/>
                      <w:sz w:val="21"/>
                      <w:szCs w:val="20"/>
                      <w:highlight w:val="none"/>
                    </w:rPr>
                    <w:t>，</w:t>
                  </w:r>
                  <w:r>
                    <w:rPr>
                      <w:rFonts w:ascii="Times New Roman" w:cs="Times New Roman" w:hAnsi="Times New Roman" w:hint="eastAsia"/>
                      <w:color w:val="auto"/>
                      <w:sz w:val="21"/>
                      <w:szCs w:val="21"/>
                      <w:highlight w:val="none"/>
                    </w:rPr>
                    <w:t>为《产业结构调整指导目录（2024年本）》允许建设项目，符合相关要求。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4.项目不属于“高污染、高环境风险”产品加工项目，不属于城市工业企业。</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5.项目不占用河库管理范围。</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6.项目不属于石化、化工、涂装、医药、包装印刷、油品储运销等行业，</w:t>
                  </w:r>
                  <w:r>
                    <w:rPr>
                      <w:rFonts w:ascii="Times New Roman" w:cs="Times New Roman" w:hAnsi="Times New Roman" w:hint="eastAsia"/>
                      <w:color w:val="auto"/>
                      <w:sz w:val="21"/>
                      <w:szCs w:val="21"/>
                      <w:lang w:val="en-US" w:eastAsia="zh-CN"/>
                      <w:highlight w:val="none"/>
                    </w:rPr>
                    <w:t>项目原料采用尼龙粒子，项目VOCs废气经集气罩收集后通过布袋除尘器+两级活性炭吸附装置+15m高排气筒排放</w:t>
                  </w:r>
                  <w:r>
                    <w:rPr>
                      <w:rFonts w:ascii="Times New Roman" w:cs="Times New Roman" w:hAnsi="Times New Roman" w:hint="eastAsia"/>
                      <w:color w:val="auto"/>
                      <w:sz w:val="21"/>
                      <w:szCs w:val="21"/>
                      <w:highlight w:val="none"/>
                    </w:rPr>
                    <w:t>。</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7.项目不涉及锅炉使用。</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8.距离</w:t>
                  </w:r>
                  <w:r>
                    <w:rPr>
                      <w:rFonts w:ascii="Times New Roman" w:cs="Times New Roman" w:hAnsi="Times New Roman" w:hint="eastAsia"/>
                      <w:color w:val="auto"/>
                      <w:sz w:val="21"/>
                      <w:szCs w:val="21"/>
                      <w:lang w:eastAsia="zh-CN"/>
                      <w:highlight w:val="none"/>
                    </w:rPr>
                    <w:t>项目最近敏感点为西南侧710m处的锦悦桦庭</w:t>
                  </w:r>
                  <w:r>
                    <w:rPr>
                      <w:rFonts w:ascii="Times New Roman" w:cs="Times New Roman" w:hAnsi="Times New Roman" w:hint="eastAsia"/>
                      <w:color w:val="auto"/>
                      <w:sz w:val="21"/>
                      <w:szCs w:val="21"/>
                      <w:highlight w:val="none"/>
                    </w:rPr>
                    <w:t>，项目采取分区防渗，不属于有色金属冶炼、石油加工、焦化、化工、电镀、制革等可能造成土壤污染的建设项目。</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9.项目用水</w:t>
                  </w:r>
                  <w:r>
                    <w:rPr>
                      <w:rFonts w:ascii="Times New Roman" w:cs="Times New Roman" w:hAnsi="Times New Roman" w:hint="eastAsia"/>
                      <w:color w:val="auto"/>
                      <w:sz w:val="21"/>
                      <w:szCs w:val="21"/>
                      <w:lang w:eastAsia="zh-CN"/>
                      <w:highlight w:val="none"/>
                    </w:rPr>
                    <w:t>由园区供水管网提供</w:t>
                  </w:r>
                  <w:r>
                    <w:rPr>
                      <w:rFonts w:ascii="Times New Roman" w:cs="Times New Roman" w:hAnsi="Times New Roman" w:hint="eastAsia"/>
                      <w:color w:val="auto"/>
                      <w:sz w:val="21"/>
                      <w:szCs w:val="21"/>
                      <w:highlight w:val="none"/>
                    </w:rPr>
                    <w:t>，不开采地下水。</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10.项目不涉及重金属。</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11.项目不属于《关于进一步加强塑料污染治理的实施方案》</w:t>
                  </w:r>
                  <w:r>
                    <w:rPr>
                      <w:rFonts w:ascii="Times New Roman" w:cs="Times New Roman" w:hAnsi="Times New Roman" w:hint="eastAsia"/>
                      <w:color w:val="auto"/>
                      <w:sz w:val="21"/>
                      <w:szCs w:val="21"/>
                      <w:lang w:val="en-US" w:eastAsia="zh-CN"/>
                      <w:highlight w:val="none"/>
                    </w:rPr>
                    <w:t>中</w:t>
                  </w:r>
                  <w:r>
                    <w:rPr>
                      <w:rFonts w:ascii="Times New Roman" w:cs="Times New Roman" w:hAnsi="Times New Roman" w:hint="eastAsia"/>
                      <w:color w:val="auto"/>
                      <w:sz w:val="21"/>
                      <w:szCs w:val="21"/>
                      <w:highlight w:val="none"/>
                    </w:rPr>
                    <w:t>禁止、限制部分塑料制品的生产、销售和使用。</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12.项目生产均在密闭车间内，实现绿色管理和绿色生产。</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13.项目不属于两高项目。</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14.项目位于</w:t>
                  </w:r>
                  <w:r>
                    <w:rPr>
                      <w:rFonts w:ascii="Times New Roman" w:cs="Times New Roman" w:hAnsi="Times New Roman" w:hint="eastAsia"/>
                      <w:color w:val="auto"/>
                      <w:sz w:val="21"/>
                      <w:szCs w:val="21"/>
                      <w:lang w:eastAsia="zh-CN"/>
                      <w:highlight w:val="none"/>
                    </w:rPr>
                    <w:t>河北石家庄装备制造产业园</w:t>
                  </w:r>
                  <w:r>
                    <w:rPr>
                      <w:rFonts w:ascii="Times New Roman" w:cs="Times New Roman" w:hAnsi="Times New Roman" w:hint="eastAsia"/>
                      <w:color w:val="auto"/>
                      <w:sz w:val="21"/>
                      <w:szCs w:val="21"/>
                      <w:lang w:val="en-US" w:eastAsia="zh-CN"/>
                      <w:highlight w:val="none"/>
                    </w:rPr>
                    <w:t>内</w:t>
                  </w:r>
                  <w:r>
                    <w:rPr>
                      <w:rFonts w:ascii="Times New Roman" w:cs="Times New Roman" w:hAnsi="Times New Roman" w:hint="eastAsia"/>
                      <w:color w:val="auto"/>
                      <w:sz w:val="21"/>
                      <w:szCs w:val="21"/>
                      <w:highlight w:val="none"/>
                    </w:rPr>
                    <w:t>，根据要求，依法进行环评编制工作。</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rPr>
                <w:trHeight w:val="283"/>
              </w:trPr>
              <w:tc>
                <w:tcPr>
                  <w:tcW w:w="1037" w:type="pct"/>
                  <w:gridSpan w:val="4"/>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项目入园准入要求</w:t>
                  </w:r>
                </w:p>
              </w:tc>
              <w:tc>
                <w:tcPr>
                  <w:tcW w:w="1872"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2、加强园区规划及环评时效性。现有县市级工业区在遵从规划、规划环评及跟踪评价的要求前提下，严格遵循全省、地市及对应单元生态环境准入要求。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3、对新设立或扩区未开展规划环评的园区，规划定位、范围、布局、结构、规模等发生调整未开展规划环评调整的以及规划实施已超过5年未进行规划环境影响跟踪评价的园区，督促园区管委会抓紧整改。</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443"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0"/>
                      <w:highlight w:val="none"/>
                    </w:rPr>
                  </w:pPr>
                  <w:r>
                    <w:rPr>
                      <w:rFonts w:ascii="Times New Roman" w:cs="Times New Roman" w:hAnsi="Times New Roman" w:hint="eastAsia"/>
                      <w:color w:val="auto"/>
                      <w:sz w:val="21"/>
                      <w:szCs w:val="21"/>
                      <w:highlight w:val="none"/>
                    </w:rPr>
                    <w:t>项目位于河北省石家庄市栾城区</w:t>
                  </w:r>
                  <w:r>
                    <w:rPr>
                      <w:rFonts w:ascii="Times New Roman" w:cs="Times New Roman" w:hAnsi="Times New Roman" w:hint="eastAsia"/>
                      <w:color w:val="auto"/>
                      <w:sz w:val="21"/>
                      <w:szCs w:val="21"/>
                      <w:lang w:eastAsia="zh-CN"/>
                      <w:highlight w:val="none"/>
                    </w:rPr>
                    <w:t>窦妪村装备制造产业园区奥翔街6-1号（院内3号房）</w:t>
                  </w:r>
                  <w:r>
                    <w:rPr>
                      <w:rFonts w:ascii="Times New Roman" w:cs="Times New Roman" w:hAnsi="Times New Roman" w:hint="eastAsia"/>
                      <w:color w:val="auto"/>
                      <w:sz w:val="21"/>
                      <w:szCs w:val="21"/>
                      <w:highlight w:val="none"/>
                    </w:rPr>
                    <w:t>，位于</w:t>
                  </w:r>
                  <w:r>
                    <w:rPr>
                      <w:rFonts w:ascii="Times New Roman" w:cs="Times New Roman" w:hAnsi="Times New Roman" w:hint="eastAsia"/>
                      <w:color w:val="auto"/>
                      <w:sz w:val="21"/>
                      <w:szCs w:val="21"/>
                      <w:lang w:eastAsia="zh-CN"/>
                      <w:highlight w:val="none"/>
                    </w:rPr>
                    <w:t>河北石家庄装备制造产业园</w:t>
                  </w:r>
                  <w:r>
                    <w:rPr>
                      <w:rFonts w:ascii="Times New Roman" w:cs="Times New Roman" w:hAnsi="Times New Roman" w:hint="eastAsia"/>
                      <w:color w:val="auto"/>
                      <w:sz w:val="21"/>
                      <w:szCs w:val="21"/>
                      <w:lang w:val="en-US" w:eastAsia="zh-CN"/>
                      <w:highlight w:val="none"/>
                    </w:rPr>
                    <w:t>内</w:t>
                  </w:r>
                  <w:r>
                    <w:rPr>
                      <w:rFonts w:ascii="Times New Roman" w:cs="Times New Roman" w:hAnsi="Times New Roman" w:hint="eastAsia"/>
                      <w:color w:val="auto"/>
                      <w:sz w:val="21"/>
                      <w:szCs w:val="21"/>
                      <w:highlight w:val="none"/>
                    </w:rPr>
                    <w:t>。</w:t>
                  </w:r>
                </w:p>
              </w:tc>
              <w:tc>
                <w:tcPr>
                  <w:tcW w:w="64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bl>
          <w:p>
            <w:pPr>
              <w:keepNext w:val="0"/>
              <w:keepLines w:val="0"/>
              <w:suppressLineNumbers w:val="0"/>
              <w:spacing w:before="0" w:beforeAutospacing="0" w:after="0" w:afterAutospacing="0"/>
              <w:ind w:left="0" w:right="0" w:firstLineChars="200" w:firstLine="480"/>
              <w:jc w:val="center"/>
              <w:rPr>
                <w:rFonts w:hint="eastAsia"/>
                <w:b/>
                <w:bCs/>
                <w:color w:val="auto"/>
                <w:sz w:val="24"/>
                <w:szCs w:val="20"/>
                <w:highlight w:val="none"/>
              </w:rPr>
            </w:pPr>
            <w:r>
              <w:rPr>
                <w:rFonts w:ascii="Times New Roman" w:cs="Times New Roman" w:hAnsi="Times New Roman" w:hint="eastAsia"/>
                <w:b/>
                <w:bCs/>
                <w:color w:val="auto"/>
                <w:sz w:val="24"/>
                <w:szCs w:val="20"/>
                <w:highlight w:val="none"/>
              </w:rPr>
              <w:t>表1-</w:t>
            </w:r>
            <w:r>
              <w:rPr>
                <w:rFonts w:ascii="Times New Roman" w:cs="Times New Roman" w:hAnsi="Times New Roman" w:hint="eastAsia"/>
                <w:b/>
                <w:bCs/>
                <w:color w:val="auto"/>
                <w:sz w:val="24"/>
                <w:szCs w:val="20"/>
                <w:lang w:val="en-US" w:eastAsia="zh-CN"/>
                <w:highlight w:val="none"/>
              </w:rPr>
              <w:t>5</w:t>
            </w:r>
            <w:r>
              <w:rPr>
                <w:rFonts w:ascii="Times New Roman" w:cs="Times New Roman" w:hAnsi="Times New Roman" w:hint="eastAsia"/>
                <w:b/>
                <w:bCs/>
                <w:color w:val="auto"/>
                <w:sz w:val="24"/>
                <w:szCs w:val="20"/>
                <w:highlight w:val="none"/>
              </w:rPr>
              <w:t xml:space="preserve">  栾城区生态环境准入清单</w:t>
            </w:r>
          </w:p>
          <w:tbl>
            <w:tblPr>
              <w:jc w:val="left"/>
              <w:tblInd w:w="0" w:type="dxa"/>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693"/>
              <w:gridCol w:w="740"/>
              <w:gridCol w:w="925"/>
              <w:gridCol w:w="734"/>
              <w:gridCol w:w="2160"/>
              <w:gridCol w:w="1463"/>
              <w:gridCol w:w="913"/>
            </w:tblGrid>
            <w:tr>
              <w:tc>
                <w:tcPr>
                  <w:tcW w:w="454" w:type="pc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县（市、区）</w:t>
                  </w:r>
                </w:p>
              </w:tc>
              <w:tc>
                <w:tcPr>
                  <w:tcW w:w="485" w:type="pc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单元</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类别</w:t>
                  </w:r>
                </w:p>
              </w:tc>
              <w:tc>
                <w:tcPr>
                  <w:tcW w:w="606" w:type="pc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环境要素类别</w:t>
                  </w:r>
                </w:p>
              </w:tc>
              <w:tc>
                <w:tcPr>
                  <w:tcW w:w="481" w:type="pct"/>
                  <w:vAlign w:val="center"/>
                </w:tcPr>
                <w:p>
                  <w:pPr>
                    <w:keepNext w:val="0"/>
                    <w:keepLines w:val="0"/>
                    <w:suppressLineNumbers w:val="0"/>
                    <w:spacing w:before="0" w:beforeAutospacing="0" w:after="0" w:afterAutospacing="0" w:line="360" w:lineRule="exact"/>
                    <w:ind w:leftChars="-50" w:left="-105" w:rightChars="-50" w:right="-105"/>
                    <w:jc w:val="center"/>
                    <w:rPr>
                      <w:rFonts w:hint="eastAsia"/>
                      <w:color w:val="auto"/>
                      <w:kern w:val="0"/>
                      <w:szCs w:val="21"/>
                      <w:highlight w:val="none"/>
                    </w:rPr>
                  </w:pPr>
                  <w:r>
                    <w:rPr>
                      <w:rFonts w:ascii="Times New Roman" w:cs="Times New Roman" w:hAnsi="Times New Roman" w:hint="eastAsia"/>
                      <w:color w:val="auto"/>
                      <w:kern w:val="0"/>
                      <w:sz w:val="21"/>
                      <w:szCs w:val="21"/>
                      <w:highlight w:val="none"/>
                    </w:rPr>
                    <w:t>维度</w:t>
                  </w:r>
                </w:p>
              </w:tc>
              <w:tc>
                <w:tcPr>
                  <w:tcW w:w="1415" w:type="pct"/>
                  <w:vAlign w:val="center"/>
                </w:tcPr>
                <w:p>
                  <w:pPr>
                    <w:keepNext w:val="0"/>
                    <w:keepLines w:val="0"/>
                    <w:suppressLineNumbers w:val="0"/>
                    <w:spacing w:before="0" w:beforeAutospacing="0" w:after="0" w:afterAutospacing="0" w:line="360" w:lineRule="exact"/>
                    <w:ind w:leftChars="-50" w:left="-105" w:rightChars="-50" w:right="-105"/>
                    <w:jc w:val="center"/>
                    <w:rPr>
                      <w:rFonts w:hint="eastAsia"/>
                      <w:color w:val="auto"/>
                      <w:kern w:val="0"/>
                      <w:szCs w:val="21"/>
                      <w:highlight w:val="none"/>
                    </w:rPr>
                  </w:pPr>
                  <w:r>
                    <w:rPr>
                      <w:rFonts w:ascii="Times New Roman" w:cs="Times New Roman" w:hAnsi="Times New Roman" w:hint="eastAsia"/>
                      <w:color w:val="auto"/>
                      <w:kern w:val="0"/>
                      <w:sz w:val="21"/>
                      <w:szCs w:val="21"/>
                      <w:highlight w:val="none"/>
                    </w:rPr>
                    <w:t>管控措施</w:t>
                  </w:r>
                </w:p>
              </w:tc>
              <w:tc>
                <w:tcPr>
                  <w:tcW w:w="958" w:type="pc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项目情况</w:t>
                  </w:r>
                </w:p>
              </w:tc>
              <w:tc>
                <w:tcPr>
                  <w:tcW w:w="598" w:type="pc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是否符合相关要求</w:t>
                  </w:r>
                </w:p>
              </w:tc>
            </w:tr>
            <w:tr>
              <w:trPr>
                <w:trHeight w:val="90"/>
              </w:trPr>
              <w:tc>
                <w:tcPr>
                  <w:tcW w:w="454" w:type="pct"/>
                  <w:vMerge w:val="restart"/>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栾城区</w:t>
                  </w:r>
                </w:p>
              </w:tc>
              <w:tc>
                <w:tcPr>
                  <w:tcW w:w="485" w:type="pct"/>
                  <w:vMerge w:val="restar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szCs w:val="21"/>
                      <w:lang w:val="en-US" w:eastAsia="zh-CN"/>
                      <w:highlight w:val="none"/>
                    </w:rPr>
                  </w:pPr>
                  <w:r>
                    <w:rPr>
                      <w:rFonts w:ascii="Times New Roman" w:eastAsia="宋体" w:cs="Times New Roman" w:hAnsi="Times New Roman" w:hint="eastAsia"/>
                      <w:color w:val="auto"/>
                      <w:sz w:val="21"/>
                      <w:szCs w:val="21"/>
                      <w:highlight w:val="none"/>
                    </w:rPr>
                    <w:t>重点管控单元</w:t>
                  </w:r>
                  <w:r>
                    <w:rPr>
                      <w:rFonts w:ascii="Times New Roman" w:eastAsia="宋体" w:cs="Times New Roman" w:hAnsi="Times New Roman" w:hint="eastAsia"/>
                      <w:color w:val="auto"/>
                      <w:sz w:val="21"/>
                      <w:szCs w:val="21"/>
                      <w:lang w:val="en-US" w:eastAsia="zh-CN"/>
                      <w:highlight w:val="none"/>
                    </w:rPr>
                    <w:t>-</w:t>
                  </w:r>
                  <w:r>
                    <w:rPr>
                      <w:rFonts w:ascii="Times New Roman" w:eastAsia="宋体" w:cs="Times New Roman" w:hAnsi="Times New Roman" w:hint="eastAsia"/>
                      <w:color w:val="auto"/>
                      <w:sz w:val="21"/>
                      <w:szCs w:val="21"/>
                      <w:highlight w:val="none"/>
                    </w:rPr>
                    <w:t>ZH1301112006</w:t>
                  </w:r>
                  <w:r>
                    <w:rPr>
                      <w:rFonts w:ascii="Times New Roman" w:cs="Times New Roman" w:hAnsi="Times New Roman" w:hint="eastAsia"/>
                      <w:color w:val="auto"/>
                      <w:sz w:val="21"/>
                      <w:szCs w:val="21"/>
                      <w:lang w:val="en-US" w:eastAsia="zh-CN"/>
                      <w:highlight w:val="none"/>
                    </w:rPr>
                    <w:t>5</w:t>
                  </w:r>
                </w:p>
              </w:tc>
              <w:tc>
                <w:tcPr>
                  <w:tcW w:w="606" w:type="pct"/>
                  <w:vMerge w:val="restar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szCs w:val="21"/>
                      <w:highlight w:val="none"/>
                    </w:rPr>
                  </w:pPr>
                  <w:r>
                    <w:rPr>
                      <w:rFonts w:ascii="Times New Roman" w:eastAsia="宋体" w:cs="Times New Roman" w:hAnsi="Times New Roman" w:hint="eastAsia"/>
                      <w:color w:val="auto"/>
                      <w:sz w:val="21"/>
                      <w:szCs w:val="21"/>
                      <w:highlight w:val="none"/>
                    </w:rPr>
                    <w:t>大气环境高排放重点管控区、大气环境布局敏感重点管控区、水环境城镇生活重点管控区、禁燃区、河北石家庄装备制造产业园生物医药片区</w:t>
                  </w:r>
                </w:p>
              </w:tc>
              <w:tc>
                <w:tcPr>
                  <w:tcW w:w="481"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空间布局约束</w:t>
                  </w:r>
                </w:p>
              </w:tc>
              <w:tc>
                <w:tcPr>
                  <w:tcW w:w="141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1、严格落实国家、河北省以及石家庄市最新产业目录准入要求。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2、严格落实最新规划环评及其审查意见制定的环境准入要求。</w:t>
                  </w:r>
                </w:p>
              </w:tc>
              <w:tc>
                <w:tcPr>
                  <w:tcW w:w="95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1、项目满足国家、河北省产业目录准入要求；2、项目符合最新规划环评及其审查意见制定的环境准入要求</w:t>
                  </w:r>
                </w:p>
              </w:tc>
              <w:tc>
                <w:tcPr>
                  <w:tcW w:w="59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c>
                <w:tcPr>
                  <w:tcW w:w="454" w:type="pct"/>
                  <w:vMerge/>
                  <w:vAlign w:val="center"/>
                </w:tcPr>
                <w:p/>
              </w:tc>
              <w:tc>
                <w:tcPr>
                  <w:tcW w:w="485" w:type="pct"/>
                  <w:vMerge/>
                  <w:tcBorders>
                    <w:left w:val="single" w:sz="4" w:space="0" w:color="auto"/>
                  </w:tcBorders>
                  <w:vAlign w:val="center"/>
                </w:tcPr>
                <w:p/>
              </w:tc>
              <w:tc>
                <w:tcPr>
                  <w:tcW w:w="606" w:type="pct"/>
                  <w:vMerge/>
                  <w:tcBorders>
                    <w:left w:val="single" w:sz="4" w:space="0" w:color="auto"/>
                  </w:tcBorders>
                  <w:vAlign w:val="center"/>
                </w:tcPr>
                <w:p/>
              </w:tc>
              <w:tc>
                <w:tcPr>
                  <w:tcW w:w="481"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污染物排放管控</w:t>
                  </w:r>
                </w:p>
              </w:tc>
              <w:tc>
                <w:tcPr>
                  <w:tcW w:w="141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1、落实《关于加强重点行业建设项目区域削减措施监督管理的通知》环办环评〔2020〕36号的要求。</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2、加快配套管网建设。</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3、新（改、扩）建向环境水体直接排放污水的排污单位执行《子牙河流域水污染物排放标准》（DB13/2796-2018）排放限值。</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4、铸造等行业企业料堆场按照河北省《煤场、料场、渣场扬尘污染控制技术规范》（DB13/T2352-2016）地方标准存储要求，实现规范管理。</w:t>
                  </w:r>
                </w:p>
              </w:tc>
              <w:tc>
                <w:tcPr>
                  <w:tcW w:w="95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不属于重点行业；项目废水主要为职工生活污水，生活污水经集成式生物化粪池处理后经园区污水管网排入绿源污水处理有限公司进一步处理，项目废水不直接向环境水体排放污染物；不涉及铸造</w:t>
                  </w:r>
                </w:p>
              </w:tc>
              <w:tc>
                <w:tcPr>
                  <w:tcW w:w="59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r>
              <w:tc>
                <w:tcPr>
                  <w:tcW w:w="454" w:type="pct"/>
                  <w:vMerge/>
                  <w:vAlign w:val="center"/>
                </w:tcPr>
                <w:p/>
              </w:tc>
              <w:tc>
                <w:tcPr>
                  <w:tcW w:w="485" w:type="pct"/>
                  <w:vMerge/>
                  <w:tcBorders>
                    <w:left w:val="single" w:sz="4" w:space="0" w:color="auto"/>
                  </w:tcBorders>
                  <w:vAlign w:val="center"/>
                </w:tcPr>
                <w:p/>
              </w:tc>
              <w:tc>
                <w:tcPr>
                  <w:tcW w:w="606" w:type="pct"/>
                  <w:vMerge/>
                  <w:tcBorders>
                    <w:left w:val="single" w:sz="4" w:space="0" w:color="auto"/>
                  </w:tcBorders>
                  <w:vAlign w:val="center"/>
                </w:tcPr>
                <w:p/>
              </w:tc>
              <w:tc>
                <w:tcPr>
                  <w:tcW w:w="481"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环境风险防控</w:t>
                  </w:r>
                </w:p>
              </w:tc>
              <w:tc>
                <w:tcPr>
                  <w:tcW w:w="141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hint="eastAsia"/>
                      <w:color w:val="auto"/>
                      <w:szCs w:val="21"/>
                      <w:lang w:eastAsia="zh-CN"/>
                      <w:highlight w:val="none"/>
                    </w:rPr>
                  </w:pPr>
                  <w:r>
                    <w:rPr>
                      <w:rFonts w:ascii="Times New Roman" w:eastAsia="宋体" w:cs="Times New Roman" w:hAnsi="Times New Roman" w:hint="eastAsia"/>
                      <w:color w:val="auto"/>
                      <w:sz w:val="21"/>
                      <w:szCs w:val="21"/>
                      <w:lang w:eastAsia="zh-CN"/>
                      <w:highlight w:val="none"/>
                    </w:rPr>
                    <w:t>1、园区按照相关要求，建立完善环境风险管理相关制度和有效的事故风险防范体系。</w:t>
                  </w:r>
                </w:p>
              </w:tc>
              <w:tc>
                <w:tcPr>
                  <w:tcW w:w="95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项目采取环境风险防范措施后，风险可控。</w:t>
                  </w:r>
                </w:p>
              </w:tc>
              <w:tc>
                <w:tcPr>
                  <w:tcW w:w="59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是</w:t>
                  </w:r>
                </w:p>
              </w:tc>
            </w:tr>
            <w:tr>
              <w:tc>
                <w:tcPr>
                  <w:tcW w:w="454" w:type="pct"/>
                  <w:vMerge/>
                  <w:vAlign w:val="center"/>
                </w:tcPr>
                <w:p/>
              </w:tc>
              <w:tc>
                <w:tcPr>
                  <w:tcW w:w="485" w:type="pct"/>
                  <w:vMerge/>
                  <w:tcBorders>
                    <w:left w:val="single" w:sz="4" w:space="0" w:color="auto"/>
                  </w:tcBorders>
                  <w:vAlign w:val="center"/>
                </w:tcPr>
                <w:p/>
              </w:tc>
              <w:tc>
                <w:tcPr>
                  <w:tcW w:w="606" w:type="pct"/>
                  <w:vMerge/>
                  <w:tcBorders>
                    <w:left w:val="single" w:sz="4" w:space="0" w:color="auto"/>
                  </w:tcBorders>
                  <w:vAlign w:val="center"/>
                </w:tcPr>
                <w:p/>
              </w:tc>
              <w:tc>
                <w:tcPr>
                  <w:tcW w:w="481"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资源利用效率</w:t>
                  </w:r>
                </w:p>
              </w:tc>
              <w:tc>
                <w:tcPr>
                  <w:tcW w:w="141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1、提高再生水回用率。</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2、供水管网覆盖范围内，禁止工业企业新增开采使用地下水。</w:t>
                  </w:r>
                </w:p>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3、浅层地下水禁采区严格地下水最新管控要求。</w:t>
                  </w:r>
                </w:p>
              </w:tc>
              <w:tc>
                <w:tcPr>
                  <w:tcW w:w="95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项目生产不涉及用水，项目用水由园区供水管网提供；不涉及开采地下水。</w:t>
                  </w:r>
                </w:p>
              </w:tc>
              <w:tc>
                <w:tcPr>
                  <w:tcW w:w="598"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是</w:t>
                  </w:r>
                </w:p>
              </w:tc>
            </w:tr>
          </w:tbl>
          <w:p>
            <w:pPr>
              <w:pStyle w:val="43"/>
              <w:keepNext w:val="0"/>
              <w:keepLines w:val="0"/>
              <w:suppressLineNumbers w:val="0"/>
              <w:spacing w:before="0" w:beforeAutospacing="0" w:after="0" w:afterAutospacing="0" w:line="500" w:lineRule="exact"/>
              <w:ind w:right="0" w:firstLine="480"/>
              <w:rPr>
                <w:rFonts w:hint="eastAsia"/>
                <w:color w:val="auto"/>
                <w:sz w:val="24"/>
                <w:highlight w:val="none"/>
              </w:rPr>
            </w:pPr>
            <w:r>
              <w:rPr>
                <w:rFonts w:ascii="Times New Roman" w:cs="Times New Roman" w:hAnsi="Times New Roman"/>
                <w:color w:val="auto"/>
                <w:sz w:val="24"/>
                <w:szCs w:val="20"/>
                <w:highlight w:val="none"/>
              </w:rPr>
              <w:t>综上所述，项目符合</w:t>
            </w:r>
            <w:r>
              <w:rPr>
                <w:rFonts w:ascii="Times New Roman" w:cs="Times New Roman" w:hAnsi="Times New Roman" w:hint="eastAsia"/>
                <w:color w:val="auto"/>
                <w:sz w:val="24"/>
                <w:szCs w:val="20"/>
                <w:highlight w:val="none"/>
              </w:rPr>
              <w:t>《石家庄市生态环境准入清单（2023年版）》</w:t>
            </w:r>
            <w:r>
              <w:rPr>
                <w:rFonts w:ascii="Times New Roman" w:cs="Times New Roman" w:hAnsi="Times New Roman"/>
                <w:color w:val="auto"/>
                <w:sz w:val="24"/>
                <w:szCs w:val="20"/>
                <w:highlight w:val="none"/>
              </w:rPr>
              <w:t>的相关要求</w:t>
            </w:r>
            <w:r>
              <w:rPr>
                <w:rFonts w:ascii="Times New Roman" w:cs="Times New Roman" w:hAnsi="Times New Roman" w:hint="eastAsia"/>
                <w:color w:val="auto"/>
                <w:sz w:val="24"/>
                <w:szCs w:val="20"/>
                <w:highlight w:val="none"/>
              </w:rPr>
              <w:t>。</w:t>
            </w:r>
          </w:p>
          <w:p>
            <w:pPr>
              <w:pStyle w:val="137"/>
              <w:keepNext w:val="0"/>
              <w:keepLines w:val="0"/>
              <w:suppressLineNumbers w:val="0"/>
              <w:spacing w:before="0" w:beforeAutospacing="0" w:after="0" w:afterAutospacing="0"/>
              <w:ind w:left="0" w:right="0" w:firstLineChars="182" w:firstLine="437"/>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4、与环境管理政策符合性分析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项目与环境管理政策符合性分析见下表：</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7</w:t>
            </w:r>
            <w:r>
              <w:rPr>
                <w:rFonts w:ascii="Times New Roman" w:cs="Times New Roman" w:hAnsi="Times New Roman"/>
                <w:caps w:val="0"/>
                <w:smallCaps w:val="0"/>
                <w:color w:val="auto"/>
                <w:spacing w:val="0"/>
                <w:sz w:val="24"/>
                <w:szCs w:val="20"/>
                <w:highlight w:val="none"/>
              </w:rPr>
              <w:t xml:space="preserve">    与环境管理政策符合性分析一览表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532"/>
              <w:gridCol w:w="3293"/>
              <w:gridCol w:w="2085"/>
              <w:gridCol w:w="725"/>
            </w:tblGrid>
            <w:tr>
              <w:trPr>
                <w:trHeight w:val="340"/>
              </w:trPr>
              <w:tc>
                <w:tcPr>
                  <w:tcW w:w="1003" w:type="pct"/>
                  <w:vAlign w:val="center"/>
                </w:tcPr>
                <w:p>
                  <w:pPr>
                    <w:keepNext w:val="0"/>
                    <w:keepLines w:val="0"/>
                    <w:suppressLineNumbers w:val="0"/>
                    <w:adjustRightInd w:val="0"/>
                    <w:snapToGrid w:val="0"/>
                    <w:spacing w:before="0" w:beforeAutospacing="0" w:after="0" w:afterAutospacing="0"/>
                    <w:ind w:left="0" w:right="0"/>
                    <w:jc w:val="center"/>
                    <w:rPr>
                      <w:rFonts w:hAnsi="宋体"/>
                      <w:snapToGrid w:val="0"/>
                      <w:color w:val="auto"/>
                      <w:kern w:val="0"/>
                      <w:szCs w:val="21"/>
                      <w:highlight w:val="none"/>
                    </w:rPr>
                  </w:pPr>
                  <w:r>
                    <w:rPr>
                      <w:rFonts w:ascii="Times New Roman" w:cs="Times New Roman" w:hAnsi="宋体"/>
                      <w:snapToGrid w:val="0"/>
                      <w:color w:val="auto"/>
                      <w:kern w:val="0"/>
                      <w:sz w:val="21"/>
                      <w:szCs w:val="21"/>
                      <w:highlight w:val="none"/>
                    </w:rPr>
                    <w:t>环保政策</w:t>
                  </w:r>
                </w:p>
              </w:tc>
              <w:tc>
                <w:tcPr>
                  <w:tcW w:w="2156" w:type="pct"/>
                  <w:vAlign w:val="center"/>
                </w:tcPr>
                <w:p>
                  <w:pPr>
                    <w:keepNext w:val="0"/>
                    <w:keepLines w:val="0"/>
                    <w:suppressLineNumbers w:val="0"/>
                    <w:adjustRightInd w:val="0"/>
                    <w:snapToGrid w:val="0"/>
                    <w:spacing w:before="0" w:beforeAutospacing="0" w:after="0" w:afterAutospacing="0"/>
                    <w:ind w:left="0" w:right="0"/>
                    <w:jc w:val="center"/>
                    <w:rPr>
                      <w:rFonts w:hAnsi="宋体"/>
                      <w:snapToGrid w:val="0"/>
                      <w:color w:val="auto"/>
                      <w:kern w:val="0"/>
                      <w:szCs w:val="21"/>
                      <w:highlight w:val="none"/>
                    </w:rPr>
                  </w:pPr>
                  <w:r>
                    <w:rPr>
                      <w:rFonts w:ascii="Times New Roman" w:cs="Times New Roman" w:hAnsi="宋体"/>
                      <w:snapToGrid w:val="0"/>
                      <w:color w:val="auto"/>
                      <w:kern w:val="0"/>
                      <w:sz w:val="21"/>
                      <w:szCs w:val="21"/>
                      <w:highlight w:val="none"/>
                    </w:rPr>
                    <w:t>政策要求</w:t>
                  </w:r>
                </w:p>
              </w:tc>
              <w:tc>
                <w:tcPr>
                  <w:tcW w:w="1365" w:type="pct"/>
                  <w:vAlign w:val="center"/>
                </w:tcPr>
                <w:p>
                  <w:pPr>
                    <w:keepNext w:val="0"/>
                    <w:keepLines w:val="0"/>
                    <w:suppressLineNumbers w:val="0"/>
                    <w:adjustRightInd w:val="0"/>
                    <w:snapToGrid w:val="0"/>
                    <w:spacing w:before="0" w:beforeAutospacing="0" w:after="0" w:afterAutospacing="0"/>
                    <w:ind w:left="0" w:right="0"/>
                    <w:jc w:val="center"/>
                    <w:rPr>
                      <w:rFonts w:hAnsi="宋体"/>
                      <w:snapToGrid w:val="0"/>
                      <w:color w:val="auto"/>
                      <w:kern w:val="0"/>
                      <w:szCs w:val="21"/>
                      <w:highlight w:val="none"/>
                    </w:rPr>
                  </w:pPr>
                  <w:r>
                    <w:rPr>
                      <w:rFonts w:ascii="Times New Roman" w:cs="Times New Roman" w:hAnsi="宋体" w:hint="eastAsia"/>
                      <w:snapToGrid w:val="0"/>
                      <w:color w:val="auto"/>
                      <w:kern w:val="0"/>
                      <w:sz w:val="21"/>
                      <w:szCs w:val="21"/>
                      <w:highlight w:val="none"/>
                    </w:rPr>
                    <w:t>项目</w:t>
                  </w:r>
                  <w:r>
                    <w:rPr>
                      <w:rFonts w:ascii="Times New Roman" w:cs="Times New Roman" w:hAnsi="宋体"/>
                      <w:snapToGrid w:val="0"/>
                      <w:color w:val="auto"/>
                      <w:kern w:val="0"/>
                      <w:sz w:val="21"/>
                      <w:szCs w:val="21"/>
                      <w:highlight w:val="none"/>
                    </w:rPr>
                    <w:t>情况</w:t>
                  </w:r>
                </w:p>
              </w:tc>
              <w:tc>
                <w:tcPr>
                  <w:tcW w:w="475" w:type="pct"/>
                  <w:vAlign w:val="center"/>
                </w:tcPr>
                <w:p>
                  <w:pPr>
                    <w:keepNext w:val="0"/>
                    <w:keepLines w:val="0"/>
                    <w:suppressLineNumbers w:val="0"/>
                    <w:adjustRightInd w:val="0"/>
                    <w:snapToGrid w:val="0"/>
                    <w:spacing w:before="0" w:beforeAutospacing="0" w:after="0" w:afterAutospacing="0"/>
                    <w:ind w:left="0" w:right="0"/>
                    <w:jc w:val="center"/>
                    <w:rPr>
                      <w:rFonts w:hAnsi="宋体"/>
                      <w:snapToGrid w:val="0"/>
                      <w:color w:val="auto"/>
                      <w:kern w:val="0"/>
                      <w:szCs w:val="21"/>
                      <w:highlight w:val="none"/>
                    </w:rPr>
                  </w:pPr>
                  <w:r>
                    <w:rPr>
                      <w:rFonts w:ascii="Times New Roman" w:cs="Times New Roman" w:hAnsi="宋体"/>
                      <w:snapToGrid w:val="0"/>
                      <w:color w:val="auto"/>
                      <w:kern w:val="0"/>
                      <w:sz w:val="21"/>
                      <w:szCs w:val="21"/>
                      <w:highlight w:val="none"/>
                    </w:rPr>
                    <w:t>符合性</w:t>
                  </w:r>
                </w:p>
              </w:tc>
            </w:tr>
            <w:tr>
              <w:trPr>
                <w:trHeight w:val="340"/>
              </w:trPr>
              <w:tc>
                <w:tcPr>
                  <w:tcW w:w="1003"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《河北省大气污染防治条例》</w:t>
                  </w:r>
                </w:p>
              </w:tc>
              <w:tc>
                <w:tcPr>
                  <w:tcW w:w="2156" w:type="pct"/>
                  <w:tcBorders>
                    <w:left w:val="single" w:sz="4" w:space="0" w:color="auto"/>
                  </w:tcBorders>
                  <w:vAlign w:val="center"/>
                </w:tcPr>
                <w:p>
                  <w:pPr>
                    <w:keepNext w:val="0"/>
                    <w:keepLines w:val="0"/>
                    <w:numPr>
                      <w:ilvl w:val="0"/>
                      <w:numId w:val="2"/>
                    </w:numPr>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县级以上人民政府应当统筹考虑区域环境资源承载能力，合理确定重点产业和能源结构，制定和推行有利于大气污染防治的经济政策，促进污染企业进行技术改造与产业升级。</w:t>
                  </w:r>
                </w:p>
                <w:p>
                  <w:pPr>
                    <w:keepNext w:val="0"/>
                    <w:keepLines w:val="0"/>
                    <w:numPr>
                      <w:ilvl w:val="0"/>
                      <w:numId w:val="2"/>
                    </w:numPr>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县级以上人民政府应当优化产业布局，逐步将钢铁、水泥、平板玻璃、化学合成制药、有色金属冶炼、化工等重污染企业搬出城市建成区和生态红线控制区。在完成落实技术改造措施和达到排放污染防治标准要求后，迁入工业园区。</w:t>
                  </w:r>
                </w:p>
              </w:tc>
              <w:tc>
                <w:tcPr>
                  <w:tcW w:w="136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项目不属于</w:t>
                  </w:r>
                  <w:r>
                    <w:rPr>
                      <w:rFonts w:ascii="Times New Roman" w:cs="Times New Roman" w:hAnsi="Times New Roman"/>
                      <w:color w:val="auto"/>
                      <w:sz w:val="21"/>
                      <w:szCs w:val="21"/>
                      <w:highlight w:val="none"/>
                    </w:rPr>
                    <w:t>钢铁、水泥、平板玻璃、化学合成制药、有色金属冶炼、化工等重污染企业</w:t>
                  </w:r>
                  <w:r>
                    <w:rPr>
                      <w:rFonts w:ascii="Times New Roman" w:cs="Times New Roman" w:hAnsi="Times New Roman" w:hint="eastAsia"/>
                      <w:color w:val="auto"/>
                      <w:sz w:val="21"/>
                      <w:szCs w:val="21"/>
                      <w:highlight w:val="none"/>
                    </w:rPr>
                    <w:t>。</w:t>
                  </w:r>
                  <w:r>
                    <w:rPr>
                      <w:rFonts w:ascii="Times New Roman" w:cs="Times New Roman" w:hAnsi="Times New Roman" w:hint="eastAsia"/>
                      <w:color w:val="auto"/>
                      <w:sz w:val="21"/>
                      <w:szCs w:val="21"/>
                      <w:lang w:eastAsia="zh-CN"/>
                      <w:highlight w:val="none"/>
                    </w:rPr>
                    <w:t>根据不动产权证，占地为工业用地</w:t>
                  </w:r>
                  <w:r>
                    <w:rPr>
                      <w:rFonts w:ascii="Times New Roman" w:cs="Times New Roman" w:hAnsi="Times New Roman" w:hint="eastAsia"/>
                      <w:color w:val="auto"/>
                      <w:sz w:val="21"/>
                      <w:szCs w:val="21"/>
                      <w:highlight w:val="none"/>
                    </w:rPr>
                    <w:t>，符合</w:t>
                  </w:r>
                  <w:r>
                    <w:rPr>
                      <w:rFonts w:ascii="Times New Roman" w:cs="Times New Roman" w:hAnsi="Times New Roman" w:hint="eastAsia"/>
                      <w:color w:val="auto"/>
                      <w:sz w:val="21"/>
                      <w:szCs w:val="21"/>
                      <w:lang w:eastAsia="zh-CN"/>
                      <w:highlight w:val="none"/>
                    </w:rPr>
                    <w:t>河北省石家庄装备制造产业园总体规划要求</w:t>
                  </w:r>
                  <w:r>
                    <w:rPr>
                      <w:rFonts w:ascii="Times New Roman" w:cs="Times New Roman" w:hAnsi="Times New Roman" w:hint="eastAsia"/>
                      <w:color w:val="auto"/>
                      <w:sz w:val="21"/>
                      <w:szCs w:val="21"/>
                      <w:highlight w:val="none"/>
                    </w:rPr>
                    <w:t>。</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第十五条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本省实行重点大气污染物排放总量控制制度，逐步削减重点大气污染物排放总量。省人民政府结合经济社会发展水平、环境质量状况、产业结构，将重点大气污染物排放总量控制指标，分解落实到设区的市、县（市）人民政府。设区的市、县（市）人民政府按照公开、公平、公正的原则，将重点大气污染物排放总量控制指标分解落实到排污单位。排污单位不得超过总量控制指标排放大气污染物。</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第十六条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本省在严格控制重点大气污染物排放总量、实行排放总量削减计划的前提下，按照有利于总量减少的原则，逐步推行重点大气污染物排污权和碳排放权交易。</w:t>
                  </w:r>
                </w:p>
              </w:tc>
              <w:tc>
                <w:tcPr>
                  <w:tcW w:w="136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项目不涉及二氧化硫、氮氧化物的排放，不涉及</w:t>
                  </w:r>
                  <w:r>
                    <w:rPr>
                      <w:rFonts w:ascii="Times New Roman" w:cs="Times New Roman" w:hAnsi="Times New Roman"/>
                      <w:color w:val="auto"/>
                      <w:sz w:val="21"/>
                      <w:szCs w:val="21"/>
                      <w:highlight w:val="none"/>
                    </w:rPr>
                    <w:t>重点大气污染物排放总量</w:t>
                  </w:r>
                  <w:r>
                    <w:rPr>
                      <w:rFonts w:ascii="Times New Roman" w:cs="Times New Roman" w:hAnsi="Times New Roman" w:hint="eastAsia"/>
                      <w:color w:val="auto"/>
                      <w:sz w:val="21"/>
                      <w:szCs w:val="21"/>
                      <w:highlight w:val="none"/>
                    </w:rPr>
                    <w:t>，无需进行</w:t>
                  </w:r>
                  <w:r>
                    <w:rPr>
                      <w:rFonts w:ascii="Times New Roman" w:cs="Times New Roman" w:hAnsi="Times New Roman"/>
                      <w:color w:val="auto"/>
                      <w:sz w:val="21"/>
                      <w:szCs w:val="21"/>
                      <w:highlight w:val="none"/>
                    </w:rPr>
                    <w:t>重点大气污染物排污权和碳排放权交易</w:t>
                  </w:r>
                  <w:r>
                    <w:rPr>
                      <w:rFonts w:ascii="Times New Roman" w:cs="Times New Roman" w:hAnsi="Times New Roman" w:hint="eastAsia"/>
                      <w:color w:val="auto"/>
                      <w:sz w:val="21"/>
                      <w:szCs w:val="21"/>
                      <w:highlight w:val="none"/>
                    </w:rPr>
                    <w:t>。</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第十七条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本省实行大气污染物排污许可管理制度。向大气排放工业废气或者有毒有害大气污染物的企业事业单位、集中供热设施的燃煤热源生产运营单位，以及其他依法实行排污许可管理的单位，应当依法取得排污许可证。禁止无排污许可证或者不按照排污许可证的规定排放大气污染物。向大气排放污染物的排污单位，应当按照国家和本省规定，设置大气污染物排放口及其标志。除因发生或者可能发生安全生产事故或者突发环境事件需要通过应急排放通道排放大气污染物外，禁止通过其他排放通道排放大气污染物。</w:t>
                  </w:r>
                </w:p>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第十八条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向大气排放污染物的重点排污单位，应当按照国家和本省有关规定安装使用大气污染物排放自动监测设备，并与环境保护主管部门的监控设备联网，保证监测设备正常运行并依法公开排放信息。重点排污单位不得破坏、损毁或者擅自拆除、闲置大气污染物排放自动监测设备，不得篡改、伪造监测数据。</w:t>
                  </w:r>
                </w:p>
              </w:tc>
              <w:tc>
                <w:tcPr>
                  <w:tcW w:w="136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项目要求建设完成后，依法取得</w:t>
                  </w:r>
                  <w:r>
                    <w:rPr>
                      <w:rFonts w:ascii="Times New Roman" w:cs="Times New Roman" w:hAnsi="Times New Roman" w:hint="eastAsia"/>
                      <w:color w:val="auto"/>
                      <w:sz w:val="21"/>
                      <w:szCs w:val="21"/>
                      <w:lang w:eastAsia="zh-CN"/>
                      <w:highlight w:val="none"/>
                    </w:rPr>
                    <w:t>排污手续</w:t>
                  </w:r>
                  <w:r>
                    <w:rPr>
                      <w:rFonts w:ascii="Times New Roman" w:cs="Times New Roman" w:hAnsi="Times New Roman" w:hint="eastAsia"/>
                      <w:color w:val="auto"/>
                      <w:sz w:val="21"/>
                      <w:szCs w:val="21"/>
                      <w:highlight w:val="none"/>
                    </w:rPr>
                    <w:t>。对排入大气的排放口，</w:t>
                  </w:r>
                  <w:r>
                    <w:rPr>
                      <w:rFonts w:ascii="Helvetica" w:eastAsia="Helvetica" w:cs="Helvetica" w:hAnsi="Helvetica"/>
                      <w:color w:val="auto"/>
                      <w:sz w:val="21"/>
                      <w:szCs w:val="21"/>
                      <w:shd w:val="clear" w:color="auto" w:fill="FFFFFF"/>
                      <w:highlight w:val="none"/>
                    </w:rPr>
                    <w:t>设置大气污染物排放标志</w:t>
                  </w:r>
                  <w:r>
                    <w:rPr>
                      <w:rFonts w:ascii="Helvetica" w:cs="Helvetica" w:hAnsi="Helvetica" w:hint="eastAsia"/>
                      <w:color w:val="auto"/>
                      <w:sz w:val="21"/>
                      <w:szCs w:val="21"/>
                      <w:shd w:val="clear" w:color="auto" w:fill="FFFFFF"/>
                      <w:highlight w:val="none"/>
                    </w:rPr>
                    <w:t>。同时根据检测要求，定期检测。</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第二十九条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根据国家产业政策，严格控制新建、改建、扩建钢铁、水泥、平板玻璃、化学合成制药、有色金属冶炼、化工等工业项目。现有大气重污染工业项目应当按照国家和本省有关规定开展清洁生产审核。</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eastAsia="宋体" w:hint="eastAsia"/>
                      <w:bCs w:val="0"/>
                      <w:color w:val="auto"/>
                      <w:spacing w:val="0"/>
                      <w:kern w:val="2"/>
                      <w:szCs w:val="21"/>
                      <w:lang w:eastAsia="zh-CN"/>
                      <w:highlight w:val="none"/>
                    </w:rPr>
                  </w:pPr>
                  <w:r>
                    <w:rPr>
                      <w:rFonts w:ascii="Times New Roman" w:cs="Times New Roman" w:hAnsi="Times New Roman" w:hint="eastAsia"/>
                      <w:bCs w:val="0"/>
                      <w:color w:val="auto"/>
                      <w:spacing w:val="0"/>
                      <w:kern w:val="2"/>
                      <w:sz w:val="21"/>
                      <w:szCs w:val="21"/>
                      <w:highlight w:val="none"/>
                    </w:rPr>
                    <w:t>项目</w:t>
                  </w:r>
                  <w:r>
                    <w:rPr>
                      <w:rFonts w:ascii="Times New Roman" w:cs="Times New Roman" w:hAnsi="Times New Roman" w:hint="eastAsia"/>
                      <w:bCs w:val="0"/>
                      <w:color w:val="auto"/>
                      <w:spacing w:val="0"/>
                      <w:kern w:val="2"/>
                      <w:sz w:val="21"/>
                      <w:szCs w:val="21"/>
                      <w:lang w:val="en-US" w:eastAsia="zh-CN"/>
                      <w:highlight w:val="none"/>
                    </w:rPr>
                    <w:t>不涉及</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bCs w:val="0"/>
                      <w:color w:val="auto"/>
                      <w:spacing w:val="0"/>
                      <w:kern w:val="2"/>
                      <w:szCs w:val="21"/>
                      <w:highlight w:val="none"/>
                    </w:rPr>
                  </w:pPr>
                  <w:r>
                    <w:rPr>
                      <w:rFonts w:ascii="Times New Roman" w:cs="Times New Roman" w:hAnsi="Times New Roman" w:hint="eastAsia"/>
                      <w:bCs w:val="0"/>
                      <w:color w:val="auto"/>
                      <w:spacing w:val="0"/>
                      <w:kern w:val="2"/>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第三十一条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在生产经营过程中产生有毒有害大气污染物的，排污单位应当安装收集净化装置或者采取其他措施，达到国家和本省规定的排放标准。禁止直接排放有毒有害大气污染物。</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bCs w:val="0"/>
                      <w:color w:val="auto"/>
                      <w:spacing w:val="0"/>
                      <w:kern w:val="2"/>
                      <w:sz w:val="21"/>
                      <w:szCs w:val="21"/>
                      <w:highlight w:val="none"/>
                    </w:rPr>
                    <w:t>项目</w:t>
                  </w:r>
                  <w:r>
                    <w:rPr>
                      <w:rFonts w:ascii="Times New Roman" w:cs="Times New Roman" w:hAnsi="Times New Roman" w:hint="eastAsia"/>
                      <w:color w:val="auto"/>
                      <w:spacing w:val="0"/>
                      <w:sz w:val="21"/>
                      <w:szCs w:val="21"/>
                      <w:highlight w:val="none"/>
                    </w:rPr>
                    <w:t>不涉及有毒有害大气污染物的排放，</w:t>
                  </w:r>
                  <w:r>
                    <w:rPr>
                      <w:rFonts w:ascii="Times New Roman" w:cs="Times New Roman" w:hAnsi="Times New Roman" w:hint="eastAsia"/>
                      <w:color w:val="auto"/>
                      <w:sz w:val="21"/>
                      <w:szCs w:val="21"/>
                      <w:lang w:val="en-US" w:eastAsia="zh-CN"/>
                      <w:highlight w:val="none"/>
                    </w:rPr>
                    <w:t>项目原料采用尼龙粒子，项目废气经集气罩收集后通过布袋除尘器+两级活性炭吸附装置+15m高排气筒排放</w:t>
                  </w:r>
                  <w:r>
                    <w:rPr>
                      <w:rFonts w:ascii="Times New Roman" w:cs="Times New Roman" w:hAnsi="Times New Roman" w:hint="eastAsia"/>
                      <w:color w:val="auto"/>
                      <w:spacing w:val="0"/>
                      <w:sz w:val="21"/>
                      <w:szCs w:val="21"/>
                      <w:highlight w:val="none"/>
                    </w:rPr>
                    <w:t>。</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第三十三条</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产生含挥发性有机物废气的生产和服务活动，应当在密闭空间或者设备中进行，并按照规定安装、使用污染防治设施；无法密闭的，应当采取措施减少废气排放。禁止在人口集中地区从事露天喷漆、喷涂、喷砂、制作玻璃钢以及其他散发有毒有害气体的作业。</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color w:val="auto"/>
                      <w:spacing w:val="0"/>
                      <w:szCs w:val="21"/>
                      <w:highlight w:val="none"/>
                    </w:rPr>
                  </w:pPr>
                  <w:r>
                    <w:rPr>
                      <w:rFonts w:ascii="Times New Roman" w:cs="Times New Roman" w:hAnsi="Times New Roman" w:hint="eastAsia"/>
                      <w:bCs w:val="0"/>
                      <w:color w:val="auto"/>
                      <w:spacing w:val="0"/>
                      <w:kern w:val="2"/>
                      <w:sz w:val="21"/>
                      <w:szCs w:val="21"/>
                      <w:highlight w:val="none"/>
                    </w:rPr>
                    <w:t>项目生产在密闭车间内进行</w:t>
                  </w:r>
                  <w:r>
                    <w:rPr>
                      <w:rFonts w:ascii="Times New Roman" w:cs="Times New Roman" w:hAnsi="Times New Roman" w:hint="eastAsia"/>
                      <w:bCs w:val="0"/>
                      <w:color w:val="auto"/>
                      <w:spacing w:val="0"/>
                      <w:kern w:val="2"/>
                      <w:sz w:val="21"/>
                      <w:szCs w:val="21"/>
                      <w:lang w:eastAsia="zh-CN"/>
                      <w:highlight w:val="none"/>
                    </w:rPr>
                    <w:t>，</w:t>
                  </w:r>
                  <w:r>
                    <w:rPr>
                      <w:rFonts w:ascii="Times New Roman" w:cs="Times New Roman" w:hAnsi="Times New Roman" w:hint="eastAsia"/>
                      <w:bCs w:val="0"/>
                      <w:color w:val="auto"/>
                      <w:spacing w:val="0"/>
                      <w:kern w:val="2"/>
                      <w:sz w:val="21"/>
                      <w:szCs w:val="21"/>
                      <w:lang w:val="en-US" w:eastAsia="zh-CN"/>
                      <w:highlight w:val="none"/>
                    </w:rPr>
                    <w:t>本评价要求企业按照要求安装、使用污染防治设施；</w:t>
                  </w:r>
                  <w:r>
                    <w:rPr>
                      <w:rFonts w:ascii="Times New Roman" w:cs="Times New Roman" w:hAnsi="Times New Roman" w:hint="eastAsia"/>
                      <w:bCs w:val="0"/>
                      <w:color w:val="auto"/>
                      <w:spacing w:val="0"/>
                      <w:kern w:val="2"/>
                      <w:sz w:val="21"/>
                      <w:szCs w:val="21"/>
                      <w:highlight w:val="none"/>
                    </w:rPr>
                    <w:t>不涉及</w:t>
                  </w:r>
                  <w:r>
                    <w:rPr>
                      <w:rFonts w:ascii="Times New Roman" w:cs="Times New Roman" w:hAnsi="Times New Roman"/>
                      <w:bCs w:val="0"/>
                      <w:color w:val="auto"/>
                      <w:spacing w:val="0"/>
                      <w:kern w:val="2"/>
                      <w:sz w:val="21"/>
                      <w:szCs w:val="21"/>
                      <w:highlight w:val="none"/>
                    </w:rPr>
                    <w:t>在人口集中地区从事露天喷漆、喷涂、喷砂、制作玻璃钢以及其他散发有毒有害气体的作业</w:t>
                  </w:r>
                  <w:r>
                    <w:rPr>
                      <w:rFonts w:ascii="Times New Roman" w:cs="Times New Roman" w:hAnsi="Times New Roman" w:hint="eastAsia"/>
                      <w:bCs w:val="0"/>
                      <w:color w:val="auto"/>
                      <w:spacing w:val="0"/>
                      <w:kern w:val="2"/>
                      <w:sz w:val="21"/>
                      <w:szCs w:val="21"/>
                      <w:highlight w:val="none"/>
                    </w:rPr>
                    <w:t>。</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《河北省水污染防治条例》（河北省第十三届人民代表大会常务委员会公告第4号）</w:t>
                  </w:r>
                </w:p>
              </w:tc>
              <w:tc>
                <w:tcPr>
                  <w:tcW w:w="2156"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排放工业废水的企业应当采取有效措施，收集和处理产生的全部废水，防止污染环境。含有毒有害水污染物的工业废水应当分类收集和处理，不得稀释排放。</w:t>
                  </w:r>
                </w:p>
              </w:tc>
              <w:tc>
                <w:tcPr>
                  <w:tcW w:w="136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lang w:eastAsia="zh-CN"/>
                      <w:highlight w:val="none"/>
                    </w:rPr>
                    <w:t>项目废水主要为职工生活污水，生活污水经集成式生物化粪池处理后经园区污水管网排入绿源污水处理有限公司进一步处理</w:t>
                  </w:r>
                  <w:r>
                    <w:rPr>
                      <w:rFonts w:ascii="Times New Roman" w:cs="Times New Roman" w:hAnsi="Times New Roman" w:hint="eastAsia"/>
                      <w:color w:val="auto"/>
                      <w:sz w:val="21"/>
                      <w:szCs w:val="21"/>
                      <w:highlight w:val="none"/>
                    </w:rPr>
                    <w:t>，不会对环境造成污染</w:t>
                  </w:r>
                  <w:r>
                    <w:rPr>
                      <w:rFonts w:ascii="Times New Roman" w:cs="Times New Roman" w:hAnsi="Times New Roman"/>
                      <w:color w:val="auto"/>
                      <w:sz w:val="21"/>
                      <w:szCs w:val="21"/>
                      <w:highlight w:val="none"/>
                    </w:rPr>
                    <w:t>。</w:t>
                  </w:r>
                </w:p>
              </w:tc>
              <w:tc>
                <w:tcPr>
                  <w:tcW w:w="47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符合</w:t>
                  </w:r>
                </w:p>
              </w:tc>
            </w:tr>
            <w:tr>
              <w:trPr>
                <w:trHeight w:val="340"/>
              </w:trPr>
              <w:tc>
                <w:tcPr>
                  <w:tcW w:w="1003"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color w:val="auto"/>
                      <w:spacing w:val="0"/>
                      <w:szCs w:val="21"/>
                      <w:highlight w:val="none"/>
                    </w:rPr>
                  </w:pPr>
                  <w:r>
                    <w:rPr>
                      <w:rFonts w:ascii="Times New Roman" w:cs="Times New Roman" w:hAnsi="Times New Roman"/>
                      <w:color w:val="auto"/>
                      <w:spacing w:val="0"/>
                      <w:sz w:val="21"/>
                      <w:szCs w:val="21"/>
                      <w:highlight w:val="none"/>
                    </w:rPr>
                    <w:t>《河北省水污染防治工作方案》（冀发〔2015〕28号）</w:t>
                  </w:r>
                </w:p>
              </w:tc>
              <w:tc>
                <w:tcPr>
                  <w:tcW w:w="2156"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color w:val="auto"/>
                      <w:spacing w:val="0"/>
                      <w:szCs w:val="21"/>
                      <w:highlight w:val="none"/>
                    </w:rPr>
                  </w:pPr>
                  <w:r>
                    <w:rPr>
                      <w:rFonts w:ascii="Times New Roman" w:cs="Times New Roman" w:hAnsi="Times New Roman"/>
                      <w:color w:val="auto"/>
                      <w:spacing w:val="0"/>
                      <w:sz w:val="21"/>
                      <w:szCs w:val="21"/>
                      <w:highlight w:val="none"/>
                    </w:rPr>
                    <w:t>严格控制高污染、高耗水行业新增产能。对造纸、焦化、氮肥、石油化工、印染、农副食品加工、原料药制造、制革、农药、电镀等</w:t>
                  </w:r>
                  <w:r>
                    <w:rPr>
                      <w:rFonts w:ascii="Times New Roman" w:cs="Times New Roman" w:hAnsi="Times New Roman" w:hint="eastAsia"/>
                      <w:color w:val="auto"/>
                      <w:spacing w:val="0"/>
                      <w:sz w:val="21"/>
                      <w:szCs w:val="21"/>
                      <w:highlight w:val="none"/>
                    </w:rPr>
                    <w:t>“</w:t>
                  </w:r>
                  <w:r>
                    <w:rPr>
                      <w:rFonts w:ascii="Times New Roman" w:cs="Times New Roman" w:hAnsi="Times New Roman"/>
                      <w:color w:val="auto"/>
                      <w:spacing w:val="0"/>
                      <w:sz w:val="21"/>
                      <w:szCs w:val="21"/>
                      <w:highlight w:val="none"/>
                    </w:rPr>
                    <w:t>十大</w:t>
                  </w:r>
                  <w:r>
                    <w:rPr>
                      <w:rFonts w:ascii="Times New Roman" w:cs="Times New Roman" w:hAnsi="Times New Roman" w:hint="eastAsia"/>
                      <w:color w:val="auto"/>
                      <w:spacing w:val="0"/>
                      <w:sz w:val="21"/>
                      <w:szCs w:val="21"/>
                      <w:highlight w:val="none"/>
                    </w:rPr>
                    <w:t>”</w:t>
                  </w:r>
                  <w:r>
                    <w:rPr>
                      <w:rFonts w:ascii="Times New Roman" w:cs="Times New Roman" w:hAnsi="Times New Roman"/>
                      <w:color w:val="auto"/>
                      <w:spacing w:val="0"/>
                      <w:sz w:val="21"/>
                      <w:szCs w:val="21"/>
                      <w:highlight w:val="none"/>
                    </w:rPr>
                    <w:t>重点行业，新建、</w:t>
                  </w:r>
                  <w:r>
                    <w:rPr>
                      <w:rFonts w:ascii="Times New Roman" w:cs="Times New Roman" w:hAnsi="Times New Roman" w:hint="eastAsia"/>
                      <w:color w:val="auto"/>
                      <w:spacing w:val="0"/>
                      <w:sz w:val="21"/>
                      <w:szCs w:val="21"/>
                      <w:highlight w:val="none"/>
                    </w:rPr>
                    <w:t>技改</w:t>
                  </w:r>
                  <w:r>
                    <w:rPr>
                      <w:rFonts w:ascii="Times New Roman" w:cs="Times New Roman" w:hAnsi="Times New Roman"/>
                      <w:color w:val="auto"/>
                      <w:spacing w:val="0"/>
                      <w:sz w:val="21"/>
                      <w:szCs w:val="21"/>
                      <w:highlight w:val="none"/>
                    </w:rPr>
                    <w:t>、扩建项目实行新增主要污染物排放倍量替代。</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bCs w:val="0"/>
                      <w:color w:val="auto"/>
                      <w:spacing w:val="0"/>
                      <w:kern w:val="2"/>
                      <w:szCs w:val="21"/>
                      <w:highlight w:val="none"/>
                    </w:rPr>
                  </w:pPr>
                  <w:r>
                    <w:rPr>
                      <w:rFonts w:ascii="Times New Roman" w:cs="Times New Roman" w:hAnsi="Times New Roman"/>
                      <w:bCs w:val="0"/>
                      <w:color w:val="auto"/>
                      <w:spacing w:val="0"/>
                      <w:kern w:val="2"/>
                      <w:sz w:val="21"/>
                      <w:szCs w:val="21"/>
                      <w:highlight w:val="none"/>
                    </w:rPr>
                    <w:t>项目不属于高污染、高耗水行业，不属于</w:t>
                  </w:r>
                  <w:r>
                    <w:rPr>
                      <w:rFonts w:ascii="Times New Roman" w:cs="Times New Roman" w:hAnsi="Times New Roman" w:hint="eastAsia"/>
                      <w:bCs w:val="0"/>
                      <w:color w:val="auto"/>
                      <w:spacing w:val="0"/>
                      <w:kern w:val="2"/>
                      <w:sz w:val="21"/>
                      <w:szCs w:val="21"/>
                      <w:highlight w:val="none"/>
                    </w:rPr>
                    <w:t>“</w:t>
                  </w:r>
                  <w:r>
                    <w:rPr>
                      <w:rFonts w:ascii="Times New Roman" w:cs="Times New Roman" w:hAnsi="Times New Roman"/>
                      <w:bCs w:val="0"/>
                      <w:color w:val="auto"/>
                      <w:spacing w:val="0"/>
                      <w:kern w:val="2"/>
                      <w:sz w:val="21"/>
                      <w:szCs w:val="21"/>
                      <w:highlight w:val="none"/>
                    </w:rPr>
                    <w:t>十大重点行业</w:t>
                  </w:r>
                  <w:r>
                    <w:rPr>
                      <w:rFonts w:ascii="Times New Roman" w:cs="Times New Roman" w:hAnsi="Times New Roman" w:hint="eastAsia"/>
                      <w:bCs w:val="0"/>
                      <w:color w:val="auto"/>
                      <w:spacing w:val="0"/>
                      <w:kern w:val="2"/>
                      <w:sz w:val="21"/>
                      <w:szCs w:val="21"/>
                      <w:highlight w:val="none"/>
                    </w:rPr>
                    <w:t>”</w:t>
                  </w:r>
                  <w:r>
                    <w:rPr>
                      <w:rFonts w:ascii="Times New Roman" w:cs="Times New Roman" w:hAnsi="Times New Roman"/>
                      <w:bCs w:val="0"/>
                      <w:color w:val="auto"/>
                      <w:spacing w:val="0"/>
                      <w:kern w:val="2"/>
                      <w:sz w:val="21"/>
                      <w:szCs w:val="21"/>
                      <w:highlight w:val="none"/>
                    </w:rPr>
                    <w:t>。</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bCs w:val="0"/>
                      <w:color w:val="auto"/>
                      <w:spacing w:val="0"/>
                      <w:kern w:val="2"/>
                      <w:szCs w:val="21"/>
                      <w:highlight w:val="none"/>
                    </w:rPr>
                  </w:pPr>
                  <w:r>
                    <w:rPr>
                      <w:rFonts w:ascii="Times New Roman" w:cs="Times New Roman" w:hAnsi="Times New Roman"/>
                      <w:bCs w:val="0"/>
                      <w:color w:val="auto"/>
                      <w:spacing w:val="0"/>
                      <w:kern w:val="2"/>
                      <w:sz w:val="21"/>
                      <w:szCs w:val="21"/>
                      <w:highlight w:val="none"/>
                    </w:rPr>
                    <w:t>符合</w:t>
                  </w:r>
                </w:p>
              </w:tc>
            </w:tr>
            <w:tr>
              <w:trPr>
                <w:trHeight w:val="340"/>
              </w:trPr>
              <w:tc>
                <w:tcPr>
                  <w:tcW w:w="1003"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《土壤污染防治行动计划》（国发〔2016〕31号）</w:t>
                  </w:r>
                </w:p>
              </w:tc>
              <w:tc>
                <w:tcPr>
                  <w:tcW w:w="2156"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严格控制在优先保护类耕地集中区域新建有色金属冶炼、石油加工、化工、焦化、电镀、制革等行业企业，现有相关行业企业要采用新技术、新工艺，加快提标升级改造步伐。严格执行相关行业企业布局选址要求，禁止在居民区、学校、医疗和养老机构等周边新建有色金属冶炼、焦化等行业企业；结合推进新型城镇化、产业结构调整和化解过剩产能等，有序搬迁或依法关闭对土壤造成严重污染的现有企业。</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bCs w:val="0"/>
                      <w:color w:val="auto"/>
                      <w:spacing w:val="0"/>
                      <w:szCs w:val="21"/>
                      <w:highlight w:val="none"/>
                    </w:rPr>
                  </w:pPr>
                  <w:r>
                    <w:rPr>
                      <w:rFonts w:ascii="Times New Roman" w:cs="Times New Roman" w:hAnsi="Times New Roman"/>
                      <w:color w:val="auto"/>
                      <w:spacing w:val="0"/>
                      <w:sz w:val="21"/>
                      <w:szCs w:val="21"/>
                      <w:highlight w:val="none"/>
                    </w:rPr>
                    <w:t>项目不属于计划中限制行业，不涉及有色金属冶炼、焦化等，项目废气</w:t>
                  </w:r>
                  <w:r>
                    <w:rPr>
                      <w:rFonts w:ascii="Times New Roman" w:cs="Times New Roman" w:hAnsi="Times New Roman" w:hint="eastAsia"/>
                      <w:color w:val="auto"/>
                      <w:spacing w:val="0"/>
                      <w:sz w:val="21"/>
                      <w:szCs w:val="21"/>
                      <w:highlight w:val="none"/>
                    </w:rPr>
                    <w:t>污染物，</w:t>
                  </w:r>
                  <w:r>
                    <w:rPr>
                      <w:rFonts w:ascii="Times New Roman" w:cs="Times New Roman" w:hAnsi="Times New Roman"/>
                      <w:color w:val="auto"/>
                      <w:spacing w:val="0"/>
                      <w:sz w:val="21"/>
                      <w:szCs w:val="21"/>
                      <w:highlight w:val="none"/>
                    </w:rPr>
                    <w:t>经过治理措施处理后</w:t>
                  </w:r>
                  <w:r>
                    <w:rPr>
                      <w:rFonts w:ascii="Times New Roman" w:cs="Times New Roman" w:hAnsi="Times New Roman" w:hint="eastAsia"/>
                      <w:color w:val="auto"/>
                      <w:spacing w:val="0"/>
                      <w:sz w:val="21"/>
                      <w:szCs w:val="21"/>
                      <w:highlight w:val="none"/>
                    </w:rPr>
                    <w:t>达标排放</w:t>
                  </w:r>
                  <w:r>
                    <w:rPr>
                      <w:rFonts w:ascii="Times New Roman" w:cs="Times New Roman" w:hAnsi="Times New Roman"/>
                      <w:color w:val="auto"/>
                      <w:spacing w:val="0"/>
                      <w:sz w:val="21"/>
                      <w:szCs w:val="21"/>
                      <w:highlight w:val="none"/>
                    </w:rPr>
                    <w:t>，不会对土壤造成严重污染</w:t>
                  </w:r>
                  <w:r>
                    <w:rPr>
                      <w:rFonts w:ascii="Times New Roman" w:cs="Times New Roman" w:hAnsi="Times New Roman" w:hint="eastAsia"/>
                      <w:color w:val="auto"/>
                      <w:spacing w:val="0"/>
                      <w:sz w:val="21"/>
                      <w:szCs w:val="21"/>
                      <w:highlight w:val="none"/>
                    </w:rPr>
                    <w:t>；</w:t>
                  </w:r>
                  <w:r>
                    <w:rPr>
                      <w:rFonts w:ascii="Times New Roman" w:cs="Times New Roman" w:hAnsi="Times New Roman" w:hint="eastAsia"/>
                      <w:color w:val="auto"/>
                      <w:spacing w:val="0"/>
                      <w:sz w:val="21"/>
                      <w:szCs w:val="21"/>
                      <w:lang w:eastAsia="zh-CN"/>
                      <w:highlight w:val="none"/>
                    </w:rPr>
                    <w:t>项目废水主要为职工生活污水，生活污水经集成式生物化粪池处理后经园区污水管网排入绿源污水处理有限公司进一步处理</w:t>
                  </w:r>
                  <w:r>
                    <w:rPr>
                      <w:rFonts w:ascii="Times New Roman" w:cs="Times New Roman" w:hAnsi="Times New Roman" w:hint="eastAsia"/>
                      <w:color w:val="auto"/>
                      <w:spacing w:val="0"/>
                      <w:sz w:val="21"/>
                      <w:szCs w:val="21"/>
                      <w:highlight w:val="none"/>
                    </w:rPr>
                    <w:t>，不会对土壤造成严重污染；项目固废均合理处置，不会对土壤造成严重污染</w:t>
                  </w:r>
                  <w:r>
                    <w:rPr>
                      <w:rFonts w:ascii="Times New Roman" w:cs="Times New Roman" w:hAnsi="Times New Roman"/>
                      <w:color w:val="auto"/>
                      <w:spacing w:val="0"/>
                      <w:sz w:val="21"/>
                      <w:szCs w:val="21"/>
                      <w:highlight w:val="none"/>
                    </w:rPr>
                    <w:t>。</w:t>
                  </w:r>
                  <w:r>
                    <w:rPr>
                      <w:rFonts w:ascii="Times New Roman" w:cs="Times New Roman" w:hAnsi="Times New Roman" w:hint="eastAsia"/>
                      <w:color w:val="auto"/>
                      <w:spacing w:val="0"/>
                      <w:sz w:val="21"/>
                      <w:szCs w:val="21"/>
                      <w:highlight w:val="none"/>
                    </w:rPr>
                    <w:t>且项目分区进行防渗，正常生产情况下，对土壤环境的影响较小。</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bCs w:val="0"/>
                      <w:color w:val="auto"/>
                      <w:spacing w:val="0"/>
                      <w:szCs w:val="21"/>
                      <w:highlight w:val="none"/>
                    </w:rPr>
                  </w:pPr>
                  <w:r>
                    <w:rPr>
                      <w:rFonts w:ascii="Times New Roman" w:cs="Times New Roman" w:hAnsi="Times New Roman"/>
                      <w:color w:val="auto"/>
                      <w:spacing w:val="0"/>
                      <w:sz w:val="21"/>
                      <w:szCs w:val="21"/>
                      <w:highlight w:val="none"/>
                    </w:rPr>
                    <w:t>符合</w:t>
                  </w:r>
                </w:p>
              </w:tc>
            </w:tr>
            <w:tr>
              <w:trPr>
                <w:trHeight w:val="340"/>
              </w:trPr>
              <w:tc>
                <w:tcPr>
                  <w:tcW w:w="1003"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《河北省人民政府办公厅关于进一步加强全省土壤污染防治工作的实施意见》（冀政办字〔2020〕11号）</w:t>
                  </w:r>
                </w:p>
              </w:tc>
              <w:tc>
                <w:tcPr>
                  <w:tcW w:w="2156"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开展建设用地调查评估。对土壤状况普查、详查、监测、现场检查等表明有土壤污染风险的建设用地地块，土地使用权人要开展土壤污染状况调查；用途变更为住宅、公共管理与公共服务用地的，变更前要进行土壤污染状况调查，对污染物含量超过土壤污染风险管控标准的地块，要按规定进行风险评估。2020年6月底前，各县（市、区）政府要组织对未经土壤污染状况调查，已开发利用为住宅、公共管理与公共服务用地的地块进行摸底调查，采取有效措施，确保人居环境安全。</w:t>
                  </w:r>
                </w:p>
              </w:tc>
              <w:tc>
                <w:tcPr>
                  <w:tcW w:w="1365" w:type="pct"/>
                  <w:tcBorders>
                    <w:lef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bCs/>
                      <w:color w:val="auto"/>
                      <w:kern w:val="0"/>
                      <w:szCs w:val="21"/>
                      <w:highlight w:val="none"/>
                    </w:rPr>
                  </w:pPr>
                  <w:r>
                    <w:rPr>
                      <w:rFonts w:ascii="Times New Roman" w:cs="Times New Roman" w:hAnsi="Times New Roman" w:hint="eastAsia"/>
                      <w:bCs/>
                      <w:color w:val="auto"/>
                      <w:kern w:val="0"/>
                      <w:sz w:val="21"/>
                      <w:szCs w:val="21"/>
                      <w:highlight w:val="none"/>
                    </w:rPr>
                    <w:t>项目位于</w:t>
                  </w:r>
                  <w:r>
                    <w:rPr>
                      <w:rFonts w:ascii="Times New Roman" w:cs="Times New Roman" w:hAnsi="Times New Roman" w:hint="eastAsia"/>
                      <w:bCs/>
                      <w:color w:val="auto"/>
                      <w:kern w:val="0"/>
                      <w:sz w:val="21"/>
                      <w:szCs w:val="21"/>
                      <w:lang w:eastAsia="zh-CN"/>
                      <w:highlight w:val="none"/>
                    </w:rPr>
                    <w:t>河北省石家庄市栾城区窦妪村装备制造产业园区奥翔街6-1号（院内3号房）</w:t>
                  </w:r>
                  <w:r>
                    <w:rPr>
                      <w:rFonts w:ascii="Times New Roman" w:cs="Times New Roman" w:hAnsi="Times New Roman" w:hint="eastAsia"/>
                      <w:bCs/>
                      <w:color w:val="auto"/>
                      <w:kern w:val="0"/>
                      <w:sz w:val="21"/>
                      <w:szCs w:val="21"/>
                      <w:highlight w:val="none"/>
                    </w:rPr>
                    <w:t>，</w:t>
                  </w:r>
                  <w:r>
                    <w:rPr>
                      <w:rFonts w:ascii="Times New Roman" w:cs="Times New Roman" w:hAnsi="Times New Roman" w:hint="eastAsia"/>
                      <w:bCs/>
                      <w:color w:val="auto"/>
                      <w:kern w:val="0"/>
                      <w:sz w:val="21"/>
                      <w:szCs w:val="21"/>
                      <w:lang w:eastAsia="zh-CN"/>
                      <w:highlight w:val="none"/>
                    </w:rPr>
                    <w:t>租赁现有厂房进行汽车塑料配件生产</w:t>
                  </w:r>
                  <w:r>
                    <w:rPr>
                      <w:rFonts w:ascii="Times New Roman" w:cs="Times New Roman" w:hAnsi="Times New Roman" w:hint="eastAsia"/>
                      <w:bCs/>
                      <w:color w:val="auto"/>
                      <w:kern w:val="0"/>
                      <w:sz w:val="21"/>
                      <w:szCs w:val="21"/>
                      <w:highlight w:val="none"/>
                    </w:rPr>
                    <w:t>。</w:t>
                  </w:r>
                  <w:r>
                    <w:rPr>
                      <w:rFonts w:ascii="Times New Roman" w:cs="Times New Roman" w:hAnsi="Times New Roman" w:hint="eastAsia"/>
                      <w:bCs/>
                      <w:color w:val="auto"/>
                      <w:kern w:val="0"/>
                      <w:sz w:val="21"/>
                      <w:szCs w:val="21"/>
                      <w:lang w:eastAsia="zh-CN"/>
                      <w:highlight w:val="none"/>
                    </w:rPr>
                    <w:t>根据不动产权证，占地为工业用地</w:t>
                  </w:r>
                  <w:r>
                    <w:rPr>
                      <w:rFonts w:ascii="Times New Roman" w:cs="Times New Roman" w:hAnsi="Times New Roman" w:hint="eastAsia"/>
                      <w:bCs/>
                      <w:color w:val="auto"/>
                      <w:kern w:val="0"/>
                      <w:sz w:val="21"/>
                      <w:szCs w:val="21"/>
                      <w:highlight w:val="none"/>
                    </w:rPr>
                    <w:t>，符合</w:t>
                  </w:r>
                  <w:r>
                    <w:rPr>
                      <w:rFonts w:ascii="Times New Roman" w:cs="Times New Roman" w:hAnsi="Times New Roman" w:hint="eastAsia"/>
                      <w:bCs/>
                      <w:color w:val="auto"/>
                      <w:kern w:val="0"/>
                      <w:sz w:val="21"/>
                      <w:szCs w:val="21"/>
                      <w:lang w:eastAsia="zh-CN"/>
                      <w:highlight w:val="none"/>
                    </w:rPr>
                    <w:t>河北省石家庄装备制造产业园总体规划要求</w:t>
                  </w:r>
                  <w:r>
                    <w:rPr>
                      <w:rFonts w:ascii="Times New Roman" w:cs="Times New Roman" w:hAnsi="Times New Roman" w:hint="eastAsia"/>
                      <w:bCs/>
                      <w:color w:val="auto"/>
                      <w:kern w:val="0"/>
                      <w:sz w:val="21"/>
                      <w:szCs w:val="21"/>
                      <w:highlight w:val="none"/>
                    </w:rPr>
                    <w:t>。项目无需开展土壤污染状况</w:t>
                  </w:r>
                  <w:r>
                    <w:rPr>
                      <w:rFonts w:ascii="Times New Roman" w:cs="Times New Roman" w:hAnsi="Times New Roman" w:hint="eastAsia"/>
                      <w:color w:val="auto"/>
                      <w:sz w:val="21"/>
                      <w:szCs w:val="21"/>
                      <w:highlight w:val="none"/>
                    </w:rPr>
                    <w:t>调查。</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严格建设用地准入管理。加强对土地征收、收回、收购的监督管理，土壤污染重点监管单位生产经营用地用途变更或土地使用权回收、转让的土壤污染状况调查报告，作为不动产登记资料送交当地政府不动产登记机构。对列入建设用地土壤污染风险管控和修复名录的地块，不得作为住宅、公共管理与公共服务用地；对未达到土壤污染风险管控、修复目标的地块，禁止开工建设任何与风险管控、修复无关的项目；有关部门不得批准环境影响评价技术文件、建设工程规划许可证等事项。</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项目所在地块未列入建设用地土壤污染风险管控和修复名录，无需开展土壤污染状况调查。</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vMerge/>
                  <w:vAlign w:val="center"/>
                </w:tcPr>
                <w:p/>
              </w:tc>
              <w:tc>
                <w:tcPr>
                  <w:tcW w:w="2156"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规范固体废物处置利用。加强工业固体废物堆存场所环境整治，提升大宗固体废物综合利用能力。统筹区域危险废物利用处置能力建设，严格危险废物经营许可审批。规范和完善医疗废物分类收集处置体系，2020年底前，全省医疗废物集中收集和集中处置率达到100%。全面禁止洋垃圾入境，推进实现固体废物零进口。积极推进雄安新区“无废城市”示范建设。</w:t>
                  </w:r>
                </w:p>
              </w:tc>
              <w:tc>
                <w:tcPr>
                  <w:tcW w:w="13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color w:val="auto"/>
                      <w:spacing w:val="0"/>
                      <w:szCs w:val="21"/>
                      <w:highlight w:val="none"/>
                    </w:rPr>
                  </w:pPr>
                  <w:r>
                    <w:rPr>
                      <w:rFonts w:ascii="Times New Roman" w:cs="Times New Roman" w:hAnsi="Times New Roman" w:hint="eastAsia"/>
                      <w:color w:val="auto"/>
                      <w:spacing w:val="0"/>
                      <w:sz w:val="21"/>
                      <w:szCs w:val="21"/>
                      <w:highlight w:val="none"/>
                    </w:rPr>
                    <w:t>项目一般固体废物均合理处置；危险废物分类</w:t>
                  </w:r>
                  <w:r>
                    <w:rPr>
                      <w:rFonts w:ascii="Times New Roman" w:cs="Times New Roman" w:hAnsi="Times New Roman" w:hint="eastAsia"/>
                      <w:color w:val="auto"/>
                      <w:spacing w:val="0"/>
                      <w:sz w:val="21"/>
                      <w:szCs w:val="21"/>
                      <w:lang w:val="zh-CN"/>
                      <w:highlight w:val="none"/>
                    </w:rPr>
                    <w:t>收集后暂存于危废间，定期交由有资质的单位处理，</w:t>
                  </w:r>
                  <w:r>
                    <w:rPr>
                      <w:rFonts w:ascii="Times New Roman" w:cs="Times New Roman" w:hAnsi="Times New Roman" w:hint="eastAsia"/>
                      <w:color w:val="auto"/>
                      <w:spacing w:val="0"/>
                      <w:sz w:val="21"/>
                      <w:szCs w:val="21"/>
                      <w:highlight w:val="none"/>
                    </w:rPr>
                    <w:t>固体废物规范处置。</w:t>
                  </w:r>
                </w:p>
              </w:tc>
              <w:tc>
                <w:tcPr>
                  <w:tcW w:w="47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hint="eastAsia"/>
                      <w:color w:val="auto"/>
                      <w:spacing w:val="0"/>
                      <w:szCs w:val="21"/>
                      <w:highlight w:val="none"/>
                    </w:rPr>
                  </w:pPr>
                  <w:r>
                    <w:rPr>
                      <w:rFonts w:ascii="Times New Roman" w:cs="Times New Roman" w:hAnsi="Times New Roman" w:hint="eastAsia"/>
                      <w:color w:val="auto"/>
                      <w:spacing w:val="0"/>
                      <w:sz w:val="21"/>
                      <w:szCs w:val="21"/>
                      <w:highlight w:val="none"/>
                    </w:rPr>
                    <w:t>符合</w:t>
                  </w:r>
                </w:p>
              </w:tc>
            </w:tr>
            <w:tr>
              <w:trPr>
                <w:trHeight w:val="340"/>
              </w:trPr>
              <w:tc>
                <w:tcPr>
                  <w:tcW w:w="1003" w:type="pct"/>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《关于进一步做好沙区建设项目环境影响评价工作的通知》冀环办字函</w:t>
                  </w:r>
                  <w:r>
                    <w:rPr>
                      <w:rFonts w:ascii="Times New Roman" w:cs="Times New Roman" w:hAnsi="Times New Roman"/>
                      <w:color w:val="auto"/>
                      <w:sz w:val="21"/>
                      <w:szCs w:val="21"/>
                      <w:highlight w:val="none"/>
                    </w:rPr>
                    <w:t>〔202</w:t>
                  </w:r>
                  <w:r>
                    <w:rPr>
                      <w:rFonts w:ascii="Times New Roman" w:cs="Times New Roman" w:hAnsi="Times New Roman" w:hint="eastAsia"/>
                      <w:color w:val="auto"/>
                      <w:sz w:val="21"/>
                      <w:szCs w:val="21"/>
                      <w:lang w:val="en-US" w:eastAsia="zh-CN"/>
                      <w:highlight w:val="none"/>
                    </w:rPr>
                    <w:t>3</w:t>
                  </w:r>
                  <w:r>
                    <w:rPr>
                      <w:rFonts w:ascii="Times New Roman" w:cs="Times New Roman" w:hAnsi="Times New Roman"/>
                      <w:color w:val="auto"/>
                      <w:sz w:val="21"/>
                      <w:szCs w:val="21"/>
                      <w:highlight w:val="none"/>
                    </w:rPr>
                    <w:t>〕</w:t>
                  </w:r>
                  <w:r>
                    <w:rPr>
                      <w:rFonts w:ascii="Times New Roman" w:cs="Times New Roman" w:hAnsi="Times New Roman" w:hint="eastAsia"/>
                      <w:color w:val="auto"/>
                      <w:sz w:val="21"/>
                      <w:szCs w:val="21"/>
                      <w:lang w:val="en-US" w:eastAsia="zh-CN"/>
                      <w:highlight w:val="none"/>
                    </w:rPr>
                    <w:t>326</w:t>
                  </w:r>
                  <w:r>
                    <w:rPr>
                      <w:rFonts w:ascii="Times New Roman" w:cs="Times New Roman" w:hAnsi="Times New Roman"/>
                      <w:color w:val="auto"/>
                      <w:sz w:val="21"/>
                      <w:szCs w:val="21"/>
                      <w:highlight w:val="none"/>
                    </w:rPr>
                    <w:t>号</w:t>
                  </w:r>
                </w:p>
              </w:tc>
              <w:tc>
                <w:tcPr>
                  <w:tcW w:w="2156"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沙区范围主要涉及的区域-</w:t>
                  </w:r>
                  <w:r>
                    <w:rPr>
                      <w:rFonts w:ascii="Times New Roman" w:eastAsia="宋体" w:cs="Times New Roman" w:hAnsi="Times New Roman" w:hint="eastAsia"/>
                      <w:color w:val="auto"/>
                      <w:kern w:val="2"/>
                      <w:sz w:val="21"/>
                      <w:szCs w:val="21"/>
                      <w:lang w:val="en-US" w:eastAsia="zh-CN" w:bidi="ar-SA"/>
                      <w:highlight w:val="none"/>
                    </w:rPr>
                    <w:t>石家庄：藁城区、行唐县、晋州市、灵寿县、深泽县、无极县、新乐市、赵县、正定县。</w:t>
                  </w:r>
                </w:p>
              </w:tc>
              <w:tc>
                <w:tcPr>
                  <w:tcW w:w="136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项目位于栾城区，不涉及沙区范围</w:t>
                  </w:r>
                </w:p>
              </w:tc>
              <w:tc>
                <w:tcPr>
                  <w:tcW w:w="47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符合</w:t>
                  </w:r>
                </w:p>
              </w:tc>
            </w:tr>
            <w:tr>
              <w:trPr>
                <w:trHeight w:val="688"/>
              </w:trPr>
              <w:tc>
                <w:tcPr>
                  <w:tcW w:w="1003" w:type="pct"/>
                  <w:vMerge w:val="restart"/>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《石家庄市2025年挥发性有机物治理工作实施方案的通知》</w:t>
                  </w:r>
                </w:p>
              </w:tc>
              <w:tc>
                <w:tcPr>
                  <w:tcW w:w="2156"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olor w:val="auto"/>
                      <w:kern w:val="2"/>
                      <w:sz w:val="21"/>
                      <w:szCs w:val="21"/>
                      <w:lang w:val="en-US" w:eastAsia="zh-CN" w:bidi="ar-SA"/>
                      <w:highlight w:val="none"/>
                    </w:rPr>
                  </w:pPr>
                  <w:r>
                    <w:rPr>
                      <w:rFonts w:ascii="Times New Roman" w:cs="Times New Roman" w:hAnsi="Times New Roman" w:hint="eastAsia"/>
                      <w:b/>
                      <w:bCs/>
                      <w:color w:val="auto"/>
                      <w:kern w:val="2"/>
                      <w:sz w:val="21"/>
                      <w:szCs w:val="21"/>
                      <w:lang w:val="en-US" w:eastAsia="zh-CN" w:bidi="ar-SA"/>
                      <w:highlight w:val="none"/>
                    </w:rPr>
                    <w:t>严格活性炭使用管理。</w:t>
                  </w:r>
                  <w:r>
                    <w:rPr>
                      <w:rFonts w:ascii="Times New Roman" w:cs="Times New Roman" w:hAnsi="Times New Roman" w:hint="eastAsia"/>
                      <w:color w:val="auto"/>
                      <w:kern w:val="2"/>
                      <w:sz w:val="21"/>
                      <w:szCs w:val="21"/>
                      <w:lang w:val="en-US" w:eastAsia="zh-CN" w:bidi="ar-SA"/>
                      <w:highlight w:val="none"/>
                    </w:rPr>
                    <w:t>3月底前，3062家使用活性炭吸附治理设施的企业，完成一轮活性炭、过滤棉更换，颗粒型活性炭填充量与每小时处理废气量体积比例1：7000，蜂窝状活性炭填充量与每小时处理废气量体积比例 1：5000；使用喷淋塔吸收治理工艺的，完成一轮吸收液更换；1342家使用RCO治理设施的，完成一轮活性炭再生脱附并对脱附废气进行检测。</w:t>
                  </w:r>
                </w:p>
              </w:tc>
              <w:tc>
                <w:tcPr>
                  <w:tcW w:w="136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项目采用颗粒型活性炭，填充量与每小时处理废气量体积比例大于1：7000，现有工程净化设施调整已于2024年6月12日取得《石家庄旭照电子科技有限公司废气治理设施提升改造项目环境影响登记表》，由布袋除尘器+UV光氧+活性炭吸附装置调整为布袋除尘器+二级活性炭吸附装置，现有工程活性炭已完成更换。</w:t>
                  </w:r>
                </w:p>
              </w:tc>
              <w:tc>
                <w:tcPr>
                  <w:tcW w:w="47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符合</w:t>
                  </w:r>
                </w:p>
              </w:tc>
            </w:tr>
            <w:tr>
              <w:trPr>
                <w:trHeight w:val="693"/>
              </w:trPr>
              <w:tc>
                <w:tcPr>
                  <w:tcW w:w="1003" w:type="pct"/>
                  <w:vMerge/>
                  <w:shd w:val="clear" w:color="auto" w:fill="auto"/>
                  <w:vAlign w:val="center"/>
                </w:tcPr>
                <w:p/>
              </w:tc>
              <w:tc>
                <w:tcPr>
                  <w:tcW w:w="2156"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olor w:val="auto"/>
                      <w:kern w:val="2"/>
                      <w:sz w:val="21"/>
                      <w:szCs w:val="21"/>
                      <w:lang w:val="en-US" w:eastAsia="zh-CN" w:bidi="ar-SA"/>
                      <w:highlight w:val="none"/>
                    </w:rPr>
                  </w:pPr>
                  <w:r>
                    <w:rPr>
                      <w:rFonts w:ascii="Times New Roman" w:cs="Times New Roman" w:hAnsi="Times New Roman" w:hint="eastAsia"/>
                      <w:b/>
                      <w:bCs/>
                      <w:color w:val="auto"/>
                      <w:kern w:val="2"/>
                      <w:sz w:val="21"/>
                      <w:szCs w:val="21"/>
                      <w:lang w:val="en-US" w:eastAsia="zh-CN" w:bidi="ar-SA"/>
                      <w:highlight w:val="none"/>
                    </w:rPr>
                    <w:t>严把活性炭质量。</w:t>
                  </w:r>
                  <w:r>
                    <w:rPr>
                      <w:rFonts w:ascii="Times New Roman" w:cs="Times New Roman" w:hAnsi="Times New Roman" w:hint="eastAsia"/>
                      <w:color w:val="auto"/>
                      <w:kern w:val="2"/>
                      <w:sz w:val="21"/>
                      <w:szCs w:val="21"/>
                      <w:lang w:val="en-US" w:eastAsia="zh-CN" w:bidi="ar-SA"/>
                      <w:highlight w:val="none"/>
                    </w:rPr>
                    <w:t>县(市、区)配备足量的便携式活性炭碘值检测仪，3月底前，所有完成活性炭更换的企业必须完成炭碘值检测，确保颗粒型活性炭碘值不低于800mg/g，蜂窝状活性炭碘值不低于650mg/g，严禁使用不合格活性炭。6月底前，完成一轮活性炭碘值检测，不满足使用要求的全部完成更换。</w:t>
                  </w:r>
                </w:p>
              </w:tc>
              <w:tc>
                <w:tcPr>
                  <w:tcW w:w="136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项目采用颗粒型活性炭，采用的碘值不低于800mg/g</w:t>
                  </w:r>
                </w:p>
              </w:tc>
              <w:tc>
                <w:tcPr>
                  <w:tcW w:w="475"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符合</w:t>
                  </w:r>
                </w:p>
              </w:tc>
            </w:tr>
          </w:tbl>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综上所述</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项目符合</w:t>
            </w:r>
            <w:r>
              <w:rPr>
                <w:rFonts w:ascii="Times New Roman" w:cs="Times New Roman" w:hAnsi="Times New Roman"/>
                <w:caps w:val="0"/>
                <w:smallCaps w:val="0"/>
                <w:color w:val="auto"/>
                <w:spacing w:val="0"/>
                <w:sz w:val="24"/>
                <w:szCs w:val="20"/>
                <w:lang w:val="en-US" w:eastAsia="zh-CN"/>
                <w:highlight w:val="none"/>
              </w:rPr>
              <w:t>相关环境</w:t>
            </w:r>
            <w:r>
              <w:rPr>
                <w:rFonts w:ascii="Times New Roman" w:cs="Times New Roman" w:hAnsi="Times New Roman"/>
                <w:caps w:val="0"/>
                <w:smallCaps w:val="0"/>
                <w:color w:val="auto"/>
                <w:spacing w:val="0"/>
                <w:sz w:val="24"/>
                <w:szCs w:val="20"/>
                <w:highlight w:val="none"/>
              </w:rPr>
              <w:t>管理政策的要求。</w:t>
            </w:r>
          </w:p>
          <w:p>
            <w:pPr>
              <w:pStyle w:val="137"/>
              <w:keepNext w:val="0"/>
              <w:keepLines w:val="0"/>
              <w:suppressLineNumbers w:val="0"/>
              <w:spacing w:before="0" w:beforeAutospacing="0" w:after="0" w:afterAutospacing="0"/>
              <w:ind w:left="0" w:right="0" w:firstLineChars="182" w:firstLine="437"/>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lang w:val="en-US" w:eastAsia="zh-CN"/>
                <w:highlight w:val="none"/>
              </w:rPr>
              <w:t>6</w:t>
            </w:r>
            <w:r>
              <w:rPr>
                <w:rFonts w:ascii="Times New Roman" w:cs="Times New Roman" w:hAnsi="Times New Roman"/>
                <w:b/>
                <w:caps w:val="0"/>
                <w:smallCaps w:val="0"/>
                <w:color w:val="auto"/>
                <w:spacing w:val="0"/>
                <w:sz w:val="24"/>
                <w:szCs w:val="20"/>
                <w:highlight w:val="none"/>
              </w:rPr>
              <w:t>、项目</w:t>
            </w:r>
            <w:r>
              <w:rPr>
                <w:rFonts w:ascii="Times New Roman" w:cs="Times New Roman" w:hAnsi="Times New Roman"/>
                <w:b/>
                <w:caps w:val="0"/>
                <w:smallCaps w:val="0"/>
                <w:color w:val="auto"/>
                <w:spacing w:val="0"/>
                <w:sz w:val="24"/>
                <w:szCs w:val="20"/>
                <w:lang w:val="en-US" w:eastAsia="zh-CN"/>
                <w:highlight w:val="none"/>
              </w:rPr>
              <w:t>与其他环境管理要求</w:t>
            </w:r>
            <w:r>
              <w:rPr>
                <w:rFonts w:ascii="Times New Roman" w:cs="Times New Roman" w:hAnsi="Times New Roman"/>
                <w:b/>
                <w:caps w:val="0"/>
                <w:smallCaps w:val="0"/>
                <w:color w:val="auto"/>
                <w:spacing w:val="0"/>
                <w:sz w:val="24"/>
                <w:szCs w:val="20"/>
                <w:highlight w:val="none"/>
              </w:rPr>
              <w:t>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（1）项目与《河北省生态环境保护“十四五”规划》（冀政字[2022]2号）符合性分析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项目与《河北省生态环境保护“十四五”规划》（冀政字[2022]2号）符合性分析见表1-</w:t>
            </w:r>
            <w:r>
              <w:rPr>
                <w:rFonts w:ascii="Times New Roman" w:cs="Times New Roman" w:hAnsi="Times New Roman" w:hint="eastAsia"/>
                <w:caps w:val="0"/>
                <w:smallCaps w:val="0"/>
                <w:color w:val="auto"/>
                <w:spacing w:val="0"/>
                <w:sz w:val="24"/>
                <w:szCs w:val="20"/>
                <w:lang w:val="en-US" w:eastAsia="zh-CN"/>
                <w:highlight w:val="none"/>
              </w:rPr>
              <w:t>8</w:t>
            </w:r>
            <w:r>
              <w:rPr>
                <w:rFonts w:ascii="Times New Roman" w:cs="Times New Roman" w:hAnsi="Times New Roman"/>
                <w:caps w:val="0"/>
                <w:smallCaps w:val="0"/>
                <w:color w:val="auto"/>
                <w:spacing w:val="0"/>
                <w:sz w:val="24"/>
                <w:szCs w:val="20"/>
                <w:lang w:val="en-US" w:eastAsia="zh-CN"/>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8</w:t>
            </w:r>
            <w:r>
              <w:rPr>
                <w:rFonts w:ascii="Times New Roman" w:cs="Times New Roman" w:hAnsi="Times New Roman"/>
                <w:caps w:val="0"/>
                <w:smallCaps w:val="0"/>
                <w:color w:val="auto"/>
                <w:spacing w:val="0"/>
                <w:sz w:val="24"/>
                <w:szCs w:val="20"/>
                <w:highlight w:val="none"/>
              </w:rPr>
              <w:t xml:space="preserve">    项目与《河北省生态环境保护“十四五”规划》（冀政字[2022]2号）符合性分析一览表</w:t>
            </w:r>
          </w:p>
          <w:tbl>
            <w:tblPr>
              <w:jc w:val="center"/>
              <w:tblW w:w="4992"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774"/>
              <w:gridCol w:w="4417"/>
              <w:gridCol w:w="1839"/>
              <w:gridCol w:w="590"/>
            </w:tblGrid>
            <w:tr>
              <w:tc>
                <w:tcPr>
                  <w:tcW w:w="3405" w:type="pct"/>
                  <w:gridSpan w:val="2"/>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相关内容要求</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项目情况</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符合性</w:t>
                  </w:r>
                </w:p>
              </w:tc>
            </w:tr>
            <w:tr>
              <w:tc>
                <w:tcPr>
                  <w:tcW w:w="508" w:type="pct"/>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三、创新引领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推动绿色低碳发展</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（一）统筹推进区域绿色发展。2.建立生态环境分区管控体系。衔接国土空间规划分区和用途管制</w:t>
                    <w:cr/>
                    <w:t>要求</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将生态保护红线、环境质量底线、资源利用上线的硬约束落实到环境管控单元</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建立差别化的生态环境准入清单</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加强“三线一单”成果在政策制定、环境准入、园区管理、执法监管等方面的应用。健全以环评制度为主体的源头预防体系</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严格规划环评审查和项目环评准入</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开展重大经济技术政策的生态环境影响分析和重大生态环境政策的社会经济影响评估。</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项目建设符合“三线一单”相关文件要求。</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tcBorders>
                    <w:left w:val="single" w:sz="4" w:space="0" w:color="auto"/>
                    <w:right w:val="single" w:sz="4" w:space="0" w:color="auto"/>
                  </w:tcBorders>
                  <w:vAlign w:val="center"/>
                </w:tcP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（二）加快产业绿色转型升级。1.加强宏观治理的环境政策支撑。加强能耗总量和强度双控、煤炭</w:t>
                    <w:cr/>
                    <w:t>消费和污染物排放总量控制</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强化市场准入约束</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抑制高碳投资</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严格控制高耗能高排放项目盲目发展。严禁新增钢铁、焦化、水泥熟料、平板玻璃、煤化工产能</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合理控制煤制油气产能规模。依法依规加强节能审查事中事后监管。深化生态环境“放管服”改革</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推进环评审批、生态环境监管和监督执法“正面清单”制度化、规范化</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持续优化营商环境。2.优化重点行业企业布局。3.推进重点行业绿色转型。以钢铁、焦化、铸造、建材、有色、石化、化工、工业涂装、包装印刷、电镀、制革、石油开采、造纸、纺织印染、农副食品加工等行业为重点</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开展全流程清洁化、循环化、低碳化改造</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促进传统产业绿色转型升级。在电力、钢铁、建材等重点行业实施减污降碳行动</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实施全产业链和产品全生命周期降碳减污</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打造多维度、全覆盖的绿色低碳产业体系。推动重点行业完成限制类产能装备的升级改造。更好发挥电弧炉短流程炼钢企业绿色低碳、市场调节作用</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有序引导电弧炉短流程炼钢发展。依法推进强制性清洁生产审核</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行业、园区和产业集群探索开展整体审核。4.实施产业园区和产业集群升级改造。5.提升产业链供应链绿色化水平。6.做大做强环保产业。</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color w:val="auto"/>
                      <w:spacing w:val="0"/>
                      <w:kern w:val="0"/>
                      <w:sz w:val="21"/>
                      <w:szCs w:val="21"/>
                      <w:highlight w:val="none"/>
                    </w:rPr>
                    <w:t>项目使用能源为电能</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highlight w:val="none"/>
                    </w:rPr>
                    <w:t>不涉及煤炭等能源消耗</w:t>
                  </w:r>
                  <w:r>
                    <w:rPr>
                      <w:rFonts w:ascii="Times New Roman" w:cs="Times New Roman" w:hAnsi="Times New Roman" w:hint="eastAsia"/>
                      <w:caps w:val="0"/>
                      <w:smallCaps w:val="0"/>
                      <w:color w:val="auto"/>
                      <w:spacing w:val="0"/>
                      <w:kern w:val="0"/>
                      <w:sz w:val="21"/>
                      <w:szCs w:val="21"/>
                      <w:lang w:eastAsia="zh-CN"/>
                      <w:highlight w:val="none"/>
                    </w:rPr>
                    <w:t>，</w:t>
                  </w:r>
                  <w:r>
                    <w:rPr>
                      <w:rFonts w:ascii="Times New Roman" w:cs="Times New Roman" w:hAnsi="Times New Roman" w:hint="eastAsia"/>
                      <w:caps w:val="0"/>
                      <w:smallCaps w:val="0"/>
                      <w:color w:val="auto"/>
                      <w:spacing w:val="0"/>
                      <w:kern w:val="0"/>
                      <w:sz w:val="21"/>
                      <w:szCs w:val="21"/>
                      <w:lang w:val="en-US" w:eastAsia="zh-CN"/>
                      <w:highlight w:val="none"/>
                    </w:rPr>
                    <w:t>项目污染物排放满足总量控制指标</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highlight w:val="none"/>
                    </w:rPr>
                    <w:t>项目</w:t>
                  </w:r>
                  <w:r>
                    <w:rPr>
                      <w:rFonts w:ascii="Times New Roman" w:cs="Times New Roman" w:hAnsi="Times New Roman"/>
                      <w:caps w:val="0"/>
                      <w:smallCaps w:val="0"/>
                      <w:color w:val="auto"/>
                      <w:spacing w:val="0"/>
                      <w:kern w:val="0"/>
                      <w:sz w:val="21"/>
                      <w:szCs w:val="21"/>
                      <w:lang w:val="en-US" w:eastAsia="zh-CN"/>
                      <w:highlight w:val="none"/>
                    </w:rPr>
                    <w:t>不属于重点行业</w:t>
                  </w:r>
                  <w:r>
                    <w:rPr>
                      <w:rFonts w:ascii="Times New Roman" w:cs="Times New Roman" w:hAnsi="Times New Roman"/>
                      <w:caps w:val="0"/>
                      <w:smallCaps w:val="0"/>
                      <w:color w:val="auto"/>
                      <w:spacing w:val="0"/>
                      <w:kern w:val="0"/>
                      <w:sz w:val="21"/>
                      <w:szCs w:val="21"/>
                      <w:highlight w:val="none"/>
                    </w:rPr>
                    <w:t>；项目不</w:t>
                  </w:r>
                  <w:r>
                    <w:rPr>
                      <w:rFonts w:ascii="Times New Roman" w:cs="Times New Roman" w:hAnsi="Times New Roman"/>
                      <w:caps w:val="0"/>
                      <w:smallCaps w:val="0"/>
                      <w:snapToGrid w:val="0"/>
                      <w:color w:val="auto"/>
                      <w:spacing w:val="0"/>
                      <w:kern w:val="0"/>
                      <w:sz w:val="21"/>
                      <w:szCs w:val="21"/>
                      <w:highlight w:val="none"/>
                    </w:rPr>
                    <w:t>新增钢铁、焦化、水泥熟料、平板玻璃、煤化工产能</w:t>
                  </w:r>
                  <w:r>
                    <w:rPr>
                      <w:rFonts w:ascii="Times New Roman" w:cs="Times New Roman" w:hAnsi="Times New Roman"/>
                      <w:caps w:val="0"/>
                      <w:smallCaps w:val="0"/>
                      <w:color w:val="auto"/>
                      <w:spacing w:val="0"/>
                      <w:kern w:val="0"/>
                      <w:sz w:val="21"/>
                      <w:szCs w:val="21"/>
                      <w:highlight w:val="none"/>
                    </w:rPr>
                    <w:t>。</w:t>
                  </w:r>
                  <w:r>
                    <w:rPr>
                      <w:rFonts w:ascii="Times New Roman" w:cs="Times New Roman" w:hAnsi="Times New Roman"/>
                      <w:caps w:val="0"/>
                      <w:smallCaps w:val="0"/>
                      <w:color w:val="auto"/>
                      <w:spacing w:val="0"/>
                      <w:kern w:val="0"/>
                      <w:sz w:val="21"/>
                      <w:szCs w:val="21"/>
                      <w:lang w:val="en-US" w:eastAsia="zh-CN"/>
                      <w:highlight w:val="none"/>
                    </w:rPr>
                    <w:t>企业属于</w:t>
                  </w:r>
                  <w:r>
                    <w:rPr>
                      <w:rFonts w:ascii="Times New Roman" w:cs="Times New Roman" w:hAnsi="Times New Roman" w:hint="eastAsia"/>
                      <w:caps w:val="0"/>
                      <w:smallCaps w:val="0"/>
                      <w:color w:val="auto"/>
                      <w:spacing w:val="0"/>
                      <w:kern w:val="0"/>
                      <w:sz w:val="21"/>
                      <w:szCs w:val="21"/>
                      <w:lang w:eastAsia="zh-CN"/>
                      <w:highlight w:val="none"/>
                    </w:rPr>
                    <w:t>其他</w:t>
                  </w:r>
                  <w:r>
                    <w:rPr>
                      <w:rFonts w:ascii="Times New Roman" w:cs="Times New Roman" w:hAnsi="Times New Roman" w:hint="eastAsia"/>
                      <w:caps w:val="0"/>
                      <w:smallCaps w:val="0"/>
                      <w:color w:val="auto"/>
                      <w:spacing w:val="0"/>
                      <w:kern w:val="0"/>
                      <w:sz w:val="21"/>
                      <w:szCs w:val="21"/>
                      <w:lang w:val="en-US" w:eastAsia="zh-CN"/>
                      <w:highlight w:val="none"/>
                    </w:rPr>
                    <w:t>塑料制品业</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highlight w:val="none"/>
                    </w:rPr>
                    <w:t>不属于重点行业企业</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lang w:val="en-US" w:eastAsia="zh-CN"/>
                      <w:highlight w:val="none"/>
                    </w:rPr>
                    <w:t>项目位于</w:t>
                  </w:r>
                  <w:r>
                    <w:rPr>
                      <w:rFonts w:ascii="Times New Roman" w:cs="Times New Roman" w:hAnsi="Times New Roman" w:hint="eastAsia"/>
                      <w:caps w:val="0"/>
                      <w:smallCaps w:val="0"/>
                      <w:color w:val="auto"/>
                      <w:spacing w:val="0"/>
                      <w:kern w:val="0"/>
                      <w:sz w:val="21"/>
                      <w:szCs w:val="21"/>
                      <w:lang w:eastAsia="zh-CN"/>
                      <w:highlight w:val="none"/>
                    </w:rPr>
                    <w:t>河北省石家庄市栾城区窦妪村装备制造产业园区奥翔街6-1号（院内3号房）</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lang w:val="en-US" w:eastAsia="zh-CN"/>
                      <w:highlight w:val="none"/>
                    </w:rPr>
                    <w:t>占地为工业用地</w:t>
                  </w:r>
                  <w:r>
                    <w:rPr>
                      <w:rFonts w:ascii="Times New Roman" w:cs="Times New Roman" w:hAnsi="Times New Roman"/>
                      <w:caps w:val="0"/>
                      <w:smallCaps w:val="0"/>
                      <w:snapToGrid w:val="0"/>
                      <w:color w:val="auto"/>
                      <w:spacing w:val="0"/>
                      <w:kern w:val="0"/>
                      <w:sz w:val="21"/>
                      <w:szCs w:val="21"/>
                      <w:highlight w:val="none"/>
                    </w:rPr>
                    <w:t>。</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tcBorders>
                    <w:left w:val="single" w:sz="4" w:space="0" w:color="auto"/>
                    <w:bottom w:val="single" w:sz="4" w:space="0" w:color="auto"/>
                    <w:right w:val="single" w:sz="4" w:space="0" w:color="auto"/>
                  </w:tcBorders>
                  <w:vAlign w:val="center"/>
                </w:tcP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（三）推动能源清洁高效利用。1.调整优化能源供给结构。2.控制煤炭消费总量。3.实施终端用能清洁化替代。</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color w:val="auto"/>
                      <w:spacing w:val="0"/>
                      <w:kern w:val="0"/>
                      <w:sz w:val="21"/>
                      <w:szCs w:val="21"/>
                      <w:highlight w:val="none"/>
                    </w:rPr>
                    <w:t>项目使用能源为电能</w:t>
                  </w:r>
                  <w:r>
                    <w:rPr>
                      <w:rFonts w:ascii="Times New Roman" w:cs="Times New Roman" w:hAnsi="Times New Roman" w:hint="eastAsia"/>
                      <w:caps w:val="0"/>
                      <w:smallCaps w:val="0"/>
                      <w:color w:val="auto"/>
                      <w:spacing w:val="0"/>
                      <w:kern w:val="0"/>
                      <w:sz w:val="21"/>
                      <w:szCs w:val="21"/>
                      <w:lang w:val="en-US" w:eastAsia="zh-CN"/>
                      <w:highlight w:val="none"/>
                    </w:rPr>
                    <w:t>，为清洁能源</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highlight w:val="none"/>
                    </w:rPr>
                    <w:t>不涉及煤炭能源消耗。</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四、降碳减排</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积极应对气候变化</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（二）控制温室气体排放。1.控制工业二氧化碳排放。2.控制交通领域二氧化碳排放。3.控制建筑领域二氧化碳排放。4.控制非二氧化碳温室气体排放。5.实施温室气体和污染物协同控制。</w:t>
                    <w:cr/>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color w:val="auto"/>
                      <w:spacing w:val="0"/>
                      <w:kern w:val="0"/>
                      <w:sz w:val="21"/>
                      <w:szCs w:val="21"/>
                      <w:highlight w:val="none"/>
                    </w:rPr>
                    <w:t>项目使用能源为电能</w:t>
                  </w:r>
                  <w:r>
                    <w:rPr>
                      <w:rFonts w:ascii="Times New Roman" w:cs="Times New Roman" w:hAnsi="Times New Roman" w:hint="eastAsia"/>
                      <w:caps w:val="0"/>
                      <w:smallCaps w:val="0"/>
                      <w:color w:val="auto"/>
                      <w:spacing w:val="0"/>
                      <w:kern w:val="0"/>
                      <w:sz w:val="21"/>
                      <w:szCs w:val="21"/>
                      <w:lang w:val="en-US" w:eastAsia="zh-CN"/>
                      <w:highlight w:val="none"/>
                    </w:rPr>
                    <w:t>，为清洁能源</w:t>
                  </w:r>
                  <w:r>
                    <w:rPr>
                      <w:rFonts w:ascii="Times New Roman" w:cs="Times New Roman" w:hAnsi="Times New Roman"/>
                      <w:caps w:val="0"/>
                      <w:smallCaps w:val="0"/>
                      <w:color w:val="auto"/>
                      <w:spacing w:val="0"/>
                      <w:kern w:val="0"/>
                      <w:sz w:val="21"/>
                      <w:szCs w:val="21"/>
                      <w:lang w:eastAsia="zh-CN"/>
                      <w:highlight w:val="none"/>
                    </w:rPr>
                    <w:t>，</w:t>
                  </w:r>
                  <w:r>
                    <w:rPr>
                      <w:rFonts w:ascii="Times New Roman" w:cs="Times New Roman" w:hAnsi="Times New Roman"/>
                      <w:caps w:val="0"/>
                      <w:smallCaps w:val="0"/>
                      <w:color w:val="auto"/>
                      <w:spacing w:val="0"/>
                      <w:kern w:val="0"/>
                      <w:sz w:val="21"/>
                      <w:szCs w:val="21"/>
                      <w:highlight w:val="none"/>
                    </w:rPr>
                    <w:t>不涉及煤炭能源消耗。</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五、精准治理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持续改善环境空气质量</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（二）推进工业领域污染减排。1.推动重点行业深度治理和超低排放。巩固钢铁、焦化、煤电、水泥、平板玻璃、陶瓷等行业超低排放成效</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实施工艺全流程深度治理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全面加强无组织排放管控。推进砖瓦、石灰、铸造、铁合金、耐火材料等重点行业污染深度治理。以工业炉窑污染综合治理为重点</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深化工业氮氧化物减排。开展生活垃圾焚烧烟气深度治理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探索研发二噁英治理和控制技术</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到2025年</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所有焚烧炉烟气达到生活垃圾焚烧大气污染物排放控制标准。2.深化重点行业挥发性有机物（VOCs）治理。以石化、化工、涂装、医药、包装印刷、油品储运销等行业领域为重点</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安全高效推进挥发性有机物（VOCs）综合治理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实施原辅材料和产品源头替代、无组织排放和末端深度治理等提升改造工程。……</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hint="eastAsia"/>
                      <w:caps w:val="0"/>
                      <w:smallCaps w:val="0"/>
                      <w:color w:val="auto"/>
                      <w:spacing w:val="0"/>
                      <w:kern w:val="0"/>
                      <w:sz w:val="21"/>
                      <w:szCs w:val="21"/>
                      <w:lang w:val="en-US" w:eastAsia="zh-CN"/>
                      <w:highlight w:val="none"/>
                    </w:rPr>
                    <w:t>项目不涉及超低排放；</w:t>
                  </w:r>
                  <w:r>
                    <w:rPr>
                      <w:rFonts w:ascii="Times New Roman" w:cs="Times New Roman" w:hAnsi="Times New Roman" w:hint="eastAsia"/>
                      <w:color w:val="auto"/>
                      <w:sz w:val="21"/>
                      <w:szCs w:val="21"/>
                      <w:lang w:val="en-US" w:eastAsia="zh-CN"/>
                      <w:highlight w:val="none"/>
                    </w:rPr>
                    <w:t>项目原料采用尼龙粒子，项目废气经集气罩收集后通过布袋除尘器+两级活性炭吸附装置+15m高排气筒排放</w:t>
                  </w:r>
                  <w:r>
                    <w:rPr>
                      <w:rFonts w:ascii="Times New Roman" w:cs="Times New Roman" w:hAnsi="Times New Roman"/>
                      <w:caps w:val="0"/>
                      <w:smallCaps w:val="0"/>
                      <w:snapToGrid w:val="0"/>
                      <w:color w:val="auto"/>
                      <w:spacing w:val="0"/>
                      <w:kern w:val="0"/>
                      <w:sz w:val="21"/>
                      <w:szCs w:val="21"/>
                      <w:highlight w:val="none"/>
                    </w:rPr>
                    <w:t>。</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tcBorders>
                    <w:left w:val="single" w:sz="4" w:space="0" w:color="auto"/>
                    <w:bottom w:val="single" w:sz="4" w:space="0" w:color="auto"/>
                    <w:right w:val="single" w:sz="4" w:space="0" w:color="auto"/>
                  </w:tcBorders>
                  <w:vAlign w:val="center"/>
                </w:tcP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（四）实施面源污染治理攻坚。1.强化扬尘精细化管控。建立健全绿色施工标准和扬尘管控体系</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对扬尘重点污染源实行清单化动态管理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将绿色施工纳入企业资质评价、生态环境信用评价。加强城市道路低尘机械化湿式清扫作业</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加大城市出入口、城乡结合部等重要路段冲洗保洁力度</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实施渣土车密闭运输</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完善降尘监测和考评体系。城市裸露地面、粉料类物料堆放及大型煤炭和矿石码头物料堆场基本完成抑尘设施建设和物料输送系统封闭改造</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鼓励有条件的大型煤炭和矿石码头等干散货码头堆场实施全封闭改造。强化重点时段秸秆禁烧专项整治</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完善秸秆焚烧视频监控系统点位建设</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基本实现全省涉农区域全覆盖。严格落实矿产资源开采、运输和加工过程防尘、除尘措施</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实施矿山生产污染物排放在线监测。</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项目利用现有厂房，施工期主要为厂房装修及设备安装。无废气产生。</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六、“三水”统筹</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打造良好水生态环境</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（四）强化水污染源头防控。1.强化工业污染减排。实施差别化环境准入政策</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推进涉水工业企</w:t>
                    <w:cr/>
                    <w:t>业全面入园进区。新设立和升级的经济技术开发区、高新技术产业开发区等工业园区同步规划建设污水集中处理设施</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加快完善工业园区配套管网</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推进“清污分流、雨污分流”</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实现园区污水全收集、全处理。</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项目废水主要为职工生活污水，生活污水经集成式生物化粪池处理后经园区污水管网排入绿源污水处理有限公司进一步处理</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八、协同防控</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保障土壤地下水环境安全</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（一）强化污染源头防控。1.加强空间布局管控。将土壤和地下水环境要求纳入相关规划。永久基本农田集中区域禁止新建可能造成土壤污染的建设项目。污染地块再开发利用</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严格落实规划用途及相应的土壤环境质量要求</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科学设定成片污染地块及周边土地开发时序。2.强化工业企业土壤污染风险防控。新（改、扩）建项目涉及有毒</w:t>
                    <w:cr/>
                    <w:t>有害物质可能造成土壤污染的</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落实土壤和地下水污染防治要求。开展典型行业企业用地及周边土壤污染状况调查</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持续推进耕地周边涉重金属行业企业排查整治。动态更新土壤污染重点监管单位名录</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将土壤污染防治义务依法纳入排污许可管理。加强企业拆除活动污染防治监管</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落实拆除活动污染防治措施。3.严格控制重金属排放总量。</w:t>
                  </w:r>
                </w:p>
              </w:tc>
              <w:tc>
                <w:tcPr>
                  <w:tcW w:w="1206" w:type="pct"/>
                  <w:tcBorders>
                    <w:top w:val="single" w:sz="4" w:space="0" w:color="auto"/>
                    <w:left w:val="single" w:sz="4" w:space="0" w:color="auto"/>
                    <w:bottom w:val="single" w:sz="4" w:space="0" w:color="auto"/>
                    <w:righ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bCs/>
                      <w:caps w:val="0"/>
                      <w:smallCaps w:val="0"/>
                      <w:color w:val="auto"/>
                      <w:spacing w:val="0"/>
                      <w:sz w:val="21"/>
                      <w:szCs w:val="21"/>
                      <w:highlight w:val="none"/>
                    </w:rPr>
                    <w:t>项目实施后</w:t>
                  </w:r>
                  <w:r>
                    <w:rPr>
                      <w:rFonts w:ascii="Times New Roman" w:cs="Times New Roman" w:hAnsi="Times New Roman"/>
                      <w:caps w:val="0"/>
                      <w:smallCaps w:val="0"/>
                      <w:snapToGrid w:val="0"/>
                      <w:color w:val="auto"/>
                      <w:spacing w:val="0"/>
                      <w:kern w:val="0"/>
                      <w:sz w:val="21"/>
                      <w:szCs w:val="21"/>
                      <w:highlight w:val="none"/>
                    </w:rPr>
                    <w:t>无生产废水产生</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项目实施分区防渗措施，需拆除的设备不涉及地基，无需恢复，重点防渗区：危废间等效黏土防渗层Mb≥6.0m，K≤1.0×10</w:t>
                  </w:r>
                  <w:r>
                    <w:rPr>
                      <w:rFonts w:ascii="Times New Roman" w:cs="Times New Roman" w:hAnsi="Times New Roman" w:hint="eastAsia"/>
                      <w:caps w:val="0"/>
                      <w:smallCaps w:val="0"/>
                      <w:color w:val="auto"/>
                      <w:spacing w:val="0"/>
                      <w:sz w:val="21"/>
                      <w:szCs w:val="21"/>
                      <w:vertAlign w:val="superscript"/>
                      <w:lang w:val="en-US" w:eastAsia="zh-CN"/>
                      <w:highlight w:val="none"/>
                    </w:rPr>
                    <w:t>-7</w:t>
                  </w:r>
                  <w:r>
                    <w:rPr>
                      <w:rFonts w:ascii="Times New Roman" w:cs="Times New Roman" w:hAnsi="Times New Roman" w:hint="eastAsia"/>
                      <w:caps w:val="0"/>
                      <w:smallCaps w:val="0"/>
                      <w:color w:val="auto"/>
                      <w:spacing w:val="0"/>
                      <w:sz w:val="21"/>
                      <w:szCs w:val="21"/>
                      <w:lang w:val="en-US" w:eastAsia="zh-CN"/>
                      <w:highlight w:val="none"/>
                    </w:rPr>
                    <w:t>cm/s</w:t>
                  </w:r>
                  <w:r>
                    <w:rPr>
                      <w:rFonts w:ascii="Times New Roman" w:cs="Arial Unicode MS" w:hAnsi="Times New Roman" w:hint="eastAsia"/>
                      <w:color w:val="auto"/>
                      <w:sz w:val="21"/>
                      <w:szCs w:val="21"/>
                      <w:lang w:val="en-US" w:eastAsia="zh-CN"/>
                      <w:highlight w:val="none"/>
                    </w:rPr>
                    <w:t>；</w:t>
                  </w:r>
                  <w:r>
                    <w:rPr>
                      <w:rFonts w:ascii="Times New Roman" w:eastAsia="宋体" w:cs="Times New Roman" w:hAnsi="Times New Roman"/>
                      <w:caps w:val="0"/>
                      <w:smallCaps w:val="0"/>
                      <w:color w:val="auto"/>
                      <w:spacing w:val="0"/>
                      <w:sz w:val="21"/>
                      <w:szCs w:val="21"/>
                      <w:lang w:val="en-US" w:eastAsia="zh-CN"/>
                      <w:highlight w:val="none"/>
                    </w:rPr>
                    <w:t>一般防渗：</w:t>
                  </w:r>
                  <w:r>
                    <w:rPr>
                      <w:rFonts w:ascii="Times New Roman" w:cs="Times New Roman" w:hAnsi="Times New Roman" w:hint="eastAsia"/>
                      <w:caps w:val="0"/>
                      <w:smallCaps w:val="0"/>
                      <w:color w:val="auto"/>
                      <w:spacing w:val="0"/>
                      <w:sz w:val="21"/>
                      <w:szCs w:val="21"/>
                      <w:lang w:val="en-US" w:eastAsia="zh-CN"/>
                      <w:highlight w:val="none"/>
                    </w:rPr>
                    <w:t>生产区、机加工区</w:t>
                  </w:r>
                  <w:r>
                    <w:rPr>
                      <w:rFonts w:ascii="Times New Roman" w:eastAsia="宋体" w:cs="Times New Roman" w:hAnsi="Times New Roman"/>
                      <w:caps w:val="0"/>
                      <w:smallCaps w:val="0"/>
                      <w:color w:val="auto"/>
                      <w:spacing w:val="0"/>
                      <w:sz w:val="21"/>
                      <w:szCs w:val="21"/>
                      <w:lang w:val="en-US" w:eastAsia="zh-CN"/>
                      <w:highlight w:val="none"/>
                    </w:rPr>
                    <w:t>其等效黏土防渗层Mb≥1.5m，渗透系数≤10</w:t>
                  </w:r>
                  <w:r>
                    <w:rPr>
                      <w:rFonts w:ascii="Times New Roman" w:eastAsia="宋体" w:cs="Times New Roman" w:hAnsi="Times New Roman"/>
                      <w:caps w:val="0"/>
                      <w:smallCaps w:val="0"/>
                      <w:color w:val="auto"/>
                      <w:spacing w:val="0"/>
                      <w:sz w:val="21"/>
                      <w:szCs w:val="21"/>
                      <w:vertAlign w:val="superscript"/>
                      <w:lang w:val="en-US" w:eastAsia="zh-CN"/>
                      <w:highlight w:val="none"/>
                    </w:rPr>
                    <w:t>-7</w:t>
                  </w:r>
                  <w:r>
                    <w:rPr>
                      <w:rFonts w:ascii="Times New Roman" w:eastAsia="宋体" w:cs="Times New Roman" w:hAnsi="Times New Roman"/>
                      <w:caps w:val="0"/>
                      <w:smallCaps w:val="0"/>
                      <w:color w:val="auto"/>
                      <w:spacing w:val="0"/>
                      <w:sz w:val="21"/>
                      <w:szCs w:val="21"/>
                      <w:lang w:val="en-US" w:eastAsia="zh-CN"/>
                      <w:highlight w:val="none"/>
                    </w:rPr>
                    <w:t>cm/s</w:t>
                  </w:r>
                  <w:r>
                    <w:rPr>
                      <w:rFonts w:ascii="Times New Roman" w:cs="Times New Roman" w:hAnsi="Times New Roman" w:hint="eastAsia"/>
                      <w:caps w:val="0"/>
                      <w:smallCaps w:val="0"/>
                      <w:color w:val="auto"/>
                      <w:spacing w:val="0"/>
                      <w:sz w:val="21"/>
                      <w:szCs w:val="21"/>
                      <w:lang w:val="en-US" w:eastAsia="zh-CN"/>
                      <w:highlight w:val="none"/>
                    </w:rPr>
                    <w:t>；简单防渗：办公室、杂物间、模具暂存区、原料区、成品区、人工组装区等其他区域利用现有水泥硬化简单防渗措施</w:t>
                  </w:r>
                  <w:r>
                    <w:rPr>
                      <w:rFonts w:ascii="Times New Roman" w:eastAsia="宋体" w:cs="Times New Roman" w:hAnsi="Times New Roman"/>
                      <w:caps w:val="0"/>
                      <w:smallCaps w:val="0"/>
                      <w:color w:val="auto"/>
                      <w:spacing w:val="0"/>
                      <w:sz w:val="21"/>
                      <w:szCs w:val="21"/>
                      <w:lang w:val="en-US" w:eastAsia="zh-CN"/>
                      <w:highlight w:val="none"/>
                    </w:rPr>
                    <w:t>，</w:t>
                  </w:r>
                  <w:r>
                    <w:rPr>
                      <w:rFonts w:ascii="Times New Roman" w:cs="Times New Roman" w:hAnsi="Times New Roman"/>
                      <w:caps w:val="0"/>
                      <w:smallCaps w:val="0"/>
                      <w:color w:val="auto"/>
                      <w:spacing w:val="0"/>
                      <w:sz w:val="21"/>
                      <w:szCs w:val="21"/>
                      <w:highlight w:val="none"/>
                    </w:rPr>
                    <w:t>不会对土壤环境、地下水环境造成污染。项目不涉及</w:t>
                  </w:r>
                  <w:r>
                    <w:rPr>
                      <w:rFonts w:ascii="Times New Roman" w:cs="Times New Roman" w:hAnsi="Times New Roman"/>
                      <w:caps w:val="0"/>
                      <w:smallCaps w:val="0"/>
                      <w:snapToGrid w:val="0"/>
                      <w:color w:val="auto"/>
                      <w:spacing w:val="0"/>
                      <w:kern w:val="0"/>
                      <w:sz w:val="21"/>
                      <w:szCs w:val="21"/>
                      <w:highlight w:val="none"/>
                    </w:rPr>
                    <w:t>重金属排放总量。</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九、防治结合，构建固体废物监管体系。</w:t>
                  </w:r>
                </w:p>
              </w:tc>
              <w:tc>
                <w:tcPr>
                  <w:tcW w:w="289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（一）规范危险废物环境管理。1.完善危险废物监管体制机制。拓宽部门沟通协作渠道</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建立覆盖危险废物产生、收集、贮存、运输、利用、处置等全过程、全链条式监管体系。完善联席会议制度</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促进信息共享。严格落实“网格化”监管</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深化网格长、网格监督员、监督执法人员、企业内部监管人员“一长三员”监管机制。建立危险废物环境风险区域联防联控机制。2.加大源头管控力度。严格执行危险废物名录管理制度</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动态更新危险废物环境重点监管单位清单。严把涉危险废物工业项目环境准入关</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落实工业危险废物排污许可制度。组织危险废物相关企业实施强制性清洁生产审核。鼓励生产者责任延伸</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支持研发、推广减少工业危险废物产生量和降低工业危险废物危害性的生产工艺和设备。3.规范危险废物收集转运。推动建立危险废物跨省转移“白名单”制度。开展工业园区危险废物收集转运试点。严格危险废物产生、运输、利用处置转移联单管理</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推动转移运输规范化和便捷化。支持危险废物专业收集转运</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利用处置单位和社会力量建设区域性收集网点和贮存设施。鼓励在有条件的高校集中区域开展实验室危险废物分类收集和预处理示范项目建设。6.强化危险废物环境风险防控能力。强化对危险废物收集、贮存、处置单位的监管</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严防危险废物超期超量贮存。推进智能化视频监控体系建设。在环境风险可控的前提下</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鼓励工业企业对产生的危险废物回收再利用处置</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开展“点对点”定向利用的危险废物经营许可豁免管理试点。</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color w:val="auto"/>
                      <w:spacing w:val="0"/>
                      <w:sz w:val="21"/>
                      <w:szCs w:val="21"/>
                      <w:lang w:val="en-US" w:eastAsia="zh-CN"/>
                      <w:highlight w:val="none"/>
                    </w:rPr>
                    <w:t>项目</w:t>
                  </w:r>
                  <w:r>
                    <w:rPr>
                      <w:rFonts w:ascii="Times New Roman" w:cs="Times New Roman" w:hAnsi="Times New Roman" w:hint="eastAsia"/>
                      <w:caps w:val="0"/>
                      <w:smallCaps w:val="0"/>
                      <w:color w:val="auto"/>
                      <w:spacing w:val="0"/>
                      <w:sz w:val="21"/>
                      <w:szCs w:val="21"/>
                      <w:lang w:val="en-US" w:eastAsia="zh-CN"/>
                      <w:highlight w:val="none"/>
                    </w:rPr>
                    <w:t>从产废环节、贮存、转运均全过程把控</w:t>
                  </w:r>
                  <w:r>
                    <w:rPr>
                      <w:rFonts w:ascii="Times New Roman" w:eastAsia="宋体" w:cs="Times New Roman" w:hAnsi="Times New Roman"/>
                      <w:caps w:val="0"/>
                      <w:smallCaps w:val="0"/>
                      <w:color w:val="auto"/>
                      <w:spacing w:val="0"/>
                      <w:sz w:val="21"/>
                      <w:szCs w:val="21"/>
                      <w:lang w:val="en-US" w:eastAsia="zh-CN"/>
                      <w:highlight w:val="none"/>
                    </w:rPr>
                    <w:t>。项目要求危险废物转移严格按照《危险废物转移管理办法》（部令 第23号）中规定进行。</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r>
              <w:tc>
                <w:tcPr>
                  <w:tcW w:w="508" w:type="pct"/>
                  <w:vMerge/>
                  <w:tcBorders>
                    <w:left w:val="single" w:sz="4" w:space="0" w:color="auto"/>
                    <w:bottom w:val="single" w:sz="4" w:space="0" w:color="auto"/>
                    <w:right w:val="single" w:sz="4" w:space="0" w:color="auto"/>
                  </w:tcBorders>
                  <w:vAlign w:val="center"/>
                </w:tcPr>
                <w:p/>
              </w:tc>
              <w:tc>
                <w:tcPr>
                  <w:tcW w:w="2897"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bidi="ar-SA"/>
                      <w:highlight w:val="none"/>
                    </w:rPr>
                  </w:pPr>
                  <w:r>
                    <w:rPr>
                      <w:rFonts w:ascii="Times New Roman" w:cs="Times New Roman" w:hAnsi="Times New Roman"/>
                      <w:caps w:val="0"/>
                      <w:smallCaps w:val="0"/>
                      <w:snapToGrid w:val="0"/>
                      <w:color w:val="auto"/>
                      <w:spacing w:val="0"/>
                      <w:kern w:val="0"/>
                      <w:sz w:val="21"/>
                      <w:szCs w:val="21"/>
                      <w:highlight w:val="none"/>
                    </w:rPr>
                    <w:t>（三）提高固体废物综合利用水平。2.强化工业固体废物污染防治。持续开展非法和不规范堆存渣场排查整治</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建立排污单位工业固体废物管理台账。推行生产企业“逆向回收”等模式</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推动大宗工业固体废物贮存处置总量趋零增长。加快建设邯郸、唐山国家大宗固体废弃物综合利用基地</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推进综合利用产业集聚发展</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提升综合利用水平。</w:t>
                  </w:r>
                </w:p>
              </w:tc>
              <w:tc>
                <w:tcPr>
                  <w:tcW w:w="1206"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bidi="ar-SA"/>
                      <w:highlight w:val="none"/>
                    </w:rPr>
                  </w:pPr>
                  <w:r>
                    <w:rPr>
                      <w:rFonts w:ascii="Times New Roman" w:cs="Times New Roman" w:hAnsi="Times New Roman"/>
                      <w:caps w:val="0"/>
                      <w:smallCaps w:val="0"/>
                      <w:snapToGrid w:val="0"/>
                      <w:color w:val="auto"/>
                      <w:spacing w:val="0"/>
                      <w:kern w:val="0"/>
                      <w:sz w:val="21"/>
                      <w:szCs w:val="21"/>
                      <w:highlight w:val="none"/>
                    </w:rPr>
                    <w:t>项目建立工业固体废物管理台账</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caps w:val="0"/>
                      <w:smallCaps w:val="0"/>
                      <w:snapToGrid w:val="0"/>
                      <w:color w:val="auto"/>
                      <w:spacing w:val="0"/>
                      <w:kern w:val="0"/>
                      <w:sz w:val="21"/>
                      <w:szCs w:val="21"/>
                      <w:highlight w:val="none"/>
                    </w:rPr>
                    <w:t>产生的一般固废外售综合利用</w:t>
                  </w:r>
                  <w:r>
                    <w:rPr>
                      <w:rFonts w:ascii="Times New Roman" w:cs="Times New Roman" w:hAnsi="Times New Roman"/>
                      <w:caps w:val="0"/>
                      <w:smallCaps w:val="0"/>
                      <w:snapToGrid w:val="0"/>
                      <w:color w:val="auto"/>
                      <w:spacing w:val="0"/>
                      <w:kern w:val="0"/>
                      <w:sz w:val="21"/>
                      <w:szCs w:val="21"/>
                      <w:lang w:eastAsia="zh-CN"/>
                      <w:highlight w:val="none"/>
                    </w:rPr>
                    <w:t>；</w:t>
                  </w:r>
                  <w:r>
                    <w:rPr>
                      <w:rFonts w:ascii="Times New Roman" w:cs="Times New Roman" w:hAnsi="Times New Roman" w:hint="eastAsia"/>
                      <w:caps w:val="0"/>
                      <w:smallCaps w:val="0"/>
                      <w:snapToGrid w:val="0"/>
                      <w:color w:val="auto"/>
                      <w:spacing w:val="0"/>
                      <w:kern w:val="0"/>
                      <w:sz w:val="21"/>
                      <w:szCs w:val="21"/>
                      <w:lang w:val="en-US" w:eastAsia="zh-CN"/>
                      <w:highlight w:val="none"/>
                    </w:rPr>
                    <w:t>项目产生的危险废物建立危险废物管理台账，产生危险废物均放置危废间后，交由有资质单位处置</w:t>
                  </w:r>
                  <w:r>
                    <w:rPr>
                      <w:rFonts w:ascii="Times New Roman" w:cs="Times New Roman" w:hAnsi="Times New Roman"/>
                      <w:caps w:val="0"/>
                      <w:smallCaps w:val="0"/>
                      <w:snapToGrid w:val="0"/>
                      <w:color w:val="auto"/>
                      <w:spacing w:val="0"/>
                      <w:kern w:val="0"/>
                      <w:sz w:val="21"/>
                      <w:szCs w:val="21"/>
                      <w:highlight w:val="none"/>
                    </w:rPr>
                    <w:t>。</w:t>
                  </w:r>
                </w:p>
              </w:tc>
              <w:tc>
                <w:tcPr>
                  <w:tcW w:w="387"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w:t>
                  </w:r>
                </w:p>
              </w:tc>
            </w:tr>
          </w:tbl>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本项目符合《河北省生态环境保护“十四五”规划》（冀政字[2022]2号）</w:t>
            </w:r>
            <w:r>
              <w:rPr>
                <w:rFonts w:ascii="Times New Roman" w:cs="Times New Roman" w:hAnsi="Times New Roman"/>
                <w:caps w:val="0"/>
                <w:smallCaps w:val="0"/>
                <w:color w:val="auto"/>
                <w:spacing w:val="0"/>
                <w:sz w:val="24"/>
                <w:szCs w:val="20"/>
                <w:lang w:val="en-US" w:eastAsia="zh-CN"/>
                <w:highlight w:val="none"/>
              </w:rPr>
              <w:t>要求。</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w:t>
            </w:r>
            <w:r>
              <w:rPr>
                <w:rFonts w:ascii="Times New Roman" w:cs="Times New Roman" w:hAnsi="Times New Roman"/>
                <w:caps w:val="0"/>
                <w:smallCaps w:val="0"/>
                <w:color w:val="auto"/>
                <w:spacing w:val="0"/>
                <w:sz w:val="24"/>
                <w:szCs w:val="20"/>
                <w:lang w:val="en-US" w:eastAsia="zh-CN"/>
                <w:highlight w:val="none"/>
              </w:rPr>
              <w:t>2</w:t>
            </w:r>
            <w:r>
              <w:rPr>
                <w:rFonts w:ascii="Times New Roman" w:cs="Times New Roman" w:hAnsi="Times New Roman"/>
                <w:caps w:val="0"/>
                <w:smallCaps w:val="0"/>
                <w:color w:val="auto"/>
                <w:spacing w:val="0"/>
                <w:sz w:val="24"/>
                <w:szCs w:val="20"/>
                <w:highlight w:val="none"/>
              </w:rPr>
              <w:t>）项目与《石家庄市生态环境保护</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十四五</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规划》（石政函〔2022〕72号）符合性分析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项目与《石家庄市生态环境保护</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十四五</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规划》（石政函〔2022〕72号）符合性分析见表1-</w:t>
            </w:r>
            <w:r>
              <w:rPr>
                <w:rFonts w:ascii="Times New Roman" w:cs="Times New Roman" w:hAnsi="Times New Roman" w:hint="eastAsia"/>
                <w:caps w:val="0"/>
                <w:smallCaps w:val="0"/>
                <w:color w:val="auto"/>
                <w:spacing w:val="0"/>
                <w:sz w:val="24"/>
                <w:szCs w:val="20"/>
                <w:lang w:val="en-US" w:eastAsia="zh-CN"/>
                <w:highlight w:val="none"/>
              </w:rPr>
              <w:t>9</w:t>
            </w:r>
            <w:r>
              <w:rPr>
                <w:rFonts w:ascii="Times New Roman" w:cs="Times New Roman" w:hAnsi="Times New Roman"/>
                <w:caps w:val="0"/>
                <w:smallCaps w:val="0"/>
                <w:color w:val="auto"/>
                <w:spacing w:val="0"/>
                <w:sz w:val="24"/>
                <w:szCs w:val="20"/>
                <w:lang w:val="en-US" w:eastAsia="zh-CN"/>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9</w:t>
            </w:r>
            <w:r>
              <w:rPr>
                <w:rFonts w:ascii="Times New Roman" w:cs="Times New Roman" w:hAnsi="Times New Roman"/>
                <w:caps w:val="0"/>
                <w:smallCaps w:val="0"/>
                <w:color w:val="auto"/>
                <w:spacing w:val="0"/>
                <w:sz w:val="24"/>
                <w:szCs w:val="20"/>
                <w:highlight w:val="none"/>
              </w:rPr>
              <w:t xml:space="preserve">    项目与《石家庄市生态环境保护“十四五”规划》（石政函〔2022〕72号）符合性分析一览表</w:t>
            </w:r>
          </w:p>
          <w:tbl>
            <w:tblPr>
              <w:jc w:val="cente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5198"/>
              <w:gridCol w:w="1842"/>
              <w:gridCol w:w="592"/>
            </w:tblGrid>
            <w:tr>
              <w:tc>
                <w:tcPr>
                  <w:tcW w:w="3404"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相关内容要求</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项目情况</w:t>
                  </w:r>
                </w:p>
              </w:tc>
              <w:tc>
                <w:tcPr>
                  <w:tcW w:w="388"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符合性</w:t>
                  </w:r>
                </w:p>
              </w:tc>
            </w:tr>
            <w:tr>
              <w:tc>
                <w:tcPr>
                  <w:tcW w:w="3404"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三、健全优化开发政策</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统筹推动绿色低碳发展(二)着力优化功能布局</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加快产业绿色升级严格环境准入门槛</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全市禁止钢铁、焦化、水泥、平板玻璃、铸造（高端或精密铸造项目以及《产业结构调整指导目录（2019年本）》第一类鼓励类项目除外）、有色、炭素、钙镁、煤化工、陶瓷、砖瓦等行业新建、扩建单纯新增产能（搬迁升级改造项目和产能置换项目除外）的项目和企业。对搬迁升级改造项目的环境影响评价。应满足规划环评要求</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对本地过剩产能重点行业搬迁、改建项目</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实行大气污染物排放倍量替代。严格控制新增燃煤项目（产能置换项目除外）建设。</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项目属于</w:t>
                  </w:r>
                  <w:r>
                    <w:rPr>
                      <w:rFonts w:ascii="Times New Roman" w:cs="Times New Roman" w:hAnsi="Times New Roman" w:hint="eastAsia"/>
                      <w:caps w:val="0"/>
                      <w:smallCaps w:val="0"/>
                      <w:snapToGrid w:val="0"/>
                      <w:color w:val="auto"/>
                      <w:spacing w:val="0"/>
                      <w:kern w:val="0"/>
                      <w:sz w:val="21"/>
                      <w:szCs w:val="21"/>
                      <w:lang w:eastAsia="zh-CN"/>
                      <w:highlight w:val="none"/>
                    </w:rPr>
                    <w:t>《产业结构调整指导目录（2024年本）》</w:t>
                  </w:r>
                  <w:r>
                    <w:rPr>
                      <w:rFonts w:ascii="Times New Roman" w:cs="Times New Roman" w:hAnsi="Times New Roman"/>
                      <w:caps w:val="0"/>
                      <w:smallCaps w:val="0"/>
                      <w:snapToGrid w:val="0"/>
                      <w:color w:val="auto"/>
                      <w:spacing w:val="0"/>
                      <w:kern w:val="0"/>
                      <w:sz w:val="21"/>
                      <w:szCs w:val="21"/>
                      <w:lang w:val="en-US" w:eastAsia="zh-CN"/>
                      <w:highlight w:val="none"/>
                    </w:rPr>
                    <w:t>允许</w:t>
                  </w:r>
                  <w:r>
                    <w:rPr>
                      <w:rFonts w:ascii="Times New Roman" w:eastAsia="宋体" w:cs="Times New Roman" w:hAnsi="Times New Roman"/>
                      <w:caps w:val="0"/>
                      <w:smallCaps w:val="0"/>
                      <w:snapToGrid w:val="0"/>
                      <w:color w:val="auto"/>
                      <w:spacing w:val="0"/>
                      <w:kern w:val="0"/>
                      <w:sz w:val="21"/>
                      <w:szCs w:val="21"/>
                      <w:highlight w:val="none"/>
                    </w:rPr>
                    <w:t>类。</w:t>
                  </w:r>
                </w:p>
              </w:tc>
              <w:tc>
                <w:tcPr>
                  <w:tcW w:w="388"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符合</w:t>
                  </w:r>
                </w:p>
              </w:tc>
            </w:tr>
            <w:tr>
              <w:tc>
                <w:tcPr>
                  <w:tcW w:w="3404"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三、健全优化开发政策</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统筹推动绿色低碳发展(三)加快调整能源结构</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打造低碳能源体系加快产业和能源结构调整。聚焦钢铁、建材、石化、化工、装备、医药、纺织、皮革等重点行业</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实施传统产业“千企绿色改造”助推“万企转型”加快发展新能源、新材料、新能源汽车等绿色新兴产业。优化工业用能结构</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严格控制钢铁、化工、平板玻璃等重点行业主要用煤行业煤炭消费</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提升清洁能源消费比重降低煤炭消费总量。鼓励电厂使用高热值煤炭</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优化发电方式</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进一步控制煤炭消耗。科学论证“以热定电”方案</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落实“碳达峰”方案</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以年度污染物排放目标任务</w:t>
                  </w:r>
                  <w:r>
                    <w:rPr>
                      <w:rFonts w:ascii="Times New Roman" w:cs="Times New Roman" w:hAnsi="Times New Roman" w:hint="eastAsia"/>
                      <w:caps w:val="0"/>
                      <w:smallCaps w:val="0"/>
                      <w:snapToGrid w:val="0"/>
                      <w:color w:val="auto"/>
                      <w:spacing w:val="0"/>
                      <w:kern w:val="0"/>
                      <w:sz w:val="21"/>
                      <w:szCs w:val="21"/>
                      <w:lang w:val="en-US" w:eastAsia="zh-CN"/>
                      <w:highlight w:val="none"/>
                    </w:rPr>
                    <w:t>核定</w:t>
                  </w:r>
                  <w:r>
                    <w:rPr>
                      <w:rFonts w:ascii="Times New Roman" w:eastAsia="宋体" w:cs="Times New Roman" w:hAnsi="Times New Roman"/>
                      <w:caps w:val="0"/>
                      <w:smallCaps w:val="0"/>
                      <w:snapToGrid w:val="0"/>
                      <w:color w:val="auto"/>
                      <w:spacing w:val="0"/>
                      <w:kern w:val="0"/>
                      <w:sz w:val="21"/>
                      <w:szCs w:val="21"/>
                      <w:highlight w:val="none"/>
                    </w:rPr>
                    <w:t>用煤量</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有效压减电煤</w:t>
                  </w:r>
                  <w:r>
                    <w:rPr>
                      <w:rFonts w:ascii="Times New Roman" w:eastAsia="宋体" w:cs="Times New Roman" w:hAnsi="Times New Roman"/>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增加外购电和绿电比例。</w:t>
                  </w:r>
                </w:p>
              </w:tc>
              <w:tc>
                <w:tcPr>
                  <w:tcW w:w="120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项目不属于钢铁、建材、石化、化工、装备、医药、纺织、皮革等重点行业。</w:t>
                  </w:r>
                </w:p>
              </w:tc>
              <w:tc>
                <w:tcPr>
                  <w:tcW w:w="388"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符合</w:t>
                  </w:r>
                </w:p>
              </w:tc>
            </w:tr>
          </w:tbl>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本项目符合《石家庄市生态环境保护“十四五”规划》（石政函〔2022〕72号）</w:t>
            </w:r>
            <w:r>
              <w:rPr>
                <w:rFonts w:ascii="Times New Roman" w:cs="Times New Roman" w:hAnsi="Times New Roman"/>
                <w:caps w:val="0"/>
                <w:smallCaps w:val="0"/>
                <w:color w:val="auto"/>
                <w:spacing w:val="0"/>
                <w:sz w:val="24"/>
                <w:szCs w:val="20"/>
                <w:lang w:val="en-US" w:eastAsia="zh-CN"/>
                <w:highlight w:val="none"/>
              </w:rPr>
              <w:t>要求</w:t>
            </w:r>
            <w:r>
              <w:rPr>
                <w:rFonts w:ascii="Times New Roman" w:cs="Times New Roman" w:hAnsi="Times New Roman" w:hint="eastAsia"/>
                <w:caps w:val="0"/>
                <w:smallCaps w:val="0"/>
                <w:color w:val="auto"/>
                <w:spacing w:val="0"/>
                <w:sz w:val="24"/>
                <w:szCs w:val="20"/>
                <w:lang w:val="en-US"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）项目与《河北省涉V</w:t>
            </w:r>
            <w:r>
              <w:rPr>
                <w:rFonts w:ascii="Times New Roman" w:cs="Times New Roman" w:hAnsi="Times New Roman" w:hint="eastAsia"/>
                <w:caps w:val="0"/>
                <w:smallCaps w:val="0"/>
                <w:color w:val="auto"/>
                <w:spacing w:val="0"/>
                <w:sz w:val="24"/>
                <w:szCs w:val="20"/>
                <w:lang w:val="en-US" w:eastAsia="zh-CN"/>
                <w:highlight w:val="none"/>
              </w:rPr>
              <w:t>O</w:t>
            </w:r>
            <w:r>
              <w:rPr>
                <w:rFonts w:ascii="Times New Roman" w:cs="Times New Roman" w:hAnsi="Times New Roman"/>
                <w:caps w:val="0"/>
                <w:smallCaps w:val="0"/>
                <w:color w:val="auto"/>
                <w:spacing w:val="0"/>
                <w:sz w:val="24"/>
                <w:szCs w:val="20"/>
                <w:highlight w:val="none"/>
              </w:rPr>
              <w:t>Cs工业企业常用治理技术指南》符合性分析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项目与《河北省涉V</w:t>
            </w:r>
            <w:r>
              <w:rPr>
                <w:rFonts w:ascii="Times New Roman" w:cs="Times New Roman" w:hAnsi="Times New Roman" w:hint="eastAsia"/>
                <w:caps w:val="0"/>
                <w:smallCaps w:val="0"/>
                <w:color w:val="auto"/>
                <w:spacing w:val="0"/>
                <w:sz w:val="24"/>
                <w:szCs w:val="20"/>
                <w:lang w:val="en-US" w:eastAsia="zh-CN"/>
                <w:highlight w:val="none"/>
              </w:rPr>
              <w:t>O</w:t>
            </w:r>
            <w:r>
              <w:rPr>
                <w:rFonts w:ascii="Times New Roman" w:cs="Times New Roman" w:hAnsi="Times New Roman"/>
                <w:caps w:val="0"/>
                <w:smallCaps w:val="0"/>
                <w:color w:val="auto"/>
                <w:spacing w:val="0"/>
                <w:sz w:val="24"/>
                <w:szCs w:val="20"/>
                <w:highlight w:val="none"/>
              </w:rPr>
              <w:t>Cs工业企业常用治理技术指南》符合性分析见表1-</w:t>
            </w:r>
            <w:r>
              <w:rPr>
                <w:rFonts w:ascii="Times New Roman" w:cs="Times New Roman" w:hAnsi="Times New Roman" w:hint="eastAsia"/>
                <w:caps w:val="0"/>
                <w:smallCaps w:val="0"/>
                <w:color w:val="auto"/>
                <w:spacing w:val="0"/>
                <w:sz w:val="24"/>
                <w:szCs w:val="20"/>
                <w:lang w:val="en-US" w:eastAsia="zh-CN"/>
                <w:highlight w:val="none"/>
              </w:rPr>
              <w:t>10</w:t>
            </w:r>
            <w:r>
              <w:rPr>
                <w:rFonts w:ascii="Times New Roman" w:cs="Times New Roman" w:hAnsi="Times New Roman"/>
                <w:caps w:val="0"/>
                <w:smallCaps w:val="0"/>
                <w:color w:val="auto"/>
                <w:spacing w:val="0"/>
                <w:sz w:val="24"/>
                <w:szCs w:val="20"/>
                <w:lang w:val="en-US" w:eastAsia="zh-CN"/>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10</w:t>
            </w:r>
            <w:r>
              <w:rPr>
                <w:rFonts w:ascii="Times New Roman" w:cs="Times New Roman" w:hAnsi="Times New Roman"/>
                <w:caps w:val="0"/>
                <w:smallCaps w:val="0"/>
                <w:color w:val="auto"/>
                <w:spacing w:val="0"/>
                <w:sz w:val="24"/>
                <w:szCs w:val="20"/>
                <w:highlight w:val="none"/>
              </w:rPr>
              <w:t xml:space="preserve">    项目与《河北省涉V</w:t>
            </w:r>
            <w:r>
              <w:rPr>
                <w:rFonts w:ascii="Times New Roman" w:cs="Times New Roman" w:hAnsi="Times New Roman" w:hint="eastAsia"/>
                <w:caps w:val="0"/>
                <w:smallCaps w:val="0"/>
                <w:color w:val="auto"/>
                <w:spacing w:val="0"/>
                <w:sz w:val="24"/>
                <w:szCs w:val="20"/>
                <w:lang w:val="en-US" w:eastAsia="zh-CN"/>
                <w:highlight w:val="none"/>
              </w:rPr>
              <w:t>O</w:t>
            </w:r>
            <w:r>
              <w:rPr>
                <w:rFonts w:ascii="Times New Roman" w:cs="Times New Roman" w:hAnsi="Times New Roman"/>
                <w:caps w:val="0"/>
                <w:smallCaps w:val="0"/>
                <w:color w:val="auto"/>
                <w:spacing w:val="0"/>
                <w:sz w:val="24"/>
                <w:szCs w:val="20"/>
                <w:highlight w:val="none"/>
              </w:rPr>
              <w:t>Cs工业企业常用治理技术指南》符合性分析一览表</w:t>
            </w:r>
          </w:p>
          <w:tbl>
            <w:tblPr>
              <w:jc w:val="center"/>
              <w:tblW w:w="4992"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898"/>
              <w:gridCol w:w="4223"/>
              <w:gridCol w:w="1945"/>
              <w:gridCol w:w="553"/>
            </w:tblGrid>
            <w:tr>
              <w:tc>
                <w:tcPr>
                  <w:tcW w:w="3359" w:type="pct"/>
                  <w:gridSpan w:val="2"/>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相关内容要求</w:t>
                  </w:r>
                </w:p>
              </w:tc>
              <w:tc>
                <w:tcPr>
                  <w:tcW w:w="127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项目情况</w:t>
                  </w:r>
                </w:p>
              </w:tc>
              <w:tc>
                <w:tcPr>
                  <w:tcW w:w="363"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符合性</w:t>
                  </w:r>
                </w:p>
              </w:tc>
            </w:tr>
            <w:tr>
              <w:tc>
                <w:tcPr>
                  <w:tcW w:w="589"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选用原则</w:t>
                  </w:r>
                </w:p>
              </w:tc>
              <w:tc>
                <w:tcPr>
                  <w:tcW w:w="277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1.针对生产过程中产生的连续稳定VOCs废气宜选用固定床或转轮吸附处理技术，非连续性生产或产生浓度不稳定的VOCs废气宜选用固定床吸附处理技术。</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eastAsia="zh-CN"/>
                      <w:highlight w:val="none"/>
                    </w:rPr>
                  </w:pPr>
                  <w:r>
                    <w:rPr>
                      <w:rFonts w:ascii="Times New Roman" w:eastAsia="宋体" w:cs="Times New Roman" w:hAnsi="Times New Roman"/>
                      <w:caps w:val="0"/>
                      <w:smallCaps w:val="0"/>
                      <w:snapToGrid w:val="0"/>
                      <w:color w:val="auto"/>
                      <w:spacing w:val="0"/>
                      <w:kern w:val="0"/>
                      <w:sz w:val="21"/>
                      <w:szCs w:val="21"/>
                      <w:highlight w:val="none"/>
                    </w:rPr>
                    <w:t>2.当废气VOCs浓度较高时，宜先采用冷凝、吸收等回收技术降低废气中VOCs含量，再选择适宜吸附技术</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采用固定床吸附技术时，当VOCs产生量&gt;500kg/年，宜配合具有再生、回收、销功能的组合处理技术</w:t>
                  </w:r>
                  <w:r>
                    <w:rPr>
                      <w:rFonts w:ascii="Times New Roman" w:cs="Times New Roman" w:hAnsi="Times New Roman" w:hint="eastAsia"/>
                      <w:caps w:val="0"/>
                      <w:smallCaps w:val="0"/>
                      <w:snapToGrid w:val="0"/>
                      <w:color w:val="auto"/>
                      <w:spacing w:val="0"/>
                      <w:kern w:val="0"/>
                      <w:sz w:val="21"/>
                      <w:szCs w:val="21"/>
                      <w:lang w:eastAsia="zh-CN"/>
                      <w:highlight w:val="none"/>
                    </w:rPr>
                    <w:t>。</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eastAsia="zh-CN"/>
                      <w:highlight w:val="none"/>
                    </w:rPr>
                  </w:pPr>
                  <w:r>
                    <w:rPr>
                      <w:rFonts w:ascii="Times New Roman" w:eastAsia="宋体" w:cs="Times New Roman" w:hAnsi="Times New Roman"/>
                      <w:caps w:val="0"/>
                      <w:smallCaps w:val="0"/>
                      <w:snapToGrid w:val="0"/>
                      <w:color w:val="auto"/>
                      <w:spacing w:val="0"/>
                      <w:kern w:val="0"/>
                      <w:sz w:val="21"/>
                      <w:szCs w:val="21"/>
                      <w:highlight w:val="none"/>
                    </w:rPr>
                    <w:t>3.当废气中VOCs有回收价值时，根据情况宜选用水蒸气、热气流、氮气脱附等方法进行活性炭再生，脱附后的VOCs可采用冷凝或液体吸收技术进行富集回收，并确保不凝汽及未吸收废气达标排放</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当</w:t>
                  </w:r>
                  <w:r>
                    <w:rPr>
                      <w:rFonts w:ascii="Times New Roman" w:cs="Times New Roman" w:hAnsi="Times New Roman" w:hint="eastAsia"/>
                      <w:caps w:val="0"/>
                      <w:smallCaps w:val="0"/>
                      <w:snapToGrid w:val="0"/>
                      <w:color w:val="auto"/>
                      <w:spacing w:val="0"/>
                      <w:kern w:val="0"/>
                      <w:sz w:val="21"/>
                      <w:szCs w:val="21"/>
                      <w:lang w:val="en-US" w:eastAsia="zh-CN"/>
                      <w:highlight w:val="none"/>
                    </w:rPr>
                    <w:t>废气</w:t>
                  </w:r>
                  <w:r>
                    <w:rPr>
                      <w:rFonts w:ascii="Times New Roman" w:eastAsia="宋体" w:cs="Times New Roman" w:hAnsi="Times New Roman"/>
                      <w:caps w:val="0"/>
                      <w:smallCaps w:val="0"/>
                      <w:snapToGrid w:val="0"/>
                      <w:color w:val="auto"/>
                      <w:spacing w:val="0"/>
                      <w:kern w:val="0"/>
                      <w:sz w:val="21"/>
                      <w:szCs w:val="21"/>
                      <w:highlight w:val="none"/>
                    </w:rPr>
                    <w:t>中的VOCs不宜回收时，宜采用燃烧工艺进行销毁</w:t>
                  </w:r>
                  <w:r>
                    <w:rPr>
                      <w:rFonts w:ascii="Times New Roman" w:cs="Times New Roman" w:hAnsi="Times New Roman" w:hint="eastAsia"/>
                      <w:caps w:val="0"/>
                      <w:smallCaps w:val="0"/>
                      <w:snapToGrid w:val="0"/>
                      <w:color w:val="auto"/>
                      <w:spacing w:val="0"/>
                      <w:kern w:val="0"/>
                      <w:sz w:val="21"/>
                      <w:szCs w:val="21"/>
                      <w:lang w:eastAsia="zh-CN"/>
                      <w:highlight w:val="none"/>
                    </w:rPr>
                    <w:t>。</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4.废气中含有SVOC(漆雾、油滴)及颗粒物时，应配备过滤电捕集等适宜高效前处理技术，最大限度减少SVOC及颗粒物对吸附材料的污染</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当废气中含有CVOC(卤化挥发性有机化合物)时，选用燃烧工艺进行销毁时应控制适宜燃烧温度及废气停留时间，监控二噁英等相关污染物的排放。</w:t>
                  </w:r>
                </w:p>
              </w:tc>
              <w:tc>
                <w:tcPr>
                  <w:tcW w:w="127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生产过程中产生的VOCs废气为连续稳定产生，项目废气VOCs（以非甲烷总烃计）浓度较低且无回收价值，不涉及漆雾、油滴，项目产生的非甲烷总烃、颗粒物经布袋除尘器+两级活性炭吸附装置处理后通过15m高排气筒排放，满足《工业企业挥发性有机物排放控制标准》（DB13/2322-2025）标准</w:t>
                  </w:r>
                  <w:r>
                    <w:rPr>
                      <w:rFonts w:ascii="Times New Roman" w:cs="Times New Roman" w:hAnsi="Times New Roman" w:hint="eastAsia"/>
                      <w:caps w:val="0"/>
                      <w:smallCaps w:val="0"/>
                      <w:snapToGrid w:val="0"/>
                      <w:color w:val="auto"/>
                      <w:spacing w:val="0"/>
                      <w:kern w:val="0"/>
                      <w:sz w:val="21"/>
                      <w:szCs w:val="21"/>
                      <w:lang w:eastAsia="zh-CN"/>
                      <w:highlight w:val="none"/>
                    </w:rPr>
                    <w:t>。</w:t>
                  </w:r>
                </w:p>
              </w:tc>
              <w:tc>
                <w:tcPr>
                  <w:tcW w:w="363"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符合</w:t>
                  </w:r>
                </w:p>
              </w:tc>
            </w:tr>
          </w:tbl>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本项目符合《河北省涉VOCs工业企业常用治理技术指南》</w:t>
            </w:r>
            <w:r>
              <w:rPr>
                <w:rFonts w:ascii="Times New Roman" w:cs="Times New Roman" w:hAnsi="Times New Roman"/>
                <w:caps w:val="0"/>
                <w:smallCaps w:val="0"/>
                <w:color w:val="auto"/>
                <w:spacing w:val="0"/>
                <w:sz w:val="24"/>
                <w:szCs w:val="20"/>
                <w:lang w:val="en-US" w:eastAsia="zh-CN"/>
                <w:highlight w:val="none"/>
              </w:rPr>
              <w:t>要求</w:t>
            </w:r>
            <w:r>
              <w:rPr>
                <w:rFonts w:ascii="Times New Roman" w:cs="Times New Roman" w:hAnsi="Times New Roman" w:hint="eastAsia"/>
                <w:caps w:val="0"/>
                <w:smallCaps w:val="0"/>
                <w:color w:val="auto"/>
                <w:spacing w:val="0"/>
                <w:sz w:val="24"/>
                <w:szCs w:val="20"/>
                <w:lang w:val="en-US"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4</w:t>
            </w:r>
            <w:r>
              <w:rPr>
                <w:rFonts w:ascii="Times New Roman" w:cs="Times New Roman" w:hAnsi="Times New Roman"/>
                <w:caps w:val="0"/>
                <w:smallCaps w:val="0"/>
                <w:color w:val="auto"/>
                <w:spacing w:val="0"/>
                <w:sz w:val="24"/>
                <w:szCs w:val="20"/>
                <w:highlight w:val="none"/>
              </w:rPr>
              <w:t>）项目与《石家庄市涉VOC企业活性炭吸附脱附技术指南》符合性分析</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项目与《石家庄市涉VOC企业活性炭吸附脱附技术指南》符合性分析见表1-</w:t>
            </w:r>
            <w:r>
              <w:rPr>
                <w:rFonts w:ascii="Times New Roman" w:cs="Times New Roman" w:hAnsi="Times New Roman" w:hint="eastAsia"/>
                <w:caps w:val="0"/>
                <w:smallCaps w:val="0"/>
                <w:color w:val="auto"/>
                <w:spacing w:val="0"/>
                <w:sz w:val="24"/>
                <w:szCs w:val="20"/>
                <w:lang w:val="en-US" w:eastAsia="zh-CN"/>
                <w:highlight w:val="none"/>
              </w:rPr>
              <w:t>11</w:t>
            </w:r>
            <w:r>
              <w:rPr>
                <w:rFonts w:ascii="Times New Roman" w:cs="Times New Roman" w:hAnsi="Times New Roman"/>
                <w:caps w:val="0"/>
                <w:smallCaps w:val="0"/>
                <w:color w:val="auto"/>
                <w:spacing w:val="0"/>
                <w:sz w:val="24"/>
                <w:szCs w:val="20"/>
                <w:lang w:val="en-US" w:eastAsia="zh-CN"/>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表1-</w:t>
            </w:r>
            <w:r>
              <w:rPr>
                <w:rFonts w:ascii="Times New Roman" w:cs="Times New Roman" w:hAnsi="Times New Roman" w:hint="eastAsia"/>
                <w:caps w:val="0"/>
                <w:smallCaps w:val="0"/>
                <w:color w:val="auto"/>
                <w:spacing w:val="0"/>
                <w:sz w:val="24"/>
                <w:szCs w:val="20"/>
                <w:lang w:val="en-US" w:eastAsia="zh-CN"/>
                <w:highlight w:val="none"/>
              </w:rPr>
              <w:t>11</w:t>
            </w:r>
            <w:r>
              <w:rPr>
                <w:rFonts w:ascii="Times New Roman" w:cs="Times New Roman" w:hAnsi="Times New Roman"/>
                <w:caps w:val="0"/>
                <w:smallCaps w:val="0"/>
                <w:color w:val="auto"/>
                <w:spacing w:val="0"/>
                <w:sz w:val="24"/>
                <w:szCs w:val="20"/>
                <w:highlight w:val="none"/>
              </w:rPr>
              <w:t xml:space="preserve">    项目与《石家庄市涉VOC企业活性炭吸附脱附技术指南》符合性分析一览表</w:t>
            </w:r>
          </w:p>
          <w:tbl>
            <w:tblPr>
              <w:jc w:val="center"/>
              <w:tblW w:w="4992"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896"/>
              <w:gridCol w:w="4224"/>
              <w:gridCol w:w="1945"/>
              <w:gridCol w:w="553"/>
            </w:tblGrid>
            <w:tr>
              <w:tc>
                <w:tcPr>
                  <w:tcW w:w="3359" w:type="pct"/>
                  <w:gridSpan w:val="2"/>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相关内容要求</w:t>
                  </w:r>
                </w:p>
              </w:tc>
              <w:tc>
                <w:tcPr>
                  <w:tcW w:w="127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项目情况</w:t>
                  </w:r>
                </w:p>
              </w:tc>
              <w:tc>
                <w:tcPr>
                  <w:tcW w:w="363"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snapToGrid w:val="0"/>
                      <w:color w:val="auto"/>
                      <w:spacing w:val="0"/>
                      <w:kern w:val="0"/>
                      <w:sz w:val="21"/>
                      <w:szCs w:val="21"/>
                      <w:highlight w:val="none"/>
                    </w:rPr>
                  </w:pPr>
                  <w:r>
                    <w:rPr>
                      <w:rFonts w:ascii="Times New Roman" w:cs="Times New Roman" w:hAnsi="Times New Roman"/>
                      <w:caps w:val="0"/>
                      <w:smallCaps w:val="0"/>
                      <w:snapToGrid w:val="0"/>
                      <w:color w:val="auto"/>
                      <w:spacing w:val="0"/>
                      <w:kern w:val="0"/>
                      <w:sz w:val="21"/>
                      <w:szCs w:val="21"/>
                      <w:highlight w:val="none"/>
                    </w:rPr>
                    <w:t>符合性</w:t>
                  </w:r>
                </w:p>
              </w:tc>
            </w:tr>
            <w:tr>
              <w:tc>
                <w:tcPr>
                  <w:tcW w:w="588"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活性炭吸附技术要求</w:t>
                  </w:r>
                </w:p>
              </w:tc>
              <w:tc>
                <w:tcPr>
                  <w:tcW w:w="277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本技术指南适用于规范使用活性炭吸附、活性炭吸附-催化燃烧、活性炭吸附-移动再生工艺治理VOCs的相关技术，企业应按照实际需求进行工艺选择。生产过程中连续稳定产生的废气可以采用固定床或转轮吸附等吸附装置，非连续性产生或浓度不稳定的废气宜采用固定床吸附装置。</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eastAsia="zh-CN"/>
                      <w:highlight w:val="none"/>
                    </w:rPr>
                  </w:pPr>
                  <w:r>
                    <w:rPr>
                      <w:rFonts w:ascii="Times New Roman" w:eastAsia="宋体" w:cs="Times New Roman" w:hAnsi="Times New Roman"/>
                      <w:caps w:val="0"/>
                      <w:smallCaps w:val="0"/>
                      <w:snapToGrid w:val="0"/>
                      <w:color w:val="auto"/>
                      <w:spacing w:val="0"/>
                      <w:kern w:val="0"/>
                      <w:sz w:val="21"/>
                      <w:szCs w:val="21"/>
                      <w:highlight w:val="none"/>
                    </w:rPr>
                    <w:t>当采用固定床时，尽量选用有原位脱附功能的活性炭吸附技术</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当废气中有机物有回收价值时，可根据情况采用水蒸气再生、热气流再生、氮气脱附等方法，脱附后的有机气体可采用冷凝或液体吸收工艺进行回收</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当废气中的有机物不宜回收时</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脱附产生的有机气体采用燃烧工艺进行销毁</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废气中有机物浓度、温度较高时，宜先采用冷凝工艺对废气进行处理后，再进行吸附</w:t>
                  </w:r>
                  <w:r>
                    <w:rPr>
                      <w:rFonts w:ascii="Times New Roman" w:cs="Times New Roman" w:hAnsi="Times New Roman" w:hint="eastAsia"/>
                      <w:caps w:val="0"/>
                      <w:smallCaps w:val="0"/>
                      <w:snapToGrid w:val="0"/>
                      <w:color w:val="auto"/>
                      <w:spacing w:val="0"/>
                      <w:kern w:val="0"/>
                      <w:sz w:val="21"/>
                      <w:szCs w:val="21"/>
                      <w:lang w:eastAsia="zh-CN"/>
                      <w:highlight w:val="none"/>
                    </w:rPr>
                    <w:t>：</w:t>
                  </w:r>
                  <w:r>
                    <w:rPr>
                      <w:rFonts w:ascii="Times New Roman" w:eastAsia="宋体" w:cs="Times New Roman" w:hAnsi="Times New Roman"/>
                      <w:caps w:val="0"/>
                      <w:smallCaps w:val="0"/>
                      <w:snapToGrid w:val="0"/>
                      <w:color w:val="auto"/>
                      <w:spacing w:val="0"/>
                      <w:kern w:val="0"/>
                      <w:sz w:val="21"/>
                      <w:szCs w:val="21"/>
                      <w:highlight w:val="none"/>
                    </w:rPr>
                    <w:t>原则上废气中有机物主要成分沸点&gt;100℃或废气中颗粒物、油滴、湿度较高的，不建议直接使用活性炭吸附</w:t>
                  </w:r>
                  <w:r>
                    <w:rPr>
                      <w:rFonts w:ascii="Times New Roman" w:cs="Times New Roman" w:hAnsi="Times New Roman" w:hint="eastAsia"/>
                      <w:caps w:val="0"/>
                      <w:smallCaps w:val="0"/>
                      <w:snapToGrid w:val="0"/>
                      <w:color w:val="auto"/>
                      <w:spacing w:val="0"/>
                      <w:kern w:val="0"/>
                      <w:sz w:val="21"/>
                      <w:szCs w:val="21"/>
                      <w:lang w:val="en-US" w:eastAsia="zh-CN"/>
                      <w:highlight w:val="none"/>
                    </w:rPr>
                    <w:t>工艺。</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一、工艺要求</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1.活性炭吸附技术设备应按照经规定程序批准的图纸和技术文件加工制造，设备便于安装、保养与维护。</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eastAsia="zh-CN"/>
                      <w:highlight w:val="none"/>
                    </w:rPr>
                  </w:pPr>
                  <w:r>
                    <w:rPr>
                      <w:rFonts w:ascii="Times New Roman" w:eastAsia="宋体" w:cs="Times New Roman" w:hAnsi="Times New Roman"/>
                      <w:caps w:val="0"/>
                      <w:smallCaps w:val="0"/>
                      <w:snapToGrid w:val="0"/>
                      <w:color w:val="auto"/>
                      <w:spacing w:val="0"/>
                      <w:kern w:val="0"/>
                      <w:sz w:val="21"/>
                      <w:szCs w:val="21"/>
                      <w:highlight w:val="none"/>
                    </w:rPr>
                    <w:t>2.活性炭吸附技术设备使用环境</w:t>
                  </w:r>
                  <w:r>
                    <w:rPr>
                      <w:rFonts w:ascii="Times New Roman" w:cs="Times New Roman" w:hAnsi="Times New Roman" w:hint="eastAsia"/>
                      <w:caps w:val="0"/>
                      <w:smallCaps w:val="0"/>
                      <w:snapToGrid w:val="0"/>
                      <w:color w:val="auto"/>
                      <w:spacing w:val="0"/>
                      <w:kern w:val="0"/>
                      <w:sz w:val="21"/>
                      <w:szCs w:val="21"/>
                      <w:lang w:eastAsia="zh-CN"/>
                      <w:highlight w:val="none"/>
                    </w:rPr>
                    <w:t>：</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(1)环境温度：-10℃~50℃；</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(2)废气温、湿度：废气温度≤40℃，湿度RH≤50%。</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3.要求活性炭吸附环保设备制造商应具备专业设计能力，设施完备的生产车间、装配车间等硬件设施，完善的管理制度及规范，必要的检验、试验设备，且能独立完成产品的出厂试验。</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4.活性炭技术环保设施各处理单元的处理能力应根据废气的实测排放量确定，每个实际处理单元的处理能力应按照最大废气实测排放量的120%进行设计。</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5.设备部件的结构设计合理，气体流通顺畅、无短路、无死角。</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6.排放风机宜安装在设备后端，使设备形成负压，在设备密封性能良好情况下允许前置风机，尽量保证无污染气体泄漏到设备箱罐体体外，风机选型时应考虑收集及环保设施阻力。</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7.活性炭技术处理装置应先于产生废气的生产工艺设备开启、晚于生产工艺设备停机，有条件的可实现与生产装置的连锁控制。</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8.活性炭相关技术设施前应安装过滤处理系统，企业应制定定期更换过滤材料的设备运行维护规程，保障活性炭在低颗粒物、低含水率条件下使用。</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9.采用活性炭吸附装置的企业应配备VOCs快速监测设备，活性炭吸附相关技术处理装置应在设备进气和出气管道上设置气体采样口，采样口的设置应符合《环境保护产品技术要求工业废气吸附净化装置HJT3862007》的要求，便于日常监测活性炭吸附效率，当出口废气浓度≥排放限值的70%时，应及时更换活性炭，并做好相应台账更换记录及危废入库记录。</w:t>
                  </w:r>
                </w:p>
              </w:tc>
              <w:tc>
                <w:tcPr>
                  <w:tcW w:w="127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项目生产过程中为连续稳定产生的废气，采取固定床吸附装置；项目不采用脱附装置，废气中有机物无回收价值，定期更换废活性炭，废活性炭交由有资质单位处置；项目有机物浓度较低。</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项目采用布袋除尘器+两级活性炭吸附装置，设备厂家已按照</w:t>
                  </w:r>
                  <w:r>
                    <w:rPr>
                      <w:rFonts w:ascii="Times New Roman" w:eastAsia="宋体" w:cs="Times New Roman" w:hAnsi="Times New Roman"/>
                      <w:caps w:val="0"/>
                      <w:smallCaps w:val="0"/>
                      <w:snapToGrid w:val="0"/>
                      <w:color w:val="auto"/>
                      <w:spacing w:val="0"/>
                      <w:kern w:val="0"/>
                      <w:sz w:val="21"/>
                      <w:szCs w:val="21"/>
                      <w:highlight w:val="none"/>
                    </w:rPr>
                    <w:t>经规定程序批准的图纸和技术文件加工制造</w:t>
                  </w:r>
                  <w:r>
                    <w:rPr>
                      <w:rFonts w:ascii="Times New Roman" w:cs="Times New Roman" w:hAnsi="Times New Roman" w:hint="eastAsia"/>
                      <w:caps w:val="0"/>
                      <w:smallCaps w:val="0"/>
                      <w:snapToGrid w:val="0"/>
                      <w:color w:val="auto"/>
                      <w:spacing w:val="0"/>
                      <w:kern w:val="0"/>
                      <w:sz w:val="21"/>
                      <w:szCs w:val="21"/>
                      <w:lang w:eastAsia="zh-CN"/>
                      <w:highlight w:val="none"/>
                    </w:rPr>
                    <w:t>。</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项目两级活性炭吸附环境温度满足</w:t>
                  </w:r>
                  <w:r>
                    <w:rPr>
                      <w:rFonts w:ascii="Times New Roman" w:cs="Times New Roman" w:hAnsi="Times New Roman" w:hint="eastAsia"/>
                      <w:caps w:val="0"/>
                      <w:smallCaps w:val="0"/>
                      <w:snapToGrid w:val="0"/>
                      <w:color w:val="auto"/>
                      <w:spacing w:val="0"/>
                      <w:kern w:val="0"/>
                      <w:sz w:val="21"/>
                      <w:szCs w:val="21"/>
                      <w:lang w:eastAsia="zh-CN"/>
                      <w:highlight w:val="none"/>
                    </w:rPr>
                    <w:t>-10℃~50℃；</w:t>
                  </w:r>
                  <w:r>
                    <w:rPr>
                      <w:rFonts w:ascii="Times New Roman" w:cs="Times New Roman" w:hAnsi="Times New Roman" w:hint="eastAsia"/>
                      <w:caps w:val="0"/>
                      <w:smallCaps w:val="0"/>
                      <w:snapToGrid w:val="0"/>
                      <w:color w:val="auto"/>
                      <w:spacing w:val="0"/>
                      <w:kern w:val="0"/>
                      <w:sz w:val="21"/>
                      <w:szCs w:val="21"/>
                      <w:lang w:val="en-US" w:eastAsia="zh-CN"/>
                      <w:highlight w:val="none"/>
                    </w:rPr>
                    <w:t>废气温度</w:t>
                  </w:r>
                  <w:r>
                    <w:rPr>
                      <w:rFonts w:ascii="Times New Roman" w:cs="Times New Roman" w:hAnsi="Times New Roman" w:hint="eastAsia"/>
                      <w:caps w:val="0"/>
                      <w:smallCaps w:val="0"/>
                      <w:snapToGrid w:val="0"/>
                      <w:color w:val="auto"/>
                      <w:spacing w:val="0"/>
                      <w:kern w:val="0"/>
                      <w:sz w:val="21"/>
                      <w:szCs w:val="21"/>
                      <w:lang w:eastAsia="zh-CN"/>
                      <w:highlight w:val="none"/>
                    </w:rPr>
                    <w:t>≤40℃，湿度RH≤50%。</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项目选用有行业经验的活性炭吸附环保设备制造商。选用的设备带出厂合格证。</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w:t>
                  </w:r>
                  <w:r>
                    <w:rPr>
                      <w:rFonts w:ascii="Times New Roman" w:cs="Times New Roman" w:hAnsi="Times New Roman" w:hint="eastAsia"/>
                      <w:caps w:val="0"/>
                      <w:smallCaps w:val="0"/>
                      <w:snapToGrid w:val="0"/>
                      <w:color w:val="auto"/>
                      <w:spacing w:val="0"/>
                      <w:kern w:val="0"/>
                      <w:sz w:val="21"/>
                      <w:szCs w:val="21"/>
                      <w:lang w:eastAsia="zh-CN"/>
                      <w:highlight w:val="none"/>
                    </w:rPr>
                    <w:t>按照最大废气实测排放量的120%进行设计。</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项目设备厂家需保证</w:t>
                  </w:r>
                  <w:r>
                    <w:rPr>
                      <w:rFonts w:ascii="Times New Roman" w:cs="Times New Roman" w:hAnsi="Times New Roman" w:hint="eastAsia"/>
                      <w:caps w:val="0"/>
                      <w:smallCaps w:val="0"/>
                      <w:snapToGrid w:val="0"/>
                      <w:color w:val="auto"/>
                      <w:spacing w:val="0"/>
                      <w:kern w:val="0"/>
                      <w:sz w:val="21"/>
                      <w:szCs w:val="21"/>
                      <w:lang w:eastAsia="zh-CN"/>
                      <w:highlight w:val="none"/>
                    </w:rPr>
                    <w:t>设备部件的结构设计合理，气体流通顺畅、无短路、无死角。</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排放风机安装在设备后端，使设备形成负压，风机选型时考虑收集及环保设施阻力。</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活性炭技术处理装置先于产生废气的生产工艺设备开启、晚于生产工艺设备停机。</w:t>
                  </w:r>
                </w:p>
                <w:p>
                  <w:pPr>
                    <w:keepNext w:val="0"/>
                    <w:keepLines w:val="0"/>
                    <w:suppressLineNumbers w:val="0"/>
                    <w:adjustRightInd w:val="0"/>
                    <w:snapToGrid w:val="0"/>
                    <w:spacing w:before="0" w:beforeAutospacing="0" w:after="0" w:afterAutospacing="0"/>
                    <w:ind w:left="0" w:right="0"/>
                    <w:jc w:val="center"/>
                    <w:rPr>
                      <w:rFonts w:cs="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项目采用布袋除尘器+两级活性炭吸附装置，前置布袋除尘器进行吸附，保障活性炭正产运转。</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项目因浓度较低，不在</w:t>
                  </w:r>
                  <w:r>
                    <w:rPr>
                      <w:rFonts w:ascii="Times New Roman" w:cs="Times New Roman" w:hAnsi="Times New Roman" w:hint="eastAsia"/>
                      <w:caps w:val="0"/>
                      <w:smallCaps w:val="0"/>
                      <w:snapToGrid w:val="0"/>
                      <w:color w:val="auto"/>
                      <w:spacing w:val="0"/>
                      <w:kern w:val="0"/>
                      <w:sz w:val="21"/>
                      <w:szCs w:val="21"/>
                      <w:lang w:eastAsia="zh-CN"/>
                      <w:highlight w:val="none"/>
                    </w:rPr>
                    <w:t>配备VOCs快速监测设备。</w:t>
                  </w:r>
                </w:p>
              </w:tc>
              <w:tc>
                <w:tcPr>
                  <w:tcW w:w="363"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highlight w:val="none"/>
                    </w:rPr>
                  </w:pPr>
                  <w:r>
                    <w:rPr>
                      <w:rFonts w:ascii="Times New Roman" w:eastAsia="宋体" w:cs="Times New Roman" w:hAnsi="Times New Roman"/>
                      <w:caps w:val="0"/>
                      <w:smallCaps w:val="0"/>
                      <w:snapToGrid w:val="0"/>
                      <w:color w:val="auto"/>
                      <w:spacing w:val="0"/>
                      <w:kern w:val="0"/>
                      <w:sz w:val="21"/>
                      <w:szCs w:val="21"/>
                      <w:highlight w:val="none"/>
                    </w:rPr>
                    <w:t>符合</w:t>
                  </w:r>
                </w:p>
              </w:tc>
            </w:tr>
            <w:tr>
              <w:tc>
                <w:tcPr>
                  <w:tcW w:w="588"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活性炭</w:t>
                  </w:r>
                </w:p>
              </w:tc>
              <w:tc>
                <w:tcPr>
                  <w:tcW w:w="277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一、过滤+活性炭吸附工艺</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1.基本要求</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活性炭吸附装置，应提前落实场地空间、活性炭使用周期、运行费用及安全问额，设备安装位置应方便定期运维及更换活性炭材料。</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2.性能要求</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(1)活性炭过滤箱结构设计合理，不得让未经过滤的气体进入后续工艺流程：多层过滤材料应按照过滤等级高低随气体流动方向由低到高布置，各层过滤材料应间隔一定距离布置，最后一级应选用高于F7等级过滤材料，过滤后尾气中颗粒物含量&lt;1mg</w:t>
                  </w:r>
                  <w:r>
                    <w:rPr>
                      <w:rFonts w:ascii="Times New Roman" w:cs="Times New Roman" w:hAnsi="Times New Roman" w:hint="eastAsia"/>
                      <w:caps w:val="0"/>
                      <w:smallCaps w:val="0"/>
                      <w:snapToGrid w:val="0"/>
                      <w:color w:val="auto"/>
                      <w:spacing w:val="0"/>
                      <w:kern w:val="0"/>
                      <w:sz w:val="21"/>
                      <w:szCs w:val="21"/>
                      <w:lang w:val="en-US" w:eastAsia="zh-CN"/>
                      <w:highlight w:val="none"/>
                    </w:rPr>
                    <w:t>/</w:t>
                  </w:r>
                  <w:r>
                    <w:rPr>
                      <w:rFonts w:ascii="Times New Roman" w:cs="Times New Roman" w:hAnsi="Times New Roman" w:hint="eastAsia"/>
                      <w:caps w:val="0"/>
                      <w:smallCaps w:val="0"/>
                      <w:snapToGrid w:val="0"/>
                      <w:color w:val="auto"/>
                      <w:spacing w:val="0"/>
                      <w:kern w:val="0"/>
                      <w:sz w:val="21"/>
                      <w:szCs w:val="21"/>
                      <w:lang w:eastAsia="zh-CN"/>
                      <w:highlight w:val="none"/>
                    </w:rPr>
                    <w:t>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3</w:t>
                  </w:r>
                  <w:r>
                    <w:rPr>
                      <w:rFonts w:ascii="Times New Roman" w:cs="Times New Roman" w:hAnsi="Times New Roman" w:hint="eastAsia"/>
                      <w:caps w:val="0"/>
                      <w:smallCaps w:val="0"/>
                      <w:snapToGrid w:val="0"/>
                      <w:color w:val="auto"/>
                      <w:spacing w:val="0"/>
                      <w:kern w:val="0"/>
                      <w:sz w:val="21"/>
                      <w:szCs w:val="21"/>
                      <w:lang w:eastAsia="zh-CN"/>
                      <w:highlight w:val="none"/>
                    </w:rPr>
                    <w:t>。过滤箱应有压差计，压力过大时及时更换并记录。</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(2)活性炭填充量与每小时处理废气量体积之比应不小于1：5000，每1万Nm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3</w:t>
                  </w:r>
                  <w:r>
                    <w:rPr>
                      <w:rFonts w:ascii="Times New Roman" w:cs="Times New Roman" w:hAnsi="Times New Roman" w:hint="eastAsia"/>
                      <w:caps w:val="0"/>
                      <w:smallCaps w:val="0"/>
                      <w:snapToGrid w:val="0"/>
                      <w:color w:val="auto"/>
                      <w:spacing w:val="0"/>
                      <w:kern w:val="0"/>
                      <w:sz w:val="21"/>
                      <w:szCs w:val="21"/>
                      <w:lang w:eastAsia="zh-CN"/>
                      <w:highlight w:val="none"/>
                    </w:rPr>
                    <w:t>h废气处理蜂窝活性炭吸附截面积不小于2.3m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2</w:t>
                  </w:r>
                  <w:r>
                    <w:rPr>
                      <w:rFonts w:ascii="Times New Roman" w:cs="Times New Roman" w:hAnsi="Times New Roman" w:hint="eastAsia"/>
                      <w:caps w:val="0"/>
                      <w:smallCaps w:val="0"/>
                      <w:snapToGrid w:val="0"/>
                      <w:color w:val="auto"/>
                      <w:spacing w:val="0"/>
                      <w:kern w:val="0"/>
                      <w:sz w:val="21"/>
                      <w:szCs w:val="21"/>
                      <w:lang w:eastAsia="zh-CN"/>
                      <w:highlight w:val="none"/>
                    </w:rPr>
                    <w:t>，颗粒活性炭吸附截面积不小于4.6m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2</w:t>
                  </w:r>
                  <w:r>
                    <w:rPr>
                      <w:rFonts w:ascii="Times New Roman" w:cs="Times New Roman" w:hAnsi="Times New Roman" w:hint="eastAsia"/>
                      <w:caps w:val="0"/>
                      <w:smallCaps w:val="0"/>
                      <w:snapToGrid w:val="0"/>
                      <w:color w:val="auto"/>
                      <w:spacing w:val="0"/>
                      <w:kern w:val="0"/>
                      <w:sz w:val="21"/>
                      <w:szCs w:val="21"/>
                      <w:lang w:eastAsia="zh-CN"/>
                      <w:highlight w:val="none"/>
                    </w:rPr>
                    <w:t>。</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(3)颗粒活性炭最好选择柱状活性炭，直径≤5mm，比表面积&gt;1200m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2</w:t>
                  </w:r>
                  <w:r>
                    <w:rPr>
                      <w:rFonts w:ascii="Times New Roman" w:cs="Times New Roman" w:hAnsi="Times New Roman" w:hint="eastAsia"/>
                      <w:caps w:val="0"/>
                      <w:smallCaps w:val="0"/>
                      <w:snapToGrid w:val="0"/>
                      <w:color w:val="auto"/>
                      <w:spacing w:val="0"/>
                      <w:kern w:val="0"/>
                      <w:sz w:val="21"/>
                      <w:szCs w:val="21"/>
                      <w:lang w:eastAsia="zh-CN"/>
                      <w:highlight w:val="none"/>
                    </w:rPr>
                    <w:t>/g或碘值≥800mg/g；蜂窝活性炭的横向强度应不低于0.3MPa，纵向强度应不低于0.8MPa，比表面积&gt;750m</w:t>
                  </w:r>
                  <w:r>
                    <w:rPr>
                      <w:rFonts w:ascii="Times New Roman" w:cs="Times New Roman" w:hAnsi="Times New Roman" w:hint="eastAsia"/>
                      <w:caps w:val="0"/>
                      <w:smallCaps w:val="0"/>
                      <w:snapToGrid w:val="0"/>
                      <w:color w:val="auto"/>
                      <w:spacing w:val="0"/>
                      <w:kern w:val="0"/>
                      <w:sz w:val="21"/>
                      <w:szCs w:val="21"/>
                      <w:vertAlign w:val="superscript"/>
                      <w:lang w:eastAsia="zh-CN"/>
                      <w:highlight w:val="none"/>
                    </w:rPr>
                    <w:t>2</w:t>
                  </w:r>
                  <w:r>
                    <w:rPr>
                      <w:rFonts w:ascii="Times New Roman" w:cs="Times New Roman" w:hAnsi="Times New Roman" w:hint="eastAsia"/>
                      <w:caps w:val="0"/>
                      <w:smallCaps w:val="0"/>
                      <w:snapToGrid w:val="0"/>
                      <w:color w:val="auto"/>
                      <w:spacing w:val="0"/>
                      <w:kern w:val="0"/>
                      <w:sz w:val="21"/>
                      <w:szCs w:val="21"/>
                      <w:lang w:eastAsia="zh-CN"/>
                      <w:highlight w:val="none"/>
                    </w:rPr>
                    <w:t>/g或碘值&gt;800mg</w:t>
                  </w:r>
                  <w:r>
                    <w:rPr>
                      <w:rFonts w:ascii="Times New Roman" w:cs="Times New Roman" w:hAnsi="Times New Roman" w:hint="eastAsia"/>
                      <w:caps w:val="0"/>
                      <w:smallCaps w:val="0"/>
                      <w:snapToGrid w:val="0"/>
                      <w:color w:val="auto"/>
                      <w:spacing w:val="0"/>
                      <w:kern w:val="0"/>
                      <w:sz w:val="21"/>
                      <w:szCs w:val="21"/>
                      <w:lang w:val="en-US" w:eastAsia="zh-CN"/>
                      <w:highlight w:val="none"/>
                    </w:rPr>
                    <w:t>/</w:t>
                  </w:r>
                  <w:r>
                    <w:rPr>
                      <w:rFonts w:ascii="Times New Roman" w:cs="Times New Roman" w:hAnsi="Times New Roman" w:hint="eastAsia"/>
                      <w:caps w:val="0"/>
                      <w:smallCaps w:val="0"/>
                      <w:snapToGrid w:val="0"/>
                      <w:color w:val="auto"/>
                      <w:spacing w:val="0"/>
                      <w:kern w:val="0"/>
                      <w:sz w:val="21"/>
                      <w:szCs w:val="21"/>
                      <w:lang w:eastAsia="zh-CN"/>
                      <w:highlight w:val="none"/>
                    </w:rPr>
                    <w:t>g。</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(4)活性炭吸附设备设置装卸碳孔，内置均风装置，箱内气速控制&lt;1.2m/s，整体压降≤2.5kpa，活性炭吸附设备配置的吸附进出口阀门泄量&lt;1%。外壳厚度≥1mm，考虑热胀冷缩变形应设置合理补偿：设备应加装消防、</w:t>
                  </w:r>
                  <w:r>
                    <w:rPr>
                      <w:rFonts w:ascii="Times New Roman" w:cs="Times New Roman" w:hAnsi="Times New Roman" w:hint="eastAsia"/>
                      <w:caps w:val="0"/>
                      <w:smallCaps w:val="0"/>
                      <w:snapToGrid w:val="0"/>
                      <w:color w:val="auto"/>
                      <w:spacing w:val="0"/>
                      <w:kern w:val="0"/>
                      <w:sz w:val="21"/>
                      <w:szCs w:val="21"/>
                      <w:lang w:val="en-US" w:eastAsia="zh-CN"/>
                      <w:highlight w:val="none"/>
                    </w:rPr>
                    <w:t>卸爆</w:t>
                  </w:r>
                  <w:r>
                    <w:rPr>
                      <w:rFonts w:ascii="Times New Roman" w:cs="Times New Roman" w:hAnsi="Times New Roman" w:hint="eastAsia"/>
                      <w:caps w:val="0"/>
                      <w:smallCaps w:val="0"/>
                      <w:snapToGrid w:val="0"/>
                      <w:color w:val="auto"/>
                      <w:spacing w:val="0"/>
                      <w:kern w:val="0"/>
                      <w:sz w:val="21"/>
                      <w:szCs w:val="21"/>
                      <w:lang w:eastAsia="zh-CN"/>
                      <w:highlight w:val="none"/>
                    </w:rPr>
                    <w:t>安全监测仪器和连锁控制系统。</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(5)活性炭吸附装置废气出口应定期检测VOCs浓度，当出口污染物浓度超过规定限值的70%时，应停止吸附，立即更换新活性炭，更换下来的废活性炭应按照危险废物管理。</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eastAsia="zh-CN"/>
                      <w:highlight w:val="none"/>
                    </w:rPr>
                    <w:t>(6)使用过滤+单一活性炭吸附工艺企业应具有VOCs或非甲烷总烃自行监测能力，定期检测活性炭吸附效率，并记录留存，保存一年设备运维台账。</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p>
              </w:tc>
              <w:tc>
                <w:tcPr>
                  <w:tcW w:w="127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项目设置的活性炭吸附装置有足够的空间场地，活性炭使用周期按照规范计算，设备安装位置方便更换活性炭材料。</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项目设置的活性炭吸附装置为两级活性炭吸附装置，前配套布袋除尘器处理，经处理后的颗粒物较低，因此不设置压差计。</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活性炭填充量</w:t>
                  </w:r>
                  <w:r>
                    <w:rPr>
                      <w:rFonts w:ascii="Times New Roman" w:cs="Times New Roman" w:hAnsi="Times New Roman" w:hint="eastAsia"/>
                      <w:caps w:val="0"/>
                      <w:smallCaps w:val="0"/>
                      <w:snapToGrid w:val="0"/>
                      <w:color w:val="auto"/>
                      <w:spacing w:val="0"/>
                      <w:kern w:val="0"/>
                      <w:sz w:val="21"/>
                      <w:szCs w:val="21"/>
                      <w:lang w:eastAsia="zh-CN"/>
                      <w:highlight w:val="none"/>
                    </w:rPr>
                    <w:t>与每小时处理废气量体积之比</w:t>
                  </w:r>
                  <w:r>
                    <w:rPr>
                      <w:rFonts w:ascii="Times New Roman" w:cs="Times New Roman" w:hAnsi="Times New Roman" w:hint="eastAsia"/>
                      <w:caps w:val="0"/>
                      <w:smallCaps w:val="0"/>
                      <w:snapToGrid w:val="0"/>
                      <w:color w:val="auto"/>
                      <w:spacing w:val="0"/>
                      <w:kern w:val="0"/>
                      <w:sz w:val="21"/>
                      <w:szCs w:val="21"/>
                      <w:lang w:val="en-US" w:eastAsia="zh-CN"/>
                      <w:highlight w:val="none"/>
                    </w:rPr>
                    <w:t>为</w:t>
                  </w:r>
                  <w:r>
                    <w:rPr>
                      <w:rFonts w:ascii="Times New Roman" w:cs="Times New Roman" w:hAnsi="Times New Roman" w:hint="eastAsia"/>
                      <w:caps w:val="0"/>
                      <w:smallCaps w:val="0"/>
                      <w:snapToGrid w:val="0"/>
                      <w:color w:val="auto"/>
                      <w:spacing w:val="0"/>
                      <w:kern w:val="0"/>
                      <w:sz w:val="21"/>
                      <w:szCs w:val="21"/>
                      <w:lang w:eastAsia="zh-CN"/>
                      <w:highlight w:val="none"/>
                    </w:rPr>
                    <w:t>1：</w:t>
                  </w:r>
                  <w:r>
                    <w:rPr>
                      <w:rFonts w:ascii="Times New Roman" w:cs="Times New Roman" w:hAnsi="Times New Roman" w:hint="eastAsia"/>
                      <w:caps w:val="0"/>
                      <w:smallCaps w:val="0"/>
                      <w:snapToGrid w:val="0"/>
                      <w:color w:val="auto"/>
                      <w:spacing w:val="0"/>
                      <w:kern w:val="0"/>
                      <w:sz w:val="21"/>
                      <w:szCs w:val="21"/>
                      <w:lang w:val="en-US" w:eastAsia="zh-CN"/>
                      <w:highlight w:val="none"/>
                    </w:rPr>
                    <w:t>5</w:t>
                  </w:r>
                  <w:r>
                    <w:rPr>
                      <w:rFonts w:ascii="Times New Roman" w:cs="Times New Roman" w:hAnsi="Times New Roman" w:hint="eastAsia"/>
                      <w:caps w:val="0"/>
                      <w:smallCaps w:val="0"/>
                      <w:snapToGrid w:val="0"/>
                      <w:color w:val="auto"/>
                      <w:spacing w:val="0"/>
                      <w:kern w:val="0"/>
                      <w:sz w:val="21"/>
                      <w:szCs w:val="21"/>
                      <w:lang w:eastAsia="zh-CN"/>
                      <w:highlight w:val="none"/>
                    </w:rPr>
                    <w:t>000，</w:t>
                  </w:r>
                  <w:r>
                    <w:rPr>
                      <w:rFonts w:ascii="Times New Roman" w:cs="Times New Roman" w:hAnsi="Times New Roman" w:hint="eastAsia"/>
                      <w:caps w:val="0"/>
                      <w:smallCaps w:val="0"/>
                      <w:snapToGrid w:val="0"/>
                      <w:color w:val="auto"/>
                      <w:spacing w:val="0"/>
                      <w:kern w:val="0"/>
                      <w:sz w:val="21"/>
                      <w:szCs w:val="21"/>
                      <w:lang w:val="en-US" w:eastAsia="zh-CN"/>
                      <w:highlight w:val="none"/>
                    </w:rPr>
                    <w:t>设置两级。</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项目采用颗粒活性炭，选用柱状活性炭，</w:t>
                  </w:r>
                  <w:r>
                    <w:rPr>
                      <w:rFonts w:ascii="Times New Roman" w:cs="Times New Roman" w:hAnsi="Times New Roman" w:hint="eastAsia"/>
                      <w:caps w:val="0"/>
                      <w:smallCaps w:val="0"/>
                      <w:snapToGrid w:val="0"/>
                      <w:color w:val="auto"/>
                      <w:spacing w:val="0"/>
                      <w:kern w:val="0"/>
                      <w:sz w:val="21"/>
                      <w:szCs w:val="21"/>
                      <w:lang w:eastAsia="zh-CN"/>
                      <w:highlight w:val="none"/>
                    </w:rPr>
                    <w:t>直径≤5mm，碘值≥800mg/g。</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项目活性炭设备设置装卸碳孔，</w:t>
                  </w:r>
                  <w:r>
                    <w:rPr>
                      <w:rFonts w:ascii="Times New Roman" w:cs="Times New Roman" w:hAnsi="Times New Roman" w:hint="eastAsia"/>
                      <w:caps w:val="0"/>
                      <w:smallCaps w:val="0"/>
                      <w:snapToGrid w:val="0"/>
                      <w:color w:val="auto"/>
                      <w:spacing w:val="0"/>
                      <w:kern w:val="0"/>
                      <w:sz w:val="21"/>
                      <w:szCs w:val="21"/>
                      <w:lang w:eastAsia="zh-CN"/>
                      <w:highlight w:val="none"/>
                    </w:rPr>
                    <w:t>内置均风装置，箱内气速控制&lt;1.2m/s，整体压降≤2.5kpa，活性炭吸附设备配置的吸附进出口阀门泄量&lt;1%。外壳厚度≥1mm。</w:t>
                  </w:r>
                </w:p>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项目布袋除尘器+两级活性炭吸附装置废气出口根据检测计划定期检测，当出口浓度</w:t>
                  </w:r>
                  <w:r>
                    <w:rPr>
                      <w:rFonts w:ascii="Times New Roman" w:cs="Times New Roman" w:hAnsi="Times New Roman" w:hint="eastAsia"/>
                      <w:caps w:val="0"/>
                      <w:smallCaps w:val="0"/>
                      <w:snapToGrid w:val="0"/>
                      <w:color w:val="auto"/>
                      <w:spacing w:val="0"/>
                      <w:kern w:val="0"/>
                      <w:sz w:val="21"/>
                      <w:szCs w:val="21"/>
                      <w:lang w:eastAsia="zh-CN"/>
                      <w:highlight w:val="none"/>
                    </w:rPr>
                    <w:t>超过规定限值的70%时，应停止吸附，立即更换新活性炭，</w:t>
                  </w:r>
                  <w:r>
                    <w:rPr>
                      <w:rFonts w:ascii="Times New Roman" w:cs="Times New Roman" w:hAnsi="Times New Roman" w:hint="eastAsia"/>
                      <w:caps w:val="0"/>
                      <w:smallCaps w:val="0"/>
                      <w:snapToGrid w:val="0"/>
                      <w:color w:val="auto"/>
                      <w:spacing w:val="0"/>
                      <w:kern w:val="0"/>
                      <w:sz w:val="21"/>
                      <w:szCs w:val="21"/>
                      <w:lang w:val="en-US" w:eastAsia="zh-CN"/>
                      <w:highlight w:val="none"/>
                    </w:rPr>
                    <w:t>废活性炭危废间暂存后交由有资质单位处置。</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项目不属于过滤+单一活性炭吸附，项目采用布袋除尘器+两级活性炭吸附装置。</w:t>
                  </w:r>
                </w:p>
              </w:tc>
              <w:tc>
                <w:tcPr>
                  <w:tcW w:w="363" w:type="pct"/>
                  <w:tcBorders>
                    <w:top w:val="single" w:sz="4" w:space="0" w:color="auto"/>
                    <w:left w:val="single" w:sz="4" w:space="0" w:color="auto"/>
                    <w:bottom w:val="single" w:sz="4" w:space="0" w:color="auto"/>
                    <w:right w:val="single" w:sz="8"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snapToGrid w:val="0"/>
                      <w:color w:val="auto"/>
                      <w:spacing w:val="0"/>
                      <w:kern w:val="0"/>
                      <w:sz w:val="21"/>
                      <w:szCs w:val="21"/>
                      <w:lang w:val="en-US" w:eastAsia="zh-CN"/>
                      <w:highlight w:val="none"/>
                    </w:rPr>
                  </w:pPr>
                  <w:r>
                    <w:rPr>
                      <w:rFonts w:ascii="Times New Roman" w:cs="Times New Roman" w:hAnsi="Times New Roman" w:hint="eastAsia"/>
                      <w:caps w:val="0"/>
                      <w:smallCaps w:val="0"/>
                      <w:snapToGrid w:val="0"/>
                      <w:color w:val="auto"/>
                      <w:spacing w:val="0"/>
                      <w:kern w:val="0"/>
                      <w:sz w:val="21"/>
                      <w:szCs w:val="21"/>
                      <w:lang w:val="en-US" w:eastAsia="zh-CN"/>
                      <w:highlight w:val="none"/>
                    </w:rPr>
                    <w:t>符合</w:t>
                  </w:r>
                </w:p>
              </w:tc>
            </w:tr>
          </w:tbl>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本项目符合《石家庄市涉VOC企业活性炭吸附脱附技术指南》</w:t>
            </w:r>
            <w:r>
              <w:rPr>
                <w:rFonts w:ascii="Times New Roman" w:cs="Times New Roman" w:hAnsi="Times New Roman"/>
                <w:caps w:val="0"/>
                <w:smallCaps w:val="0"/>
                <w:color w:val="auto"/>
                <w:spacing w:val="0"/>
                <w:sz w:val="24"/>
                <w:szCs w:val="20"/>
                <w:lang w:val="en-US" w:eastAsia="zh-CN"/>
                <w:highlight w:val="none"/>
              </w:rPr>
              <w:t>要求</w:t>
            </w:r>
            <w:r>
              <w:rPr>
                <w:rFonts w:ascii="Times New Roman" w:cs="Times New Roman" w:hAnsi="Times New Roman" w:hint="eastAsia"/>
                <w:caps w:val="0"/>
                <w:smallCaps w:val="0"/>
                <w:color w:val="auto"/>
                <w:spacing w:val="0"/>
                <w:sz w:val="24"/>
                <w:szCs w:val="20"/>
                <w:lang w:val="en-US" w:eastAsia="zh-CN"/>
                <w:highlight w:val="none"/>
              </w:rPr>
              <w:t>。</w:t>
            </w:r>
          </w:p>
          <w:p>
            <w:pPr>
              <w:pStyle w:val="15"/>
              <w:keepNext w:val="0"/>
              <w:keepLines w:val="0"/>
              <w:suppressLineNumbers w:val="0"/>
              <w:spacing w:before="0" w:beforeAutospacing="0" w:after="0" w:afterAutospacing="0"/>
              <w:ind w:left="0" w:right="0"/>
              <w:rPr>
                <w:rFonts w:ascii="Times New Roman" w:eastAsia="宋体" w:cs="Times New Roman" w:hAnsi="Times New Roman"/>
                <w:caps w:val="0"/>
                <w:smallCaps w:val="0"/>
                <w:color w:val="auto"/>
                <w:spacing w:val="0"/>
                <w:szCs w:val="20"/>
                <w:lang w:eastAsia="zh-CN"/>
                <w:highlight w:val="none"/>
              </w:rPr>
            </w:pPr>
          </w:p>
        </w:tc>
      </w:tr>
    </w:tbl>
    <w:p>
      <w:pPr>
        <w:rPr>
          <w:rFonts w:ascii="Times New Roman" w:eastAsia="黑体" w:cs="Times New Roman" w:hAnsi="Times New Roman"/>
          <w:caps w:val="0"/>
          <w:smallCaps w:val="0"/>
          <w:color w:val="auto"/>
          <w:spacing w:val="0"/>
          <w:sz w:val="30"/>
          <w:highlight w:val="none"/>
        </w:rPr>
        <w:sectPr>
          <w:footerReference w:type="default" r:id="rId4"/>
          <w:pgSz w:w="11906" w:h="16838"/>
          <w:pgMar w:top="1701" w:right="1531" w:bottom="1701" w:left="1531" w:header="851" w:footer="1077" w:gutter="0"/>
          <w:pgNumType w:start="1"/>
          <w:cols w:num="1" w:space="720"/>
          <w:docGrid w:linePitch="312" w:charSpace="0"/>
        </w:sectPr>
      </w:pPr>
    </w:p>
    <w:p>
      <w:pPr>
        <w:pStyle w:val="45"/>
        <w:jc w:val="center"/>
        <w:outlineLvl w:val="0"/>
        <w:rPr>
          <w:rFonts w:ascii="Times New Roman" w:eastAsia="黑体" w:cs="Times New Roman" w:hAnsi="Times New Roman"/>
          <w:caps w:val="0"/>
          <w:smallCaps w:val="0"/>
          <w:snapToGrid w:val="0"/>
          <w:color w:val="auto"/>
          <w:spacing w:val="0"/>
          <w:sz w:val="30"/>
          <w:szCs w:val="30"/>
          <w:highlight w:val="none"/>
        </w:rPr>
      </w:pPr>
      <w:bookmarkStart w:id="6" w:name="_Toc27745"/>
      <w:r>
        <w:rPr>
          <w:rFonts w:ascii="Times New Roman" w:eastAsia="黑体" w:cs="Times New Roman" w:hAnsi="Times New Roman"/>
          <w:caps w:val="0"/>
          <w:smallCaps w:val="0"/>
          <w:snapToGrid w:val="0"/>
          <w:color w:val="auto"/>
          <w:spacing w:val="0"/>
          <w:sz w:val="30"/>
          <w:szCs w:val="30"/>
          <w:highlight w:val="none"/>
        </w:rPr>
        <w:t>二、建设项目工程分析</w:t>
      </w:r>
      <w:bookmarkEnd w:id="6"/>
    </w:p>
    <w:tbl>
      <w:tblPr>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75"/>
        <w:gridCol w:w="8385"/>
      </w:tblGrid>
      <w:tr>
        <w:trPr>
          <w:trHeight w:val="20"/>
        </w:trPr>
        <w:tc>
          <w:tcPr>
            <w:tcW w:w="675" w:type="dxa"/>
            <w:vAlign w:val="center"/>
          </w:tcPr>
          <w:p>
            <w:pPr>
              <w:pStyle w:val="45"/>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4"/>
                <w:szCs w:val="21"/>
                <w:highlight w:val="none"/>
              </w:rPr>
              <w:t>建设内容</w:t>
            </w:r>
          </w:p>
        </w:tc>
        <w:tc>
          <w:tcPr>
            <w:tcW w:w="8385" w:type="dxa"/>
          </w:tcPr>
          <w:p>
            <w:pPr>
              <w:pStyle w:val="137"/>
              <w:keepNext w:val="0"/>
              <w:keepLines w:val="0"/>
              <w:suppressLineNumbers w:val="0"/>
              <w:spacing w:before="0" w:beforeAutospacing="0" w:after="0" w:afterAutospacing="0"/>
              <w:ind w:left="0" w:right="0"/>
              <w:rPr>
                <w:rFonts w:ascii="Times New Roman" w:eastAsia="宋体" w:cs="Times New Roman" w:hAnsi="Times New Roman"/>
                <w:b/>
                <w:bCs/>
                <w:caps w:val="0"/>
                <w:smallCaps w:val="0"/>
                <w:color w:val="auto"/>
                <w:spacing w:val="0"/>
                <w:lang w:val="en-US" w:eastAsia="zh-CN"/>
                <w:highlight w:val="none"/>
              </w:rPr>
            </w:pPr>
            <w:r>
              <w:rPr>
                <w:rFonts w:ascii="Times New Roman" w:cs="Times New Roman" w:hAnsi="Times New Roman" w:hint="eastAsia"/>
                <w:b/>
                <w:bCs/>
                <w:caps w:val="0"/>
                <w:smallCaps w:val="0"/>
                <w:color w:val="auto"/>
                <w:spacing w:val="0"/>
                <w:sz w:val="24"/>
                <w:szCs w:val="20"/>
                <w:lang w:val="en-US" w:eastAsia="zh-CN"/>
                <w:highlight w:val="none"/>
              </w:rPr>
              <w:t>项目背景和由来</w:t>
            </w:r>
          </w:p>
          <w:p>
            <w:pPr>
              <w:pStyle w:val="137"/>
              <w:keepNext w:val="0"/>
              <w:keepLines w:val="0"/>
              <w:suppressLineNumbers w:val="0"/>
              <w:spacing w:before="0" w:beforeAutospacing="0" w:after="0" w:afterAutospacing="0"/>
              <w:ind w:left="0" w:right="0"/>
              <w:rPr>
                <w:rFonts w:cs="Times New Roman" w:hint="eastAsia"/>
                <w:b w:val="0"/>
                <w:bCs w:val="0"/>
                <w:caps w:val="0"/>
                <w:smallCaps w:val="0"/>
                <w:color w:val="auto"/>
                <w:spacing w:val="0"/>
                <w:lang w:val="en-US" w:eastAsia="zh-CN"/>
                <w:highlight w:val="none"/>
              </w:rPr>
            </w:pPr>
            <w:r>
              <w:rPr>
                <w:rFonts w:ascii="Times New Roman" w:cs="Times New Roman" w:hAnsi="Times New Roman" w:hint="eastAsia"/>
                <w:b w:val="0"/>
                <w:bCs w:val="0"/>
                <w:caps w:val="0"/>
                <w:smallCaps w:val="0"/>
                <w:color w:val="auto"/>
                <w:spacing w:val="0"/>
                <w:sz w:val="24"/>
                <w:szCs w:val="20"/>
                <w:lang w:val="en-US" w:eastAsia="zh-CN"/>
                <w:highlight w:val="none"/>
              </w:rPr>
              <w:t>企业2020年4月石家庄旭照电子科技有限公司委托石家庄冀宁工程项目管理有限公司编制了《石家庄旭照电子科技有限公司年产90万（只）套集水杯及配套塑料制品项目环境影响报告表》，设计年产90万（只）套集水杯及配套塑料制品，其中中间产品电极片90万件、其他金属零部件90万套、注塑模具50件；于2020年5月28日取得石家庄市栾城区行政审批局审批意见，于2020年11月26日取得了石家庄旭照电子科技有限公司年产90万（只）套集水杯及配套塑料制品项目竣工环境保护阶段性验收专家意见，于2022年8月11日取得石家庄旭照电子科技有限公司年产90万（只）套集水杯及配套塑料制品项目验收意见。2020年11月25日首次申请固定污染源登记回执，2024年6月12日进行变更申请取得固定污染源登记回执，回执编号：91130132MA08M7644N001X，有效期2024年6月12日至2029年6月11日。</w:t>
            </w:r>
          </w:p>
          <w:p>
            <w:pPr>
              <w:pStyle w:val="137"/>
              <w:keepNext w:val="0"/>
              <w:keepLines w:val="0"/>
              <w:suppressLineNumbers w:val="0"/>
              <w:spacing w:before="0" w:beforeAutospacing="0" w:after="0" w:afterAutospacing="0"/>
              <w:ind w:left="0" w:right="0"/>
              <w:rPr>
                <w:rFonts w:cs="Times New Roman"/>
                <w:b w:val="0"/>
                <w:bCs w:val="0"/>
                <w:caps w:val="0"/>
                <w:smallCaps w:val="0"/>
                <w:color w:val="auto"/>
                <w:spacing w:val="0"/>
                <w:lang w:val="en-US" w:eastAsia="zh-CN"/>
                <w:highlight w:val="none"/>
              </w:rPr>
            </w:pPr>
            <w:r>
              <w:rPr>
                <w:rFonts w:ascii="Times New Roman" w:cs="Times New Roman" w:hAnsi="Times New Roman" w:hint="eastAsia"/>
                <w:b w:val="0"/>
                <w:bCs w:val="0"/>
                <w:caps w:val="0"/>
                <w:smallCaps w:val="0"/>
                <w:color w:val="auto"/>
                <w:spacing w:val="0"/>
                <w:sz w:val="24"/>
                <w:szCs w:val="20"/>
                <w:lang w:val="en-US" w:eastAsia="zh-CN"/>
                <w:highlight w:val="none"/>
              </w:rPr>
              <w:t>本次改建项目位于现有厂房东侧。现有建筑仅保留东南角的机加工区、杂物间、危废间及1#、2#办公室，其余车间在改扩建完成后将不再使用。</w:t>
            </w:r>
          </w:p>
          <w:p>
            <w:pPr>
              <w:pStyle w:val="137"/>
              <w:keepNext w:val="0"/>
              <w:keepLines w:val="0"/>
              <w:suppressLineNumbers w:val="0"/>
              <w:spacing w:before="0" w:beforeAutospacing="0" w:after="0" w:afterAutospacing="0"/>
              <w:ind w:left="0" w:right="0"/>
              <w:rPr>
                <w:rFonts w:ascii="Times New Roman" w:eastAsia="宋体" w:cs="Times New Roman" w:hAnsi="Times New Roman"/>
                <w:b w:val="0"/>
                <w:bCs w:val="0"/>
                <w:caps w:val="0"/>
                <w:smallCaps w:val="0"/>
                <w:color w:val="auto"/>
                <w:spacing w:val="0"/>
                <w:lang w:val="en-US" w:eastAsia="zh-CN"/>
                <w:highlight w:val="none"/>
              </w:rPr>
            </w:pPr>
            <w:r>
              <w:rPr>
                <w:rFonts w:ascii="Times New Roman" w:cs="Times New Roman" w:hAnsi="Times New Roman" w:hint="eastAsia"/>
                <w:b w:val="0"/>
                <w:bCs w:val="0"/>
                <w:caps w:val="0"/>
                <w:smallCaps w:val="0"/>
                <w:color w:val="auto"/>
                <w:spacing w:val="0"/>
                <w:sz w:val="24"/>
                <w:szCs w:val="20"/>
                <w:lang w:val="en-US" w:eastAsia="zh-CN"/>
                <w:highlight w:val="none"/>
              </w:rPr>
              <w:t>现因集水杯及配套制品市场需求小，随着汽车配件行业因技术门槛较高、供应链稳定，故企业在</w:t>
            </w:r>
            <w:r>
              <w:rPr>
                <w:rFonts w:ascii="Times New Roman" w:cs="Times New Roman" w:hAnsi="Times New Roman"/>
                <w:caps w:val="0"/>
                <w:smallCaps w:val="0"/>
                <w:color w:val="auto"/>
                <w:spacing w:val="0"/>
                <w:sz w:val="24"/>
                <w:szCs w:val="20"/>
                <w:lang w:eastAsia="zh-CN"/>
                <w:highlight w:val="none"/>
              </w:rPr>
              <w:t>河北省石家庄市栾城区</w:t>
            </w:r>
            <w:r>
              <w:rPr>
                <w:rFonts w:ascii="Times New Roman" w:cs="Times New Roman" w:hAnsi="Times New Roman" w:hint="eastAsia"/>
                <w:caps w:val="0"/>
                <w:smallCaps w:val="0"/>
                <w:color w:val="auto"/>
                <w:spacing w:val="0"/>
                <w:sz w:val="24"/>
                <w:szCs w:val="20"/>
                <w:lang w:eastAsia="zh-CN"/>
                <w:highlight w:val="none"/>
              </w:rPr>
              <w:t>窦妪村装备制造产业园区奥翔街6-1号（院内3号房）</w:t>
            </w:r>
            <w:r>
              <w:rPr>
                <w:rFonts w:ascii="Times New Roman" w:cs="Times New Roman" w:hAnsi="Times New Roman" w:hint="eastAsia"/>
                <w:caps w:val="0"/>
                <w:smallCaps w:val="0"/>
                <w:color w:val="auto"/>
                <w:spacing w:val="0"/>
                <w:sz w:val="24"/>
                <w:szCs w:val="20"/>
                <w:lang w:val="en-US" w:eastAsia="zh-CN"/>
                <w:highlight w:val="none"/>
              </w:rPr>
              <w:t>拟</w:t>
            </w:r>
            <w:r>
              <w:rPr>
                <w:rFonts w:ascii="Times New Roman" w:cs="Times New Roman" w:hAnsi="Times New Roman" w:hint="eastAsia"/>
                <w:b w:val="0"/>
                <w:bCs w:val="0"/>
                <w:caps w:val="0"/>
                <w:smallCaps w:val="0"/>
                <w:color w:val="auto"/>
                <w:spacing w:val="0"/>
                <w:sz w:val="24"/>
                <w:szCs w:val="20"/>
                <w:lang w:val="en-US" w:eastAsia="zh-CN"/>
                <w:highlight w:val="none"/>
              </w:rPr>
              <w:t>投资50万元建设“</w:t>
            </w:r>
            <w:r>
              <w:rPr>
                <w:rFonts w:ascii="Times New Roman" w:cs="Times New Roman" w:hAnsi="Times New Roman" w:hint="eastAsia"/>
                <w:caps w:val="0"/>
                <w:smallCaps w:val="0"/>
                <w:color w:val="auto"/>
                <w:spacing w:val="0"/>
                <w:sz w:val="24"/>
                <w:szCs w:val="20"/>
                <w:lang w:eastAsia="zh-CN"/>
                <w:highlight w:val="none"/>
              </w:rPr>
              <w:t>石家庄旭照电子科技有限公司汽车塑料配件改扩建项目</w:t>
            </w:r>
            <w:r>
              <w:rPr>
                <w:rFonts w:ascii="Times New Roman" w:cs="Times New Roman" w:hAnsi="Times New Roman" w:hint="eastAsia"/>
                <w:b w:val="0"/>
                <w:bCs w:val="0"/>
                <w:caps w:val="0"/>
                <w:smallCaps w:val="0"/>
                <w:color w:val="auto"/>
                <w:spacing w:val="0"/>
                <w:sz w:val="24"/>
                <w:szCs w:val="20"/>
                <w:lang w:val="en-US" w:eastAsia="zh-CN"/>
                <w:highlight w:val="none"/>
              </w:rPr>
              <w:t>”，项目建设完成后全厂完成转型，产品为汽车塑料配件，产量为</w:t>
            </w:r>
            <w:r>
              <w:rPr>
                <w:rFonts w:ascii="Times New Roman" w:cs="Times New Roman" w:hAnsi="Times New Roman"/>
                <w:caps w:val="0"/>
                <w:smallCaps w:val="0"/>
                <w:color w:val="auto"/>
                <w:spacing w:val="0"/>
                <w:sz w:val="24"/>
                <w:szCs w:val="20"/>
                <w:highlight w:val="none"/>
              </w:rPr>
              <w:t>160万件（约100t）</w:t>
            </w:r>
            <w:r>
              <w:rPr>
                <w:rFonts w:ascii="Times New Roman" w:cs="Times New Roman" w:hAnsi="Times New Roman" w:hint="eastAsia"/>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1、项目基本情况</w:t>
            </w:r>
          </w:p>
          <w:p>
            <w:pPr>
              <w:pStyle w:val="137"/>
              <w:keepNext w:val="0"/>
              <w:keepLines w:val="0"/>
              <w:suppressLineNumbers w:val="0"/>
              <w:spacing w:before="0" w:beforeAutospacing="0" w:after="0" w:afterAutospacing="0"/>
              <w:ind w:left="0" w:right="0"/>
              <w:rPr>
                <w:rFonts w:ascii="Times New Roman" w:eastAsia="宋体" w:cs="Times New Roman" w:hAnsi="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（1）项目名称：</w:t>
            </w:r>
            <w:r>
              <w:rPr>
                <w:rFonts w:ascii="Times New Roman" w:cs="Times New Roman" w:hAnsi="Times New Roman" w:hint="eastAsia"/>
                <w:caps w:val="0"/>
                <w:smallCaps w:val="0"/>
                <w:color w:val="auto"/>
                <w:spacing w:val="0"/>
                <w:sz w:val="24"/>
                <w:szCs w:val="20"/>
                <w:lang w:eastAsia="zh-CN"/>
                <w:highlight w:val="none"/>
              </w:rPr>
              <w:t>石家庄旭照电子科技有限公司汽车塑料配件改扩建项目</w:t>
            </w:r>
          </w:p>
          <w:p>
            <w:pPr>
              <w:pStyle w:val="137"/>
              <w:keepNext w:val="0"/>
              <w:keepLines w:val="0"/>
              <w:suppressLineNumbers w:val="0"/>
              <w:spacing w:before="0" w:beforeAutospacing="0" w:after="0" w:afterAutospacing="0"/>
              <w:ind w:left="0" w:right="0"/>
              <w:rPr>
                <w:rFonts w:ascii="Times New Roman" w:eastAsia="宋体" w:cs="Times New Roman" w:hAnsi="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（2）建设单位：</w:t>
            </w:r>
            <w:r>
              <w:rPr>
                <w:rFonts w:ascii="Times New Roman" w:cs="Times New Roman" w:hAnsi="Times New Roman" w:hint="eastAsia"/>
                <w:caps w:val="0"/>
                <w:smallCaps w:val="0"/>
                <w:color w:val="auto"/>
                <w:spacing w:val="0"/>
                <w:sz w:val="24"/>
                <w:szCs w:val="20"/>
                <w:lang w:eastAsia="zh-CN"/>
                <w:highlight w:val="none"/>
              </w:rPr>
              <w:t>石家庄旭照电子科技有限公司</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（3）</w:t>
            </w:r>
            <w:r>
              <w:rPr>
                <w:rFonts w:ascii="Times New Roman" w:cs="Times New Roman" w:hAnsi="Times New Roman"/>
                <w:caps w:val="0"/>
                <w:smallCaps w:val="0"/>
                <w:color w:val="auto"/>
                <w:spacing w:val="0"/>
                <w:sz w:val="24"/>
                <w:szCs w:val="20"/>
                <w:lang w:val="en-US" w:eastAsia="zh-CN"/>
                <w:highlight w:val="none"/>
              </w:rPr>
              <w:t>项目性质</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改建</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（4）建设地点及周边关系：本项目位于</w:t>
            </w:r>
            <w:r>
              <w:rPr>
                <w:rFonts w:ascii="Times New Roman" w:cs="Times New Roman" w:hAnsi="Times New Roman"/>
                <w:caps w:val="0"/>
                <w:smallCaps w:val="0"/>
                <w:color w:val="auto"/>
                <w:spacing w:val="0"/>
                <w:sz w:val="24"/>
                <w:szCs w:val="20"/>
                <w:lang w:eastAsia="zh-CN"/>
                <w:highlight w:val="none"/>
              </w:rPr>
              <w:t>河北省石家庄市栾城区</w:t>
            </w:r>
            <w:r>
              <w:rPr>
                <w:rFonts w:ascii="Times New Roman" w:cs="Times New Roman" w:hAnsi="Times New Roman" w:hint="eastAsia"/>
                <w:caps w:val="0"/>
                <w:smallCaps w:val="0"/>
                <w:color w:val="auto"/>
                <w:spacing w:val="0"/>
                <w:sz w:val="24"/>
                <w:szCs w:val="20"/>
                <w:lang w:eastAsia="zh-CN"/>
                <w:highlight w:val="none"/>
              </w:rPr>
              <w:t>窦妪村装备制造产业园区奥翔街6-1号（院内3号房）</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占地为工业用地。项目中心地理</w:t>
            </w:r>
            <w:r>
              <w:rPr>
                <w:rFonts w:ascii="Times New Roman" w:cs="Times New Roman" w:hAnsi="Times New Roman"/>
                <w:caps w:val="0"/>
                <w:smallCaps w:val="0"/>
                <w:color w:val="auto"/>
                <w:spacing w:val="0"/>
                <w:sz w:val="24"/>
                <w:szCs w:val="20"/>
                <w:lang w:eastAsia="zh-CN"/>
                <w:highlight w:val="none"/>
              </w:rPr>
              <w:t>坐标</w:t>
            </w:r>
            <w:r>
              <w:rPr>
                <w:rFonts w:ascii="Times New Roman" w:cs="Times New Roman" w:hAnsi="Times New Roman"/>
                <w:caps w:val="0"/>
                <w:smallCaps w:val="0"/>
                <w:color w:val="auto"/>
                <w:spacing w:val="0"/>
                <w:sz w:val="24"/>
                <w:szCs w:val="20"/>
                <w:highlight w:val="none"/>
              </w:rPr>
              <w:t>为</w:t>
            </w:r>
            <w:r>
              <w:rPr>
                <w:rFonts w:ascii="Times New Roman" w:cs="Times New Roman" w:hAnsi="Times New Roman" w:hint="eastAsia"/>
                <w:caps w:val="0"/>
                <w:smallCaps w:val="0"/>
                <w:color w:val="auto"/>
                <w:spacing w:val="0"/>
                <w:sz w:val="24"/>
                <w:szCs w:val="20"/>
                <w:lang w:eastAsia="zh-CN"/>
                <w:highlight w:val="none"/>
              </w:rPr>
              <w:t>东</w:t>
            </w:r>
            <w:r>
              <w:rPr>
                <w:rFonts w:ascii="Times New Roman" w:cs="Times New Roman" w:hAnsi="Times New Roman"/>
                <w:caps w:val="0"/>
                <w:smallCaps w:val="0"/>
                <w:color w:val="auto"/>
                <w:spacing w:val="0"/>
                <w:sz w:val="24"/>
                <w:szCs w:val="20"/>
                <w:lang w:eastAsia="zh-CN"/>
                <w:highlight w:val="none"/>
              </w:rPr>
              <w:t>经114°30′49.861″，北纬37°54′26.679″</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eastAsia="zh-CN"/>
                <w:highlight w:val="none"/>
              </w:rPr>
              <w:t>厂区东侧为道路，隔路为石家庄天祥电机配件有限公司，南侧为道路，隔路为帆布厂，西侧为闲置厂房，北侧为石家庄建臣机械制造有限公司</w:t>
            </w:r>
            <w:r>
              <w:rPr>
                <w:rFonts w:ascii="Times New Roman" w:cs="Times New Roman" w:hAnsi="Times New Roman"/>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项目地理位置见附图1</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周边关系见附图2</w:t>
            </w:r>
            <w:r>
              <w:rPr>
                <w:rFonts w:ascii="Times New Roman" w:cs="Times New Roman" w:hAnsi="Times New Roman"/>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5</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项目占地：项目占地为工业用地，占地面积</w:t>
            </w:r>
            <w:r>
              <w:rPr>
                <w:rFonts w:ascii="Times New Roman" w:cs="Times New Roman" w:hAnsi="Times New Roman" w:hint="eastAsia"/>
                <w:caps w:val="0"/>
                <w:smallCaps w:val="0"/>
                <w:color w:val="auto"/>
                <w:spacing w:val="0"/>
                <w:sz w:val="24"/>
                <w:szCs w:val="20"/>
                <w:lang w:val="en-US" w:eastAsia="zh-CN"/>
                <w:highlight w:val="none"/>
              </w:rPr>
              <w:t>880</w:t>
            </w:r>
            <w:r>
              <w:rPr>
                <w:rFonts w:ascii="Times New Roman" w:cs="Times New Roman" w:hAnsi="Times New Roman"/>
                <w:caps w:val="0"/>
                <w:smallCaps w:val="0"/>
                <w:color w:val="auto"/>
                <w:spacing w:val="0"/>
                <w:sz w:val="24"/>
                <w:szCs w:val="20"/>
                <w:lang w:val="en-US" w:eastAsia="zh-CN"/>
                <w:highlight w:val="none"/>
              </w:rPr>
              <w:t>m</w:t>
            </w:r>
            <w:r>
              <w:rPr>
                <w:rFonts w:ascii="Times New Roman" w:cs="Times New Roman" w:hAnsi="Times New Roman"/>
                <w:caps w:val="0"/>
                <w:smallCaps w:val="0"/>
                <w:color w:val="auto"/>
                <w:spacing w:val="0"/>
                <w:sz w:val="24"/>
                <w:szCs w:val="20"/>
                <w:vertAlign w:val="superscript"/>
                <w:lang w:val="en-US" w:eastAsia="zh-CN"/>
                <w:highlight w:val="none"/>
              </w:rPr>
              <w:t>2</w:t>
            </w:r>
            <w:r>
              <w:rPr>
                <w:rFonts w:ascii="Times New Roman" w:cs="Times New Roman" w:hAnsi="Times New Roman"/>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lang w:val="en-US" w:eastAsia="zh-CN"/>
                <w:highlight w:val="none"/>
              </w:rPr>
              <w:t>2</w:t>
            </w:r>
            <w:r>
              <w:rPr>
                <w:rFonts w:ascii="Times New Roman" w:cs="Times New Roman" w:hAnsi="Times New Roman"/>
                <w:b/>
                <w:caps w:val="0"/>
                <w:smallCaps w:val="0"/>
                <w:color w:val="auto"/>
                <w:spacing w:val="0"/>
                <w:sz w:val="24"/>
                <w:szCs w:val="20"/>
                <w:highlight w:val="none"/>
              </w:rPr>
              <w:t>、主要产品及产能</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改扩建完成后产品汽车塑料配件主要为线束插头、传感器、连接器等汽车所用的可导电的塑料零部件，产品均由购买方提出质量标准并进行验收检验，合格后大批量生产，</w:t>
            </w:r>
            <w:r>
              <w:rPr>
                <w:rFonts w:ascii="Times New Roman" w:cs="Times New Roman" w:hAnsi="Times New Roman"/>
                <w:caps w:val="0"/>
                <w:smallCaps w:val="0"/>
                <w:color w:val="auto"/>
                <w:spacing w:val="0"/>
                <w:sz w:val="24"/>
                <w:szCs w:val="20"/>
                <w:highlight w:val="none"/>
              </w:rPr>
              <w:t>主要产品见下表：</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caps w:val="0"/>
                <w:smallCaps w:val="0"/>
                <w:color w:val="auto"/>
                <w:spacing w:val="0"/>
                <w:sz w:val="24"/>
                <w:szCs w:val="20"/>
                <w:lang w:val="en-US" w:eastAsia="zh-CN"/>
                <w:highlight w:val="none"/>
              </w:rPr>
              <w:t>1</w:t>
            </w:r>
            <w:r>
              <w:rPr>
                <w:rFonts w:ascii="Times New Roman" w:cs="Times New Roman" w:hAnsi="Times New Roman"/>
                <w:caps w:val="0"/>
                <w:smallCaps w:val="0"/>
                <w:color w:val="auto"/>
                <w:spacing w:val="0"/>
                <w:sz w:val="24"/>
                <w:szCs w:val="20"/>
                <w:highlight w:val="none"/>
              </w:rPr>
              <w:t xml:space="preserve">   主要产品</w:t>
            </w:r>
            <w:r>
              <w:rPr>
                <w:rFonts w:ascii="Times New Roman" w:cs="Times New Roman" w:hAnsi="Times New Roman" w:hint="eastAsia"/>
                <w:caps w:val="0"/>
                <w:smallCaps w:val="0"/>
                <w:color w:val="auto"/>
                <w:spacing w:val="0"/>
                <w:sz w:val="24"/>
                <w:szCs w:val="20"/>
                <w:lang w:val="en-US" w:eastAsia="zh-CN"/>
                <w:highlight w:val="none"/>
              </w:rPr>
              <w:t>变化</w:t>
            </w:r>
            <w:r>
              <w:rPr>
                <w:rFonts w:ascii="Times New Roman" w:cs="Times New Roman" w:hAnsi="Times New Roman"/>
                <w:caps w:val="0"/>
                <w:smallCaps w:val="0"/>
                <w:color w:val="auto"/>
                <w:spacing w:val="0"/>
                <w:sz w:val="24"/>
                <w:szCs w:val="20"/>
                <w:highlight w:val="none"/>
              </w:rPr>
              <w:t>一览表</w:t>
            </w:r>
          </w:p>
          <w:tbl>
            <w:tblPr>
              <w:jc w:val="center"/>
              <w:tblW w:w="499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1726"/>
              <w:gridCol w:w="1204"/>
              <w:gridCol w:w="1204"/>
              <w:gridCol w:w="1204"/>
              <w:gridCol w:w="1209"/>
              <w:gridCol w:w="1609"/>
            </w:tblGrid>
            <w:tr>
              <w:trPr>
                <w:trHeight w:val="369"/>
              </w:trPr>
              <w:tc>
                <w:tcPr>
                  <w:tcW w:w="423" w:type="dxa"/>
                  <w:vMerge w:val="restart"/>
                  <w:vAlign w:val="center"/>
                </w:tcPr>
                <w:p>
                  <w:pPr>
                    <w:keepNext w:val="0"/>
                    <w:keepLines w:val="0"/>
                    <w:suppressLineNumbers w:val="0"/>
                    <w:spacing w:before="0" w:beforeAutospacing="0" w:after="0" w:afterAutospacing="0" w:line="240" w:lineRule="auto"/>
                    <w:ind w:left="0" w:right="0"/>
                    <w:jc w:val="center"/>
                    <w:rPr>
                      <w:color w:val="auto"/>
                      <w:szCs w:val="20"/>
                      <w:highlight w:val="none"/>
                    </w:rPr>
                  </w:pPr>
                  <w:r>
                    <w:rPr>
                      <w:rFonts w:ascii="Times New Roman" w:cs="Times New Roman" w:hAnsi="Times New Roman"/>
                      <w:color w:val="auto"/>
                      <w:sz w:val="21"/>
                      <w:szCs w:val="20"/>
                      <w:highlight w:val="none"/>
                    </w:rPr>
                    <w:t>产品品种</w:t>
                  </w:r>
                </w:p>
              </w:tc>
              <w:tc>
                <w:tcPr>
                  <w:tcW w:w="1182" w:type="dxa"/>
                  <w:gridSpan w:val="4"/>
                  <w:tcBorders>
                    <w:bottom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highlight w:val="none"/>
                    </w:rPr>
                  </w:pPr>
                  <w:r>
                    <w:rPr>
                      <w:rFonts w:ascii="Times New Roman" w:cs="Times New Roman" w:hAnsi="Times New Roman"/>
                      <w:color w:val="auto"/>
                      <w:sz w:val="21"/>
                      <w:szCs w:val="20"/>
                      <w:highlight w:val="none"/>
                    </w:rPr>
                    <w:t>年产量（只/套</w:t>
                  </w:r>
                  <w:r>
                    <w:rPr>
                      <w:rFonts w:ascii="Times New Roman" w:cs="Times New Roman" w:hAnsi="Times New Roman" w:hint="eastAsia"/>
                      <w:color w:val="auto"/>
                      <w:sz w:val="21"/>
                      <w:szCs w:val="20"/>
                      <w:lang w:val="en-US" w:eastAsia="zh-CN"/>
                      <w:highlight w:val="none"/>
                    </w:rPr>
                    <w:t>/件</w:t>
                  </w:r>
                  <w:r>
                    <w:rPr>
                      <w:rFonts w:ascii="Times New Roman" w:cs="Times New Roman" w:hAnsi="Times New Roman"/>
                      <w:color w:val="auto"/>
                      <w:sz w:val="21"/>
                      <w:szCs w:val="20"/>
                      <w:highlight w:val="none"/>
                    </w:rPr>
                    <w:t>）</w:t>
                  </w:r>
                </w:p>
              </w:tc>
              <w:tc>
                <w:tcPr>
                  <w:tcW w:w="394" w:type="dxa"/>
                  <w:vMerge w:val="restart"/>
                  <w:vAlign w:val="center"/>
                </w:tcPr>
                <w:p>
                  <w:pPr>
                    <w:keepNext w:val="0"/>
                    <w:keepLines w:val="0"/>
                    <w:suppressLineNumbers w:val="0"/>
                    <w:spacing w:before="0" w:beforeAutospacing="0" w:after="0" w:afterAutospacing="0" w:line="240" w:lineRule="auto"/>
                    <w:ind w:left="0" w:right="0"/>
                    <w:jc w:val="center"/>
                    <w:rPr>
                      <w:rFonts w:eastAsia="宋体"/>
                      <w:color w:val="auto"/>
                      <w:szCs w:val="20"/>
                      <w:lang w:val="en-US" w:eastAsia="zh-CN"/>
                      <w:highlight w:val="none"/>
                    </w:rPr>
                  </w:pPr>
                  <w:r>
                    <w:rPr>
                      <w:rFonts w:ascii="Times New Roman" w:cs="Times New Roman" w:hAnsi="Times New Roman" w:hint="eastAsia"/>
                      <w:color w:val="auto"/>
                      <w:sz w:val="21"/>
                      <w:szCs w:val="20"/>
                      <w:lang w:val="en-US" w:eastAsia="zh-CN"/>
                      <w:highlight w:val="none"/>
                    </w:rPr>
                    <w:t>备注</w:t>
                  </w:r>
                </w:p>
              </w:tc>
            </w:tr>
            <w:tr>
              <w:trPr>
                <w:trHeight w:val="265"/>
              </w:trPr>
              <w:tc>
                <w:tcPr>
                  <w:tcW w:w="423" w:type="dxa"/>
                  <w:vMerge/>
                  <w:vAlign w:val="center"/>
                </w:tcPr>
                <w:p/>
              </w:tc>
              <w:tc>
                <w:tcPr>
                  <w:tcW w:w="295" w:type="dxa"/>
                  <w:tcBorders>
                    <w:top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highlight w:val="none"/>
                    </w:rPr>
                  </w:pPr>
                  <w:r>
                    <w:rPr>
                      <w:rFonts w:ascii="Times New Roman" w:cs="Times New Roman" w:hAnsi="Times New Roman" w:hint="eastAsia"/>
                      <w:color w:val="auto"/>
                      <w:sz w:val="21"/>
                      <w:szCs w:val="20"/>
                      <w:lang w:val="en-US" w:eastAsia="zh-CN"/>
                      <w:highlight w:val="none"/>
                    </w:rPr>
                    <w:t>现有工程</w:t>
                  </w:r>
                </w:p>
              </w:tc>
              <w:tc>
                <w:tcPr>
                  <w:tcW w:w="295"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rFonts w:eastAsia="宋体"/>
                      <w:color w:val="auto"/>
                      <w:szCs w:val="20"/>
                      <w:lang w:val="en-US" w:eastAsia="zh-CN"/>
                      <w:highlight w:val="none"/>
                    </w:rPr>
                  </w:pPr>
                  <w:r>
                    <w:rPr>
                      <w:rFonts w:ascii="Times New Roman" w:eastAsia="宋体" w:cs="Times New Roman" w:hAnsi="Times New Roman" w:hint="eastAsia"/>
                      <w:color w:val="auto"/>
                      <w:sz w:val="21"/>
                      <w:szCs w:val="20"/>
                      <w:lang w:val="en-US" w:eastAsia="zh-CN"/>
                      <w:highlight w:val="none"/>
                    </w:rPr>
                    <w:t>本次</w:t>
                  </w:r>
                  <w:r>
                    <w:rPr>
                      <w:rFonts w:ascii="Times New Roman" w:cs="Times New Roman" w:hAnsi="Times New Roman" w:hint="eastAsia"/>
                      <w:color w:val="auto"/>
                      <w:sz w:val="21"/>
                      <w:szCs w:val="20"/>
                      <w:lang w:val="en-US" w:eastAsia="zh-CN"/>
                      <w:highlight w:val="none"/>
                    </w:rPr>
                    <w:t>改建项目</w:t>
                  </w:r>
                </w:p>
              </w:tc>
              <w:tc>
                <w:tcPr>
                  <w:tcW w:w="295"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改扩建完成后全厂</w:t>
                  </w:r>
                </w:p>
              </w:tc>
              <w:tc>
                <w:tcPr>
                  <w:tcW w:w="296" w:type="dxa"/>
                  <w:tcBorders>
                    <w:top w:val="single" w:sz="4" w:space="0" w:color="auto"/>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变化量</w:t>
                  </w:r>
                </w:p>
              </w:tc>
              <w:tc>
                <w:tcPr>
                  <w:tcW w:w="394" w:type="dxa"/>
                  <w:vMerge/>
                  <w:tcBorders>
                    <w:left w:val="single" w:sz="4" w:space="0" w:color="000000"/>
                  </w:tcBorders>
                  <w:vAlign w:val="center"/>
                </w:tcPr>
                <w:p/>
              </w:tc>
            </w:tr>
            <w:tr>
              <w:trPr>
                <w:trHeight w:val="328"/>
              </w:trPr>
              <w:tc>
                <w:tcPr>
                  <w:tcW w:w="423" w:type="dxa"/>
                  <w:vAlign w:val="center"/>
                </w:tcPr>
                <w:p>
                  <w:pPr>
                    <w:keepNext w:val="0"/>
                    <w:keepLines w:val="0"/>
                    <w:suppressLineNumbers w:val="0"/>
                    <w:spacing w:before="0" w:beforeAutospacing="0" w:after="0" w:afterAutospacing="0" w:line="240" w:lineRule="auto"/>
                    <w:ind w:left="0" w:right="0"/>
                    <w:jc w:val="center"/>
                    <w:rPr>
                      <w:rFonts w:eastAsia="宋体"/>
                      <w:color w:val="auto"/>
                      <w:szCs w:val="20"/>
                      <w:lang w:val="en-US" w:eastAsia="zh-CN"/>
                      <w:highlight w:val="none"/>
                    </w:rPr>
                  </w:pPr>
                  <w:r>
                    <w:rPr>
                      <w:rFonts w:ascii="Times New Roman" w:eastAsia="宋体" w:cs="Times New Roman" w:hAnsi="Times New Roman"/>
                      <w:color w:val="auto"/>
                      <w:sz w:val="21"/>
                      <w:szCs w:val="20"/>
                      <w:lang w:val="en-US" w:eastAsia="zh-CN"/>
                      <w:highlight w:val="none"/>
                    </w:rPr>
                    <w:t>集水杯及其配套制品</w:t>
                  </w:r>
                </w:p>
              </w:tc>
              <w:tc>
                <w:tcPr>
                  <w:tcW w:w="295" w:type="dxa"/>
                  <w:tcBorders>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highlight w:val="none"/>
                    </w:rPr>
                  </w:pPr>
                  <w:r>
                    <w:rPr>
                      <w:rFonts w:ascii="Times New Roman" w:cs="Times New Roman" w:hAnsi="Times New Roman"/>
                      <w:color w:val="auto"/>
                      <w:sz w:val="21"/>
                      <w:szCs w:val="20"/>
                      <w:highlight w:val="none"/>
                    </w:rPr>
                    <w:t>90万</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rFonts w:eastAsia="宋体"/>
                      <w:color w:val="auto"/>
                      <w:szCs w:val="20"/>
                      <w:lang w:val="en-US" w:eastAsia="zh-CN"/>
                      <w:highlight w:val="none"/>
                    </w:rPr>
                  </w:pPr>
                  <w:r>
                    <w:rPr>
                      <w:rFonts w:ascii="Times New Roman" w:cs="Times New Roman" w:hAnsi="Times New Roman" w:hint="eastAsia"/>
                      <w:color w:val="auto"/>
                      <w:sz w:val="21"/>
                      <w:szCs w:val="20"/>
                      <w:lang w:val="en-US" w:eastAsia="zh-CN"/>
                      <w:highlight w:val="none"/>
                    </w:rPr>
                    <w:t>0</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0</w:t>
                  </w:r>
                </w:p>
              </w:tc>
              <w:tc>
                <w:tcPr>
                  <w:tcW w:w="296"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-90万</w:t>
                  </w:r>
                </w:p>
              </w:tc>
              <w:tc>
                <w:tcPr>
                  <w:tcW w:w="394"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改建后不再生产</w:t>
                  </w:r>
                </w:p>
              </w:tc>
            </w:tr>
            <w:tr>
              <w:trPr>
                <w:trHeight w:val="338"/>
              </w:trPr>
              <w:tc>
                <w:tcPr>
                  <w:tcW w:w="423" w:type="dxa"/>
                  <w:vAlign w:val="center"/>
                </w:tcPr>
                <w:p>
                  <w:pPr>
                    <w:keepNext w:val="0"/>
                    <w:keepLines w:val="0"/>
                    <w:suppressLineNumbers w:val="0"/>
                    <w:spacing w:before="0" w:beforeAutospacing="0" w:after="0" w:afterAutospacing="0" w:line="240" w:lineRule="auto"/>
                    <w:ind w:left="0" w:right="0"/>
                    <w:jc w:val="center"/>
                    <w:rPr>
                      <w:rFonts w:hint="eastAsia"/>
                      <w:color w:val="auto"/>
                      <w:szCs w:val="20"/>
                      <w:lang w:eastAsia="zh-CN"/>
                      <w:highlight w:val="none"/>
                    </w:rPr>
                  </w:pPr>
                  <w:r>
                    <w:rPr>
                      <w:rFonts w:ascii="Times New Roman" w:cs="Times New Roman" w:hAnsi="Times New Roman" w:hint="eastAsia"/>
                      <w:color w:val="auto"/>
                      <w:sz w:val="21"/>
                      <w:szCs w:val="20"/>
                      <w:lang w:eastAsia="zh-CN"/>
                      <w:highlight w:val="none"/>
                    </w:rPr>
                    <w:t>注塑模具</w:t>
                  </w:r>
                </w:p>
              </w:tc>
              <w:tc>
                <w:tcPr>
                  <w:tcW w:w="295" w:type="dxa"/>
                  <w:tcBorders>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50</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0</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rFonts w:hint="eastAsia"/>
                      <w:color w:val="auto"/>
                      <w:szCs w:val="20"/>
                      <w:lang w:val="en-US" w:eastAsia="zh-CN"/>
                      <w:highlight w:val="none"/>
                    </w:rPr>
                  </w:pPr>
                  <w:r>
                    <w:rPr>
                      <w:rFonts w:ascii="Times New Roman" w:cs="Times New Roman" w:hAnsi="Times New Roman" w:hint="eastAsia"/>
                      <w:color w:val="auto"/>
                      <w:sz w:val="21"/>
                      <w:szCs w:val="20"/>
                      <w:lang w:val="en-US" w:eastAsia="zh-CN"/>
                      <w:highlight w:val="none"/>
                    </w:rPr>
                    <w:t>0</w:t>
                  </w:r>
                </w:p>
              </w:tc>
              <w:tc>
                <w:tcPr>
                  <w:tcW w:w="296"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-50</w:t>
                  </w:r>
                </w:p>
              </w:tc>
              <w:tc>
                <w:tcPr>
                  <w:tcW w:w="394"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改建后不再生产模具，全部外购成品模具</w:t>
                  </w:r>
                </w:p>
              </w:tc>
            </w:tr>
            <w:tr>
              <w:trPr>
                <w:trHeight w:val="338"/>
              </w:trPr>
              <w:tc>
                <w:tcPr>
                  <w:tcW w:w="423" w:type="dxa"/>
                  <w:vAlign w:val="center"/>
                </w:tcPr>
                <w:p>
                  <w:pPr>
                    <w:keepNext w:val="0"/>
                    <w:keepLines w:val="0"/>
                    <w:suppressLineNumbers w:val="0"/>
                    <w:spacing w:before="0" w:beforeAutospacing="0" w:after="0" w:afterAutospacing="0" w:line="240" w:lineRule="auto"/>
                    <w:ind w:left="0" w:right="0"/>
                    <w:jc w:val="center"/>
                    <w:rPr>
                      <w:rFonts w:hint="eastAsia"/>
                      <w:color w:val="auto"/>
                      <w:szCs w:val="20"/>
                      <w:lang w:eastAsia="zh-CN"/>
                      <w:highlight w:val="none"/>
                    </w:rPr>
                  </w:pPr>
                  <w:r>
                    <w:rPr>
                      <w:rFonts w:ascii="Times New Roman" w:cs="Times New Roman" w:hAnsi="Times New Roman" w:hint="eastAsia"/>
                      <w:color w:val="auto"/>
                      <w:sz w:val="21"/>
                      <w:szCs w:val="20"/>
                      <w:lang w:val="en-US" w:eastAsia="zh-CN"/>
                      <w:highlight w:val="none"/>
                    </w:rPr>
                    <w:t>汽车塑料配件</w:t>
                  </w:r>
                </w:p>
              </w:tc>
              <w:tc>
                <w:tcPr>
                  <w:tcW w:w="295" w:type="dxa"/>
                  <w:tcBorders>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0</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160万</w:t>
                  </w:r>
                </w:p>
              </w:tc>
              <w:tc>
                <w:tcPr>
                  <w:tcW w:w="295" w:type="dxa"/>
                  <w:tcBorders>
                    <w:left w:val="single" w:sz="4" w:space="0" w:color="auto"/>
                    <w:right w:val="single" w:sz="4" w:space="0" w:color="auto"/>
                  </w:tcBorders>
                  <w:vAlign w:val="center"/>
                </w:tcPr>
                <w:p>
                  <w:pPr>
                    <w:keepNext w:val="0"/>
                    <w:keepLines w:val="0"/>
                    <w:suppressLineNumbers w:val="0"/>
                    <w:spacing w:before="0" w:beforeAutospacing="0" w:after="0" w:afterAutospacing="0" w:line="240" w:lineRule="auto"/>
                    <w:ind w:left="0" w:right="0"/>
                    <w:jc w:val="center"/>
                    <w:rPr>
                      <w:rFonts w:hint="eastAsia"/>
                      <w:color w:val="auto"/>
                      <w:szCs w:val="20"/>
                      <w:lang w:val="en-US" w:eastAsia="zh-CN"/>
                      <w:highlight w:val="none"/>
                    </w:rPr>
                  </w:pPr>
                  <w:r>
                    <w:rPr>
                      <w:rFonts w:ascii="Times New Roman" w:cs="Times New Roman" w:hAnsi="Times New Roman" w:hint="eastAsia"/>
                      <w:color w:val="auto"/>
                      <w:sz w:val="21"/>
                      <w:szCs w:val="20"/>
                      <w:lang w:val="en-US" w:eastAsia="zh-CN"/>
                      <w:highlight w:val="none"/>
                    </w:rPr>
                    <w:t>160万</w:t>
                  </w:r>
                </w:p>
              </w:tc>
              <w:tc>
                <w:tcPr>
                  <w:tcW w:w="296"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+160万</w:t>
                  </w:r>
                </w:p>
              </w:tc>
              <w:tc>
                <w:tcPr>
                  <w:tcW w:w="394" w:type="dxa"/>
                  <w:tcBorders>
                    <w:left w:val="single" w:sz="4" w:space="0" w:color="auto"/>
                  </w:tcBorders>
                  <w:vAlign w:val="center"/>
                </w:tcPr>
                <w:p>
                  <w:pPr>
                    <w:keepNext w:val="0"/>
                    <w:keepLines w:val="0"/>
                    <w:suppressLineNumbers w:val="0"/>
                    <w:spacing w:before="0" w:beforeAutospacing="0" w:after="0" w:afterAutospacing="0" w:line="240" w:lineRule="auto"/>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产品，入库后待售</w:t>
                  </w:r>
                </w:p>
              </w:tc>
            </w:tr>
          </w:tbl>
          <w:p>
            <w:pPr>
              <w:pStyle w:val="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szCs w:val="20"/>
                <w:highlight w:val="none"/>
              </w:rPr>
            </w:pPr>
            <w:r>
              <w:rPr>
                <w:rFonts w:ascii="Times New Roman" w:cs="Times New Roman" w:hAnsi="Times New Roman"/>
                <w:b/>
                <w:bCs/>
                <w:caps w:val="0"/>
                <w:smallCaps w:val="0"/>
                <w:color w:val="auto"/>
                <w:spacing w:val="0"/>
                <w:sz w:val="24"/>
                <w:szCs w:val="20"/>
                <w:lang w:val="en-US" w:eastAsia="zh-CN"/>
                <w:highlight w:val="none"/>
              </w:rPr>
              <w:t>3</w:t>
            </w:r>
            <w:r>
              <w:rPr>
                <w:rFonts w:ascii="Times New Roman" w:cs="Times New Roman" w:hAnsi="Times New Roman"/>
                <w:b/>
                <w:bCs/>
                <w:caps w:val="0"/>
                <w:smallCaps w:val="0"/>
                <w:color w:val="auto"/>
                <w:spacing w:val="0"/>
                <w:sz w:val="24"/>
                <w:szCs w:val="20"/>
                <w:highlight w:val="none"/>
              </w:rPr>
              <w:t>、工程内容及规模</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本项目占地面积880平方米，建筑面积880平方米</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设置机加工区、办公室、杂物间、危废间、生产区等辅助用房</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将现有工程设备（除机加工设备）搬迁至新租赁厂房，建设汽车塑料配件生产线、电极片生产线，配套模具维修设备。</w:t>
            </w:r>
            <w:r>
              <w:rPr>
                <w:rFonts w:ascii="Times New Roman" w:cs="Times New Roman" w:hAnsi="Times New Roman"/>
                <w:caps w:val="0"/>
                <w:smallCaps w:val="0"/>
                <w:color w:val="auto"/>
                <w:spacing w:val="0"/>
                <w:sz w:val="24"/>
                <w:szCs w:val="20"/>
                <w:highlight w:val="none"/>
              </w:rPr>
              <w:t>项目建成后年产汽车塑料配件160万件（约100t）。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hint="eastAsia"/>
                <w:caps w:val="0"/>
                <w:smallCaps w:val="0"/>
                <w:color w:val="auto"/>
                <w:spacing w:val="0"/>
                <w:sz w:val="24"/>
                <w:szCs w:val="20"/>
                <w:lang w:val="en-US" w:eastAsia="zh-CN"/>
                <w:highlight w:val="none"/>
              </w:rPr>
              <w:t>2</w:t>
            </w:r>
            <w:r>
              <w:rPr>
                <w:rFonts w:ascii="Times New Roman" w:cs="Times New Roman" w:hAnsi="Times New Roman"/>
                <w:caps w:val="0"/>
                <w:smallCaps w:val="0"/>
                <w:color w:val="auto"/>
                <w:spacing w:val="0"/>
                <w:sz w:val="24"/>
                <w:szCs w:val="20"/>
                <w:highlight w:val="none"/>
              </w:rPr>
              <w:t xml:space="preserve">    项目主要建设内容组成一览表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23"/>
              <w:gridCol w:w="1086"/>
              <w:gridCol w:w="5216"/>
              <w:gridCol w:w="1129"/>
            </w:tblGrid>
            <w:tr>
              <w:trPr>
                <w:cantSplit/>
                <w:trHeight w:val="397"/>
              </w:trPr>
              <w:tc>
                <w:tcPr>
                  <w:tcW w:w="443" w:type="pct"/>
                  <w:vAlign w:val="center"/>
                </w:tcPr>
                <w:p>
                  <w:pPr>
                    <w:keepNext w:val="0"/>
                    <w:keepLines w:val="0"/>
                    <w:suppressLineNumbers w:val="0"/>
                    <w:spacing w:before="0" w:beforeAutospacing="0" w:after="0" w:afterAutospacing="0"/>
                    <w:ind w:left="0" w:right="0"/>
                    <w:jc w:val="center"/>
                    <w:rPr>
                      <w:b w:val="0"/>
                      <w:bCs w:val="0"/>
                      <w:color w:val="auto"/>
                      <w:szCs w:val="21"/>
                      <w:highlight w:val="none"/>
                    </w:rPr>
                  </w:pPr>
                  <w:r>
                    <w:rPr>
                      <w:rFonts w:ascii="Times New Roman" w:cs="Times New Roman" w:hAnsi="Times New Roman"/>
                      <w:b w:val="0"/>
                      <w:bCs w:val="0"/>
                      <w:color w:val="auto"/>
                      <w:sz w:val="21"/>
                      <w:szCs w:val="21"/>
                      <w:highlight w:val="none"/>
                    </w:rPr>
                    <w:t>名称</w:t>
                  </w:r>
                </w:p>
              </w:tc>
              <w:tc>
                <w:tcPr>
                  <w:tcW w:w="666" w:type="pct"/>
                  <w:vAlign w:val="center"/>
                </w:tcPr>
                <w:p>
                  <w:pPr>
                    <w:keepNext w:val="0"/>
                    <w:keepLines w:val="0"/>
                    <w:suppressLineNumbers w:val="0"/>
                    <w:spacing w:before="0" w:beforeAutospacing="0" w:after="0" w:afterAutospacing="0"/>
                    <w:ind w:left="0" w:right="0"/>
                    <w:jc w:val="center"/>
                    <w:rPr>
                      <w:b w:val="0"/>
                      <w:bCs w:val="0"/>
                      <w:color w:val="auto"/>
                      <w:szCs w:val="21"/>
                      <w:highlight w:val="none"/>
                    </w:rPr>
                  </w:pPr>
                  <w:r>
                    <w:rPr>
                      <w:rFonts w:ascii="Times New Roman" w:cs="Times New Roman" w:hAnsi="Times New Roman" w:hint="eastAsia"/>
                      <w:b w:val="0"/>
                      <w:bCs w:val="0"/>
                      <w:color w:val="auto"/>
                      <w:sz w:val="21"/>
                      <w:szCs w:val="21"/>
                      <w:highlight w:val="none"/>
                    </w:rPr>
                    <w:t>建设</w:t>
                  </w:r>
                  <w:r>
                    <w:rPr>
                      <w:rFonts w:ascii="Times New Roman" w:cs="Times New Roman" w:hAnsi="Times New Roman"/>
                      <w:b w:val="0"/>
                      <w:bCs w:val="0"/>
                      <w:color w:val="auto"/>
                      <w:sz w:val="21"/>
                      <w:szCs w:val="21"/>
                      <w:highlight w:val="none"/>
                    </w:rPr>
                    <w:t>内容</w:t>
                  </w:r>
                </w:p>
              </w:tc>
              <w:tc>
                <w:tcPr>
                  <w:tcW w:w="3198" w:type="pct"/>
                  <w:vAlign w:val="center"/>
                </w:tcPr>
                <w:p>
                  <w:pPr>
                    <w:keepNext w:val="0"/>
                    <w:keepLines w:val="0"/>
                    <w:suppressLineNumbers w:val="0"/>
                    <w:spacing w:before="0" w:beforeAutospacing="0" w:after="0" w:afterAutospacing="0"/>
                    <w:ind w:left="0" w:right="0"/>
                    <w:jc w:val="center"/>
                    <w:rPr>
                      <w:rFonts w:hint="eastAsia"/>
                      <w:b w:val="0"/>
                      <w:bCs w:val="0"/>
                      <w:color w:val="auto"/>
                      <w:szCs w:val="21"/>
                      <w:highlight w:val="none"/>
                    </w:rPr>
                  </w:pPr>
                  <w:r>
                    <w:rPr>
                      <w:rFonts w:ascii="Times New Roman" w:cs="Times New Roman" w:hAnsi="Times New Roman"/>
                      <w:b w:val="0"/>
                      <w:bCs w:val="0"/>
                      <w:color w:val="auto"/>
                      <w:sz w:val="21"/>
                      <w:szCs w:val="21"/>
                      <w:highlight w:val="none"/>
                    </w:rPr>
                    <w:t>建筑内容及规模</w:t>
                  </w:r>
                </w:p>
              </w:tc>
              <w:tc>
                <w:tcPr>
                  <w:tcW w:w="692" w:type="pct"/>
                  <w:vAlign w:val="center"/>
                </w:tcPr>
                <w:p>
                  <w:pPr>
                    <w:keepNext w:val="0"/>
                    <w:keepLines w:val="0"/>
                    <w:suppressLineNumbers w:val="0"/>
                    <w:spacing w:before="0" w:beforeAutospacing="0" w:after="0" w:afterAutospacing="0"/>
                    <w:ind w:left="0" w:right="0"/>
                    <w:jc w:val="center"/>
                    <w:rPr>
                      <w:rFonts w:eastAsia="宋体" w:hint="eastAsia"/>
                      <w:b w:val="0"/>
                      <w:bCs w:val="0"/>
                      <w:color w:val="auto"/>
                      <w:szCs w:val="21"/>
                      <w:lang w:val="en-US" w:eastAsia="zh-CN"/>
                      <w:highlight w:val="none"/>
                    </w:rPr>
                  </w:pPr>
                  <w:r>
                    <w:rPr>
                      <w:rFonts w:ascii="Times New Roman" w:cs="Times New Roman" w:hAnsi="Times New Roman" w:hint="eastAsia"/>
                      <w:b w:val="0"/>
                      <w:bCs w:val="0"/>
                      <w:color w:val="auto"/>
                      <w:sz w:val="21"/>
                      <w:szCs w:val="21"/>
                      <w:lang w:val="en-US" w:eastAsia="zh-CN"/>
                      <w:highlight w:val="none"/>
                    </w:rPr>
                    <w:t>备注</w:t>
                  </w:r>
                </w:p>
              </w:tc>
            </w:tr>
            <w:tr>
              <w:trPr>
                <w:cantSplit/>
                <w:trHeight w:val="397"/>
              </w:trPr>
              <w:tc>
                <w:tcPr>
                  <w:tcW w:w="44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主体工程</w:t>
                  </w: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生产区</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color w:val="auto"/>
                      <w:spacing w:val="-4"/>
                      <w:szCs w:val="21"/>
                      <w:highlight w:val="none"/>
                    </w:rPr>
                  </w:pPr>
                  <w:r>
                    <w:rPr>
                      <w:rFonts w:ascii="Times New Roman" w:cs="Times New Roman" w:hAnsi="Times New Roman" w:hint="eastAsia"/>
                      <w:snapToGrid w:val="0"/>
                      <w:color w:val="auto"/>
                      <w:kern w:val="0"/>
                      <w:sz w:val="21"/>
                      <w:szCs w:val="21"/>
                      <w:lang w:val="en-US" w:eastAsia="zh-CN"/>
                      <w:highlight w:val="none"/>
                    </w:rPr>
                    <w:t>位于厂房内</w:t>
                  </w:r>
                  <w:r>
                    <w:rPr>
                      <w:rFonts w:ascii="Times New Roman" w:cs="Times New Roman" w:hAnsi="Times New Roman"/>
                      <w:snapToGrid w:val="0"/>
                      <w:color w:val="auto"/>
                      <w:kern w:val="0"/>
                      <w:sz w:val="21"/>
                      <w:szCs w:val="21"/>
                      <w:highlight w:val="none"/>
                    </w:rPr>
                    <w:t>，占地面积</w:t>
                  </w:r>
                  <w:r>
                    <w:rPr>
                      <w:rFonts w:ascii="Times New Roman" w:cs="Times New Roman" w:hAnsi="Times New Roman" w:hint="eastAsia"/>
                      <w:snapToGrid w:val="0"/>
                      <w:color w:val="auto"/>
                      <w:kern w:val="0"/>
                      <w:sz w:val="21"/>
                      <w:szCs w:val="21"/>
                      <w:lang w:val="en-US" w:eastAsia="zh-CN"/>
                      <w:highlight w:val="none"/>
                    </w:rPr>
                    <w:t>338.25</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建筑面积338.25</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highlight w:val="none"/>
                    </w:rPr>
                    <w:t>高度</w:t>
                  </w:r>
                  <w:r>
                    <w:rPr>
                      <w:rFonts w:ascii="Times New Roman" w:cs="Times New Roman" w:hAnsi="Times New Roman" w:hint="eastAsia"/>
                      <w:snapToGrid w:val="0"/>
                      <w:color w:val="auto"/>
                      <w:kern w:val="0"/>
                      <w:sz w:val="21"/>
                      <w:szCs w:val="21"/>
                      <w:lang w:val="en-US" w:eastAsia="zh-CN"/>
                      <w:highlight w:val="none"/>
                    </w:rPr>
                    <w:t>8</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lang w:val="en-US" w:eastAsia="zh-CN"/>
                      <w:highlight w:val="none"/>
                    </w:rPr>
                    <w:t>分为烘干区、注塑区</w:t>
                  </w:r>
                  <w:r>
                    <w:rPr>
                      <w:rFonts w:ascii="Times New Roman" w:cs="Times New Roman" w:hAnsi="Times New Roman" w:hint="eastAsia"/>
                      <w:snapToGrid w:val="0"/>
                      <w:color w:val="auto"/>
                      <w:kern w:val="0"/>
                      <w:sz w:val="21"/>
                      <w:szCs w:val="21"/>
                      <w:highlight w:val="none"/>
                    </w:rPr>
                    <w:t>，购置</w:t>
                  </w:r>
                  <w:r>
                    <w:rPr>
                      <w:rFonts w:ascii="Times New Roman" w:cs="Times New Roman" w:hAnsi="Times New Roman" w:hint="eastAsia"/>
                      <w:snapToGrid w:val="0"/>
                      <w:color w:val="auto"/>
                      <w:kern w:val="0"/>
                      <w:sz w:val="21"/>
                      <w:szCs w:val="21"/>
                      <w:lang w:val="en-US" w:eastAsia="zh-CN"/>
                      <w:highlight w:val="none"/>
                    </w:rPr>
                    <w:t>注塑机、干燥机、干燥箱</w:t>
                  </w:r>
                  <w:r>
                    <w:rPr>
                      <w:rFonts w:ascii="Times New Roman" w:cs="Times New Roman" w:hAnsi="Times New Roman" w:hint="eastAsia"/>
                      <w:snapToGrid w:val="0"/>
                      <w:color w:val="auto"/>
                      <w:kern w:val="0"/>
                      <w:sz w:val="21"/>
                      <w:szCs w:val="21"/>
                      <w:highlight w:val="none"/>
                    </w:rPr>
                    <w:t>等设备，用于</w:t>
                  </w:r>
                  <w:r>
                    <w:rPr>
                      <w:rFonts w:ascii="Times New Roman" w:cs="Times New Roman" w:hAnsi="Times New Roman" w:hint="eastAsia"/>
                      <w:snapToGrid w:val="0"/>
                      <w:color w:val="auto"/>
                      <w:kern w:val="0"/>
                      <w:sz w:val="21"/>
                      <w:szCs w:val="21"/>
                      <w:lang w:val="en-US" w:eastAsia="zh-CN"/>
                      <w:highlight w:val="none"/>
                    </w:rPr>
                    <w:t>汽车塑料配件的烘干、注塑</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机加工区</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位于厂房内</w:t>
                  </w:r>
                  <w:r>
                    <w:rPr>
                      <w:rFonts w:ascii="Times New Roman" w:cs="Times New Roman" w:hAnsi="Times New Roman"/>
                      <w:snapToGrid w:val="0"/>
                      <w:color w:val="auto"/>
                      <w:kern w:val="0"/>
                      <w:sz w:val="21"/>
                      <w:szCs w:val="21"/>
                      <w:highlight w:val="none"/>
                    </w:rPr>
                    <w:t>，占地面积</w:t>
                  </w:r>
                  <w:r>
                    <w:rPr>
                      <w:rFonts w:ascii="Times New Roman" w:cs="Times New Roman" w:hAnsi="Times New Roman" w:hint="eastAsia"/>
                      <w:snapToGrid w:val="0"/>
                      <w:color w:val="auto"/>
                      <w:kern w:val="0"/>
                      <w:sz w:val="21"/>
                      <w:szCs w:val="21"/>
                      <w:lang w:val="en-US" w:eastAsia="zh-CN"/>
                      <w:highlight w:val="none"/>
                    </w:rPr>
                    <w:t>60.21</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建筑面积60.21</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i w:val="0"/>
                      <w:iCs w:val="0"/>
                      <w:snapToGrid w:val="0"/>
                      <w:color w:val="auto"/>
                      <w:kern w:val="0"/>
                      <w:sz w:val="21"/>
                      <w:szCs w:val="21"/>
                      <w:highlight w:val="none"/>
                    </w:rPr>
                    <w:t>高度</w:t>
                  </w:r>
                  <w:r>
                    <w:rPr>
                      <w:rFonts w:ascii="Times New Roman" w:cs="Times New Roman" w:hAnsi="Times New Roman" w:hint="eastAsia"/>
                      <w:i w:val="0"/>
                      <w:iCs w:val="0"/>
                      <w:snapToGrid w:val="0"/>
                      <w:color w:val="auto"/>
                      <w:kern w:val="0"/>
                      <w:sz w:val="21"/>
                      <w:szCs w:val="21"/>
                      <w:lang w:val="en-US" w:eastAsia="zh-CN"/>
                      <w:highlight w:val="none"/>
                    </w:rPr>
                    <w:t>8</w:t>
                  </w:r>
                  <w:r>
                    <w:rPr>
                      <w:rFonts w:ascii="Times New Roman" w:cs="Times New Roman" w:hAnsi="Times New Roman" w:hint="eastAsia"/>
                      <w:i w:val="0"/>
                      <w:iCs w:val="0"/>
                      <w:snapToGrid w:val="0"/>
                      <w:color w:val="auto"/>
                      <w:kern w:val="0"/>
                      <w:sz w:val="21"/>
                      <w:szCs w:val="21"/>
                      <w:highlight w:val="none"/>
                    </w:rPr>
                    <w:t>m</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highlight w:val="none"/>
                    </w:rPr>
                    <w:t>购置</w:t>
                  </w:r>
                  <w:r>
                    <w:rPr>
                      <w:rFonts w:ascii="Times New Roman" w:cs="Times New Roman" w:hAnsi="Times New Roman" w:hint="eastAsia"/>
                      <w:snapToGrid w:val="0"/>
                      <w:color w:val="auto"/>
                      <w:kern w:val="0"/>
                      <w:sz w:val="21"/>
                      <w:szCs w:val="21"/>
                      <w:lang w:val="en-US" w:eastAsia="zh-CN"/>
                      <w:highlight w:val="none"/>
                    </w:rPr>
                    <w:t>攻丝机、车床、铣床、钻床、磨床、线切割、模具维修设备</w:t>
                  </w:r>
                  <w:r>
                    <w:rPr>
                      <w:rFonts w:ascii="Times New Roman" w:cs="Times New Roman" w:hAnsi="Times New Roman" w:hint="eastAsia"/>
                      <w:snapToGrid w:val="0"/>
                      <w:color w:val="auto"/>
                      <w:kern w:val="0"/>
                      <w:sz w:val="21"/>
                      <w:szCs w:val="21"/>
                      <w:highlight w:val="none"/>
                    </w:rPr>
                    <w:t>等设备，用于</w:t>
                  </w:r>
                  <w:r>
                    <w:rPr>
                      <w:rFonts w:ascii="Times New Roman" w:cs="Times New Roman" w:hAnsi="Times New Roman" w:hint="eastAsia"/>
                      <w:snapToGrid w:val="0"/>
                      <w:color w:val="auto"/>
                      <w:kern w:val="0"/>
                      <w:sz w:val="21"/>
                      <w:szCs w:val="21"/>
                      <w:lang w:val="en-US" w:eastAsia="zh-CN"/>
                      <w:highlight w:val="none"/>
                    </w:rPr>
                    <w:t>电极片的生产、模具的维修</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利用现有</w:t>
                  </w:r>
                </w:p>
              </w:tc>
            </w:tr>
            <w:tr>
              <w:trPr>
                <w:cantSplit/>
                <w:trHeight w:val="397"/>
              </w:trPr>
              <w:tc>
                <w:tcPr>
                  <w:tcW w:w="44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辅助工程</w:t>
                  </w:r>
                </w:p>
              </w:tc>
              <w:tc>
                <w:tcPr>
                  <w:tcW w:w="666" w:type="pct"/>
                  <w:tcBorders>
                    <w:left w:val="single" w:sz="4" w:space="0" w:color="auto"/>
                  </w:tcBorders>
                  <w:vAlign w:val="center"/>
                </w:tcPr>
                <w:p>
                  <w:pPr>
                    <w:pStyle w:val="104"/>
                    <w:keepNext w:val="0"/>
                    <w:keepLines w:val="0"/>
                    <w:suppressLineNumbers w:val="0"/>
                    <w:kinsoku w:val="0"/>
                    <w:overflowPunct w:val="0"/>
                    <w:adjustRightInd w:val="0"/>
                    <w:snapToGrid w:val="0"/>
                    <w:spacing w:before="0" w:beforeAutospacing="0" w:after="0" w:afterAutospacing="0" w:line="300" w:lineRule="exact"/>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1#</w:t>
                  </w:r>
                  <w:r>
                    <w:rPr>
                      <w:rFonts w:ascii="Times New Roman" w:cs="Times New Roman" w:hAnsi="Times New Roman" w:hint="eastAsia"/>
                      <w:snapToGrid w:val="0"/>
                      <w:color w:val="auto"/>
                      <w:kern w:val="0"/>
                      <w:sz w:val="21"/>
                      <w:szCs w:val="21"/>
                      <w:highlight w:val="none"/>
                    </w:rPr>
                    <w:t>办公室</w:t>
                  </w:r>
                </w:p>
              </w:tc>
              <w:tc>
                <w:tcPr>
                  <w:tcW w:w="3198"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rPr>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位于机加工东侧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占地面积44</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建筑面积44</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，用于职工办公。</w:t>
                  </w:r>
                </w:p>
              </w:tc>
              <w:tc>
                <w:tcPr>
                  <w:tcW w:w="692"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利用现有</w:t>
                  </w:r>
                </w:p>
              </w:tc>
            </w:tr>
            <w:tr>
              <w:trPr>
                <w:cantSplit/>
                <w:trHeight w:val="397"/>
              </w:trPr>
              <w:tc>
                <w:tcPr>
                  <w:tcW w:w="443" w:type="pct"/>
                  <w:vMerge/>
                  <w:vAlign w:val="center"/>
                </w:tcPr>
                <w:p/>
              </w:tc>
              <w:tc>
                <w:tcPr>
                  <w:tcW w:w="666" w:type="pct"/>
                  <w:tcBorders>
                    <w:left w:val="single" w:sz="4" w:space="0" w:color="auto"/>
                  </w:tcBorders>
                  <w:vAlign w:val="center"/>
                </w:tcPr>
                <w:p>
                  <w:pPr>
                    <w:pStyle w:val="104"/>
                    <w:keepNext w:val="0"/>
                    <w:keepLines w:val="0"/>
                    <w:suppressLineNumbers w:val="0"/>
                    <w:kinsoku w:val="0"/>
                    <w:overflowPunct w:val="0"/>
                    <w:adjustRightInd w:val="0"/>
                    <w:snapToGrid w:val="0"/>
                    <w:spacing w:before="0" w:beforeAutospacing="0" w:after="0" w:afterAutospacing="0" w:line="300" w:lineRule="exact"/>
                    <w:ind w:left="0" w:right="0"/>
                    <w:jc w:val="center"/>
                    <w:rPr>
                      <w:rFonts w:hint="eastAsia"/>
                      <w:snapToGrid w:val="0"/>
                      <w:color w:val="auto"/>
                      <w:kern w:val="0"/>
                      <w:sz w:val="21"/>
                      <w:szCs w:val="21"/>
                      <w:highlight w:val="none"/>
                    </w:rPr>
                  </w:pPr>
                  <w:r>
                    <w:rPr>
                      <w:rFonts w:ascii="Times New Roman" w:cs="Times New Roman" w:hAnsi="Times New Roman" w:hint="eastAsia"/>
                      <w:snapToGrid w:val="0"/>
                      <w:color w:val="auto"/>
                      <w:kern w:val="0"/>
                      <w:sz w:val="21"/>
                      <w:szCs w:val="21"/>
                      <w:lang w:val="en-US" w:eastAsia="zh-CN"/>
                      <w:highlight w:val="none"/>
                    </w:rPr>
                    <w:t>2#</w:t>
                  </w:r>
                  <w:r>
                    <w:rPr>
                      <w:rFonts w:ascii="Times New Roman" w:cs="Times New Roman" w:hAnsi="Times New Roman" w:hint="eastAsia"/>
                      <w:snapToGrid w:val="0"/>
                      <w:color w:val="auto"/>
                      <w:kern w:val="0"/>
                      <w:sz w:val="21"/>
                      <w:szCs w:val="21"/>
                      <w:highlight w:val="none"/>
                    </w:rPr>
                    <w:t>办公室</w:t>
                  </w:r>
                </w:p>
              </w:tc>
              <w:tc>
                <w:tcPr>
                  <w:tcW w:w="3198"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位于机加工东侧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占地面积44</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建筑面积44</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，用于职工办公。</w:t>
                  </w:r>
                </w:p>
              </w:tc>
              <w:tc>
                <w:tcPr>
                  <w:tcW w:w="692"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利用现有</w:t>
                  </w:r>
                </w:p>
              </w:tc>
            </w:tr>
            <w:tr>
              <w:trPr>
                <w:cantSplit/>
                <w:trHeight w:val="397"/>
              </w:trPr>
              <w:tc>
                <w:tcPr>
                  <w:tcW w:w="443" w:type="pct"/>
                  <w:vMerge/>
                  <w:vAlign w:val="center"/>
                </w:tcPr>
                <w:p/>
              </w:tc>
              <w:tc>
                <w:tcPr>
                  <w:tcW w:w="666" w:type="pct"/>
                  <w:tcBorders>
                    <w:left w:val="single" w:sz="4" w:space="0" w:color="auto"/>
                  </w:tcBorders>
                  <w:vAlign w:val="center"/>
                </w:tcPr>
                <w:p>
                  <w:pPr>
                    <w:pStyle w:val="104"/>
                    <w:keepNext w:val="0"/>
                    <w:keepLines w:val="0"/>
                    <w:suppressLineNumbers w:val="0"/>
                    <w:kinsoku w:val="0"/>
                    <w:overflowPunct w:val="0"/>
                    <w:adjustRightInd w:val="0"/>
                    <w:snapToGrid w:val="0"/>
                    <w:spacing w:before="0" w:beforeAutospacing="0" w:after="0" w:afterAutospacing="0" w:line="300" w:lineRule="exact"/>
                    <w:ind w:left="0" w:right="0"/>
                    <w:jc w:val="center"/>
                    <w:rPr>
                      <w:rFonts w:eastAsia="宋体" w:hint="eastAsia"/>
                      <w:snapToGrid w:val="0"/>
                      <w:color w:val="auto"/>
                      <w:kern w:val="0"/>
                      <w:sz w:val="21"/>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更衣室</w:t>
                  </w:r>
                </w:p>
              </w:tc>
              <w:tc>
                <w:tcPr>
                  <w:tcW w:w="3198"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rPr>
                      <w:rFonts w:eastAsia="宋体"/>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位于生产区东南侧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占地面积30.8</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建筑面积30.8</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，用于职工</w:t>
                  </w:r>
                  <w:r>
                    <w:rPr>
                      <w:rFonts w:ascii="Times New Roman" w:cs="Times New Roman" w:hAnsi="Times New Roman" w:hint="eastAsia"/>
                      <w:snapToGrid w:val="0"/>
                      <w:color w:val="auto"/>
                      <w:kern w:val="0"/>
                      <w:sz w:val="21"/>
                      <w:szCs w:val="21"/>
                      <w:lang w:val="en-US" w:eastAsia="zh-CN"/>
                      <w:highlight w:val="none"/>
                    </w:rPr>
                    <w:t>更衣</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vAlign w:val="center"/>
                </w:tcPr>
                <w:p>
                  <w:pPr>
                    <w:pStyle w:val="104"/>
                    <w:keepNext w:val="0"/>
                    <w:keepLines w:val="0"/>
                    <w:suppressLineNumbers w:val="0"/>
                    <w:kinsoku w:val="0"/>
                    <w:overflowPunct w:val="0"/>
                    <w:adjustRightInd w:val="0"/>
                    <w:snapToGrid w:val="0"/>
                    <w:spacing w:before="0" w:beforeAutospacing="0" w:after="0" w:afterAutospacing="0" w:line="300" w:lineRule="exact"/>
                    <w:ind w:left="0" w:right="0"/>
                    <w:jc w:val="center"/>
                    <w:rPr>
                      <w:snapToGrid w:val="0"/>
                      <w:color w:val="auto"/>
                      <w:kern w:val="0"/>
                      <w:sz w:val="21"/>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人工组装区</w:t>
                  </w:r>
                </w:p>
              </w:tc>
              <w:tc>
                <w:tcPr>
                  <w:tcW w:w="3198"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位于更衣室西侧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占地面积22</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建筑面积22</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w:t>
                  </w:r>
                  <w:r>
                    <w:rPr>
                      <w:rFonts w:ascii="Times New Roman" w:cs="Times New Roman" w:hAnsi="Times New Roman" w:hint="eastAsia"/>
                      <w:snapToGrid w:val="0"/>
                      <w:color w:val="auto"/>
                      <w:kern w:val="0"/>
                      <w:sz w:val="21"/>
                      <w:szCs w:val="21"/>
                      <w:lang w:val="en-US" w:eastAsia="zh-CN"/>
                      <w:highlight w:val="none"/>
                    </w:rPr>
                    <w:t>汽车塑料配件和电极片的组装</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vAlign w:val="center"/>
                </w:tcPr>
                <w:p>
                  <w:pPr>
                    <w:pStyle w:val="104"/>
                    <w:keepNext w:val="0"/>
                    <w:keepLines w:val="0"/>
                    <w:suppressLineNumbers w:val="0"/>
                    <w:kinsoku w:val="0"/>
                    <w:overflowPunct w:val="0"/>
                    <w:adjustRightInd w:val="0"/>
                    <w:snapToGrid w:val="0"/>
                    <w:spacing w:before="0" w:beforeAutospacing="0" w:after="0" w:afterAutospacing="0" w:line="300" w:lineRule="exact"/>
                    <w:ind w:left="0" w:right="0"/>
                    <w:jc w:val="center"/>
                    <w:rPr>
                      <w:snapToGrid w:val="0"/>
                      <w:color w:val="auto"/>
                      <w:kern w:val="0"/>
                      <w:sz w:val="21"/>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厕所</w:t>
                  </w:r>
                </w:p>
              </w:tc>
              <w:tc>
                <w:tcPr>
                  <w:tcW w:w="3198"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位于生产区东北侧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占地面积4.62</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建筑面积4.62</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napToGrid w:val="0"/>
                    <w:spacing w:before="0" w:beforeAutospacing="0" w:after="0" w:afterAutospacing="0" w:line="300" w:lineRule="exact"/>
                    <w:ind w:left="0" w:right="0"/>
                    <w:jc w:val="center"/>
                    <w:rPr>
                      <w:rFonts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储运工程</w:t>
                  </w: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snapToGrid w:val="0"/>
                      <w:color w:val="auto"/>
                      <w:kern w:val="0"/>
                      <w:szCs w:val="21"/>
                      <w:lang w:val="en-US" w:eastAsia="zh-CN"/>
                      <w:highlight w:val="none"/>
                    </w:rPr>
                  </w:pPr>
                  <w:r>
                    <w:rPr>
                      <w:rFonts w:ascii="Times New Roman" w:eastAsia="宋体" w:cs="Times New Roman" w:hAnsi="Times New Roman" w:hint="eastAsia"/>
                      <w:snapToGrid w:val="0"/>
                      <w:color w:val="auto"/>
                      <w:kern w:val="0"/>
                      <w:sz w:val="21"/>
                      <w:szCs w:val="21"/>
                      <w:lang w:val="en-US" w:eastAsia="zh-CN"/>
                      <w:highlight w:val="none"/>
                    </w:rPr>
                    <w:t>模具暂存区</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left"/>
                    <w:rPr>
                      <w:rFonts w:ascii="Times New Roman" w:eastAsia="宋体" w:cs="Times New Roman" w:hAnsi="Times New Roman"/>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highlight w:val="none"/>
                    </w:rPr>
                    <w:t>1处，</w:t>
                  </w:r>
                  <w:r>
                    <w:rPr>
                      <w:rFonts w:ascii="Times New Roman" w:cs="Times New Roman" w:hAnsi="Times New Roman" w:hint="eastAsia"/>
                      <w:snapToGrid w:val="0"/>
                      <w:color w:val="auto"/>
                      <w:kern w:val="0"/>
                      <w:sz w:val="21"/>
                      <w:szCs w:val="21"/>
                      <w:lang w:val="en-US" w:eastAsia="zh-CN"/>
                      <w:highlight w:val="none"/>
                    </w:rPr>
                    <w:t>位于生产区西侧，占地面积</w:t>
                  </w:r>
                  <w:r>
                    <w:rPr>
                      <w:rFonts w:ascii="Times New Roman" w:eastAsia="宋体" w:cs="Times New Roman" w:hAnsi="Times New Roman" w:hint="eastAsia"/>
                      <w:snapToGrid w:val="0"/>
                      <w:color w:val="auto"/>
                      <w:kern w:val="0"/>
                      <w:sz w:val="21"/>
                      <w:szCs w:val="21"/>
                      <w:lang w:val="en-US" w:eastAsia="zh-CN"/>
                      <w:highlight w:val="none"/>
                    </w:rPr>
                    <w:t>56.25</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w:t>
                  </w:r>
                  <w:r>
                    <w:rPr>
                      <w:rFonts w:ascii="Times New Roman" w:eastAsia="宋体" w:cs="Times New Roman" w:hAnsi="Times New Roman" w:hint="eastAsia"/>
                      <w:snapToGrid w:val="0"/>
                      <w:color w:val="auto"/>
                      <w:kern w:val="0"/>
                      <w:sz w:val="21"/>
                      <w:szCs w:val="21"/>
                      <w:lang w:val="en-US" w:eastAsia="zh-CN"/>
                      <w:highlight w:val="none"/>
                    </w:rPr>
                    <w:t>56.25</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主要用于存放模具</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snapToGrid w:val="0"/>
                      <w:color w:val="auto"/>
                      <w:kern w:val="0"/>
                      <w:szCs w:val="21"/>
                      <w:lang w:val="en-US" w:eastAsia="zh-CN"/>
                      <w:highlight w:val="none"/>
                    </w:rPr>
                  </w:pPr>
                  <w:r>
                    <w:rPr>
                      <w:rFonts w:ascii="Times New Roman" w:eastAsia="宋体" w:cs="Times New Roman" w:hAnsi="Times New Roman" w:hint="eastAsia"/>
                      <w:snapToGrid w:val="0"/>
                      <w:color w:val="auto"/>
                      <w:kern w:val="0"/>
                      <w:sz w:val="21"/>
                      <w:szCs w:val="21"/>
                      <w:lang w:val="en-US" w:eastAsia="zh-CN"/>
                      <w:highlight w:val="none"/>
                    </w:rPr>
                    <w:t>原料区</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left"/>
                    <w:rPr>
                      <w:rFonts w:ascii="Times New Roman" w:eastAsia="宋体" w:cs="Times New Roman" w:hAnsi="Times New Roman"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highlight w:val="none"/>
                    </w:rPr>
                    <w:t>1处，</w:t>
                  </w:r>
                  <w:r>
                    <w:rPr>
                      <w:rFonts w:ascii="Times New Roman" w:cs="Times New Roman" w:hAnsi="Times New Roman" w:hint="eastAsia"/>
                      <w:snapToGrid w:val="0"/>
                      <w:color w:val="auto"/>
                      <w:kern w:val="0"/>
                      <w:sz w:val="21"/>
                      <w:szCs w:val="21"/>
                      <w:lang w:val="en-US" w:eastAsia="zh-CN"/>
                      <w:highlight w:val="none"/>
                    </w:rPr>
                    <w:t>位于生产区西侧，占地面积</w:t>
                  </w:r>
                  <w:r>
                    <w:rPr>
                      <w:rFonts w:ascii="Times New Roman" w:eastAsia="宋体" w:cs="Times New Roman" w:hAnsi="Times New Roman" w:hint="eastAsia"/>
                      <w:snapToGrid w:val="0"/>
                      <w:color w:val="auto"/>
                      <w:kern w:val="0"/>
                      <w:sz w:val="21"/>
                      <w:szCs w:val="21"/>
                      <w:lang w:val="en-US" w:eastAsia="zh-CN"/>
                      <w:highlight w:val="none"/>
                    </w:rPr>
                    <w:t>67.5</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w:t>
                  </w:r>
                  <w:r>
                    <w:rPr>
                      <w:rFonts w:ascii="Times New Roman" w:eastAsia="宋体" w:cs="Times New Roman" w:hAnsi="Times New Roman" w:hint="eastAsia"/>
                      <w:snapToGrid w:val="0"/>
                      <w:color w:val="auto"/>
                      <w:kern w:val="0"/>
                      <w:sz w:val="21"/>
                      <w:szCs w:val="21"/>
                      <w:lang w:val="en-US" w:eastAsia="zh-CN"/>
                      <w:highlight w:val="none"/>
                    </w:rPr>
                    <w:t>67.5</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snapToGrid w:val="0"/>
                      <w:color w:val="auto"/>
                      <w:kern w:val="0"/>
                      <w:szCs w:val="21"/>
                      <w:lang w:val="en-US" w:eastAsia="zh-CN"/>
                      <w:highlight w:val="none"/>
                    </w:rPr>
                  </w:pPr>
                  <w:r>
                    <w:rPr>
                      <w:rFonts w:ascii="Times New Roman" w:eastAsia="宋体" w:cs="Times New Roman" w:hAnsi="Times New Roman" w:hint="eastAsia"/>
                      <w:snapToGrid w:val="0"/>
                      <w:color w:val="auto"/>
                      <w:kern w:val="0"/>
                      <w:sz w:val="21"/>
                      <w:szCs w:val="21"/>
                      <w:lang w:val="en-US" w:eastAsia="zh-CN"/>
                      <w:highlight w:val="none"/>
                    </w:rPr>
                    <w:t>成品区</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left"/>
                    <w:rPr>
                      <w:rFonts w:ascii="Times New Roman" w:eastAsia="宋体" w:cs="Times New Roman" w:hAnsi="Times New Roman" w:hint="eastAsia"/>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highlight w:val="none"/>
                    </w:rPr>
                    <w:t>1处</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lang w:val="en-US" w:eastAsia="zh-CN"/>
                      <w:highlight w:val="none"/>
                    </w:rPr>
                    <w:t>位于人工组装区东侧</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占地面积</w:t>
                  </w:r>
                  <w:r>
                    <w:rPr>
                      <w:rFonts w:ascii="Times New Roman" w:eastAsia="宋体" w:cs="Times New Roman" w:hAnsi="Times New Roman" w:hint="eastAsia"/>
                      <w:snapToGrid w:val="0"/>
                      <w:color w:val="auto"/>
                      <w:kern w:val="0"/>
                      <w:sz w:val="21"/>
                      <w:szCs w:val="21"/>
                      <w:lang w:val="en-US" w:eastAsia="zh-CN"/>
                      <w:highlight w:val="none"/>
                    </w:rPr>
                    <w:t>30</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w:t>
                  </w:r>
                  <w:r>
                    <w:rPr>
                      <w:rFonts w:ascii="Times New Roman" w:eastAsia="宋体" w:cs="Times New Roman" w:hAnsi="Times New Roman" w:hint="eastAsia"/>
                      <w:snapToGrid w:val="0"/>
                      <w:color w:val="auto"/>
                      <w:kern w:val="0"/>
                      <w:sz w:val="21"/>
                      <w:szCs w:val="21"/>
                      <w:lang w:val="en-US" w:eastAsia="zh-CN"/>
                      <w:highlight w:val="none"/>
                    </w:rPr>
                    <w:t>30</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lang w:val="en-US" w:eastAsia="zh-CN"/>
                      <w:highlight w:val="none"/>
                    </w:rPr>
                    <w:t>杂物间</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rPr>
                      <w:rFonts w:ascii="Times New Roman" w:eastAsia="宋体" w:cs="Times New Roman" w:hAnsi="Times New Roman" w:hint="eastAsia"/>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highlight w:val="none"/>
                    </w:rPr>
                    <w:t>1处，位于生产车间</w:t>
                  </w:r>
                  <w:r>
                    <w:rPr>
                      <w:rFonts w:ascii="Times New Roman" w:cs="Times New Roman" w:hAnsi="Times New Roman" w:hint="eastAsia"/>
                      <w:snapToGrid w:val="0"/>
                      <w:color w:val="auto"/>
                      <w:kern w:val="0"/>
                      <w:sz w:val="21"/>
                      <w:szCs w:val="21"/>
                      <w:lang w:val="en-US" w:eastAsia="zh-CN"/>
                      <w:highlight w:val="none"/>
                    </w:rPr>
                    <w:t>北侧</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lang w:val="en-US" w:eastAsia="zh-CN"/>
                      <w:highlight w:val="none"/>
                    </w:rPr>
                    <w:t>占地面积10.58</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建筑面积10.58</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i w:val="0"/>
                      <w:iCs w:val="0"/>
                      <w:snapToGrid w:val="0"/>
                      <w:color w:val="auto"/>
                      <w:kern w:val="0"/>
                      <w:sz w:val="21"/>
                      <w:szCs w:val="21"/>
                      <w:highlight w:val="none"/>
                    </w:rPr>
                    <w:t>高度</w:t>
                  </w:r>
                  <w:r>
                    <w:rPr>
                      <w:rFonts w:ascii="Times New Roman" w:cs="Times New Roman" w:hAnsi="Times New Roman" w:hint="eastAsia"/>
                      <w:i w:val="0"/>
                      <w:iCs w:val="0"/>
                      <w:snapToGrid w:val="0"/>
                      <w:color w:val="auto"/>
                      <w:kern w:val="0"/>
                      <w:sz w:val="21"/>
                      <w:szCs w:val="21"/>
                      <w:lang w:val="en-US" w:eastAsia="zh-CN"/>
                      <w:highlight w:val="none"/>
                    </w:rPr>
                    <w:t>2.8</w:t>
                  </w:r>
                  <w:r>
                    <w:rPr>
                      <w:rFonts w:ascii="Times New Roman" w:cs="Times New Roman" w:hAnsi="Times New Roman" w:hint="eastAsia"/>
                      <w:i w:val="0"/>
                      <w:iCs w:val="0"/>
                      <w:snapToGrid w:val="0"/>
                      <w:color w:val="auto"/>
                      <w:kern w:val="0"/>
                      <w:sz w:val="21"/>
                      <w:szCs w:val="21"/>
                      <w:highlight w:val="none"/>
                    </w:rPr>
                    <w:t>m</w:t>
                  </w:r>
                  <w:r>
                    <w:rPr>
                      <w:rFonts w:ascii="Times New Roman" w:cs="Times New Roman" w:hAnsi="Times New Roman" w:hint="eastAsia"/>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主要存放原料与成品</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highlight w:val="none"/>
                    </w:rPr>
                    <w:t>一般固废暂存区</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rPr>
                      <w:rFonts w:ascii="Times New Roman" w:eastAsia="宋体" w:cs="Times New Roman" w:hAnsi="Times New Roman" w:hint="eastAsia"/>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highlight w:val="none"/>
                    </w:rPr>
                    <w:t>1处，位于</w:t>
                  </w:r>
                  <w:r>
                    <w:rPr>
                      <w:rFonts w:ascii="Times New Roman" w:cs="Times New Roman" w:hAnsi="Times New Roman" w:hint="eastAsia"/>
                      <w:snapToGrid w:val="0"/>
                      <w:color w:val="auto"/>
                      <w:kern w:val="0"/>
                      <w:sz w:val="21"/>
                      <w:szCs w:val="21"/>
                      <w:lang w:val="en-US" w:eastAsia="zh-CN"/>
                      <w:highlight w:val="none"/>
                    </w:rPr>
                    <w:t>生产区</w:t>
                  </w:r>
                  <w:r>
                    <w:rPr>
                      <w:rFonts w:ascii="Times New Roman" w:cs="Times New Roman" w:hAnsi="Times New Roman" w:hint="eastAsia"/>
                      <w:snapToGrid w:val="0"/>
                      <w:color w:val="auto"/>
                      <w:kern w:val="0"/>
                      <w:sz w:val="21"/>
                      <w:szCs w:val="21"/>
                      <w:highlight w:val="none"/>
                    </w:rPr>
                    <w:t>内</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lang w:val="en-US" w:eastAsia="zh-CN"/>
                      <w:highlight w:val="none"/>
                    </w:rPr>
                    <w:t>占地面积10</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建筑面积10</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，用于一般固废暂存。</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新租厂房</w:t>
                  </w:r>
                </w:p>
              </w:tc>
            </w:tr>
            <w:tr>
              <w:trPr>
                <w:cantSplit/>
                <w:trHeight w:val="397"/>
              </w:trPr>
              <w:tc>
                <w:tcPr>
                  <w:tcW w:w="443" w:type="pct"/>
                  <w:vMerge/>
                  <w:vAlign w:val="center"/>
                </w:tcPr>
                <w:p/>
              </w:tc>
              <w:tc>
                <w:tcPr>
                  <w:tcW w:w="66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lang w:eastAsia="zh-CN"/>
                      <w:highlight w:val="none"/>
                    </w:rPr>
                    <w:t>危废间</w:t>
                  </w:r>
                </w:p>
              </w:tc>
              <w:tc>
                <w:tcPr>
                  <w:tcW w:w="319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rPr>
                      <w:rFonts w:ascii="Times New Roman" w:eastAsia="宋体" w:cs="Times New Roman" w:hAnsi="Times New Roman" w:hint="eastAsia"/>
                      <w:snapToGrid w:val="0"/>
                      <w:color w:val="auto"/>
                      <w:kern w:val="0"/>
                      <w:sz w:val="21"/>
                      <w:szCs w:val="21"/>
                      <w:lang w:val="en-US" w:eastAsia="zh-CN" w:bidi="ar-SA"/>
                      <w:highlight w:val="none"/>
                    </w:rPr>
                  </w:pPr>
                  <w:r>
                    <w:rPr>
                      <w:rFonts w:ascii="Times New Roman" w:cs="Times New Roman" w:hAnsi="Times New Roman" w:hint="eastAsia"/>
                      <w:snapToGrid w:val="0"/>
                      <w:color w:val="auto"/>
                      <w:kern w:val="0"/>
                      <w:sz w:val="21"/>
                      <w:szCs w:val="21"/>
                      <w:highlight w:val="none"/>
                    </w:rPr>
                    <w:t>1处，位于</w:t>
                  </w:r>
                  <w:r>
                    <w:rPr>
                      <w:rFonts w:ascii="Times New Roman" w:cs="Times New Roman" w:hAnsi="Times New Roman" w:hint="eastAsia"/>
                      <w:snapToGrid w:val="0"/>
                      <w:color w:val="auto"/>
                      <w:kern w:val="0"/>
                      <w:sz w:val="21"/>
                      <w:szCs w:val="21"/>
                      <w:lang w:val="en-US" w:eastAsia="zh-CN"/>
                      <w:highlight w:val="none"/>
                    </w:rPr>
                    <w:t>库房</w:t>
                  </w:r>
                  <w:r>
                    <w:rPr>
                      <w:rFonts w:ascii="Times New Roman" w:cs="Times New Roman" w:hAnsi="Times New Roman" w:hint="eastAsia"/>
                      <w:snapToGrid w:val="0"/>
                      <w:color w:val="auto"/>
                      <w:kern w:val="0"/>
                      <w:sz w:val="21"/>
                      <w:szCs w:val="21"/>
                      <w:highlight w:val="none"/>
                    </w:rPr>
                    <w:t>内</w:t>
                  </w:r>
                  <w:r>
                    <w:rPr>
                      <w:rFonts w:ascii="Times New Roman" w:cs="Times New Roman" w:hAnsi="Times New Roman" w:hint="eastAsia"/>
                      <w:snapToGrid w:val="0"/>
                      <w:color w:val="auto"/>
                      <w:kern w:val="0"/>
                      <w:sz w:val="21"/>
                      <w:szCs w:val="21"/>
                      <w:lang w:eastAsia="zh-CN"/>
                      <w:highlight w:val="none"/>
                    </w:rPr>
                    <w:t>，</w:t>
                  </w:r>
                  <w:r>
                    <w:rPr>
                      <w:rFonts w:ascii="Times New Roman" w:cs="Times New Roman" w:hAnsi="Times New Roman" w:hint="eastAsia"/>
                      <w:snapToGrid w:val="0"/>
                      <w:color w:val="auto"/>
                      <w:kern w:val="0"/>
                      <w:sz w:val="21"/>
                      <w:szCs w:val="21"/>
                      <w:lang w:val="en-US" w:eastAsia="zh-CN"/>
                      <w:highlight w:val="none"/>
                    </w:rPr>
                    <w:t>占地面积6.21</w:t>
                  </w:r>
                  <w:r>
                    <w:rPr>
                      <w:rFonts w:ascii="Times New Roman" w:cs="Times New Roman" w:hAnsi="Times New Roman" w:hint="eastAsia"/>
                      <w:snapToGrid w:val="0"/>
                      <w:color w:val="auto"/>
                      <w:kern w:val="0"/>
                      <w:sz w:val="21"/>
                      <w:szCs w:val="21"/>
                      <w:highlight w:val="none"/>
                    </w:rPr>
                    <w:t>m</w:t>
                  </w:r>
                  <w:r>
                    <w:rPr>
                      <w:rFonts w:ascii="Times New Roman" w:cs="Times New Roman" w:hAnsi="Times New Roman" w:hint="eastAsia"/>
                      <w:snapToGrid w:val="0"/>
                      <w:color w:val="auto"/>
                      <w:kern w:val="0"/>
                      <w:sz w:val="21"/>
                      <w:szCs w:val="21"/>
                      <w:vertAlign w:val="superscript"/>
                      <w:highlight w:val="none"/>
                    </w:rPr>
                    <w:t>2</w:t>
                  </w:r>
                  <w:r>
                    <w:rPr>
                      <w:rFonts w:ascii="Times New Roman" w:cs="Times New Roman" w:hAnsi="Times New Roman"/>
                      <w:snapToGrid w:val="0"/>
                      <w:color w:val="auto"/>
                      <w:kern w:val="0"/>
                      <w:sz w:val="21"/>
                      <w:szCs w:val="21"/>
                      <w:highlight w:val="none"/>
                    </w:rPr>
                    <w:t>，</w:t>
                  </w:r>
                  <w:r>
                    <w:rPr>
                      <w:rFonts w:ascii="Times New Roman" w:cs="Times New Roman" w:hAnsi="Times New Roman" w:hint="eastAsia"/>
                      <w:snapToGrid w:val="0"/>
                      <w:color w:val="auto"/>
                      <w:kern w:val="0"/>
                      <w:sz w:val="21"/>
                      <w:szCs w:val="21"/>
                      <w:lang w:val="en-US" w:eastAsia="zh-CN"/>
                      <w:highlight w:val="none"/>
                    </w:rPr>
                    <w:t>建筑面积6.21</w:t>
                  </w:r>
                  <w:r>
                    <w:rPr>
                      <w:rFonts w:ascii="Times New Roman" w:cs="Times New Roman" w:hAnsi="Times New Roman"/>
                      <w:snapToGrid w:val="0"/>
                      <w:color w:val="auto"/>
                      <w:kern w:val="0"/>
                      <w:sz w:val="21"/>
                      <w:szCs w:val="21"/>
                      <w:highlight w:val="none"/>
                    </w:rPr>
                    <w:t>m</w:t>
                  </w:r>
                  <w:r>
                    <w:rPr>
                      <w:rFonts w:ascii="Times New Roman" w:cs="Times New Roman" w:hAnsi="Times New Roman"/>
                      <w:snapToGrid w:val="0"/>
                      <w:color w:val="auto"/>
                      <w:kern w:val="0"/>
                      <w:sz w:val="21"/>
                      <w:szCs w:val="21"/>
                      <w:vertAlign w:val="superscript"/>
                      <w:highlight w:val="none"/>
                    </w:rPr>
                    <w:t>2</w:t>
                  </w:r>
                  <w:r>
                    <w:rPr>
                      <w:rFonts w:ascii="Times New Roman" w:cs="Times New Roman" w:hAnsi="Times New Roman" w:hint="eastAsia"/>
                      <w:snapToGrid w:val="0"/>
                      <w:color w:val="auto"/>
                      <w:kern w:val="0"/>
                      <w:sz w:val="21"/>
                      <w:szCs w:val="21"/>
                      <w:highlight w:val="none"/>
                    </w:rPr>
                    <w:t>，用于危险废物暂存。</w:t>
                  </w:r>
                </w:p>
              </w:tc>
              <w:tc>
                <w:tcPr>
                  <w:tcW w:w="692"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利用现有</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输送系统</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eastAsia="宋体"/>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项目原料运输利用人工，成品运输采用人工装车输送。</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公用工程</w:t>
                  </w: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给水</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highlight w:val="none"/>
                    </w:rPr>
                    <w:t>项目用水</w:t>
                  </w:r>
                  <w:r>
                    <w:rPr>
                      <w:rFonts w:ascii="Times New Roman" w:cs="Times New Roman" w:hAnsi="Times New Roman" w:hint="eastAsia"/>
                      <w:snapToGrid w:val="0"/>
                      <w:color w:val="auto"/>
                      <w:kern w:val="0"/>
                      <w:sz w:val="21"/>
                      <w:szCs w:val="21"/>
                      <w:lang w:eastAsia="zh-CN"/>
                      <w:highlight w:val="none"/>
                    </w:rPr>
                    <w:t>由园区供水管网提供</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排水</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color w:val="auto"/>
                      <w:szCs w:val="21"/>
                      <w:highlight w:val="none"/>
                    </w:rPr>
                  </w:pPr>
                  <w:r>
                    <w:rPr>
                      <w:rFonts w:ascii="Times New Roman" w:cs="Times New Roman" w:hAnsi="Times New Roman" w:hint="eastAsia"/>
                      <w:snapToGrid w:val="0"/>
                      <w:color w:val="auto"/>
                      <w:kern w:val="0"/>
                      <w:sz w:val="21"/>
                      <w:szCs w:val="21"/>
                      <w:lang w:eastAsia="zh-CN"/>
                      <w:highlight w:val="none"/>
                    </w:rPr>
                    <w:t>生活污水经集成式生物化粪池处理后经园区污水管网排入绿源污水处理有限公司进一步处理</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lang w:eastAsia="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供电</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color w:val="auto"/>
                      <w:szCs w:val="21"/>
                      <w:highlight w:val="none"/>
                    </w:rPr>
                  </w:pPr>
                  <w:r>
                    <w:rPr>
                      <w:rFonts w:ascii="Times New Roman" w:cs="Times New Roman" w:hAnsi="Times New Roman" w:hint="eastAsia"/>
                      <w:color w:val="auto"/>
                      <w:sz w:val="21"/>
                      <w:szCs w:val="21"/>
                      <w:highlight w:val="none"/>
                    </w:rPr>
                    <w:t>项目用电</w:t>
                  </w:r>
                  <w:r>
                    <w:rPr>
                      <w:rFonts w:ascii="Times New Roman" w:cs="Times New Roman" w:hAnsi="Times New Roman" w:hint="eastAsia"/>
                      <w:color w:val="auto"/>
                      <w:sz w:val="21"/>
                      <w:szCs w:val="21"/>
                      <w:lang w:eastAsia="zh-CN"/>
                      <w:highlight w:val="none"/>
                    </w:rPr>
                    <w:t>由园区供电管网提供</w:t>
                  </w:r>
                  <w:r>
                    <w:rPr>
                      <w:rFonts w:ascii="Times New Roman" w:cs="Times New Roman" w:hAnsi="Times New Roman" w:hint="eastAsia"/>
                      <w:color w:val="auto"/>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供热及制冷</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color w:val="auto"/>
                      <w:szCs w:val="21"/>
                      <w:highlight w:val="none"/>
                    </w:rPr>
                  </w:pPr>
                  <w:r>
                    <w:rPr>
                      <w:rFonts w:ascii="Times New Roman" w:cs="Times New Roman" w:hAnsi="Times New Roman" w:hint="eastAsia"/>
                      <w:color w:val="auto"/>
                      <w:sz w:val="21"/>
                      <w:szCs w:val="21"/>
                      <w:lang w:eastAsia="zh-CN"/>
                      <w:highlight w:val="none"/>
                    </w:rPr>
                    <w:t>项目生产采用电加热</w:t>
                  </w:r>
                  <w:r>
                    <w:rPr>
                      <w:rFonts w:ascii="Times New Roman" w:cs="Times New Roman" w:hAnsi="Times New Roman" w:hint="eastAsia"/>
                      <w:color w:val="auto"/>
                      <w:sz w:val="21"/>
                      <w:szCs w:val="21"/>
                      <w:highlight w:val="none"/>
                    </w:rPr>
                    <w:t>及制冷，</w:t>
                  </w:r>
                  <w:r>
                    <w:rPr>
                      <w:rFonts w:ascii="Times New Roman" w:cs="Times New Roman" w:hAnsi="Times New Roman"/>
                      <w:color w:val="auto"/>
                      <w:sz w:val="21"/>
                      <w:szCs w:val="21"/>
                      <w:highlight w:val="none"/>
                    </w:rPr>
                    <w:t>职工日常办公生活供暖</w:t>
                  </w:r>
                  <w:r>
                    <w:rPr>
                      <w:rFonts w:ascii="Times New Roman" w:cs="Times New Roman" w:hAnsi="Times New Roman" w:hint="eastAsia"/>
                      <w:color w:val="auto"/>
                      <w:sz w:val="21"/>
                      <w:szCs w:val="21"/>
                      <w:highlight w:val="none"/>
                    </w:rPr>
                    <w:t>、</w:t>
                  </w:r>
                  <w:r>
                    <w:rPr>
                      <w:rFonts w:ascii="Times New Roman" w:cs="Times New Roman" w:hAnsi="Times New Roman" w:hint="eastAsia"/>
                      <w:snapToGrid w:val="0"/>
                      <w:color w:val="auto"/>
                      <w:kern w:val="0"/>
                      <w:sz w:val="21"/>
                      <w:szCs w:val="21"/>
                      <w:highlight w:val="none"/>
                    </w:rPr>
                    <w:t>制冷均</w:t>
                  </w:r>
                  <w:r>
                    <w:rPr>
                      <w:rFonts w:ascii="Times New Roman" w:cs="Times New Roman" w:hAnsi="Times New Roman" w:hint="eastAsia"/>
                      <w:color w:val="auto"/>
                      <w:sz w:val="21"/>
                      <w:szCs w:val="21"/>
                      <w:highlight w:val="none"/>
                    </w:rPr>
                    <w:t>由</w:t>
                  </w:r>
                  <w:r>
                    <w:rPr>
                      <w:rFonts w:ascii="Times New Roman" w:cs="Times New Roman" w:hAnsi="Times New Roman"/>
                      <w:color w:val="auto"/>
                      <w:sz w:val="21"/>
                      <w:szCs w:val="21"/>
                      <w:highlight w:val="none"/>
                    </w:rPr>
                    <w:t>空调</w:t>
                  </w:r>
                  <w:r>
                    <w:rPr>
                      <w:rFonts w:ascii="Times New Roman" w:cs="Times New Roman" w:hAnsi="Times New Roman" w:hint="eastAsia"/>
                      <w:color w:val="auto"/>
                      <w:sz w:val="21"/>
                      <w:szCs w:val="21"/>
                      <w:highlight w:val="none"/>
                    </w:rPr>
                    <w:t>提供。</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lang w:eastAsia="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拆除工程</w:t>
                  </w: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除机加工设备搬迁</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本项目新增设备安装完成后，再将现有工程设备迁移至新租厂房生产区，现有工程设备不涉及地面基础，无需进行地面修复，恢复整洁后即可退租。现有工程冷却塔及环保设施不再使用，拆除后外售。</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snapToGrid w:val="0"/>
                      <w:color w:val="auto"/>
                      <w:kern w:val="0"/>
                      <w:szCs w:val="21"/>
                      <w:lang w:val="en-US" w:eastAsia="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环保工程</w:t>
                  </w: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废气治理</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b/>
                      <w:bCs/>
                      <w:color w:val="auto"/>
                      <w:szCs w:val="21"/>
                      <w:highlight w:val="none"/>
                    </w:rPr>
                  </w:pPr>
                  <w:r>
                    <w:rPr>
                      <w:rFonts w:ascii="Times New Roman" w:cs="Times New Roman" w:hAnsi="Times New Roman"/>
                      <w:b/>
                      <w:bCs/>
                      <w:color w:val="auto"/>
                      <w:sz w:val="21"/>
                      <w:szCs w:val="21"/>
                      <w:highlight w:val="none"/>
                    </w:rPr>
                    <w:t>有组织：</w:t>
                  </w:r>
                </w:p>
                <w:p>
                  <w:pPr>
                    <w:keepNext w:val="0"/>
                    <w:keepLines w:val="0"/>
                    <w:widowControl/>
                    <w:suppressLineNumbers w:val="0"/>
                    <w:adjustRightInd w:val="0"/>
                    <w:snapToGrid w:val="0"/>
                    <w:spacing w:before="0" w:beforeAutospacing="0" w:after="0" w:afterAutospacing="0"/>
                    <w:ind w:left="0" w:right="0"/>
                    <w:rPr>
                      <w:rFonts w:hint="eastAsia"/>
                      <w:color w:val="auto"/>
                      <w:szCs w:val="21"/>
                      <w:highlight w:val="none"/>
                    </w:rPr>
                  </w:pPr>
                  <w:r>
                    <w:rPr>
                      <w:rFonts w:ascii="Times New Roman" w:cs="Times New Roman" w:hAnsi="Times New Roman" w:hint="eastAsia"/>
                      <w:bCs/>
                      <w:color w:val="auto"/>
                      <w:kern w:val="0"/>
                      <w:sz w:val="21"/>
                      <w:szCs w:val="21"/>
                      <w:highlight w:val="none"/>
                    </w:rPr>
                    <w:t>①</w:t>
                  </w:r>
                  <w:r>
                    <w:rPr>
                      <w:rFonts w:ascii="Times New Roman" w:cs="Times New Roman" w:hAnsi="Times New Roman" w:hint="eastAsia"/>
                      <w:bCs/>
                      <w:color w:val="auto"/>
                      <w:kern w:val="0"/>
                      <w:sz w:val="21"/>
                      <w:szCs w:val="21"/>
                      <w:lang w:eastAsia="zh-CN"/>
                      <w:highlight w:val="none"/>
                    </w:rPr>
                    <w:t>拆包、投料、烘干、注塑废气经</w:t>
                  </w:r>
                  <w:r>
                    <w:rPr>
                      <w:rFonts w:ascii="Times New Roman" w:cs="Times New Roman" w:hAnsi="Times New Roman" w:hint="eastAsia"/>
                      <w:bCs/>
                      <w:color w:val="auto"/>
                      <w:kern w:val="0"/>
                      <w:sz w:val="21"/>
                      <w:szCs w:val="21"/>
                      <w:lang w:val="en-US" w:eastAsia="zh-CN"/>
                      <w:highlight w:val="none"/>
                    </w:rPr>
                    <w:t>集气罩</w:t>
                  </w:r>
                  <w:r>
                    <w:rPr>
                      <w:rFonts w:ascii="Times New Roman" w:cs="Times New Roman" w:hAnsi="Times New Roman" w:hint="eastAsia"/>
                      <w:bCs/>
                      <w:color w:val="auto"/>
                      <w:kern w:val="0"/>
                      <w:sz w:val="21"/>
                      <w:szCs w:val="21"/>
                      <w:lang w:eastAsia="zh-CN"/>
                      <w:highlight w:val="none"/>
                    </w:rPr>
                    <w:t>收集后由布袋除尘器+两级活性炭吸附装置TA002处理，通过1根15m高排气筒（DA002）排放</w:t>
                  </w:r>
                  <w:r>
                    <w:rPr>
                      <w:rFonts w:ascii="Times New Roman" w:cs="Times New Roman" w:hAnsi="Times New Roman" w:hint="eastAsia"/>
                      <w:color w:val="auto"/>
                      <w:sz w:val="21"/>
                      <w:szCs w:val="21"/>
                      <w:highlight w:val="none"/>
                    </w:rPr>
                    <w:t>；</w:t>
                  </w:r>
                </w:p>
                <w:p>
                  <w:pPr>
                    <w:keepNext w:val="0"/>
                    <w:keepLines w:val="0"/>
                    <w:widowControl/>
                    <w:suppressLineNumbers w:val="0"/>
                    <w:adjustRightInd w:val="0"/>
                    <w:snapToGrid w:val="0"/>
                    <w:spacing w:before="0" w:beforeAutospacing="0" w:after="0" w:afterAutospacing="0"/>
                    <w:ind w:left="0" w:right="0"/>
                    <w:rPr>
                      <w:rFonts w:hint="eastAsia"/>
                      <w:b/>
                      <w:bCs/>
                      <w:snapToGrid w:val="0"/>
                      <w:color w:val="auto"/>
                      <w:kern w:val="0"/>
                      <w:szCs w:val="21"/>
                      <w:highlight w:val="none"/>
                    </w:rPr>
                  </w:pPr>
                  <w:r>
                    <w:rPr>
                      <w:rFonts w:ascii="Times New Roman" w:cs="Times New Roman" w:hAnsi="Times New Roman" w:hint="eastAsia"/>
                      <w:b/>
                      <w:bCs/>
                      <w:snapToGrid w:val="0"/>
                      <w:color w:val="auto"/>
                      <w:kern w:val="0"/>
                      <w:sz w:val="21"/>
                      <w:szCs w:val="21"/>
                      <w:highlight w:val="none"/>
                    </w:rPr>
                    <w:t>无组织：</w:t>
                  </w:r>
                </w:p>
                <w:p>
                  <w:pPr>
                    <w:keepNext w:val="0"/>
                    <w:keepLines w:val="0"/>
                    <w:widowControl/>
                    <w:suppressLineNumbers w:val="0"/>
                    <w:adjustRightInd w:val="0"/>
                    <w:snapToGrid w:val="0"/>
                    <w:spacing w:before="0" w:beforeAutospacing="0" w:after="0" w:afterAutospacing="0"/>
                    <w:ind w:left="0" w:right="0"/>
                    <w:rPr>
                      <w:rFonts w:hint="eastAsia"/>
                      <w:color w:val="auto"/>
                      <w:szCs w:val="21"/>
                      <w:highlight w:val="none"/>
                    </w:rPr>
                  </w:pPr>
                  <w:r>
                    <w:rPr>
                      <w:rFonts w:ascii="Calibri" w:cs="Times New Roman" w:hAnsi="Calibri" w:hint="eastAsia"/>
                      <w:color w:val="auto"/>
                      <w:sz w:val="21"/>
                      <w:szCs w:val="21"/>
                      <w:lang w:eastAsia="zh-CN"/>
                      <w:highlight w:val="none"/>
                    </w:rPr>
                    <w:t>本项目原辅材料均在密闭库房内暂存，在贮存、输送、使用过程中保持密闭。本项目</w:t>
                  </w:r>
                  <w:r>
                    <w:rPr>
                      <w:rFonts w:ascii="Calibri" w:cs="Times New Roman" w:hAnsi="Calibri" w:hint="eastAsia"/>
                      <w:color w:val="auto"/>
                      <w:sz w:val="21"/>
                      <w:szCs w:val="21"/>
                      <w:lang w:val="en-US" w:eastAsia="zh-CN"/>
                      <w:highlight w:val="none"/>
                    </w:rPr>
                    <w:t>原料</w:t>
                  </w:r>
                  <w:r>
                    <w:rPr>
                      <w:rFonts w:ascii="Calibri" w:cs="Times New Roman" w:hAnsi="Calibri" w:hint="eastAsia"/>
                      <w:color w:val="auto"/>
                      <w:sz w:val="21"/>
                      <w:szCs w:val="21"/>
                      <w:lang w:eastAsia="zh-CN"/>
                      <w:highlight w:val="none"/>
                    </w:rPr>
                    <w:t>非即用状态袋装密封。</w:t>
                  </w:r>
                  <w:r>
                    <w:rPr>
                      <w:rFonts w:ascii="Calibri" w:cs="Times New Roman" w:hAnsi="Calibri" w:hint="eastAsia"/>
                      <w:color w:val="auto"/>
                      <w:sz w:val="21"/>
                      <w:szCs w:val="21"/>
                      <w:lang w:val="en-US" w:eastAsia="zh-CN"/>
                      <w:highlight w:val="none"/>
                    </w:rPr>
                    <w:t>加强</w:t>
                  </w:r>
                  <w:r>
                    <w:rPr>
                      <w:rFonts w:ascii="Calibri" w:cs="Times New Roman" w:hAnsi="Calibri" w:hint="eastAsia"/>
                      <w:color w:val="auto"/>
                      <w:sz w:val="21"/>
                      <w:szCs w:val="21"/>
                      <w:lang w:eastAsia="zh-CN"/>
                      <w:highlight w:val="none"/>
                    </w:rPr>
                    <w:t>拆包、投料、烘干、注塑废气集气罩收集。项目尼龙粒子采用原包料，采用密闭的包装袋进行转移；项目在开停工、检维修时，在退料阶段将残存物料退净，并用相应的密闭容器盛装，项目退料时两级活性炭吸附装置需开启。</w:t>
                  </w:r>
                </w:p>
              </w:tc>
              <w:tc>
                <w:tcPr>
                  <w:tcW w:w="692" w:type="pct"/>
                  <w:tcBorders>
                    <w:left w:val="single" w:sz="4" w:space="0" w:color="auto"/>
                  </w:tcBorders>
                  <w:vAlign w:val="center"/>
                </w:tcPr>
                <w:p>
                  <w:pPr>
                    <w:keepNext w:val="0"/>
                    <w:keepLines w:val="0"/>
                    <w:widowControl/>
                    <w:suppressLineNumbers w:val="0"/>
                    <w:adjustRightInd w:val="0"/>
                    <w:snapToGrid w:val="0"/>
                    <w:spacing w:before="0" w:beforeAutospacing="0" w:after="0" w:afterAutospacing="0"/>
                    <w:ind w:left="0" w:right="0"/>
                    <w:jc w:val="center"/>
                    <w:rPr>
                      <w:rFonts w:ascii="Calibri" w:hAnsi="Calibri" w:hint="eastAsia"/>
                      <w:color w:val="auto"/>
                      <w:szCs w:val="21"/>
                      <w:lang w:eastAsia="zh-CN"/>
                      <w:highlight w:val="none"/>
                    </w:rPr>
                  </w:pPr>
                  <w:r>
                    <w:rPr>
                      <w:rFonts w:ascii="Times New Roman" w:cs="Times New Roman" w:hAnsi="Times New Roman" w:hint="eastAsia"/>
                      <w:snapToGrid w:val="0"/>
                      <w:color w:val="auto"/>
                      <w:kern w:val="0"/>
                      <w:sz w:val="21"/>
                      <w:szCs w:val="21"/>
                      <w:lang w:val="en-US" w:eastAsia="zh-CN"/>
                      <w:highlight w:val="none"/>
                    </w:rPr>
                    <w:t>新建</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废水治理</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rFonts w:hint="eastAsia"/>
                      <w:color w:val="auto"/>
                      <w:szCs w:val="21"/>
                      <w:lang w:val="zh-CN"/>
                      <w:highlight w:val="none"/>
                    </w:rPr>
                  </w:pPr>
                  <w:r>
                    <w:rPr>
                      <w:rFonts w:ascii="Times New Roman" w:cs="Times New Roman" w:hAnsi="Times New Roman" w:hint="eastAsia"/>
                      <w:snapToGrid w:val="0"/>
                      <w:color w:val="auto"/>
                      <w:kern w:val="0"/>
                      <w:sz w:val="21"/>
                      <w:szCs w:val="21"/>
                      <w:lang w:eastAsia="zh-CN"/>
                      <w:highlight w:val="none"/>
                    </w:rPr>
                    <w:t>生活污水经集成式生物化粪池处理后经园区污水管网排入绿源污水处理有限公司进一步处理</w:t>
                  </w:r>
                  <w:r>
                    <w:rPr>
                      <w:rFonts w:ascii="Times New Roman" w:cs="Times New Roman" w:hAnsi="Times New Roman" w:hint="eastAsia"/>
                      <w:snapToGrid w:val="0"/>
                      <w:color w:val="auto"/>
                      <w:kern w:val="0"/>
                      <w:sz w:val="21"/>
                      <w:szCs w:val="21"/>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snapToGrid w:val="0"/>
                      <w:color w:val="auto"/>
                      <w:kern w:val="0"/>
                      <w:szCs w:val="21"/>
                      <w:lang w:eastAsia="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zh-CN"/>
                      <w:highlight w:val="none"/>
                    </w:rPr>
                  </w:pPr>
                  <w:r>
                    <w:rPr>
                      <w:rFonts w:ascii="Times New Roman" w:cs="Times New Roman" w:hAnsi="Times New Roman"/>
                      <w:color w:val="auto"/>
                      <w:sz w:val="21"/>
                      <w:szCs w:val="21"/>
                      <w:lang w:val="zh-CN"/>
                      <w:highlight w:val="none"/>
                    </w:rPr>
                    <w:t>噪声治理</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color w:val="auto"/>
                      <w:szCs w:val="21"/>
                      <w:lang w:val="zh-CN"/>
                      <w:highlight w:val="none"/>
                    </w:rPr>
                  </w:pPr>
                  <w:r>
                    <w:rPr>
                      <w:rFonts w:ascii="Times New Roman" w:cs="Times New Roman" w:hAnsi="Times New Roman"/>
                      <w:color w:val="auto"/>
                      <w:sz w:val="21"/>
                      <w:szCs w:val="21"/>
                      <w:lang w:val="zh-CN"/>
                      <w:highlight w:val="none"/>
                    </w:rPr>
                    <w:t>选用低噪声设备，采取基础减</w:t>
                  </w:r>
                  <w:r>
                    <w:rPr>
                      <w:rFonts w:ascii="Times New Roman" w:cs="Times New Roman" w:hAnsi="Times New Roman" w:hint="eastAsia"/>
                      <w:color w:val="auto"/>
                      <w:sz w:val="21"/>
                      <w:szCs w:val="21"/>
                      <w:lang w:val="zh-CN"/>
                      <w:highlight w:val="none"/>
                    </w:rPr>
                    <w:t>振</w:t>
                  </w:r>
                  <w:r>
                    <w:rPr>
                      <w:rFonts w:ascii="Times New Roman" w:cs="Times New Roman" w:hAnsi="Times New Roman"/>
                      <w:color w:val="auto"/>
                      <w:sz w:val="21"/>
                      <w:szCs w:val="21"/>
                      <w:lang w:val="zh-CN"/>
                      <w:highlight w:val="none"/>
                    </w:rPr>
                    <w:t>、厂房隔声等措施</w:t>
                  </w:r>
                  <w:r>
                    <w:rPr>
                      <w:rFonts w:ascii="Times New Roman" w:cs="Times New Roman" w:hAnsi="Times New Roman" w:hint="eastAsia"/>
                      <w:color w:val="auto"/>
                      <w:sz w:val="21"/>
                      <w:szCs w:val="21"/>
                      <w:lang w:val="zh-CN"/>
                      <w:highlight w:val="none"/>
                    </w:rPr>
                    <w:t>。</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zh-CN"/>
                      <w:highlight w:val="none"/>
                    </w:rPr>
                  </w:pPr>
                  <w:r>
                    <w:rPr>
                      <w:rFonts w:ascii="Times New Roman" w:cs="Times New Roman" w:hAnsi="Times New Roman" w:hint="eastAsia"/>
                      <w:snapToGrid w:val="0"/>
                      <w:color w:val="auto"/>
                      <w:kern w:val="0"/>
                      <w:sz w:val="21"/>
                      <w:szCs w:val="21"/>
                      <w:lang w:val="en-US" w:eastAsia="zh-CN"/>
                      <w:highlight w:val="none"/>
                    </w:rPr>
                    <w:t>--</w:t>
                  </w:r>
                </w:p>
              </w:tc>
            </w:tr>
            <w:tr>
              <w:trPr>
                <w:cantSplit/>
                <w:trHeight w:val="397"/>
              </w:trPr>
              <w:tc>
                <w:tcPr>
                  <w:tcW w:w="443" w:type="pct"/>
                  <w:vMerge/>
                  <w:vAlign w:val="center"/>
                </w:tcPr>
                <w:p/>
              </w:tc>
              <w:tc>
                <w:tcPr>
                  <w:tcW w:w="66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固废治理</w:t>
                  </w:r>
                </w:p>
              </w:tc>
              <w:tc>
                <w:tcPr>
                  <w:tcW w:w="3198" w:type="pct"/>
                  <w:tcBorders>
                    <w:left w:val="single" w:sz="4" w:space="0" w:color="auto"/>
                  </w:tcBorders>
                  <w:vAlign w:val="center"/>
                </w:tcPr>
                <w:p>
                  <w:pPr>
                    <w:keepNext w:val="0"/>
                    <w:keepLines w:val="0"/>
                    <w:suppressLineNumbers w:val="0"/>
                    <w:spacing w:before="0" w:beforeAutospacing="0" w:after="0" w:afterAutospacing="0"/>
                    <w:ind w:left="0" w:right="0"/>
                    <w:rPr>
                      <w:color w:val="auto"/>
                      <w:szCs w:val="21"/>
                      <w:lang w:val="zh-CN"/>
                      <w:highlight w:val="none"/>
                    </w:rPr>
                  </w:pPr>
                  <w:r>
                    <w:rPr>
                      <w:rFonts w:ascii="Times New Roman" w:cs="Times New Roman" w:hAnsi="Times New Roman"/>
                      <w:color w:val="auto"/>
                      <w:sz w:val="21"/>
                      <w:szCs w:val="21"/>
                      <w:lang w:val="zh-CN"/>
                      <w:highlight w:val="none"/>
                    </w:rPr>
                    <w:t>项目固体废物主要为一般固体废物</w:t>
                  </w:r>
                  <w:r>
                    <w:rPr>
                      <w:rFonts w:ascii="Times New Roman" w:cs="Times New Roman" w:hAnsi="Times New Roman" w:hint="eastAsia"/>
                      <w:color w:val="auto"/>
                      <w:sz w:val="21"/>
                      <w:szCs w:val="21"/>
                      <w:lang w:val="zh-CN"/>
                      <w:highlight w:val="none"/>
                    </w:rPr>
                    <w:t>、</w:t>
                  </w:r>
                  <w:r>
                    <w:rPr>
                      <w:rFonts w:ascii="Times New Roman" w:cs="Times New Roman" w:hAnsi="Times New Roman" w:hint="eastAsia"/>
                      <w:color w:val="auto"/>
                      <w:sz w:val="21"/>
                      <w:szCs w:val="21"/>
                      <w:highlight w:val="none"/>
                    </w:rPr>
                    <w:t>危险废物</w:t>
                  </w:r>
                  <w:r>
                    <w:rPr>
                      <w:rFonts w:ascii="Times New Roman" w:cs="Times New Roman" w:hAnsi="Times New Roman"/>
                      <w:color w:val="auto"/>
                      <w:sz w:val="21"/>
                      <w:szCs w:val="21"/>
                      <w:lang w:val="zh-CN"/>
                      <w:highlight w:val="none"/>
                    </w:rPr>
                    <w:t>及职工生活垃圾。</w:t>
                  </w:r>
                </w:p>
                <w:p>
                  <w:pPr>
                    <w:keepNext w:val="0"/>
                    <w:keepLines w:val="0"/>
                    <w:suppressLineNumbers w:val="0"/>
                    <w:spacing w:before="0" w:beforeAutospacing="0" w:after="0" w:afterAutospacing="0"/>
                    <w:ind w:left="0" w:right="0"/>
                    <w:rPr>
                      <w:color w:val="auto"/>
                      <w:szCs w:val="21"/>
                      <w:lang w:val="zh-CN"/>
                      <w:highlight w:val="none"/>
                    </w:rPr>
                  </w:pPr>
                  <w:r>
                    <w:rPr>
                      <w:rFonts w:ascii="Times New Roman" w:cs="Times New Roman" w:hAnsi="Times New Roman"/>
                      <w:color w:val="auto"/>
                      <w:sz w:val="21"/>
                      <w:szCs w:val="21"/>
                      <w:lang w:val="zh-CN"/>
                      <w:highlight w:val="none"/>
                    </w:rPr>
                    <w:t>1）一般固体废物</w:t>
                  </w:r>
                </w:p>
                <w:p>
                  <w:pPr>
                    <w:keepNext w:val="0"/>
                    <w:keepLines w:val="0"/>
                    <w:suppressLineNumbers w:val="0"/>
                    <w:spacing w:before="0" w:beforeAutospacing="0" w:after="0" w:afterAutospacing="0"/>
                    <w:ind w:left="0" w:right="0"/>
                    <w:rPr>
                      <w:rFonts w:hint="eastAsia"/>
                      <w:color w:val="auto"/>
                      <w:szCs w:val="21"/>
                      <w:lang w:val="zh-CN"/>
                      <w:highlight w:val="none"/>
                    </w:rPr>
                  </w:pPr>
                  <w:r>
                    <w:rPr>
                      <w:rFonts w:ascii="Times New Roman" w:cs="Times New Roman" w:hAnsi="Times New Roman" w:hint="eastAsia"/>
                      <w:color w:val="auto"/>
                      <w:sz w:val="21"/>
                      <w:szCs w:val="21"/>
                      <w:lang w:val="zh-CN"/>
                      <w:highlight w:val="none"/>
                    </w:rPr>
                    <w:t>废包装材料、废塑料边角料、不合格品、金属下脚料、不合格电极片收集后外售；</w:t>
                  </w:r>
                </w:p>
                <w:p>
                  <w:pPr>
                    <w:keepNext w:val="0"/>
                    <w:keepLines w:val="0"/>
                    <w:suppressLineNumbers w:val="0"/>
                    <w:spacing w:before="0" w:beforeAutospacing="0" w:after="0" w:afterAutospacing="0"/>
                    <w:ind w:left="0" w:right="0"/>
                    <w:rPr>
                      <w:rFonts w:hint="eastAsia"/>
                      <w:color w:val="auto"/>
                      <w:szCs w:val="21"/>
                      <w:highlight w:val="none"/>
                    </w:rPr>
                  </w:pPr>
                  <w:r>
                    <w:rPr>
                      <w:rFonts w:ascii="Times New Roman" w:cs="Times New Roman" w:hAnsi="Times New Roman" w:hint="eastAsia"/>
                      <w:color w:val="auto"/>
                      <w:sz w:val="21"/>
                      <w:szCs w:val="21"/>
                      <w:highlight w:val="none"/>
                    </w:rPr>
                    <w:t>2</w:t>
                  </w:r>
                  <w:r>
                    <w:rPr>
                      <w:rFonts w:ascii="Times New Roman" w:cs="Times New Roman" w:hAnsi="Times New Roman"/>
                      <w:color w:val="auto"/>
                      <w:sz w:val="21"/>
                      <w:szCs w:val="21"/>
                      <w:lang w:val="zh-CN"/>
                      <w:highlight w:val="none"/>
                    </w:rPr>
                    <w:t>）</w:t>
                  </w:r>
                  <w:r>
                    <w:rPr>
                      <w:rFonts w:ascii="Times New Roman" w:cs="Times New Roman" w:hAnsi="Times New Roman" w:hint="eastAsia"/>
                      <w:color w:val="auto"/>
                      <w:sz w:val="21"/>
                      <w:szCs w:val="21"/>
                      <w:highlight w:val="none"/>
                    </w:rPr>
                    <w:t>危险废物</w:t>
                  </w:r>
                </w:p>
                <w:p>
                  <w:pPr>
                    <w:keepNext w:val="0"/>
                    <w:keepLines w:val="0"/>
                    <w:suppressLineNumbers w:val="0"/>
                    <w:spacing w:before="0" w:beforeAutospacing="0" w:after="0" w:afterAutospacing="0"/>
                    <w:ind w:left="0" w:right="0"/>
                    <w:rPr>
                      <w:rFonts w:hint="eastAsia"/>
                      <w:color w:val="auto"/>
                      <w:szCs w:val="21"/>
                      <w:lang w:val="zh-CN"/>
                      <w:highlight w:val="none"/>
                    </w:rPr>
                  </w:pPr>
                  <w:r>
                    <w:rPr>
                      <w:rFonts w:ascii="Times New Roman" w:cs="Times New Roman" w:hAnsi="Times New Roman" w:hint="eastAsia"/>
                      <w:color w:val="auto"/>
                      <w:sz w:val="21"/>
                      <w:szCs w:val="21"/>
                      <w:lang w:val="zh-CN"/>
                      <w:highlight w:val="none"/>
                    </w:rPr>
                    <w:t>废布袋、</w:t>
                  </w:r>
                  <w:r>
                    <w:rPr>
                      <w:rFonts w:ascii="Times New Roman" w:cs="Times New Roman" w:hAnsi="Times New Roman" w:hint="eastAsia"/>
                      <w:color w:val="auto"/>
                      <w:sz w:val="21"/>
                      <w:szCs w:val="21"/>
                      <w:lang w:val="en-US" w:eastAsia="zh-CN"/>
                      <w:highlight w:val="none"/>
                    </w:rPr>
                    <w:t>除尘灰</w:t>
                  </w:r>
                  <w:r>
                    <w:rPr>
                      <w:rFonts w:ascii="Times New Roman" w:cs="Times New Roman" w:hAnsi="Times New Roman" w:hint="eastAsia"/>
                      <w:color w:val="auto"/>
                      <w:sz w:val="21"/>
                      <w:szCs w:val="21"/>
                      <w:lang w:val="zh-CN"/>
                      <w:highlight w:val="none"/>
                    </w:rPr>
                    <w:t>、废活性炭、废切削液、废切削液桶、含油金属屑、废润滑油、废润滑油桶、含油抹布及废劳保用品，分类收集后暂存于危废间，定期交由有资质的单位处理；</w:t>
                  </w:r>
                </w:p>
                <w:p>
                  <w:pPr>
                    <w:keepNext w:val="0"/>
                    <w:keepLines w:val="0"/>
                    <w:suppressLineNumbers w:val="0"/>
                    <w:spacing w:before="0" w:beforeAutospacing="0" w:after="0" w:afterAutospacing="0"/>
                    <w:ind w:left="0" w:right="0"/>
                    <w:rPr>
                      <w:color w:val="auto"/>
                      <w:szCs w:val="21"/>
                      <w:lang w:val="zh-CN"/>
                      <w:highlight w:val="none"/>
                    </w:rPr>
                  </w:pPr>
                  <w:r>
                    <w:rPr>
                      <w:rFonts w:ascii="Times New Roman" w:cs="Times New Roman" w:hAnsi="Times New Roman" w:hint="eastAsia"/>
                      <w:color w:val="auto"/>
                      <w:sz w:val="21"/>
                      <w:szCs w:val="21"/>
                      <w:highlight w:val="none"/>
                    </w:rPr>
                    <w:t>3）</w:t>
                  </w:r>
                  <w:r>
                    <w:rPr>
                      <w:rFonts w:ascii="Times New Roman" w:cs="Times New Roman" w:hAnsi="Times New Roman"/>
                      <w:color w:val="auto"/>
                      <w:sz w:val="21"/>
                      <w:szCs w:val="21"/>
                      <w:lang w:val="zh-CN"/>
                      <w:highlight w:val="none"/>
                    </w:rPr>
                    <w:t>生活垃圾</w:t>
                  </w:r>
                </w:p>
                <w:p>
                  <w:pPr>
                    <w:keepNext w:val="0"/>
                    <w:keepLines w:val="0"/>
                    <w:suppressLineNumbers w:val="0"/>
                    <w:spacing w:before="0" w:beforeAutospacing="0" w:after="0" w:afterAutospacing="0"/>
                    <w:ind w:left="0" w:right="0"/>
                    <w:rPr>
                      <w:rFonts w:hint="eastAsia"/>
                      <w:color w:val="auto"/>
                      <w:szCs w:val="21"/>
                      <w:highlight w:val="none"/>
                    </w:rPr>
                  </w:pPr>
                  <w:r>
                    <w:rPr>
                      <w:rFonts w:ascii="Times New Roman" w:cs="Times New Roman" w:hAnsi="Times New Roman"/>
                      <w:color w:val="auto"/>
                      <w:sz w:val="21"/>
                      <w:szCs w:val="21"/>
                      <w:lang w:val="zh-CN"/>
                      <w:highlight w:val="none"/>
                    </w:rPr>
                    <w:t>职工生活垃圾收集后由环卫部门统一处置。</w:t>
                  </w:r>
                </w:p>
              </w:tc>
              <w:tc>
                <w:tcPr>
                  <w:tcW w:w="692"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zh-CN"/>
                      <w:highlight w:val="none"/>
                    </w:rPr>
                  </w:pPr>
                  <w:r>
                    <w:rPr>
                      <w:rFonts w:ascii="Times New Roman" w:cs="Times New Roman" w:hAnsi="Times New Roman" w:hint="eastAsia"/>
                      <w:snapToGrid w:val="0"/>
                      <w:color w:val="auto"/>
                      <w:kern w:val="0"/>
                      <w:sz w:val="21"/>
                      <w:szCs w:val="21"/>
                      <w:lang w:val="en-US" w:eastAsia="zh-CN"/>
                      <w:highlight w:val="none"/>
                    </w:rPr>
                    <w:t>--</w:t>
                  </w:r>
                </w:p>
              </w:tc>
            </w:tr>
          </w:tbl>
          <w:p>
            <w:pPr>
              <w:pStyle w:val="137"/>
              <w:keepNext w:val="0"/>
              <w:keepLines w:val="0"/>
              <w:suppressLineNumbers w:val="0"/>
              <w:spacing w:before="0" w:beforeAutospacing="0" w:after="0" w:afterAutospacing="0"/>
              <w:ind w:left="0" w:right="0" w:firstLineChars="182" w:firstLine="437"/>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lang w:val="en-US" w:eastAsia="zh-CN"/>
                <w:highlight w:val="none"/>
              </w:rPr>
              <w:t>4</w:t>
            </w:r>
            <w:r>
              <w:rPr>
                <w:rFonts w:ascii="Times New Roman" w:cs="Times New Roman" w:hAnsi="Times New Roman"/>
                <w:b/>
                <w:caps w:val="0"/>
                <w:smallCaps w:val="0"/>
                <w:color w:val="auto"/>
                <w:spacing w:val="0"/>
                <w:sz w:val="24"/>
                <w:szCs w:val="20"/>
                <w:highlight w:val="none"/>
              </w:rPr>
              <w:t>、主要设备</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项目主要设备见表2-</w:t>
            </w: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caps w:val="0"/>
                <w:smallCaps w:val="0"/>
                <w:color w:val="auto"/>
                <w:spacing w:val="0"/>
                <w:sz w:val="24"/>
                <w:szCs w:val="20"/>
                <w:lang w:val="en-US" w:eastAsia="zh-CN"/>
                <w:highlight w:val="none"/>
              </w:rPr>
              <w:t>项目</w:t>
            </w:r>
            <w:r>
              <w:rPr>
                <w:rFonts w:ascii="Times New Roman" w:cs="Times New Roman" w:hAnsi="Times New Roman"/>
                <w:caps w:val="0"/>
                <w:smallCaps w:val="0"/>
                <w:color w:val="auto"/>
                <w:spacing w:val="0"/>
                <w:sz w:val="24"/>
                <w:szCs w:val="20"/>
                <w:highlight w:val="none"/>
              </w:rPr>
              <w:t>设备</w:t>
            </w:r>
            <w:r>
              <w:rPr>
                <w:rFonts w:ascii="Times New Roman" w:cs="Times New Roman" w:hAnsi="Times New Roman" w:hint="eastAsia"/>
                <w:caps w:val="0"/>
                <w:smallCaps w:val="0"/>
                <w:color w:val="auto"/>
                <w:spacing w:val="0"/>
                <w:sz w:val="24"/>
                <w:szCs w:val="20"/>
                <w:lang w:val="en-US" w:eastAsia="zh-CN"/>
                <w:highlight w:val="none"/>
              </w:rPr>
              <w:t>变化</w:t>
            </w:r>
            <w:r>
              <w:rPr>
                <w:rFonts w:ascii="Times New Roman" w:cs="Times New Roman" w:hAnsi="Times New Roman"/>
                <w:caps w:val="0"/>
                <w:smallCaps w:val="0"/>
                <w:color w:val="auto"/>
                <w:spacing w:val="0"/>
                <w:sz w:val="24"/>
                <w:szCs w:val="20"/>
                <w:highlight w:val="none"/>
              </w:rPr>
              <w:t>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512"/>
              <w:gridCol w:w="1142"/>
              <w:gridCol w:w="1329"/>
              <w:gridCol w:w="1975"/>
              <w:gridCol w:w="489"/>
              <w:gridCol w:w="620"/>
              <w:gridCol w:w="447"/>
              <w:gridCol w:w="499"/>
              <w:gridCol w:w="1137"/>
            </w:tblGrid>
            <w:tr>
              <w:trPr>
                <w:trHeight w:hRule="exact" w:val="3039"/>
              </w:trPr>
              <w:tc>
                <w:tcPr>
                  <w:tcW w:w="31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序号</w:t>
                  </w:r>
                </w:p>
              </w:tc>
              <w:tc>
                <w:tcPr>
                  <w:tcW w:w="700"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设备名称</w:t>
                  </w:r>
                </w:p>
              </w:tc>
              <w:tc>
                <w:tcPr>
                  <w:tcW w:w="815" w:type="pct"/>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规格型号</w:t>
                  </w:r>
                </w:p>
              </w:tc>
              <w:tc>
                <w:tcPr>
                  <w:tcW w:w="1211" w:type="pct"/>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设施参数</w:t>
                  </w:r>
                </w:p>
              </w:tc>
              <w:tc>
                <w:tcPr>
                  <w:tcW w:w="300"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单位</w:t>
                  </w:r>
                </w:p>
              </w:tc>
              <w:tc>
                <w:tcPr>
                  <w:tcW w:w="380"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现有工程数量</w:t>
                  </w:r>
                </w:p>
              </w:tc>
              <w:tc>
                <w:tcPr>
                  <w:tcW w:w="27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新增设备</w:t>
                  </w:r>
                </w:p>
              </w:tc>
              <w:tc>
                <w:tcPr>
                  <w:tcW w:w="306"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改扩建项目完成后全厂</w:t>
                  </w:r>
                </w:p>
              </w:tc>
              <w:tc>
                <w:tcPr>
                  <w:tcW w:w="697"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备注</w:t>
                  </w:r>
                </w:p>
              </w:tc>
            </w:tr>
            <w:tr>
              <w:trPr>
                <w:trHeight w:hRule="exact" w:val="1049"/>
              </w:trPr>
              <w:tc>
                <w:tcPr>
                  <w:tcW w:w="31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1</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注塑机</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PD-120T</w:t>
                  </w:r>
                </w:p>
              </w:tc>
              <w:tc>
                <w:tcPr>
                  <w:tcW w:w="1211"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现有9台处理能力0.002t/h；新增7台处理能力0.4kg/h</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9</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7</w:t>
                  </w:r>
                </w:p>
              </w:tc>
              <w:tc>
                <w:tcPr>
                  <w:tcW w:w="306"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16</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9台利旧</w:t>
                  </w:r>
                </w:p>
              </w:tc>
            </w:tr>
            <w:tr>
              <w:trPr>
                <w:trHeight w:hRule="exact" w:val="759"/>
              </w:trPr>
              <w:tc>
                <w:tcPr>
                  <w:tcW w:w="31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2</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干燥机</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SCD-160U/80H5</w:t>
                  </w:r>
                </w:p>
              </w:tc>
              <w:tc>
                <w:tcPr>
                  <w:tcW w:w="1211"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处理能力0.005t/h</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619"/>
              </w:trPr>
              <w:tc>
                <w:tcPr>
                  <w:tcW w:w="31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3</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干燥箱</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SC202-4YB</w:t>
                  </w:r>
                </w:p>
              </w:tc>
              <w:tc>
                <w:tcPr>
                  <w:tcW w:w="1211"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处理能力0.005t/h</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3</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3</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6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strike w:val="0"/>
                      <w:dstrike w:val="0"/>
                      <w:color w:val="auto"/>
                      <w:kern w:val="0"/>
                      <w:sz w:val="21"/>
                      <w:szCs w:val="21"/>
                      <w:lang w:val="en-US" w:eastAsia="zh-CN" w:bidi="ar-SA"/>
                      <w:highlight w:val="none"/>
                    </w:rPr>
                  </w:pPr>
                  <w:r>
                    <w:rPr>
                      <w:rFonts w:ascii="Times New Roman" w:eastAsia="宋体" w:cs="Times New Roman" w:hAnsi="Times New Roman"/>
                      <w:strike w:val="0"/>
                      <w:dstrike w:val="0"/>
                      <w:color w:val="auto"/>
                      <w:kern w:val="0"/>
                      <w:sz w:val="21"/>
                      <w:szCs w:val="21"/>
                      <w:highlight w:val="none"/>
                    </w:rPr>
                    <w:t>4</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冷却塔</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40</w:t>
                  </w:r>
                  <w:r>
                    <w:rPr>
                      <w:rFonts w:ascii="Times New Roman" w:eastAsia="宋体" w:cs="Times New Roman" w:hAnsi="Times New Roman"/>
                      <w:color w:val="auto"/>
                      <w:kern w:val="0"/>
                      <w:sz w:val="21"/>
                      <w:szCs w:val="21"/>
                      <w:highlight w:val="none"/>
                    </w:rPr>
                    <w:t>T</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循环水量40m</w:t>
                  </w:r>
                  <w:r>
                    <w:rPr>
                      <w:rFonts w:ascii="Times New Roman" w:cs="Times New Roman" w:hAnsi="Times New Roman" w:hint="eastAsia"/>
                      <w:color w:val="auto"/>
                      <w:kern w:val="0"/>
                      <w:sz w:val="21"/>
                      <w:szCs w:val="21"/>
                      <w:vertAlign w:val="superscript"/>
                      <w:lang w:val="en-US" w:eastAsia="zh-CN"/>
                      <w:highlight w:val="none"/>
                    </w:rPr>
                    <w:t>3</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1</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现有1台设备拆除</w:t>
                  </w:r>
                </w:p>
              </w:tc>
            </w:tr>
            <w:tr>
              <w:trPr>
                <w:trHeight w:hRule="exact" w:val="315"/>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strike w:val="0"/>
                      <w:dstrike w:val="0"/>
                      <w:color w:val="auto"/>
                      <w:kern w:val="0"/>
                      <w:sz w:val="21"/>
                      <w:szCs w:val="21"/>
                      <w:lang w:val="en-US" w:eastAsia="zh-CN" w:bidi="ar-SA"/>
                      <w:highlight w:val="none"/>
                    </w:rPr>
                  </w:pPr>
                  <w:r>
                    <w:rPr>
                      <w:rFonts w:ascii="Times New Roman" w:eastAsia="宋体" w:cs="Times New Roman" w:hAnsi="Times New Roman"/>
                      <w:strike w:val="0"/>
                      <w:dstrike w:val="0"/>
                      <w:color w:val="auto"/>
                      <w:kern w:val="0"/>
                      <w:sz w:val="21"/>
                      <w:szCs w:val="21"/>
                      <w:highlight w:val="none"/>
                    </w:rPr>
                    <w:t>5</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冷水机</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WD-5AC</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功率10.1kw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15"/>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6</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攻丝机</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GT1-203</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功率0.75kw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697"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29"/>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7</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车床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CA6140</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功率4kw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274"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69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39"/>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8</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铣床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X63</w:t>
                  </w:r>
                  <w:r>
                    <w:rPr>
                      <w:rFonts w:ascii="Times New Roman" w:eastAsia="宋体" w:cs="Times New Roman" w:hAnsi="Times New Roman"/>
                      <w:color w:val="auto"/>
                      <w:kern w:val="0"/>
                      <w:sz w:val="21"/>
                      <w:szCs w:val="21"/>
                      <w:lang w:val="en-US" w:eastAsia="zh-CN"/>
                      <w:highlight w:val="none"/>
                    </w:rPr>
                    <w:t>25</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功率2.2kw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274"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69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9</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钻床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Z</w:t>
                  </w:r>
                  <w:r>
                    <w:rPr>
                      <w:rFonts w:ascii="Times New Roman" w:eastAsia="宋体" w:cs="Times New Roman" w:hAnsi="Times New Roman"/>
                      <w:color w:val="auto"/>
                      <w:kern w:val="0"/>
                      <w:sz w:val="21"/>
                      <w:szCs w:val="21"/>
                      <w:lang w:val="en-US" w:eastAsia="zh-CN"/>
                      <w:highlight w:val="none"/>
                    </w:rPr>
                    <w:t>516</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功率0.8kw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3</w:t>
                  </w:r>
                </w:p>
              </w:tc>
              <w:tc>
                <w:tcPr>
                  <w:tcW w:w="274"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3</w:t>
                  </w:r>
                </w:p>
              </w:tc>
              <w:tc>
                <w:tcPr>
                  <w:tcW w:w="69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10</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磨床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M250</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功率1.1kw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11</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线切割</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DK77</w:t>
                  </w:r>
                  <w:r>
                    <w:rPr>
                      <w:rFonts w:ascii="Times New Roman" w:eastAsia="宋体" w:cs="Times New Roman" w:hAnsi="Times New Roman"/>
                      <w:color w:val="auto"/>
                      <w:kern w:val="0"/>
                      <w:sz w:val="21"/>
                      <w:szCs w:val="21"/>
                      <w:lang w:val="en-US" w:eastAsia="zh-CN"/>
                      <w:highlight w:val="none"/>
                    </w:rPr>
                    <w:t>35</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功率0.37kw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12</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气泵</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XR7.5A-8</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功率2.8kw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1</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1台利旧</w:t>
                  </w:r>
                </w:p>
              </w:tc>
            </w:tr>
            <w:tr>
              <w:trPr>
                <w:trHeight w:hRule="exact" w:val="596"/>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13</w:t>
                  </w:r>
                </w:p>
              </w:tc>
              <w:tc>
                <w:tcPr>
                  <w:tcW w:w="700"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color w:val="auto"/>
                      <w:sz w:val="21"/>
                      <w:szCs w:val="21"/>
                      <w:lang w:eastAsia="zh-CN"/>
                      <w:highlight w:val="none"/>
                    </w:rPr>
                    <w:t>模具维修设备</w:t>
                  </w:r>
                </w:p>
              </w:tc>
              <w:tc>
                <w:tcPr>
                  <w:tcW w:w="815" w:type="pct"/>
                  <w:tcBorders>
                    <w:left w:val="single" w:sz="4" w:space="0" w:color="auto"/>
                  </w:tcBorders>
                  <w:vAlign w:val="center"/>
                </w:tcPr>
                <w:p>
                  <w:pPr>
                    <w:keepNext w:val="0"/>
                    <w:keepLines w:val="0"/>
                    <w:suppressLineNumbers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color w:val="auto"/>
                      <w:kern w:val="2"/>
                      <w:sz w:val="21"/>
                      <w:szCs w:val="21"/>
                      <w:lang w:val="en-US" w:eastAsia="zh-CN" w:bidi="ar-SA"/>
                      <w:highlight w:val="none"/>
                    </w:rPr>
                    <w:t>ZNC430</w:t>
                  </w:r>
                </w:p>
              </w:tc>
              <w:tc>
                <w:tcPr>
                  <w:tcW w:w="1211" w:type="pct"/>
                  <w:tcBorders>
                    <w:left w:val="single" w:sz="4" w:space="0" w:color="auto"/>
                  </w:tcBorders>
                  <w:vAlign w:val="center"/>
                </w:tcPr>
                <w:p>
                  <w:pPr>
                    <w:keepNext w:val="0"/>
                    <w:keepLines w:val="0"/>
                    <w:suppressLineNumbers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功率1.2kw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14</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JC16T</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功率2.2kw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4</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4</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34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15</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剪板机</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Q</w:t>
                  </w:r>
                  <w:r>
                    <w:rPr>
                      <w:rFonts w:ascii="Times New Roman" w:eastAsia="宋体" w:cs="Times New Roman" w:hAnsi="Times New Roman"/>
                      <w:color w:val="auto"/>
                      <w:kern w:val="0"/>
                      <w:sz w:val="21"/>
                      <w:szCs w:val="21"/>
                      <w:lang w:val="en-US" w:eastAsia="zh-CN"/>
                      <w:highlight w:val="none"/>
                    </w:rPr>
                    <w:t>11-2X15</w:t>
                  </w:r>
                  <w:r>
                    <w:rPr>
                      <w:rFonts w:ascii="Times New Roman" w:eastAsia="宋体" w:cs="Times New Roman" w:hAnsi="Times New Roman"/>
                      <w:color w:val="auto"/>
                      <w:kern w:val="0"/>
                      <w:sz w:val="21"/>
                      <w:szCs w:val="21"/>
                      <w:highlight w:val="none"/>
                    </w:rPr>
                    <w:t>00</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功率3kw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利旧</w:t>
                  </w:r>
                </w:p>
              </w:tc>
            </w:tr>
            <w:tr>
              <w:trPr>
                <w:trHeight w:hRule="exact" w:val="660"/>
              </w:trPr>
              <w:tc>
                <w:tcPr>
                  <w:tcW w:w="314"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16</w:t>
                  </w:r>
                </w:p>
              </w:tc>
              <w:tc>
                <w:tcPr>
                  <w:tcW w:w="7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精密逆变电阻焊</w:t>
                  </w:r>
                </w:p>
              </w:tc>
              <w:tc>
                <w:tcPr>
                  <w:tcW w:w="815"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MFC-007</w:t>
                  </w:r>
                </w:p>
              </w:tc>
              <w:tc>
                <w:tcPr>
                  <w:tcW w:w="1211"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功率16kw</w:t>
                  </w:r>
                </w:p>
              </w:tc>
              <w:tc>
                <w:tcPr>
                  <w:tcW w:w="30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380"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0</w:t>
                  </w:r>
                </w:p>
              </w:tc>
              <w:tc>
                <w:tcPr>
                  <w:tcW w:w="274"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2</w:t>
                  </w:r>
                </w:p>
              </w:tc>
              <w:tc>
                <w:tcPr>
                  <w:tcW w:w="306" w:type="pct"/>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2</w:t>
                  </w:r>
                </w:p>
              </w:tc>
              <w:tc>
                <w:tcPr>
                  <w:tcW w:w="69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新增</w:t>
                  </w:r>
                  <w:r>
                    <w:rPr>
                      <w:rFonts w:ascii="Times New Roman" w:cs="Times New Roman" w:hAnsi="Times New Roman" w:hint="eastAsia"/>
                      <w:color w:val="auto"/>
                      <w:kern w:val="0"/>
                      <w:sz w:val="21"/>
                      <w:szCs w:val="21"/>
                      <w:lang w:val="en-US" w:eastAsia="zh-CN"/>
                      <w:highlight w:val="none"/>
                    </w:rPr>
                    <w:t>2</w:t>
                  </w:r>
                  <w:r>
                    <w:rPr>
                      <w:rFonts w:ascii="Times New Roman" w:eastAsia="宋体" w:cs="Times New Roman" w:hAnsi="Times New Roman" w:hint="eastAsia"/>
                      <w:color w:val="auto"/>
                      <w:kern w:val="0"/>
                      <w:sz w:val="21"/>
                      <w:szCs w:val="21"/>
                      <w:lang w:val="en-US" w:eastAsia="zh-CN"/>
                      <w:highlight w:val="none"/>
                    </w:rPr>
                    <w:t>台</w:t>
                  </w:r>
                </w:p>
              </w:tc>
            </w:tr>
          </w:tbl>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5、原辅材料及能源消耗</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项目主要原辅材料及能耗消耗变化清单见表2-4。</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hint="eastAsia"/>
                <w:caps w:val="0"/>
                <w:smallCaps w:val="0"/>
                <w:color w:val="auto"/>
                <w:spacing w:val="0"/>
                <w:sz w:val="24"/>
                <w:szCs w:val="20"/>
                <w:lang w:val="en-US" w:eastAsia="zh-CN"/>
                <w:highlight w:val="none"/>
              </w:rPr>
              <w:t>4</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hint="eastAsia"/>
                <w:caps w:val="0"/>
                <w:smallCaps w:val="0"/>
                <w:color w:val="auto"/>
                <w:spacing w:val="0"/>
                <w:sz w:val="24"/>
                <w:szCs w:val="20"/>
                <w:lang w:val="en-US" w:eastAsia="zh-CN"/>
                <w:highlight w:val="none"/>
              </w:rPr>
              <w:t>项目</w:t>
            </w:r>
            <w:r>
              <w:rPr>
                <w:rFonts w:ascii="Times New Roman" w:cs="Times New Roman" w:hAnsi="Times New Roman"/>
                <w:caps w:val="0"/>
                <w:smallCaps w:val="0"/>
                <w:color w:val="auto"/>
                <w:spacing w:val="0"/>
                <w:sz w:val="24"/>
                <w:szCs w:val="20"/>
                <w:highlight w:val="none"/>
              </w:rPr>
              <w:t>主要原辅材料及能源消耗清单</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473"/>
              <w:gridCol w:w="874"/>
              <w:gridCol w:w="874"/>
              <w:gridCol w:w="874"/>
              <w:gridCol w:w="1073"/>
              <w:gridCol w:w="713"/>
              <w:gridCol w:w="696"/>
              <w:gridCol w:w="1572"/>
            </w:tblGrid>
            <w:tr>
              <w:trPr>
                <w:trHeight w:val="324"/>
              </w:trPr>
              <w:tc>
                <w:tcPr>
                  <w:tcW w:w="903"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原辅材料名称</w:t>
                  </w:r>
                </w:p>
              </w:tc>
              <w:tc>
                <w:tcPr>
                  <w:tcW w:w="2266" w:type="pct"/>
                  <w:gridSpan w:val="4"/>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年消耗量</w:t>
                  </w:r>
                </w:p>
              </w:tc>
              <w:tc>
                <w:tcPr>
                  <w:tcW w:w="437"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单位</w:t>
                  </w:r>
                </w:p>
              </w:tc>
              <w:tc>
                <w:tcPr>
                  <w:tcW w:w="427"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最大暂存量</w:t>
                  </w:r>
                </w:p>
              </w:tc>
              <w:tc>
                <w:tcPr>
                  <w:tcW w:w="964"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备注</w:t>
                  </w:r>
                </w:p>
              </w:tc>
            </w:tr>
            <w:tr>
              <w:trPr>
                <w:trHeight w:val="230"/>
              </w:trPr>
              <w:tc>
                <w:tcPr>
                  <w:tcW w:w="903" w:type="pct"/>
                  <w:vMerge/>
                  <w:vAlign w:val="center"/>
                </w:tcP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现有工程</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新增</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改扩建完成后全厂</w:t>
                  </w:r>
                </w:p>
              </w:tc>
              <w:tc>
                <w:tcPr>
                  <w:tcW w:w="65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变化量</w:t>
                  </w:r>
                </w:p>
              </w:tc>
              <w:tc>
                <w:tcPr>
                  <w:tcW w:w="437" w:type="pct"/>
                  <w:vMerge/>
                  <w:tcBorders>
                    <w:left w:val="single" w:sz="4" w:space="0" w:color="auto"/>
                  </w:tcBorders>
                  <w:vAlign w:val="center"/>
                </w:tcPr>
                <w:p/>
              </w:tc>
              <w:tc>
                <w:tcPr>
                  <w:tcW w:w="427" w:type="pct"/>
                  <w:vMerge/>
                  <w:tcBorders>
                    <w:left w:val="single" w:sz="4" w:space="0" w:color="auto"/>
                  </w:tcBorders>
                  <w:vAlign w:val="center"/>
                </w:tcPr>
                <w:p/>
              </w:tc>
              <w:tc>
                <w:tcPr>
                  <w:tcW w:w="964" w:type="pct"/>
                  <w:vMerge/>
                  <w:tcBorders>
                    <w:left w:val="single" w:sz="4" w:space="0" w:color="auto"/>
                  </w:tcBorders>
                  <w:vAlign w:val="center"/>
                </w:tcP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0"/>
                      <w:lang w:val="en-US" w:eastAsia="zh-CN" w:bidi="ar-SA"/>
                      <w:highlight w:val="none"/>
                    </w:rPr>
                  </w:pPr>
                  <w:r>
                    <w:rPr>
                      <w:rFonts w:ascii="Times New Roman" w:cs="Times New Roman" w:hAnsi="宋体"/>
                      <w:color w:val="auto"/>
                      <w:sz w:val="21"/>
                      <w:szCs w:val="20"/>
                      <w:highlight w:val="none"/>
                    </w:rPr>
                    <w:t>热塑性聚氨酯弹性树脂</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80</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-80</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0"/>
                      <w:lang w:val="en-US" w:eastAsia="zh-CN" w:bidi="ar-SA"/>
                      <w:highlight w:val="none"/>
                    </w:rPr>
                  </w:pPr>
                  <w:r>
                    <w:rPr>
                      <w:rFonts w:ascii="Times New Roman" w:cs="Times New Roman" w:hAnsi="宋体"/>
                      <w:color w:val="auto"/>
                      <w:sz w:val="21"/>
                      <w:szCs w:val="20"/>
                      <w:highlight w:val="none"/>
                    </w:rPr>
                    <w:t>尼龙粒子</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55</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15.613</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70.613</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+15.613</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6</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25kg/袋</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色母颗粒</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2</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-2</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切削液</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20</w:t>
                  </w:r>
                  <w:r>
                    <w:rPr>
                      <w:rFonts w:ascii="Times New Roman" w:cs="Times New Roman" w:hAnsi="宋体" w:hint="eastAsia"/>
                      <w:color w:val="auto"/>
                      <w:sz w:val="21"/>
                      <w:szCs w:val="20"/>
                      <w:lang w:val="en-US" w:eastAsia="zh-CN"/>
                      <w:highlight w:val="none"/>
                    </w:rPr>
                    <w:t>000</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30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-19970</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kg</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15</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15kg/桶</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hint="eastAsia"/>
                      <w:color w:val="auto"/>
                      <w:kern w:val="2"/>
                      <w:sz w:val="21"/>
                      <w:szCs w:val="20"/>
                      <w:lang w:val="en-US" w:eastAsia="zh-CN" w:bidi="ar-SA"/>
                      <w:highlight w:val="none"/>
                    </w:rPr>
                  </w:pPr>
                  <w:r>
                    <w:rPr>
                      <w:rFonts w:ascii="Times New Roman" w:cs="Times New Roman" w:hAnsi="宋体"/>
                      <w:color w:val="auto"/>
                      <w:sz w:val="21"/>
                      <w:szCs w:val="20"/>
                      <w:highlight w:val="none"/>
                    </w:rPr>
                    <w:t>钢板</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5</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-5</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hint="eastAsia"/>
                      <w:color w:val="auto"/>
                      <w:kern w:val="2"/>
                      <w:sz w:val="21"/>
                      <w:szCs w:val="20"/>
                      <w:lang w:val="en-US" w:eastAsia="zh-CN" w:bidi="ar-SA"/>
                      <w:highlight w:val="none"/>
                    </w:rPr>
                  </w:pPr>
                  <w:r>
                    <w:rPr>
                      <w:rFonts w:ascii="Times New Roman" w:cs="Times New Roman" w:hAnsi="宋体"/>
                      <w:color w:val="auto"/>
                      <w:sz w:val="21"/>
                      <w:szCs w:val="20"/>
                      <w:highlight w:val="none"/>
                    </w:rPr>
                    <w:t>铝棒</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2</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-2</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hint="eastAsia"/>
                      <w:color w:val="auto"/>
                      <w:kern w:val="2"/>
                      <w:sz w:val="21"/>
                      <w:szCs w:val="20"/>
                      <w:lang w:val="en-US" w:eastAsia="zh-CN" w:bidi="ar-SA"/>
                      <w:highlight w:val="none"/>
                    </w:rPr>
                  </w:pPr>
                  <w:r>
                    <w:rPr>
                      <w:rFonts w:ascii="Times New Roman" w:cs="Times New Roman" w:hAnsi="宋体"/>
                      <w:color w:val="auto"/>
                      <w:sz w:val="21"/>
                      <w:szCs w:val="20"/>
                      <w:highlight w:val="none"/>
                    </w:rPr>
                    <w:t>铜棒</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2</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-2</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铝板</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10</w:t>
                  </w:r>
                </w:p>
              </w:tc>
              <w:tc>
                <w:tcPr>
                  <w:tcW w:w="536"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3.03</w:t>
                  </w:r>
                </w:p>
              </w:tc>
              <w:tc>
                <w:tcPr>
                  <w:tcW w:w="657" w:type="pct"/>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-6.97</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0.25</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kern w:val="2"/>
                      <w:sz w:val="21"/>
                      <w:szCs w:val="21"/>
                      <w:vertAlign w:val="baseline"/>
                      <w:lang w:val="en-US" w:eastAsia="zh-CN" w:bidi="ar-SA"/>
                      <w:highlight w:val="none"/>
                    </w:rPr>
                    <w:t>电极片原料，货车输送</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铜板</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宋体"/>
                      <w:color w:val="auto"/>
                      <w:kern w:val="2"/>
                      <w:sz w:val="21"/>
                      <w:szCs w:val="20"/>
                      <w:lang w:val="en-US" w:eastAsia="zh-CN" w:bidi="ar-SA"/>
                      <w:highlight w:val="none"/>
                    </w:rPr>
                  </w:pPr>
                  <w:r>
                    <w:rPr>
                      <w:rFonts w:ascii="Times New Roman" w:cs="Times New Roman" w:hAnsi="宋体"/>
                      <w:color w:val="auto"/>
                      <w:sz w:val="21"/>
                      <w:szCs w:val="20"/>
                      <w:highlight w:val="none"/>
                    </w:rPr>
                    <w:t>8</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w:t>
                  </w:r>
                </w:p>
              </w:tc>
              <w:tc>
                <w:tcPr>
                  <w:tcW w:w="53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i w:val="0"/>
                      <w:iCs w:val="0"/>
                      <w:color w:val="auto"/>
                      <w:kern w:val="0"/>
                      <w:sz w:val="21"/>
                      <w:szCs w:val="21"/>
                      <w:u w:val="none"/>
                      <w:lang w:val="en-US" w:eastAsia="zh-CN"/>
                      <w:highlight w:val="none"/>
                    </w:rPr>
                    <w:t>3.03</w:t>
                  </w:r>
                </w:p>
              </w:tc>
              <w:tc>
                <w:tcPr>
                  <w:tcW w:w="657"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-6.97</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t</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eastAsia="宋体"/>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0.25</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kern w:val="2"/>
                      <w:sz w:val="21"/>
                      <w:szCs w:val="21"/>
                      <w:vertAlign w:val="baseline"/>
                      <w:lang w:val="en-US" w:eastAsia="zh-CN" w:bidi="ar-SA"/>
                      <w:highlight w:val="none"/>
                    </w:rPr>
                    <w:t>电极片原料，货车输送</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eastAsia="宋体" w:hAnsi="宋体"/>
                      <w:color w:val="auto"/>
                      <w:szCs w:val="20"/>
                      <w:lang w:val="en-US" w:eastAsia="zh-CN"/>
                      <w:highlight w:val="none"/>
                    </w:rPr>
                  </w:pPr>
                  <w:r>
                    <w:rPr>
                      <w:rFonts w:ascii="Times New Roman" w:cs="Times New Roman" w:hAnsi="宋体" w:hint="eastAsia"/>
                      <w:color w:val="auto"/>
                      <w:sz w:val="21"/>
                      <w:szCs w:val="20"/>
                      <w:lang w:val="en-US" w:eastAsia="zh-CN"/>
                      <w:highlight w:val="none"/>
                    </w:rPr>
                    <w:t>电极片</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eastAsia="宋体" w:hAnsi="宋体" w:hint="eastAsia"/>
                      <w:color w:val="auto"/>
                      <w:szCs w:val="20"/>
                      <w:lang w:val="en-US" w:eastAsia="zh-CN"/>
                      <w:highlight w:val="none"/>
                    </w:rPr>
                  </w:pPr>
                  <w:r>
                    <w:rPr>
                      <w:rFonts w:ascii="Times New Roman" w:cs="Times New Roman" w:hAnsi="宋体" w:hint="eastAsia"/>
                      <w:color w:val="auto"/>
                      <w:sz w:val="21"/>
                      <w:szCs w:val="20"/>
                      <w:lang w:val="en-US" w:eastAsia="zh-CN"/>
                      <w:highlight w:val="none"/>
                    </w:rPr>
                    <w:t>0</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128万</w:t>
                  </w:r>
                </w:p>
              </w:tc>
              <w:tc>
                <w:tcPr>
                  <w:tcW w:w="53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128万</w:t>
                  </w:r>
                </w:p>
              </w:tc>
              <w:tc>
                <w:tcPr>
                  <w:tcW w:w="657"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+128万</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套</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11万</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eastAsia"/>
                      <w:color w:val="auto"/>
                      <w:sz w:val="21"/>
                      <w:szCs w:val="21"/>
                      <w:vertAlign w:val="baseline"/>
                      <w:lang w:val="en-US" w:eastAsia="zh-CN"/>
                      <w:highlight w:val="none"/>
                    </w:rPr>
                  </w:pPr>
                  <w:r>
                    <w:rPr>
                      <w:rFonts w:ascii="Times New Roman" w:cs="Times New Roman" w:hAnsi="Times New Roman" w:hint="eastAsia"/>
                      <w:color w:val="auto"/>
                      <w:kern w:val="2"/>
                      <w:sz w:val="21"/>
                      <w:szCs w:val="21"/>
                      <w:vertAlign w:val="baseline"/>
                      <w:lang w:val="en-US" w:eastAsia="zh-CN" w:bidi="ar-SA"/>
                      <w:highlight w:val="none"/>
                    </w:rPr>
                    <w:t>外购成品电极片，货车输送</w:t>
                  </w:r>
                </w:p>
              </w:tc>
            </w:tr>
            <w:tr>
              <w:trPr>
                <w:trHeight w:val="425"/>
              </w:trPr>
              <w:tc>
                <w:tcPr>
                  <w:tcW w:w="903" w:type="pct"/>
                  <w:shd w:val="clear" w:color="auto" w:fill="auto"/>
                  <w:vAlign w:val="center"/>
                </w:tcPr>
                <w:p>
                  <w:pPr>
                    <w:keepNext w:val="0"/>
                    <w:keepLines w:val="0"/>
                    <w:suppressLineNumbers w:val="0"/>
                    <w:spacing w:before="0" w:beforeAutospacing="0" w:after="0" w:afterAutospacing="0"/>
                    <w:ind w:left="0" w:right="0"/>
                    <w:jc w:val="center"/>
                    <w:rPr>
                      <w:rFonts w:hAnsi="宋体"/>
                      <w:color w:val="auto"/>
                      <w:szCs w:val="20"/>
                      <w:lang w:val="en-US" w:eastAsia="zh-CN"/>
                      <w:highlight w:val="none"/>
                    </w:rPr>
                  </w:pPr>
                  <w:r>
                    <w:rPr>
                      <w:rFonts w:ascii="Times New Roman" w:cs="Times New Roman" w:hAnsi="宋体" w:hint="eastAsia"/>
                      <w:color w:val="auto"/>
                      <w:sz w:val="21"/>
                      <w:szCs w:val="20"/>
                      <w:lang w:val="en-US" w:eastAsia="zh-CN"/>
                      <w:highlight w:val="none"/>
                    </w:rPr>
                    <w:t>注塑模具</w:t>
                  </w:r>
                </w:p>
              </w:tc>
              <w:tc>
                <w:tcPr>
                  <w:tcW w:w="53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Ansi="宋体"/>
                      <w:color w:val="auto"/>
                      <w:szCs w:val="20"/>
                      <w:lang w:val="en-US" w:eastAsia="zh-CN"/>
                      <w:highlight w:val="none"/>
                    </w:rPr>
                  </w:pPr>
                  <w:r>
                    <w:rPr>
                      <w:rFonts w:ascii="Times New Roman" w:cs="Times New Roman" w:hAnsi="宋体" w:hint="eastAsia"/>
                      <w:color w:val="auto"/>
                      <w:sz w:val="21"/>
                      <w:szCs w:val="20"/>
                      <w:lang w:val="en-US" w:eastAsia="zh-CN"/>
                      <w:highlight w:val="none"/>
                    </w:rPr>
                    <w:t>0</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40</w:t>
                  </w:r>
                </w:p>
              </w:tc>
              <w:tc>
                <w:tcPr>
                  <w:tcW w:w="53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40</w:t>
                  </w:r>
                </w:p>
              </w:tc>
              <w:tc>
                <w:tcPr>
                  <w:tcW w:w="657"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cs="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+40</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套</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20套</w:t>
                  </w:r>
                </w:p>
              </w:tc>
              <w:tc>
                <w:tcPr>
                  <w:tcW w:w="964"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cs="Times New Roman"/>
                      <w:color w:val="auto"/>
                      <w:kern w:val="2"/>
                      <w:sz w:val="21"/>
                      <w:szCs w:val="21"/>
                      <w:vertAlign w:val="baseline"/>
                      <w:lang w:val="en-US" w:eastAsia="zh-CN" w:bidi="ar-SA"/>
                      <w:highlight w:val="none"/>
                    </w:rPr>
                  </w:pPr>
                  <w:r>
                    <w:rPr>
                      <w:rFonts w:ascii="Times New Roman" w:cs="Times New Roman" w:hAnsi="Times New Roman" w:hint="eastAsia"/>
                      <w:color w:val="auto"/>
                      <w:kern w:val="2"/>
                      <w:sz w:val="21"/>
                      <w:szCs w:val="21"/>
                      <w:vertAlign w:val="baseline"/>
                      <w:lang w:val="en-US" w:eastAsia="zh-CN" w:bidi="ar-SA"/>
                      <w:highlight w:val="none"/>
                    </w:rPr>
                    <w:t>外购成品模具，货车输送</w:t>
                  </w:r>
                </w:p>
              </w:tc>
            </w:tr>
            <w:tr>
              <w:trPr>
                <w:trHeight w:val="425"/>
              </w:trPr>
              <w:tc>
                <w:tcPr>
                  <w:tcW w:w="903" w:type="pct"/>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240" w:lineRule="auto"/>
                    <w:ind w:left="0" w:right="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caps w:val="0"/>
                      <w:smallCaps w:val="0"/>
                      <w:color w:val="auto"/>
                      <w:spacing w:val="0"/>
                      <w:sz w:val="21"/>
                      <w:szCs w:val="21"/>
                      <w:highlight w:val="none"/>
                    </w:rPr>
                    <w:t>新鲜水</w:t>
                  </w:r>
                </w:p>
              </w:tc>
              <w:tc>
                <w:tcPr>
                  <w:tcW w:w="536"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240" w:lineRule="auto"/>
                    <w:ind w:left="0" w:right="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270.39</w:t>
                  </w:r>
                </w:p>
              </w:tc>
              <w:tc>
                <w:tcPr>
                  <w:tcW w:w="536" w:type="pct"/>
                  <w:tcBorders>
                    <w:left w:val="single" w:sz="4" w:space="0" w:color="auto"/>
                  </w:tcBorders>
                  <w:shd w:val="clear" w:color="auto" w:fill="auto"/>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240" w:lineRule="auto"/>
                    <w:ind w:left="0" w:right="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210.01</w:t>
                  </w:r>
                </w:p>
              </w:tc>
              <w:tc>
                <w:tcPr>
                  <w:tcW w:w="536" w:type="pct"/>
                  <w:tcBorders>
                    <w:left w:val="single" w:sz="4" w:space="0" w:color="auto"/>
                  </w:tcBorders>
                  <w:shd w:val="clear" w:color="auto" w:fill="auto"/>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240" w:lineRule="auto"/>
                    <w:ind w:left="0" w:right="0"/>
                    <w:jc w:val="center"/>
                    <w:rPr>
                      <w:color w:val="auto"/>
                      <w:lang w:val="en-US" w:eastAsia="zh-CN"/>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480.4</w:t>
                  </w:r>
                </w:p>
              </w:tc>
              <w:tc>
                <w:tcPr>
                  <w:tcW w:w="657" w:type="pct"/>
                  <w:tcBorders>
                    <w:left w:val="single" w:sz="4" w:space="0" w:color="auto"/>
                  </w:tcBorders>
                  <w:shd w:val="clear" w:color="auto" w:fill="auto"/>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240" w:lineRule="auto"/>
                    <w:ind w:left="0" w:right="0"/>
                    <w:jc w:val="center"/>
                    <w:rPr>
                      <w:rFonts w:cs="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+210.01</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caps w:val="0"/>
                      <w:smallCaps w:val="0"/>
                      <w:color w:val="auto"/>
                      <w:spacing w:val="0"/>
                      <w:sz w:val="21"/>
                      <w:szCs w:val="21"/>
                      <w:highlight w:val="none"/>
                    </w:rPr>
                    <w:t>m³</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kern w:val="2"/>
                      <w:sz w:val="21"/>
                      <w:szCs w:val="21"/>
                      <w:vertAlign w:val="baseline"/>
                      <w:lang w:val="en-US" w:eastAsia="zh-CN" w:bidi="ar-SA"/>
                      <w:highlight w:val="none"/>
                    </w:rPr>
                    <w:t>-</w:t>
                  </w:r>
                </w:p>
              </w:tc>
              <w:tc>
                <w:tcPr>
                  <w:tcW w:w="964"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both"/>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由园区供水管网提供</w:t>
                  </w:r>
                </w:p>
              </w:tc>
            </w:tr>
            <w:tr>
              <w:trPr>
                <w:trHeight w:val="425"/>
              </w:trPr>
              <w:tc>
                <w:tcPr>
                  <w:tcW w:w="903"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电</w:t>
                  </w:r>
                </w:p>
              </w:tc>
              <w:tc>
                <w:tcPr>
                  <w:tcW w:w="536"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kern w:val="2"/>
                      <w:sz w:val="21"/>
                      <w:szCs w:val="21"/>
                      <w:vertAlign w:val="baseline"/>
                      <w:lang w:val="en-US" w:eastAsia="zh-CN" w:bidi="ar-SA"/>
                      <w:highlight w:val="none"/>
                    </w:rPr>
                    <w:t>30</w:t>
                  </w:r>
                </w:p>
              </w:tc>
              <w:tc>
                <w:tcPr>
                  <w:tcW w:w="53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15</w:t>
                  </w:r>
                </w:p>
              </w:tc>
              <w:tc>
                <w:tcPr>
                  <w:tcW w:w="53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45</w:t>
                  </w:r>
                </w:p>
              </w:tc>
              <w:tc>
                <w:tcPr>
                  <w:tcW w:w="657"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color w:val="auto"/>
                      <w:sz w:val="21"/>
                      <w:szCs w:val="21"/>
                      <w:vertAlign w:val="baseline"/>
                      <w:lang w:val="en-US" w:eastAsia="zh-CN"/>
                      <w:highlight w:val="none"/>
                    </w:rPr>
                  </w:pPr>
                  <w:r>
                    <w:rPr>
                      <w:rFonts w:ascii="Times New Roman" w:cs="Times New Roman" w:hAnsi="Times New Roman" w:hint="eastAsia"/>
                      <w:color w:val="auto"/>
                      <w:sz w:val="21"/>
                      <w:szCs w:val="21"/>
                      <w:vertAlign w:val="baseline"/>
                      <w:lang w:val="en-US" w:eastAsia="zh-CN"/>
                      <w:highlight w:val="none"/>
                    </w:rPr>
                    <w:t>+15</w:t>
                  </w:r>
                </w:p>
              </w:tc>
              <w:tc>
                <w:tcPr>
                  <w:tcW w:w="43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万kWh</w:t>
                  </w:r>
                </w:p>
              </w:tc>
              <w:tc>
                <w:tcPr>
                  <w:tcW w:w="427"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cs="Times New Roman" w:hAnsi="Times New Roman" w:hint="eastAsia"/>
                      <w:color w:val="auto"/>
                      <w:sz w:val="21"/>
                      <w:szCs w:val="21"/>
                      <w:vertAlign w:val="baseline"/>
                      <w:lang w:val="en-US" w:eastAsia="zh-CN"/>
                      <w:highlight w:val="none"/>
                    </w:rPr>
                    <w:t>-</w:t>
                  </w:r>
                </w:p>
              </w:tc>
              <w:tc>
                <w:tcPr>
                  <w:tcW w:w="964"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both"/>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由园区供电管网提供</w:t>
                  </w:r>
                </w:p>
              </w:tc>
            </w:tr>
          </w:tbl>
          <w:p>
            <w:pPr>
              <w:pStyle w:val="137"/>
              <w:keepNext w:val="0"/>
              <w:keepLines w:val="0"/>
              <w:suppressLineNumbers w:val="0"/>
              <w:spacing w:before="0" w:beforeAutospacing="0" w:after="0" w:afterAutospacing="0"/>
              <w:ind w:left="0" w:right="0"/>
              <w:rPr>
                <w:rFonts w:cs="Times New Roman" w:hint="eastAsia"/>
                <w:b w:val="0"/>
                <w:bCs/>
                <w:caps w:val="0"/>
                <w:smallCaps w:val="0"/>
                <w:color w:val="auto"/>
                <w:spacing w:val="0"/>
                <w:lang w:val="en-US" w:eastAsia="zh-CN"/>
                <w:highlight w:val="none"/>
              </w:rPr>
            </w:pPr>
            <w:r>
              <w:rPr>
                <w:rFonts w:ascii="Times New Roman" w:cs="Times New Roman" w:hAnsi="Times New Roman" w:hint="eastAsia"/>
                <w:b/>
                <w:bCs w:val="0"/>
                <w:caps w:val="0"/>
                <w:smallCaps w:val="0"/>
                <w:color w:val="auto"/>
                <w:spacing w:val="0"/>
                <w:sz w:val="24"/>
                <w:szCs w:val="20"/>
                <w:lang w:val="en-US" w:eastAsia="zh-CN"/>
                <w:highlight w:val="none"/>
              </w:rPr>
              <w:t>尼龙粒子：</w:t>
            </w:r>
          </w:p>
          <w:p>
            <w:pPr>
              <w:pStyle w:val="137"/>
              <w:keepNext w:val="0"/>
              <w:keepLines w:val="0"/>
              <w:suppressLineNumbers w:val="0"/>
              <w:spacing w:before="0" w:beforeAutospacing="0" w:after="0" w:afterAutospacing="0"/>
              <w:ind w:left="0" w:right="0"/>
              <w:rPr>
                <w:rFonts w:ascii="Times New Roman" w:cs="Times New Roman" w:hAnsi="Times New Roman"/>
                <w:b w:val="0"/>
                <w:bCs/>
                <w:caps w:val="0"/>
                <w:smallCaps w:val="0"/>
                <w:color w:val="auto"/>
                <w:spacing w:val="0"/>
                <w:lang w:val="en-US" w:eastAsia="zh-CN"/>
                <w:highlight w:val="none"/>
              </w:rPr>
            </w:pPr>
            <w:r>
              <w:rPr>
                <w:rFonts w:ascii="Times New Roman" w:cs="Times New Roman" w:hAnsi="Times New Roman" w:hint="eastAsia"/>
                <w:b w:val="0"/>
                <w:bCs/>
                <w:caps w:val="0"/>
                <w:smallCaps w:val="0"/>
                <w:color w:val="auto"/>
                <w:spacing w:val="0"/>
                <w:sz w:val="24"/>
                <w:szCs w:val="20"/>
                <w:lang w:val="en-US" w:eastAsia="zh-CN"/>
                <w:highlight w:val="none"/>
              </w:rPr>
              <w:t>简称PA，俗称尼龙又称聚酰胺。具有许多重复酰胺基团的树脂性物质的总称。包括脂肪族聚酰胺、脂肪族-芳香族聚酰胺及芳香族聚酰胺。主要由二元酸与二元胺，或由氨基酸经缩聚而成。通常为乳白色至淡黄色的‌颗粒状‌或粉末状，表面有光泽，直径为2-5mm圆柱形或球形颗粒。熔点180~280℃，密度1.05~1.15。不溶于乙醇、丙酮、乙酸乙酯和烃类普通溶剂，但溶于酚类、硫酸、甲酸、乙酸和某些无机盐溶液。耐油脂、矿物油和水，但在高温和压力下会导致分解。共同特点是耐燃、耐磨和拉伸强度高，熔融态树脂流动性高。主要用于制合成纤维、增强塑料等。</w:t>
            </w:r>
          </w:p>
          <w:p>
            <w:pPr>
              <w:pStyle w:val="137"/>
              <w:keepNext w:val="0"/>
              <w:keepLines w:val="0"/>
              <w:suppressLineNumbers w:val="0"/>
              <w:spacing w:before="0" w:beforeAutospacing="0" w:after="0" w:afterAutospacing="0"/>
              <w:ind w:left="0" w:right="0"/>
              <w:rPr>
                <w:rFonts w:cs="Times New Roman" w:hint="eastAsia"/>
                <w:b/>
                <w:bCs w:val="0"/>
                <w:caps w:val="0"/>
                <w:smallCaps w:val="0"/>
                <w:color w:val="auto"/>
                <w:spacing w:val="0"/>
                <w:lang w:val="en-US" w:eastAsia="zh-CN"/>
                <w:highlight w:val="none"/>
              </w:rPr>
            </w:pPr>
            <w:r>
              <w:rPr>
                <w:rFonts w:ascii="Times New Roman" w:cs="Times New Roman" w:hAnsi="Times New Roman" w:hint="eastAsia"/>
                <w:b/>
                <w:bCs w:val="0"/>
                <w:caps w:val="0"/>
                <w:smallCaps w:val="0"/>
                <w:color w:val="auto"/>
                <w:spacing w:val="0"/>
                <w:sz w:val="24"/>
                <w:szCs w:val="20"/>
                <w:lang w:val="en-US" w:eastAsia="zh-CN"/>
                <w:highlight w:val="none"/>
              </w:rPr>
              <w:t>切削液：</w:t>
            </w:r>
          </w:p>
          <w:p>
            <w:pPr>
              <w:pStyle w:val="137"/>
              <w:keepNext w:val="0"/>
              <w:keepLines w:val="0"/>
              <w:suppressLineNumbers w:val="0"/>
              <w:spacing w:before="0" w:beforeAutospacing="0" w:after="0" w:afterAutospacing="0"/>
              <w:ind w:left="0" w:right="0"/>
              <w:rPr>
                <w:rFonts w:cs="Times New Roman" w:hint="eastAsia"/>
                <w:b w:val="0"/>
                <w:bCs/>
                <w:caps w:val="0"/>
                <w:smallCaps w:val="0"/>
                <w:color w:val="auto"/>
                <w:spacing w:val="0"/>
                <w:lang w:val="en-US" w:eastAsia="zh-CN"/>
                <w:highlight w:val="none"/>
              </w:rPr>
            </w:pPr>
            <w:r>
              <w:rPr>
                <w:rFonts w:ascii="Times New Roman" w:cs="Times New Roman" w:hAnsi="Times New Roman" w:hint="eastAsia"/>
                <w:b w:val="0"/>
                <w:bCs/>
                <w:caps w:val="0"/>
                <w:smallCaps w:val="0"/>
                <w:color w:val="auto"/>
                <w:spacing w:val="0"/>
                <w:sz w:val="24"/>
                <w:szCs w:val="20"/>
                <w:lang w:val="en-US" w:eastAsia="zh-CN"/>
                <w:highlight w:val="none"/>
              </w:rPr>
              <w:t>项目采用的切削液为乳化切削液，使用时需要与水配制使用。外观：乳白色或半透明液体，稀释后稳定性高。冷却性：优于油基切削液，适合粗加工散热需求。润滑性：含矿物油成分，具备基础润滑功能，极压型乳化液可提升重载加工性能。防锈性：需依赖添加剂（如亚硝酸钠）实现短期防锈。</w:t>
            </w:r>
          </w:p>
          <w:p>
            <w:pPr>
              <w:pStyle w:val="137"/>
              <w:keepNext w:val="0"/>
              <w:keepLines w:val="0"/>
              <w:suppressLineNumbers w:val="0"/>
              <w:spacing w:before="0" w:beforeAutospacing="0" w:after="0" w:afterAutospacing="0"/>
              <w:ind w:left="0" w:right="0"/>
              <w:rPr>
                <w:rFonts w:ascii="Times New Roman" w:eastAsia="宋体" w:cs="Times New Roman" w:hAnsi="Times New Roman" w:hint="eastAsia"/>
                <w:b/>
                <w:caps w:val="0"/>
                <w:smallCaps w:val="0"/>
                <w:color w:val="auto"/>
                <w:spacing w:val="0"/>
                <w:lang w:val="en-US" w:eastAsia="zh-CN"/>
                <w:highlight w:val="none"/>
              </w:rPr>
            </w:pPr>
            <w:r>
              <w:rPr>
                <w:rFonts w:ascii="Times New Roman" w:cs="Times New Roman" w:hAnsi="Times New Roman"/>
                <w:b/>
                <w:caps w:val="0"/>
                <w:smallCaps w:val="0"/>
                <w:color w:val="auto"/>
                <w:spacing w:val="0"/>
                <w:sz w:val="24"/>
                <w:szCs w:val="20"/>
                <w:lang w:val="en-US" w:eastAsia="zh-CN"/>
                <w:highlight w:val="none"/>
              </w:rPr>
              <w:t>6</w:t>
            </w:r>
            <w:r>
              <w:rPr>
                <w:rFonts w:ascii="Times New Roman" w:cs="Times New Roman" w:hAnsi="Times New Roman"/>
                <w:b/>
                <w:caps w:val="0"/>
                <w:smallCaps w:val="0"/>
                <w:color w:val="auto"/>
                <w:spacing w:val="0"/>
                <w:sz w:val="24"/>
                <w:szCs w:val="20"/>
                <w:highlight w:val="none"/>
              </w:rPr>
              <w:t>、公用工程</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给水：</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项目用水主要为职工生活用水、设备冷却水和切削液用水。项目新鲜水量为1.601m</w:t>
            </w:r>
            <w:r>
              <w:rPr>
                <w:rFonts w:ascii="Times New Roman" w:cs="Times New Roman" w:hAnsi="Times New Roman" w:hint="eastAsia"/>
                <w:caps w:val="0"/>
                <w:smallCaps w:val="0"/>
                <w:color w:val="auto"/>
                <w:spacing w:val="0"/>
                <w:sz w:val="24"/>
                <w:szCs w:val="20"/>
                <w:vertAlign w:val="superscript"/>
                <w:lang w:val="en-US" w:eastAsia="zh-CN"/>
                <w:highlight w:val="none"/>
              </w:rPr>
              <w:t>3</w:t>
            </w:r>
            <w:r>
              <w:rPr>
                <w:rFonts w:ascii="Times New Roman" w:cs="Times New Roman" w:hAnsi="Times New Roman" w:hint="eastAsia"/>
                <w:caps w:val="0"/>
                <w:smallCaps w:val="0"/>
                <w:color w:val="auto"/>
                <w:spacing w:val="0"/>
                <w:sz w:val="24"/>
                <w:szCs w:val="20"/>
                <w:lang w:val="en-US" w:eastAsia="zh-CN"/>
                <w:highlight w:val="none"/>
              </w:rPr>
              <w:t>/d（480.4</w:t>
            </w:r>
            <w:r>
              <w:rPr>
                <w:rFonts w:ascii="Times New Roman" w:cs="Times New Roman" w:hAnsi="Times New Roman"/>
                <w:color w:val="auto"/>
                <w:sz w:val="24"/>
                <w:szCs w:val="24"/>
                <w:highlight w:val="none"/>
              </w:rPr>
              <w:t>m</w:t>
            </w:r>
            <w:r>
              <w:rPr>
                <w:rFonts w:ascii="Times New Roman" w:cs="Times New Roman" w:hAnsi="Times New Roman"/>
                <w:color w:val="auto"/>
                <w:sz w:val="24"/>
                <w:szCs w:val="24"/>
                <w:vertAlign w:val="superscript"/>
                <w:highlight w:val="none"/>
              </w:rPr>
              <w:t>3</w:t>
            </w:r>
            <w:r>
              <w:rPr>
                <w:rFonts w:ascii="Times New Roman" w:cs="Times New Roman" w:hAnsi="Times New Roman"/>
                <w:color w:val="auto"/>
                <w:sz w:val="24"/>
                <w:szCs w:val="24"/>
                <w:highlight w:val="none"/>
              </w:rPr>
              <w:t>/a</w:t>
            </w:r>
            <w:r>
              <w:rPr>
                <w:rFonts w:ascii="Times New Roman" w:cs="Times New Roman" w:hAnsi="Times New Roman" w:hint="eastAsia"/>
                <w:caps w:val="0"/>
                <w:smallCaps w:val="0"/>
                <w:color w:val="auto"/>
                <w:spacing w:val="0"/>
                <w:sz w:val="24"/>
                <w:szCs w:val="20"/>
                <w:lang w:val="en-US" w:eastAsia="zh-CN"/>
                <w:highlight w:val="none"/>
              </w:rPr>
              <w:t>）</w:t>
            </w:r>
            <w:r>
              <w:rPr>
                <w:rFonts w:ascii="Times New Roman" w:cs="Times New Roman" w:hAnsi="Times New Roman"/>
                <w:caps w:val="0"/>
                <w:smallCaps w:val="0"/>
                <w:color w:val="auto"/>
                <w:spacing w:val="0"/>
                <w:sz w:val="24"/>
                <w:szCs w:val="20"/>
                <w:lang w:val="en-US" w:eastAsia="zh-CN"/>
                <w:highlight w:val="none"/>
              </w:rPr>
              <w:t>。</w:t>
            </w:r>
          </w:p>
          <w:p>
            <w:pPr>
              <w:keepNext w:val="0"/>
              <w:keepLines w:val="0"/>
              <w:pageBreakBefore w:val="0"/>
              <w:widowControl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Chars="200" w:firstLine="480"/>
              <w:jc w:val="both"/>
              <w:textAlignment w:val="auto"/>
              <w:rPr>
                <w:rFonts w:cs="Times New Roman" w:hint="eastAsia"/>
                <w:snapToGrid w:val="0"/>
                <w:color w:val="auto"/>
                <w:sz w:val="24"/>
                <w:szCs w:val="24"/>
                <w:lang w:eastAsia="zh-CN"/>
                <w:highlight w:val="none"/>
              </w:rPr>
            </w:pPr>
            <w:r>
              <w:rPr>
                <w:rFonts w:ascii="Times New Roman" w:cs="Times New Roman" w:hAnsi="Times New Roman" w:hint="eastAsia"/>
                <w:snapToGrid w:val="0"/>
                <w:color w:val="auto"/>
                <w:sz w:val="24"/>
                <w:szCs w:val="24"/>
                <w:lang w:val="en-US" w:eastAsia="zh-CN"/>
                <w:highlight w:val="none"/>
              </w:rPr>
              <w:t>职工生活用水：</w:t>
            </w:r>
            <w:r>
              <w:rPr>
                <w:rFonts w:ascii="Times New Roman" w:cs="Times New Roman" w:hAnsi="Times New Roman"/>
                <w:snapToGrid w:val="0"/>
                <w:color w:val="auto"/>
                <w:sz w:val="24"/>
                <w:szCs w:val="24"/>
                <w:highlight w:val="none"/>
              </w:rPr>
              <w:t>本项目</w:t>
            </w:r>
            <w:r>
              <w:rPr>
                <w:rFonts w:ascii="Times New Roman" w:cs="Times New Roman" w:hAnsi="Times New Roman" w:hint="eastAsia"/>
                <w:snapToGrid w:val="0"/>
                <w:color w:val="auto"/>
                <w:sz w:val="24"/>
                <w:szCs w:val="24"/>
                <w:lang w:val="en-US" w:eastAsia="zh-CN"/>
                <w:highlight w:val="none"/>
              </w:rPr>
              <w:t>不新增</w:t>
            </w:r>
            <w:r>
              <w:rPr>
                <w:rFonts w:ascii="Times New Roman" w:cs="Times New Roman" w:hAnsi="Times New Roman"/>
                <w:snapToGrid w:val="0"/>
                <w:color w:val="auto"/>
                <w:sz w:val="24"/>
                <w:szCs w:val="24"/>
                <w:highlight w:val="none"/>
              </w:rPr>
              <w:t>劳动定员</w:t>
            </w:r>
            <w:r>
              <w:rPr>
                <w:rFonts w:ascii="Times New Roman" w:cs="Times New Roman" w:hAnsi="Times New Roman" w:hint="eastAsia"/>
                <w:snapToGrid w:val="0"/>
                <w:color w:val="auto"/>
                <w:sz w:val="24"/>
                <w:szCs w:val="24"/>
                <w:lang w:eastAsia="zh-CN"/>
                <w:highlight w:val="none"/>
              </w:rPr>
              <w:t>，</w:t>
            </w:r>
            <w:r>
              <w:rPr>
                <w:rFonts w:ascii="Times New Roman" w:cs="Times New Roman" w:hAnsi="Times New Roman" w:hint="eastAsia"/>
                <w:snapToGrid w:val="0"/>
                <w:color w:val="auto"/>
                <w:sz w:val="24"/>
                <w:szCs w:val="24"/>
                <w:lang w:val="en-US" w:eastAsia="zh-CN"/>
                <w:highlight w:val="none"/>
              </w:rPr>
              <w:t>仍为20</w:t>
            </w:r>
            <w:r>
              <w:rPr>
                <w:rFonts w:ascii="Times New Roman" w:cs="Times New Roman" w:hAnsi="Times New Roman"/>
                <w:snapToGrid w:val="0"/>
                <w:color w:val="auto"/>
                <w:sz w:val="24"/>
                <w:szCs w:val="24"/>
                <w:highlight w:val="none"/>
              </w:rPr>
              <w:t>人，生活用水量为</w:t>
            </w:r>
            <w:r>
              <w:rPr>
                <w:rFonts w:ascii="Times New Roman" w:cs="Times New Roman" w:hAnsi="Times New Roman" w:hint="eastAsia"/>
                <w:snapToGrid w:val="0"/>
                <w:color w:val="auto"/>
                <w:sz w:val="24"/>
                <w:szCs w:val="24"/>
                <w:lang w:val="en-US" w:eastAsia="zh-CN"/>
                <w:highlight w:val="none"/>
              </w:rPr>
              <w:t>0.8</w:t>
            </w:r>
            <w:r>
              <w:rPr>
                <w:rFonts w:ascii="Times New Roman" w:cs="Times New Roman" w:hAnsi="Times New Roman"/>
                <w:snapToGrid w:val="0"/>
                <w:color w:val="auto"/>
                <w:sz w:val="24"/>
                <w:szCs w:val="24"/>
                <w:highlight w:val="none"/>
              </w:rPr>
              <w:t>m³/d（</w:t>
            </w:r>
            <w:r>
              <w:rPr>
                <w:rFonts w:ascii="Times New Roman" w:cs="Times New Roman" w:hAnsi="Times New Roman" w:hint="eastAsia"/>
                <w:snapToGrid w:val="0"/>
                <w:color w:val="auto"/>
                <w:sz w:val="24"/>
                <w:szCs w:val="24"/>
                <w:lang w:val="en-US" w:eastAsia="zh-CN"/>
                <w:highlight w:val="none"/>
              </w:rPr>
              <w:t>240</w:t>
            </w:r>
            <w:r>
              <w:rPr>
                <w:rFonts w:ascii="Times New Roman" w:cs="Times New Roman" w:hAnsi="Times New Roman"/>
                <w:snapToGrid w:val="0"/>
                <w:color w:val="auto"/>
                <w:sz w:val="24"/>
                <w:szCs w:val="24"/>
                <w:highlight w:val="none"/>
              </w:rPr>
              <w:t>m³/a）</w:t>
            </w:r>
            <w:r>
              <w:rPr>
                <w:rFonts w:ascii="Times New Roman" w:cs="Times New Roman" w:hAnsi="Times New Roman" w:hint="eastAsia"/>
                <w:snapToGrid w:val="0"/>
                <w:color w:val="auto"/>
                <w:sz w:val="24"/>
                <w:szCs w:val="24"/>
                <w:lang w:eastAsia="zh-CN"/>
                <w:highlight w:val="none"/>
              </w:rPr>
              <w:t>；</w:t>
            </w:r>
          </w:p>
          <w:p>
            <w:pPr>
              <w:keepNext w:val="0"/>
              <w:keepLines w:val="0"/>
              <w:pageBreakBefore w:val="0"/>
              <w:widowControl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Chars="200" w:firstLine="480"/>
              <w:jc w:val="both"/>
              <w:textAlignment w:val="auto"/>
              <w:rPr>
                <w:rFonts w:cs="Times New Roman" w:hint="eastAsia"/>
                <w:snapToGrid w:val="0"/>
                <w:color w:val="auto"/>
                <w:sz w:val="24"/>
                <w:szCs w:val="24"/>
                <w:lang w:eastAsia="zh-CN"/>
                <w:highlight w:val="none"/>
              </w:rPr>
            </w:pPr>
            <w:r>
              <w:rPr>
                <w:rFonts w:ascii="Times New Roman" w:cs="Times New Roman" w:hAnsi="Times New Roman" w:hint="eastAsia"/>
                <w:snapToGrid w:val="0"/>
                <w:color w:val="auto"/>
                <w:sz w:val="24"/>
                <w:szCs w:val="24"/>
                <w:lang w:val="en-US" w:eastAsia="zh-CN"/>
                <w:highlight w:val="none"/>
              </w:rPr>
              <w:t>生产用水：</w:t>
            </w:r>
            <w:r>
              <w:rPr>
                <w:rFonts w:ascii="Times New Roman" w:cs="Times New Roman" w:hAnsi="Times New Roman"/>
                <w:color w:val="auto"/>
                <w:sz w:val="24"/>
                <w:szCs w:val="24"/>
                <w:highlight w:val="none"/>
              </w:rPr>
              <w:t>本项目生产用水为设备冷却水和切削液配备用水，设备冷却水循环用水量为</w:t>
            </w:r>
            <w:r>
              <w:rPr>
                <w:rFonts w:ascii="Times New Roman" w:cs="Times New Roman" w:hAnsi="Times New Roman" w:hint="eastAsia"/>
                <w:color w:val="auto"/>
                <w:sz w:val="24"/>
                <w:szCs w:val="24"/>
                <w:lang w:val="en-US" w:eastAsia="zh-CN"/>
                <w:highlight w:val="none"/>
              </w:rPr>
              <w:t>40</w:t>
            </w:r>
            <w:r>
              <w:rPr>
                <w:rFonts w:ascii="Times New Roman" w:cs="Times New Roman" w:hAnsi="Times New Roman"/>
                <w:color w:val="auto"/>
                <w:sz w:val="24"/>
                <w:szCs w:val="24"/>
                <w:highlight w:val="none"/>
              </w:rPr>
              <w:t>m</w:t>
            </w:r>
            <w:r>
              <w:rPr>
                <w:rFonts w:ascii="Times New Roman" w:cs="Times New Roman" w:hAnsi="Times New Roman"/>
                <w:color w:val="auto"/>
                <w:sz w:val="24"/>
                <w:szCs w:val="24"/>
                <w:vertAlign w:val="superscript"/>
                <w:highlight w:val="none"/>
              </w:rPr>
              <w:t>3</w:t>
            </w:r>
            <w:r>
              <w:rPr>
                <w:rFonts w:ascii="Times New Roman" w:cs="Times New Roman" w:hAnsi="Times New Roman"/>
                <w:color w:val="auto"/>
                <w:sz w:val="24"/>
                <w:szCs w:val="24"/>
                <w:highlight w:val="none"/>
              </w:rPr>
              <w:t>/d</w:t>
            </w:r>
            <w:r>
              <w:rPr>
                <w:rFonts w:ascii="Times New Roman" w:cs="Times New Roman" w:hAnsi="Times New Roman" w:hint="eastAsia"/>
                <w:color w:val="auto"/>
                <w:sz w:val="24"/>
                <w:szCs w:val="24"/>
                <w:lang w:eastAsia="zh-CN"/>
                <w:highlight w:val="none"/>
              </w:rPr>
              <w:t>，</w:t>
            </w:r>
            <w:r>
              <w:rPr>
                <w:rFonts w:ascii="Times New Roman" w:cs="Times New Roman" w:hAnsi="Times New Roman" w:hint="eastAsia"/>
                <w:color w:val="auto"/>
                <w:sz w:val="24"/>
                <w:szCs w:val="24"/>
                <w:lang w:val="en-US" w:eastAsia="zh-CN"/>
                <w:highlight w:val="none"/>
              </w:rPr>
              <w:t>损耗水量为循环水量为2%</w:t>
            </w:r>
            <w:r>
              <w:rPr>
                <w:rFonts w:ascii="Times New Roman" w:cs="Times New Roman" w:hAnsi="Times New Roman"/>
                <w:color w:val="auto"/>
                <w:sz w:val="24"/>
                <w:szCs w:val="24"/>
                <w:highlight w:val="none"/>
              </w:rPr>
              <w:t>，</w:t>
            </w:r>
            <w:r>
              <w:rPr>
                <w:rFonts w:ascii="Times New Roman" w:cs="Times New Roman" w:hAnsi="Times New Roman" w:hint="eastAsia"/>
                <w:color w:val="auto"/>
                <w:sz w:val="24"/>
                <w:szCs w:val="24"/>
                <w:lang w:val="en-US" w:eastAsia="zh-CN"/>
                <w:highlight w:val="none"/>
              </w:rPr>
              <w:t>则</w:t>
            </w:r>
            <w:r>
              <w:rPr>
                <w:rFonts w:ascii="Times New Roman" w:cs="Times New Roman" w:hAnsi="Times New Roman"/>
                <w:color w:val="auto"/>
                <w:sz w:val="24"/>
                <w:szCs w:val="24"/>
                <w:highlight w:val="none"/>
              </w:rPr>
              <w:t>需新鲜水量</w:t>
            </w:r>
            <w:r>
              <w:rPr>
                <w:rFonts w:ascii="Times New Roman" w:cs="Times New Roman" w:hAnsi="Times New Roman" w:hint="eastAsia"/>
                <w:color w:val="auto"/>
                <w:sz w:val="24"/>
                <w:szCs w:val="24"/>
                <w:lang w:val="en-US" w:eastAsia="zh-CN"/>
                <w:highlight w:val="none"/>
              </w:rPr>
              <w:t>0.8</w:t>
            </w:r>
            <w:r>
              <w:rPr>
                <w:rFonts w:ascii="Times New Roman" w:cs="Times New Roman" w:hAnsi="Times New Roman"/>
                <w:color w:val="auto"/>
                <w:sz w:val="24"/>
                <w:szCs w:val="24"/>
                <w:highlight w:val="none"/>
              </w:rPr>
              <w:t>m</w:t>
            </w:r>
            <w:r>
              <w:rPr>
                <w:rFonts w:ascii="Times New Roman" w:cs="Times New Roman" w:hAnsi="Times New Roman"/>
                <w:color w:val="auto"/>
                <w:sz w:val="24"/>
                <w:szCs w:val="24"/>
                <w:vertAlign w:val="superscript"/>
                <w:highlight w:val="none"/>
              </w:rPr>
              <w:t>3</w:t>
            </w:r>
            <w:r>
              <w:rPr>
                <w:rFonts w:ascii="Times New Roman" w:cs="Times New Roman" w:hAnsi="Times New Roman"/>
                <w:color w:val="auto"/>
                <w:sz w:val="24"/>
                <w:szCs w:val="24"/>
                <w:highlight w:val="none"/>
              </w:rPr>
              <w:t>/d</w:t>
            </w:r>
            <w:r>
              <w:rPr>
                <w:rFonts w:ascii="Times New Roman" w:cs="Times New Roman" w:hAnsi="Times New Roman" w:hint="eastAsia"/>
                <w:color w:val="auto"/>
                <w:sz w:val="24"/>
                <w:szCs w:val="24"/>
                <w:lang w:eastAsia="zh-CN"/>
                <w:highlight w:val="none"/>
              </w:rPr>
              <w:t>（</w:t>
            </w:r>
            <w:r>
              <w:rPr>
                <w:rFonts w:ascii="Times New Roman" w:cs="Times New Roman" w:hAnsi="Times New Roman" w:hint="eastAsia"/>
                <w:snapToGrid w:val="0"/>
                <w:color w:val="auto"/>
                <w:sz w:val="24"/>
                <w:szCs w:val="24"/>
                <w:lang w:val="en-US" w:eastAsia="zh-CN"/>
                <w:highlight w:val="none"/>
              </w:rPr>
              <w:t>240</w:t>
            </w:r>
            <w:r>
              <w:rPr>
                <w:rFonts w:ascii="Times New Roman" w:cs="Times New Roman" w:hAnsi="Times New Roman"/>
                <w:snapToGrid w:val="0"/>
                <w:color w:val="auto"/>
                <w:sz w:val="24"/>
                <w:szCs w:val="24"/>
                <w:highlight w:val="none"/>
              </w:rPr>
              <w:t>m³/a</w:t>
            </w:r>
            <w:r>
              <w:rPr>
                <w:rFonts w:ascii="Times New Roman" w:cs="Times New Roman" w:hAnsi="Times New Roman" w:hint="eastAsia"/>
                <w:color w:val="auto"/>
                <w:sz w:val="24"/>
                <w:szCs w:val="24"/>
                <w:lang w:eastAsia="zh-CN"/>
                <w:highlight w:val="none"/>
              </w:rPr>
              <w:t>）</w:t>
            </w:r>
            <w:r>
              <w:rPr>
                <w:rFonts w:ascii="Times New Roman" w:cs="Times New Roman" w:hAnsi="Times New Roman"/>
                <w:color w:val="auto"/>
                <w:sz w:val="24"/>
                <w:szCs w:val="24"/>
                <w:highlight w:val="none"/>
              </w:rPr>
              <w:t>，冷却用水全部循环使用；项目</w:t>
            </w:r>
            <w:r>
              <w:rPr>
                <w:rFonts w:ascii="Times New Roman" w:cs="Times New Roman" w:hAnsi="Times New Roman" w:hint="eastAsia"/>
                <w:color w:val="auto"/>
                <w:sz w:val="24"/>
                <w:szCs w:val="24"/>
                <w:lang w:eastAsia="zh-CN"/>
                <w:highlight w:val="none"/>
              </w:rPr>
              <w:t>切削液</w:t>
            </w:r>
            <w:r>
              <w:rPr>
                <w:rFonts w:ascii="Times New Roman" w:cs="Times New Roman" w:hAnsi="Times New Roman" w:hint="eastAsia"/>
                <w:color w:val="auto"/>
                <w:sz w:val="24"/>
                <w:szCs w:val="24"/>
                <w:lang w:val="en-US" w:eastAsia="zh-CN"/>
                <w:highlight w:val="none"/>
              </w:rPr>
              <w:t>用量为30kg/a，配比需要按照1:10，则切削液配比</w:t>
            </w:r>
            <w:r>
              <w:rPr>
                <w:rFonts w:ascii="Times New Roman" w:cs="Times New Roman" w:hAnsi="Times New Roman" w:hint="eastAsia"/>
                <w:color w:val="auto"/>
                <w:sz w:val="24"/>
                <w:szCs w:val="24"/>
                <w:lang w:eastAsia="zh-CN"/>
                <w:highlight w:val="none"/>
              </w:rPr>
              <w:t>用水</w:t>
            </w:r>
            <w:r>
              <w:rPr>
                <w:rFonts w:ascii="Times New Roman" w:cs="Times New Roman" w:hAnsi="Times New Roman"/>
                <w:color w:val="auto"/>
                <w:sz w:val="24"/>
                <w:szCs w:val="24"/>
                <w:highlight w:val="none"/>
              </w:rPr>
              <w:t>量为</w:t>
            </w:r>
            <w:r>
              <w:rPr>
                <w:rFonts w:ascii="Times New Roman" w:cs="Times New Roman" w:hAnsi="Times New Roman" w:hint="eastAsia"/>
                <w:color w:val="auto"/>
                <w:sz w:val="24"/>
                <w:szCs w:val="24"/>
                <w:lang w:val="en-US" w:eastAsia="zh-CN"/>
                <w:highlight w:val="none"/>
              </w:rPr>
              <w:t>0.3</w:t>
            </w:r>
            <w:r>
              <w:rPr>
                <w:rFonts w:ascii="Times New Roman" w:cs="Times New Roman" w:hAnsi="Times New Roman"/>
                <w:color w:val="auto"/>
                <w:sz w:val="24"/>
                <w:szCs w:val="24"/>
                <w:highlight w:val="none"/>
              </w:rPr>
              <w:t>m</w:t>
            </w:r>
            <w:r>
              <w:rPr>
                <w:rFonts w:ascii="Times New Roman" w:cs="Times New Roman" w:hAnsi="Times New Roman"/>
                <w:color w:val="auto"/>
                <w:sz w:val="24"/>
                <w:szCs w:val="24"/>
                <w:vertAlign w:val="superscript"/>
                <w:highlight w:val="none"/>
              </w:rPr>
              <w:t>3</w:t>
            </w:r>
            <w:r>
              <w:rPr>
                <w:rFonts w:ascii="Times New Roman" w:cs="Times New Roman" w:hAnsi="Times New Roman"/>
                <w:color w:val="auto"/>
                <w:sz w:val="24"/>
                <w:szCs w:val="24"/>
                <w:highlight w:val="none"/>
              </w:rPr>
              <w:t>/a（0.001m</w:t>
            </w:r>
            <w:r>
              <w:rPr>
                <w:rFonts w:ascii="Times New Roman" w:cs="Times New Roman" w:hAnsi="Times New Roman"/>
                <w:color w:val="auto"/>
                <w:sz w:val="24"/>
                <w:szCs w:val="24"/>
                <w:vertAlign w:val="superscript"/>
                <w:highlight w:val="none"/>
              </w:rPr>
              <w:t>3</w:t>
            </w:r>
            <w:r>
              <w:rPr>
                <w:rFonts w:ascii="Times New Roman" w:cs="Times New Roman" w:hAnsi="Times New Roman"/>
                <w:color w:val="auto"/>
                <w:sz w:val="24"/>
                <w:szCs w:val="24"/>
                <w:highlight w:val="none"/>
              </w:rPr>
              <w:t>/d）</w:t>
            </w:r>
            <w:r>
              <w:rPr>
                <w:rFonts w:ascii="Times New Roman" w:cs="Times New Roman" w:hAnsi="Times New Roman" w:hint="eastAsia"/>
                <w:snapToGrid w:val="0"/>
                <w:color w:val="auto"/>
                <w:sz w:val="24"/>
                <w:szCs w:val="24"/>
                <w:lang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排水</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设备冷却水循环使用不外排；切削液配制水全部消耗不外排；废水主要为职工生活污水，</w:t>
            </w:r>
            <w:r>
              <w:rPr>
                <w:rFonts w:ascii="Times New Roman" w:cs="Times New Roman" w:hAnsi="Times New Roman"/>
                <w:caps w:val="0"/>
                <w:smallCaps w:val="0"/>
                <w:color w:val="auto"/>
                <w:spacing w:val="0"/>
                <w:sz w:val="24"/>
                <w:szCs w:val="20"/>
                <w:lang w:val="en-US" w:eastAsia="zh-CN"/>
                <w:highlight w:val="none"/>
              </w:rPr>
              <w:t>职工生活污水产生量</w:t>
            </w:r>
            <w:r>
              <w:rPr>
                <w:rFonts w:ascii="Times New Roman" w:cs="Times New Roman" w:hAnsi="Times New Roman" w:hint="eastAsia"/>
                <w:caps w:val="0"/>
                <w:smallCaps w:val="0"/>
                <w:color w:val="auto"/>
                <w:spacing w:val="0"/>
                <w:sz w:val="24"/>
                <w:szCs w:val="20"/>
                <w:lang w:val="en-US" w:eastAsia="zh-CN"/>
                <w:highlight w:val="none"/>
              </w:rPr>
              <w:t>0.64</w:t>
            </w:r>
            <w:r>
              <w:rPr>
                <w:rFonts w:ascii="Times New Roman" w:cs="Times New Roman" w:hAnsi="Times New Roman"/>
                <w:caps w:val="0"/>
                <w:smallCaps w:val="0"/>
                <w:color w:val="auto"/>
                <w:spacing w:val="0"/>
                <w:sz w:val="24"/>
                <w:szCs w:val="20"/>
                <w:lang w:val="en-US" w:eastAsia="zh-CN"/>
                <w:highlight w:val="none"/>
              </w:rPr>
              <w:t>m</w:t>
            </w:r>
            <w:r>
              <w:rPr>
                <w:rFonts w:ascii="Times New Roman" w:cs="Times New Roman" w:hAnsi="Times New Roman"/>
                <w:caps w:val="0"/>
                <w:smallCaps w:val="0"/>
                <w:color w:val="auto"/>
                <w:spacing w:val="0"/>
                <w:sz w:val="24"/>
                <w:szCs w:val="20"/>
                <w:vertAlign w:val="superscript"/>
                <w:lang w:val="en-US" w:eastAsia="zh-CN"/>
                <w:highlight w:val="none"/>
              </w:rPr>
              <w:t>3</w:t>
            </w:r>
            <w:r>
              <w:rPr>
                <w:rFonts w:ascii="Times New Roman" w:cs="Times New Roman" w:hAnsi="Times New Roman"/>
                <w:caps w:val="0"/>
                <w:smallCaps w:val="0"/>
                <w:color w:val="auto"/>
                <w:spacing w:val="0"/>
                <w:sz w:val="24"/>
                <w:szCs w:val="20"/>
                <w:lang w:val="en-US" w:eastAsia="zh-CN"/>
                <w:highlight w:val="none"/>
              </w:rPr>
              <w:t>/d</w:t>
            </w:r>
            <w:r>
              <w:rPr>
                <w:rFonts w:ascii="Times New Roman" w:cs="Times New Roman" w:hAnsi="Times New Roman" w:hint="eastAsia"/>
                <w:caps w:val="0"/>
                <w:smallCaps w:val="0"/>
                <w:color w:val="auto"/>
                <w:spacing w:val="0"/>
                <w:sz w:val="24"/>
                <w:szCs w:val="20"/>
                <w:lang w:val="en-US" w:eastAsia="zh-CN"/>
                <w:highlight w:val="none"/>
              </w:rPr>
              <w:t>，经集成式生物化粪池处理后经园区污水管网排入绿源污水处理有限公司进一步处理。</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项目给排水平衡见下表：</w:t>
            </w:r>
          </w:p>
          <w:p>
            <w:pPr>
              <w:pStyle w:val="147"/>
              <w:keepNext w:val="0"/>
              <w:keepLines w:val="0"/>
              <w:suppressLineNumbers w:val="0"/>
              <w:spacing w:before="0" w:beforeAutospacing="0" w:after="0" w:afterAutospacing="0"/>
              <w:ind w:left="0" w:right="0"/>
              <w:rPr>
                <w:rFonts w:ascii="Times New Roman" w:eastAsia="宋体" w:cs="Times New Roman" w:hAnsi="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hint="eastAsia"/>
                <w:caps w:val="0"/>
                <w:smallCaps w:val="0"/>
                <w:color w:val="auto"/>
                <w:spacing w:val="0"/>
                <w:sz w:val="24"/>
                <w:szCs w:val="20"/>
                <w:lang w:val="en-US" w:eastAsia="zh-CN"/>
                <w:highlight w:val="none"/>
              </w:rPr>
              <w:t>5</w:t>
            </w:r>
            <w:r>
              <w:rPr>
                <w:rFonts w:ascii="Times New Roman" w:cs="Times New Roman" w:hAnsi="Times New Roman"/>
                <w:caps w:val="0"/>
                <w:smallCaps w:val="0"/>
                <w:color w:val="auto"/>
                <w:spacing w:val="0"/>
                <w:sz w:val="24"/>
                <w:szCs w:val="20"/>
                <w:highlight w:val="none"/>
              </w:rPr>
              <w:t xml:space="preserve">    本项目给排水平衡表   单位：m³/</w:t>
            </w:r>
            <w:r>
              <w:rPr>
                <w:rFonts w:ascii="Times New Roman" w:cs="Times New Roman" w:hAnsi="Times New Roman" w:hint="eastAsia"/>
                <w:caps w:val="0"/>
                <w:smallCaps w:val="0"/>
                <w:color w:val="auto"/>
                <w:spacing w:val="0"/>
                <w:sz w:val="24"/>
                <w:szCs w:val="20"/>
                <w:lang w:val="en-US" w:eastAsia="zh-CN"/>
                <w:highlight w:val="none"/>
              </w:rPr>
              <w:t>d</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589"/>
              <w:gridCol w:w="987"/>
              <w:gridCol w:w="987"/>
              <w:gridCol w:w="987"/>
              <w:gridCol w:w="987"/>
              <w:gridCol w:w="987"/>
              <w:gridCol w:w="1630"/>
            </w:tblGrid>
            <w:tr>
              <w:trPr>
                <w:trHeight w:val="369"/>
              </w:trPr>
              <w:tc>
                <w:tcPr>
                  <w:tcW w:w="97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用水工序</w:t>
                  </w:r>
                </w:p>
              </w:tc>
              <w:tc>
                <w:tcPr>
                  <w:tcW w:w="60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总用水量</w:t>
                  </w:r>
                </w:p>
              </w:tc>
              <w:tc>
                <w:tcPr>
                  <w:tcW w:w="60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新鲜水量</w:t>
                  </w:r>
                </w:p>
              </w:tc>
              <w:tc>
                <w:tcPr>
                  <w:tcW w:w="60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回用水量</w:t>
                  </w:r>
                </w:p>
              </w:tc>
              <w:tc>
                <w:tcPr>
                  <w:tcW w:w="60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损耗水量</w:t>
                  </w:r>
                </w:p>
              </w:tc>
              <w:tc>
                <w:tcPr>
                  <w:tcW w:w="60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废水产生量</w:t>
                  </w:r>
                </w:p>
              </w:tc>
              <w:tc>
                <w:tcPr>
                  <w:tcW w:w="999"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废水去向</w:t>
                  </w:r>
                </w:p>
              </w:tc>
            </w:tr>
            <w:tr>
              <w:trPr>
                <w:trHeight w:val="369"/>
              </w:trPr>
              <w:tc>
                <w:tcPr>
                  <w:tcW w:w="97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设备冷却水</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40.8</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0.8</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40</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0.8</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w:t>
                  </w:r>
                </w:p>
              </w:tc>
              <w:tc>
                <w:tcPr>
                  <w:tcW w:w="999"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w:t>
                  </w:r>
                </w:p>
              </w:tc>
            </w:tr>
            <w:tr>
              <w:trPr>
                <w:trHeight w:val="369"/>
              </w:trPr>
              <w:tc>
                <w:tcPr>
                  <w:tcW w:w="97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切削液用水</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0.001</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0.001</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0.001</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w:t>
                  </w:r>
                </w:p>
              </w:tc>
              <w:tc>
                <w:tcPr>
                  <w:tcW w:w="999"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w:t>
                  </w:r>
                </w:p>
              </w:tc>
            </w:tr>
            <w:tr>
              <w:trPr>
                <w:trHeight w:val="369"/>
              </w:trPr>
              <w:tc>
                <w:tcPr>
                  <w:tcW w:w="97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职工生活用水</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0.8</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0.8</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0.16</w:t>
                  </w:r>
                </w:p>
              </w:tc>
              <w:tc>
                <w:tcPr>
                  <w:tcW w:w="60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color w:val="auto"/>
                      <w:lang w:val="en-US" w:eastAsia="zh-CN"/>
                      <w:highlight w:val="none"/>
                    </w:rPr>
                  </w:pPr>
                  <w:r>
                    <w:rPr>
                      <w:rFonts w:ascii="Times New Roman" w:cs="Times New Roman" w:hAnsi="Times New Roman" w:hint="eastAsia"/>
                      <w:color w:val="auto"/>
                      <w:sz w:val="21"/>
                      <w:szCs w:val="20"/>
                      <w:lang w:val="en-US" w:eastAsia="zh-CN"/>
                      <w:highlight w:val="none"/>
                    </w:rPr>
                    <w:t>0.64</w:t>
                  </w:r>
                </w:p>
              </w:tc>
              <w:tc>
                <w:tcPr>
                  <w:tcW w:w="999"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szCs w:val="20"/>
                      <w:lang w:val="en-US" w:eastAsia="zh-CN"/>
                      <w:highlight w:val="none"/>
                    </w:rPr>
                  </w:pPr>
                  <w:r>
                    <w:rPr>
                      <w:rFonts w:ascii="Times New Roman" w:cs="Times New Roman" w:hAnsi="Times New Roman" w:hint="eastAsia"/>
                      <w:color w:val="auto"/>
                      <w:sz w:val="21"/>
                      <w:szCs w:val="20"/>
                      <w:lang w:eastAsia="zh-CN"/>
                      <w:highlight w:val="none"/>
                    </w:rPr>
                    <w:t>经集成式生物化粪池处理后经园区污水管网排入绿源污水处理有限公司进一步处理</w:t>
                  </w:r>
                </w:p>
              </w:tc>
            </w:tr>
            <w:tr>
              <w:trPr>
                <w:trHeight w:val="369"/>
              </w:trPr>
              <w:tc>
                <w:tcPr>
                  <w:tcW w:w="97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合计</w:t>
                  </w:r>
                </w:p>
              </w:tc>
              <w:tc>
                <w:tcPr>
                  <w:tcW w:w="2467"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hint="eastAsia"/>
                      <w:bCs/>
                      <w:caps w:val="0"/>
                      <w:smallCaps w:val="0"/>
                      <w:color w:val="auto"/>
                      <w:spacing w:val="0"/>
                      <w:kern w:val="0"/>
                      <w:sz w:val="21"/>
                      <w:szCs w:val="20"/>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41.601</w:t>
                  </w:r>
                </w:p>
              </w:tc>
              <w:tc>
                <w:tcPr>
                  <w:tcW w:w="2467"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hint="eastAsia"/>
                      <w:bCs/>
                      <w:caps w:val="0"/>
                      <w:smallCaps w:val="0"/>
                      <w:color w:val="auto"/>
                      <w:spacing w:val="0"/>
                      <w:kern w:val="0"/>
                      <w:sz w:val="21"/>
                      <w:szCs w:val="20"/>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1.601</w:t>
                  </w:r>
                </w:p>
              </w:tc>
              <w:tc>
                <w:tcPr>
                  <w:tcW w:w="2467"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hint="eastAsia"/>
                      <w:bCs/>
                      <w:caps w:val="0"/>
                      <w:smallCaps w:val="0"/>
                      <w:color w:val="auto"/>
                      <w:spacing w:val="0"/>
                      <w:kern w:val="0"/>
                      <w:sz w:val="21"/>
                      <w:szCs w:val="20"/>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40</w:t>
                  </w:r>
                </w:p>
              </w:tc>
              <w:tc>
                <w:tcPr>
                  <w:tcW w:w="2467"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hint="eastAsia"/>
                      <w:bCs/>
                      <w:caps w:val="0"/>
                      <w:smallCaps w:val="0"/>
                      <w:color w:val="auto"/>
                      <w:spacing w:val="0"/>
                      <w:kern w:val="0"/>
                      <w:sz w:val="21"/>
                      <w:szCs w:val="20"/>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0.961</w:t>
                  </w:r>
                </w:p>
              </w:tc>
              <w:tc>
                <w:tcPr>
                  <w:tcW w:w="2470" w:type="pct"/>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hint="eastAsia"/>
                      <w:color w:val="auto"/>
                      <w:szCs w:val="20"/>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0.64</w:t>
                  </w:r>
                </w:p>
              </w:tc>
              <w:tc>
                <w:tcPr>
                  <w:tcW w:w="999"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w:t>
                  </w:r>
                </w:p>
              </w:tc>
            </w:tr>
          </w:tbl>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86" behindDoc="0" locked="0" layoutInCell="1" hidden="0" allowOverlap="1">
                      <wp:simplePos x="0" y="0"/>
                      <wp:positionH relativeFrom="column">
                        <wp:posOffset>384175</wp:posOffset>
                      </wp:positionH>
                      <wp:positionV relativeFrom="paragraph">
                        <wp:posOffset>33654</wp:posOffset>
                      </wp:positionV>
                      <wp:extent cx="4567555" cy="2117101"/>
                      <wp:wrapNone/>
                      <wp:docPr id="162" name="组合 162"/>
                      <wp:cNvGraphicFramePr>
                        <a:graphicFrameLocks noChangeAspect="0"/>
                      </wp:cNvGraphicFramePr>
                      <a:graphic>
                        <a:graphicData uri="http://schemas.microsoft.com/office/word/2010/wordprocessingGroup">
                          <wpg:wgp>
                            <wpg:cNvPr id="1" name="组合 1"/>
                            <wpg:cNvGrpSpPr/>
                            <wpg:grpSpPr>
                              <a:xfrm rot="0">
                                <a:off x="0" y="0"/>
                                <a:ext cx="4567555" cy="2117101"/>
                                <a:chOff x="0" y="0"/>
                                <a:chExt cx="4567555" cy="2117101"/>
                              </a:xfrm>
                              <a:prstGeom prst="rect"/>
                              <a:solidFill>
                                <a:srgbClr val="FFFFFF"/>
                              </a:solidFill>
                              <a:ln w="9525" cmpd="sng" cap="flat">
                                <a:solidFill>
                                  <a:srgbClr val="000000"/>
                                </a:solidFill>
                                <a:prstDash val="solid"/>
                                <a:miter/>
                              </a:ln>
                            </wpg:grpSpPr>
                            <wps:wsp>
                              <wps:cNvPr id="2" name="矩形 22 2"/>
                              <wps:cNvSpPr/>
                              <wps:spPr>
                                <a:xfrm rot="0">
                                  <a:off x="1143634" y="1698655"/>
                                  <a:ext cx="762635" cy="296529"/>
                                </a:xfrm>
                                <a:prstGeom prst="rect"/>
                                <a:noFill/>
                                <a:ln w="9525" cmpd="sng" cap="flat">
                                  <a:solidFill>
                                    <a:srgbClr val="000000"/>
                                  </a:solidFill>
                                  <a:prstDash val="solid"/>
                                  <a:miter/>
                                </a:ln>
                              </wps:spPr>
                              <wps:txbx id="3">
                                <w:txbxContent>
                                  <w:p>
                                    <w:pPr>
                                      <w:jc w:val="center"/>
                                      <w:rPr>
                                        <w:rFonts w:eastAsia="宋体" w:hint="eastAsia"/>
                                        <w:lang w:eastAsia="zh-CN"/>
                                      </w:rPr>
                                    </w:pPr>
                                    <w:r>
                                      <w:rPr>
                                        <w:rFonts w:hint="eastAsia"/>
                                        <w:lang w:eastAsia="zh-CN"/>
                                      </w:rPr>
                                      <w:t>生活用水</w:t>
                                    </w:r>
                                  </w:p>
                                </w:txbxContent>
                              </wps:txbx>
                              <wps:bodyPr vert="horz" wrap="square" lIns="91440" tIns="45720" rIns="91440" bIns="45720" anchor="t" anchorCtr="0" upright="1">
                                <a:noAutofit/>
                              </wps:bodyPr>
                            </wps:wsp>
                            <wps:wsp>
                              <wps:cNvPr id="4" name="文本框 29 4"/>
                              <wps:cNvSpPr/>
                              <wps:spPr>
                                <a:xfrm rot="0">
                                  <a:off x="0" y="739801"/>
                                  <a:ext cx="695960" cy="627991"/>
                                </a:xfrm>
                                <a:prstGeom prst="rect"/>
                                <a:noFill/>
                                <a:ln cmpd="sng" cap="flat">
                                  <a:noFill/>
                                  <a:prstDash val="solid"/>
                                  <a:round/>
                                </a:ln>
                              </wps:spPr>
                              <wps:txbx id="5">
                                <w:txbxContent>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eastAsia="宋体"/>
                                        <w:sz w:val="21"/>
                                        <w:szCs w:val="21"/>
                                        <w:lang w:val="en-US" w:eastAsia="zh-CN"/>
                                      </w:rPr>
                                    </w:pPr>
                                    <w:r>
                                      <w:rPr>
                                        <w:rFonts w:hint="eastAsia"/>
                                        <w:sz w:val="21"/>
                                        <w:szCs w:val="21"/>
                                      </w:rPr>
                                      <w:t>新鲜水</w:t>
                                    </w:r>
                                    <w:r>
                                      <w:rPr>
                                        <w:rFonts w:hint="eastAsia"/>
                                        <w:sz w:val="21"/>
                                        <w:szCs w:val="21"/>
                                        <w:lang w:val="en-US" w:eastAsia="zh-CN"/>
                                      </w:rPr>
                                      <w:t>1.601</w:t>
                                    </w:r>
                                  </w:p>
                                </w:txbxContent>
                              </wps:txbx>
                              <wps:bodyPr vert="horz" wrap="square" lIns="91440" tIns="45720" rIns="91440" bIns="45720" anchor="t" anchorCtr="0" upright="1">
                                <a:noAutofit/>
                              </wps:bodyPr>
                            </wps:wsp>
                            <wps:wsp>
                              <wps:cNvPr id="6" name="直接箭头连接符 34 6"/>
                              <wps:cNvSpPr/>
                              <wps:spPr>
                                <a:xfrm rot="0">
                                  <a:off x="676909" y="1845351"/>
                                  <a:ext cx="461009"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7" name="文本框 43 7"/>
                              <wps:cNvSpPr/>
                              <wps:spPr>
                                <a:xfrm rot="0">
                                  <a:off x="690244" y="1591966"/>
                                  <a:ext cx="357504" cy="276225"/>
                                </a:xfrm>
                                <a:prstGeom prst="rect"/>
                                <a:noFill/>
                                <a:ln cmpd="sng" cap="flat">
                                  <a:noFill/>
                                  <a:prstDash val="solid"/>
                                  <a:round/>
                                </a:ln>
                              </wps:spPr>
                              <wps:txbx id="8">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0.8</w:t>
                                    </w:r>
                                  </w:p>
                                </w:txbxContent>
                              </wps:txbx>
                              <wps:bodyPr vert="horz" wrap="square" lIns="91440" tIns="45720" rIns="91440" bIns="45720" anchor="t" anchorCtr="0" upright="1">
                                <a:noAutofit/>
                              </wps:bodyPr>
                            </wps:wsp>
                            <wps:wsp>
                              <wps:cNvPr id="9" name="文本框 44 9"/>
                              <wps:cNvSpPr/>
                              <wps:spPr>
                                <a:xfrm rot="0">
                                  <a:off x="2093595" y="1623716"/>
                                  <a:ext cx="515620" cy="260998"/>
                                </a:xfrm>
                                <a:prstGeom prst="rect"/>
                                <a:noFill/>
                                <a:ln cmpd="sng" cap="flat">
                                  <a:noFill/>
                                  <a:prstDash val="solid"/>
                                  <a:round/>
                                </a:ln>
                              </wps:spPr>
                              <wps:txbx id="10">
                                <w:txbxContent>
                                  <w:p>
                                    <w:pPr>
                                      <w:rPr>
                                        <w:rFonts w:eastAsia="宋体"/>
                                        <w:sz w:val="21"/>
                                        <w:szCs w:val="21"/>
                                        <w:lang w:val="en-US" w:eastAsia="zh-CN"/>
                                      </w:rPr>
                                    </w:pPr>
                                    <w:r>
                                      <w:rPr>
                                        <w:rFonts w:hint="eastAsia"/>
                                        <w:sz w:val="21"/>
                                        <w:szCs w:val="21"/>
                                        <w:lang w:val="en-US" w:eastAsia="zh-CN"/>
                                      </w:rPr>
                                      <w:t>0.64</w:t>
                                    </w:r>
                                  </w:p>
                                </w:txbxContent>
                              </wps:txbx>
                              <wps:bodyPr vert="horz" wrap="square" lIns="91440" tIns="45720" rIns="91440" bIns="45720" anchor="t" anchorCtr="0" upright="1">
                                <a:noAutofit/>
                              </wps:bodyPr>
                            </wps:wsp>
                            <wps:wsp>
                              <wps:cNvPr id="11" name="直接连接符 69 11"/>
                              <wps:cNvSpPr/>
                              <wps:spPr>
                                <a:xfrm rot="0">
                                  <a:off x="1913890" y="1844059"/>
                                  <a:ext cx="677544" cy="646"/>
                                </a:xfrm>
                                <a:prstGeom prst="line"/>
                                <a:noFill/>
                                <a:ln w="6350" cmpd="sng" cap="flat">
                                  <a:solidFill>
                                    <a:srgbClr val="000000"/>
                                  </a:solidFill>
                                  <a:prstDash val="solid"/>
                                  <a:miter/>
                                  <a:tailEnd type="triangle" w="med" len="med"/>
                                </a:ln>
                              </wps:spPr>
                              <wps:bodyPr vert="horz" wrap="square" lIns="91440" tIns="45720" rIns="91440" bIns="45720" anchor="t" anchorCtr="0" upright="1">
                                <a:noAutofit/>
                              </wps:bodyPr>
                            </wps:wsp>
                            <wps:wsp>
                              <wps:cNvPr id="12" name="矩形 70 12"/>
                              <wps:cNvSpPr/>
                              <wps:spPr>
                                <a:xfrm rot="0">
                                  <a:off x="2500630" y="1482740"/>
                                  <a:ext cx="2066925" cy="634359"/>
                                </a:xfrm>
                                <a:prstGeom prst="rect"/>
                                <a:noFill/>
                                <a:ln cmpd="sng" cap="flat">
                                  <a:noFill/>
                                  <a:prstDash val="solid"/>
                                  <a:round/>
                                </a:ln>
                              </wps:spPr>
                              <wps:txbx id="13">
                                <w:txbxContent>
                                  <w:p>
                                    <w:pPr>
                                      <w:jc w:val="center"/>
                                      <w:rPr>
                                        <w:rFonts w:hint="eastAsia"/>
                                        <w:lang w:eastAsia="zh-CN"/>
                                      </w:rPr>
                                    </w:pPr>
                                    <w:r>
                                      <w:rPr>
                                        <w:rFonts w:hint="eastAsia"/>
                                        <w:lang w:eastAsia="zh-CN"/>
                                      </w:rPr>
                                      <w:t>经集成式生物化粪池处理后经园区污水管网排入绿源污水处理有限公司进一步处理</w:t>
                                    </w:r>
                                  </w:p>
                                </w:txbxContent>
                              </wps:txbx>
                              <wps:bodyPr vert="horz" wrap="square" lIns="91440" tIns="45720" rIns="91440" bIns="45720" anchor="t" anchorCtr="0" upright="1">
                                <a:noAutofit/>
                              </wps:bodyPr>
                            </wps:wsp>
                            <wps:wsp>
                              <wps:cNvPr id="14" name="矩形 48 14"/>
                              <wps:cNvSpPr/>
                              <wps:spPr>
                                <a:xfrm rot="0">
                                  <a:off x="1130300" y="202578"/>
                                  <a:ext cx="1311910" cy="296529"/>
                                </a:xfrm>
                                <a:prstGeom prst="rect"/>
                                <a:noFill/>
                                <a:ln w="9525" cmpd="sng" cap="flat">
                                  <a:solidFill>
                                    <a:srgbClr val="000000"/>
                                  </a:solidFill>
                                  <a:prstDash val="solid"/>
                                  <a:miter/>
                                </a:ln>
                              </wps:spPr>
                              <wps:txbx id="15">
                                <w:txbxContent>
                                  <w:p>
                                    <w:pPr>
                                      <w:jc w:val="center"/>
                                      <w:rPr>
                                        <w:rFonts w:eastAsia="宋体"/>
                                        <w:lang w:val="en-US" w:eastAsia="zh-CN"/>
                                      </w:rPr>
                                    </w:pPr>
                                    <w:r>
                                      <w:rPr>
                                        <w:rFonts w:hint="eastAsia"/>
                                        <w:lang w:val="en-US" w:eastAsia="zh-CN"/>
                                      </w:rPr>
                                      <w:t>设备冷却水</w:t>
                                    </w:r>
                                  </w:p>
                                </w:txbxContent>
                              </wps:txbx>
                              <wps:bodyPr vert="horz" wrap="square" lIns="91440" tIns="45720" rIns="91440" bIns="45720" anchor="t" anchorCtr="0" upright="1">
                                <a:noAutofit/>
                              </wps:bodyPr>
                            </wps:wsp>
                            <wps:wsp>
                              <wps:cNvPr id="16" name="直接箭头连接符 50 16"/>
                              <wps:cNvSpPr/>
                              <wps:spPr>
                                <a:xfrm rot="0">
                                  <a:off x="663575" y="349274"/>
                                  <a:ext cx="461009"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17" name="文本框 45 17"/>
                              <wps:cNvSpPr/>
                              <wps:spPr>
                                <a:xfrm rot="0">
                                  <a:off x="676909" y="95890"/>
                                  <a:ext cx="357504" cy="276225"/>
                                </a:xfrm>
                                <a:prstGeom prst="rect"/>
                                <a:noFill/>
                                <a:ln cmpd="sng" cap="flat">
                                  <a:noFill/>
                                  <a:prstDash val="solid"/>
                                  <a:round/>
                                </a:ln>
                              </wps:spPr>
                              <wps:txbx id="18">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0.8</w:t>
                                    </w:r>
                                  </w:p>
                                </w:txbxContent>
                              </wps:txbx>
                              <wps:bodyPr vert="horz" wrap="square" lIns="91440" tIns="45720" rIns="91440" bIns="45720" anchor="t" anchorCtr="0" upright="1">
                                <a:noAutofit/>
                              </wps:bodyPr>
                            </wps:wsp>
                            <wps:wsp>
                              <wps:cNvPr id="19" name="矩形 65 19"/>
                              <wps:cNvSpPr/>
                              <wps:spPr>
                                <a:xfrm rot="0">
                                  <a:off x="1137285" y="913769"/>
                                  <a:ext cx="1311910" cy="296529"/>
                                </a:xfrm>
                                <a:prstGeom prst="rect"/>
                                <a:noFill/>
                                <a:ln w="9525" cmpd="sng" cap="flat">
                                  <a:solidFill>
                                    <a:srgbClr val="000000"/>
                                  </a:solidFill>
                                  <a:prstDash val="solid"/>
                                  <a:miter/>
                                </a:ln>
                              </wps:spPr>
                              <wps:txbx id="20">
                                <w:txbxContent>
                                  <w:p>
                                    <w:pPr>
                                      <w:jc w:val="center"/>
                                      <w:rPr>
                                        <w:rFonts w:eastAsia="宋体"/>
                                        <w:lang w:val="en-US" w:eastAsia="zh-CN"/>
                                      </w:rPr>
                                    </w:pPr>
                                    <w:r>
                                      <w:rPr>
                                        <w:rFonts w:hint="eastAsia"/>
                                        <w:lang w:val="en-US" w:eastAsia="zh-CN"/>
                                      </w:rPr>
                                      <w:t>切削液配制用水</w:t>
                                    </w:r>
                                  </w:p>
                                </w:txbxContent>
                              </wps:txbx>
                              <wps:bodyPr vert="horz" wrap="square" lIns="91440" tIns="45720" rIns="91440" bIns="45720" anchor="t" anchorCtr="0" upright="1">
                                <a:noAutofit/>
                              </wps:bodyPr>
                            </wps:wsp>
                            <wps:wsp>
                              <wps:cNvPr id="21" name="直接箭头连接符 67 21"/>
                              <wps:cNvSpPr/>
                              <wps:spPr>
                                <a:xfrm rot="0">
                                  <a:off x="670559" y="1060465"/>
                                  <a:ext cx="461010"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22" name="文本框 55 22"/>
                              <wps:cNvSpPr/>
                              <wps:spPr>
                                <a:xfrm rot="0">
                                  <a:off x="683895" y="807081"/>
                                  <a:ext cx="494665" cy="276225"/>
                                </a:xfrm>
                                <a:prstGeom prst="rect"/>
                                <a:noFill/>
                                <a:ln cmpd="sng" cap="flat">
                                  <a:noFill/>
                                  <a:prstDash val="solid"/>
                                  <a:round/>
                                </a:ln>
                              </wps:spPr>
                              <wps:txbx id="23">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0.001</w:t>
                                    </w:r>
                                  </w:p>
                                </w:txbxContent>
                              </wps:txbx>
                              <wps:bodyPr vert="horz" wrap="square" lIns="91440" tIns="45720" rIns="91440" bIns="45720" anchor="t" anchorCtr="0" upright="1">
                                <a:noAutofit/>
                              </wps:bodyPr>
                            </wps:wsp>
                            <wps:wsp>
                              <wps:cNvPr id="24" name="直接连接符 71 24"/>
                              <wps:cNvSpPr/>
                              <wps:spPr>
                                <a:xfrm flipV="1" rot="21600000">
                                  <a:off x="1461135" y="127638"/>
                                  <a:ext cx="353059" cy="74294"/>
                                </a:xfrm>
                                <a:prstGeom prst="line"/>
                                <a:noFill/>
                                <a:ln w="9525" cmpd="sng" cap="flat">
                                  <a:solidFill>
                                    <a:srgbClr val="000000"/>
                                  </a:solidFill>
                                  <a:prstDash val="dash"/>
                                  <a:round/>
                                  <a:tailEnd type="triangle" w="med" len="med"/>
                                </a:ln>
                              </wps:spPr>
                              <wps:bodyPr vert="horz" wrap="square" lIns="91440" tIns="45720" rIns="91440" bIns="45720" anchor="t" anchorCtr="0" upright="1">
                                <a:noAutofit/>
                              </wps:bodyPr>
                            </wps:wsp>
                            <wps:wsp>
                              <wps:cNvPr id="25" name="文本框 72 25"/>
                              <wps:cNvSpPr/>
                              <wps:spPr>
                                <a:xfrm rot="0">
                                  <a:off x="1814195" y="0"/>
                                  <a:ext cx="474980" cy="255275"/>
                                </a:xfrm>
                                <a:prstGeom prst="rect"/>
                                <a:noFill/>
                                <a:ln cmpd="sng" cap="flat">
                                  <a:noFill/>
                                  <a:prstDash val="solid"/>
                                  <a:round/>
                                </a:ln>
                              </wps:spPr>
                              <wps:txbx id="26">
                                <w:txbxContent>
                                  <w:p>
                                    <w:pPr>
                                      <w:rPr>
                                        <w:rFonts w:eastAsia="宋体"/>
                                        <w:sz w:val="21"/>
                                        <w:szCs w:val="21"/>
                                        <w:lang w:val="en-US" w:eastAsia="zh-CN"/>
                                      </w:rPr>
                                    </w:pPr>
                                    <w:r>
                                      <w:rPr>
                                        <w:rFonts w:hint="eastAsia"/>
                                        <w:sz w:val="21"/>
                                        <w:szCs w:val="21"/>
                                        <w:lang w:val="en-US" w:eastAsia="zh-CN"/>
                                      </w:rPr>
                                      <w:t>0.8</w:t>
                                    </w:r>
                                  </w:p>
                                </w:txbxContent>
                              </wps:txbx>
                              <wps:bodyPr vert="horz" wrap="square" lIns="91440" tIns="45720" rIns="91440" bIns="45720" anchor="t" anchorCtr="0" upright="1">
                                <a:noAutofit/>
                              </wps:bodyPr>
                            </wps:wsp>
                            <wps:wsp>
                              <wps:cNvPr id="27" name="直接连接符 74 27"/>
                              <wps:cNvSpPr/>
                              <wps:spPr>
                                <a:xfrm flipV="1" rot="21600000">
                                  <a:off x="1250949" y="1630037"/>
                                  <a:ext cx="353059" cy="74293"/>
                                </a:xfrm>
                                <a:prstGeom prst="line"/>
                                <a:noFill/>
                                <a:ln w="9525" cmpd="sng" cap="flat">
                                  <a:solidFill>
                                    <a:srgbClr val="000000"/>
                                  </a:solidFill>
                                  <a:prstDash val="dash"/>
                                  <a:round/>
                                  <a:tailEnd type="triangle" w="med" len="med"/>
                                </a:ln>
                              </wps:spPr>
                              <wps:bodyPr vert="horz" wrap="square" lIns="91440" tIns="45720" rIns="91440" bIns="45720" anchor="t" anchorCtr="0" upright="1">
                                <a:noAutofit/>
                              </wps:bodyPr>
                            </wps:wsp>
                            <wps:wsp>
                              <wps:cNvPr id="28" name="文本框 76 28"/>
                              <wps:cNvSpPr/>
                              <wps:spPr>
                                <a:xfrm rot="0">
                                  <a:off x="1604010" y="1502400"/>
                                  <a:ext cx="474980" cy="255275"/>
                                </a:xfrm>
                                <a:prstGeom prst="rect"/>
                                <a:noFill/>
                                <a:ln cmpd="sng" cap="flat">
                                  <a:noFill/>
                                  <a:prstDash val="solid"/>
                                  <a:round/>
                                </a:ln>
                              </wps:spPr>
                              <wps:txbx id="29">
                                <w:txbxContent>
                                  <w:p>
                                    <w:pPr>
                                      <w:rPr>
                                        <w:rFonts w:eastAsia="宋体"/>
                                        <w:sz w:val="21"/>
                                        <w:szCs w:val="21"/>
                                        <w:lang w:val="en-US" w:eastAsia="zh-CN"/>
                                      </w:rPr>
                                    </w:pPr>
                                    <w:r>
                                      <w:rPr>
                                        <w:rFonts w:hint="eastAsia"/>
                                        <w:sz w:val="21"/>
                                        <w:szCs w:val="21"/>
                                        <w:lang w:val="en-US" w:eastAsia="zh-CN"/>
                                      </w:rPr>
                                      <w:t>0.16</w:t>
                                    </w:r>
                                  </w:p>
                                </w:txbxContent>
                              </wps:txbx>
                              <wps:bodyPr vert="horz" wrap="square" lIns="91440" tIns="45720" rIns="91440" bIns="45720" anchor="t" anchorCtr="0" upright="1">
                                <a:noAutofit/>
                              </wps:bodyPr>
                            </wps:wsp>
                            <wps:wsp>
                              <wps:cNvPr id="30" name="直接连接符 77 30"/>
                              <wps:cNvSpPr/>
                              <wps:spPr>
                                <a:xfrm rot="0">
                                  <a:off x="662305" y="335938"/>
                                  <a:ext cx="0" cy="1510659"/>
                                </a:xfrm>
                                <a:prstGeom prst="line"/>
                                <a:noFill/>
                                <a:ln w="9525" cmpd="sng" cap="flat">
                                  <a:solidFill>
                                    <a:srgbClr val="000000"/>
                                  </a:solidFill>
                                  <a:prstDash val="solid"/>
                                  <a:round/>
                                </a:ln>
                              </wps:spPr>
                              <wps:bodyPr vert="horz" wrap="square" lIns="91440" tIns="45720" rIns="91440" bIns="45720" anchor="t" anchorCtr="0" upright="0">
                                <a:noAutofit/>
                              </wps:bodyPr>
                            </wps:wsp>
                            <wps:wsp>
                              <wps:cNvPr id="31" name="直接箭头连接符 78 31"/>
                              <wps:cNvSpPr/>
                              <wps:spPr>
                                <a:xfrm rot="0">
                                  <a:off x="201929" y="1051560"/>
                                  <a:ext cx="461009"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32" name="任意多边形 79 32"/>
                              <wps:cNvSpPr/>
                              <wps:spPr>
                                <a:xfrm rot="0">
                                  <a:off x="1816734" y="341659"/>
                                  <a:ext cx="1044575" cy="356887"/>
                                </a:xfrm>
                                <a:custGeom>
                                  <a:gdLst>
                                    <a:gd name="T1" fmla="*/ 0 w 21600"/>
                                    <a:gd name="T2" fmla="*/ 0 h 21600"/>
                                    <a:gd name="T3" fmla="*/ 21600 w 21600"/>
                                    <a:gd name="T4" fmla="*/ 21600 h 21600"/>
                                  </a:gdLst>
                                  <a:rect l="T1" t="T2" r="T3" b="T4"/>
                                  <a:pathLst>
                                    <a:path w="21600" h="21600">
                                      <a:moveTo>
                                        <a:pt x="12880" y="-16"/>
                                      </a:moveTo>
                                      <a:lnTo>
                                        <a:pt x="21597" y="-16"/>
                                      </a:lnTo>
                                      <a:lnTo>
                                        <a:pt x="21597" y="21583"/>
                                      </a:lnTo>
                                      <a:lnTo>
                                        <a:pt x="198" y="21583"/>
                                      </a:lnTo>
                                      <a:lnTo>
                                        <a:pt x="198" y="9978"/>
                                      </a:lnTo>
                                      <a:lnTo>
                                        <a:pt x="-1" y="9978"/>
                                      </a:lnTo>
                                    </a:path>
                                  </a:pathLst>
                                </a:custGeom>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33" name="文本框 80 33"/>
                              <wps:cNvSpPr/>
                              <wps:spPr>
                                <a:xfrm rot="0">
                                  <a:off x="2360295" y="473081"/>
                                  <a:ext cx="474980" cy="255275"/>
                                </a:xfrm>
                                <a:prstGeom prst="rect"/>
                                <a:noFill/>
                                <a:ln cmpd="sng" cap="flat">
                                  <a:noFill/>
                                  <a:prstDash val="solid"/>
                                  <a:round/>
                                </a:ln>
                              </wps:spPr>
                              <wps:txbx id="34">
                                <w:txbxContent>
                                  <w:p>
                                    <w:pPr>
                                      <w:rPr>
                                        <w:rFonts w:eastAsia="宋体"/>
                                        <w:sz w:val="21"/>
                                        <w:szCs w:val="21"/>
                                        <w:lang w:val="en-US" w:eastAsia="zh-CN"/>
                                      </w:rPr>
                                    </w:pPr>
                                    <w:r>
                                      <w:rPr>
                                        <w:rFonts w:hint="eastAsia"/>
                                        <w:sz w:val="21"/>
                                        <w:szCs w:val="21"/>
                                        <w:lang w:val="en-US" w:eastAsia="zh-CN"/>
                                      </w:rPr>
                                      <w:t>40</w:t>
                                    </w:r>
                                  </w:p>
                                </w:txbxContent>
                              </wps:txbx>
                              <wps:bodyPr vert="horz" wrap="square" lIns="91440" tIns="45720" rIns="91440" bIns="45720" anchor="t" anchorCtr="0" upright="1">
                                <a:noAutofit/>
                              </wps:bodyPr>
                            </wps:wsp>
                            <wps:wsp>
                              <wps:cNvPr id="35" name="矩形 6 35"/>
                              <wps:cNvSpPr/>
                              <wps:spPr>
                                <a:xfrm rot="0">
                                  <a:off x="2910840" y="914415"/>
                                  <a:ext cx="1311910" cy="296529"/>
                                </a:xfrm>
                                <a:prstGeom prst="rect"/>
                                <a:noFill/>
                                <a:ln w="9525" cmpd="sng" cap="flat">
                                  <a:solidFill>
                                    <a:srgbClr val="000000"/>
                                  </a:solidFill>
                                  <a:prstDash val="solid"/>
                                  <a:miter/>
                                </a:ln>
                              </wps:spPr>
                              <wps:txbx id="36">
                                <w:txbxContent>
                                  <w:p>
                                    <w:pPr>
                                      <w:jc w:val="center"/>
                                      <w:rPr>
                                        <w:rFonts w:eastAsia="宋体"/>
                                        <w:lang w:val="en-US" w:eastAsia="zh-CN"/>
                                      </w:rPr>
                                    </w:pPr>
                                    <w:r>
                                      <w:rPr>
                                        <w:rFonts w:hint="eastAsia"/>
                                        <w:lang w:val="en-US" w:eastAsia="zh-CN"/>
                                      </w:rPr>
                                      <w:t>切削液使用过程中</w:t>
                                    </w:r>
                                  </w:p>
                                </w:txbxContent>
                              </wps:txbx>
                              <wps:bodyPr vert="horz" wrap="square" lIns="91440" tIns="45720" rIns="91440" bIns="45720" anchor="t" anchorCtr="0" upright="1">
                                <a:noAutofit/>
                              </wps:bodyPr>
                            </wps:wsp>
                            <wps:wsp>
                              <wps:cNvPr id="37" name="直接连接符 5 37"/>
                              <wps:cNvSpPr/>
                              <wps:spPr>
                                <a:xfrm flipV="1" rot="21600000">
                                  <a:off x="3229611" y="836937"/>
                                  <a:ext cx="353060" cy="74294"/>
                                </a:xfrm>
                                <a:prstGeom prst="line"/>
                                <a:noFill/>
                                <a:ln w="9525" cmpd="sng" cap="flat">
                                  <a:solidFill>
                                    <a:srgbClr val="000000"/>
                                  </a:solidFill>
                                  <a:prstDash val="dash"/>
                                  <a:round/>
                                  <a:tailEnd type="triangle" w="med" len="med"/>
                                </a:ln>
                              </wps:spPr>
                              <wps:bodyPr vert="horz" wrap="square" lIns="91440" tIns="45720" rIns="91440" bIns="45720" anchor="t" anchorCtr="0" upright="1">
                                <a:noAutofit/>
                              </wps:bodyPr>
                            </wps:wsp>
                            <wps:wsp>
                              <wps:cNvPr id="38" name="直接箭头连接符 7 38"/>
                              <wps:cNvSpPr/>
                              <wps:spPr>
                                <a:xfrm rot="0">
                                  <a:off x="2444115" y="1061112"/>
                                  <a:ext cx="461009" cy="0"/>
                                </a:xfrm>
                                <a:prstGeom prst="straightConnector1"/>
                                <a:noFill/>
                                <a:ln w="9525" cmpd="sng" cap="flat">
                                  <a:solidFill>
                                    <a:srgbClr val="000000"/>
                                  </a:solidFill>
                                  <a:prstDash val="solid"/>
                                  <a:round/>
                                  <a:tailEnd type="triangle" w="med" len="med"/>
                                </a:ln>
                              </wps:spPr>
                              <wps:bodyPr vert="horz" wrap="square" lIns="91440" tIns="45720" rIns="91440" bIns="45720" anchor="t" anchorCtr="0" upright="0">
                                <a:noAutofit/>
                              </wps:bodyPr>
                            </wps:wsp>
                            <wps:wsp>
                              <wps:cNvPr id="39" name="文本框 4 39"/>
                              <wps:cNvSpPr/>
                              <wps:spPr>
                                <a:xfrm rot="0">
                                  <a:off x="3582670" y="709346"/>
                                  <a:ext cx="676275" cy="255275"/>
                                </a:xfrm>
                                <a:prstGeom prst="rect"/>
                                <a:noFill/>
                                <a:ln cmpd="sng" cap="flat">
                                  <a:noFill/>
                                  <a:prstDash val="solid"/>
                                  <a:round/>
                                </a:ln>
                              </wps:spPr>
                              <wps:txbx id="40">
                                <w:txbxContent>
                                  <w:p>
                                    <w:pPr>
                                      <w:rPr>
                                        <w:rFonts w:eastAsia="宋体"/>
                                        <w:sz w:val="21"/>
                                        <w:szCs w:val="21"/>
                                        <w:lang w:val="en-US" w:eastAsia="zh-CN"/>
                                      </w:rPr>
                                    </w:pPr>
                                    <w:r>
                                      <w:rPr>
                                        <w:rFonts w:hint="eastAsia"/>
                                        <w:sz w:val="21"/>
                                        <w:szCs w:val="21"/>
                                        <w:lang w:val="en-US" w:eastAsia="zh-CN"/>
                                      </w:rPr>
                                      <w:t>0.001</w:t>
                                    </w:r>
                                  </w:p>
                                </w:txbxContent>
                              </wps:txbx>
                              <wps:bodyPr vert="horz" wrap="square" lIns="91440" tIns="45720" rIns="91440" bIns="45720" anchor="t" anchorCtr="0" upright="1">
                                <a:noAutofit/>
                              </wps:bodyPr>
                            </wps:wsp>
                            <wps:wsp>
                              <wps:cNvPr id="41" name="文本框 3 41"/>
                              <wps:cNvSpPr/>
                              <wps:spPr>
                                <a:xfrm rot="0">
                                  <a:off x="2457450" y="807727"/>
                                  <a:ext cx="494665" cy="276225"/>
                                </a:xfrm>
                                <a:prstGeom prst="rect"/>
                                <a:noFill/>
                                <a:ln cmpd="sng" cap="flat">
                                  <a:noFill/>
                                  <a:prstDash val="solid"/>
                                  <a:round/>
                                </a:ln>
                              </wps:spPr>
                              <wps:txbx id="42">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0.001</w:t>
                                    </w:r>
                                  </w:p>
                                </w:txbxContent>
                              </wps:txbx>
                              <wps:bodyPr vert="horz" wrap="square" lIns="91440" tIns="45720" rIns="91440" bIns="45720" anchor="t" anchorCtr="0" upright="1">
                                <a:noAutofit/>
                              </wps:bodyPr>
                            </wps:wsp>
                            <wps:bodyPr vert="horz" wrap="square" lIns="91440" tIns="45720" rIns="91440" bIns="45720" anchor="t" anchorCtr="0" upright="1">
                              <a:noAutofit/>
                            </wps:bodyPr>
                          </wpg:wgp>
                        </a:graphicData>
                      </a:graphic>
                    </wp:anchor>
                  </w:drawing>
                </mc:Choice>
                <mc:Fallback>
                  <w:pict>
                    <v:group type="#_x0000_t1" id="组合 162" o:spid="_x0000_s43" coordorigin="2811,13791" coordsize="7193,3334" style="position:absolute;margin-left:30.250002pt;margin-top:2.6499996pt;width:359.65005pt;height:166.70088pt;z-index:186;mso-position-horizontal:absolute;mso-position-vertical:absolute;">
                      <v:rect type="#_x0000_t1" id="_s44" o:spid="_x0000_s44" style="position:absolute;left:4612;top:16466;width:1201;height:466;mso-wrap-style:square;" filled="f" stroked="t">
                        <v:textbox id="848" inset="2.54mm,1.27mm,2.54mm,1.27mm" o:insetmode="custom" style="layout-flow:horizontal;v-text-anchor:top;">
                          <w:txbxContent>
                            <w:p>
                              <w:pPr>
                                <w:jc w:val="center"/>
                                <w:rPr>
                                  <w:rFonts w:eastAsia="宋体" w:hint="eastAsia"/>
                                  <w:lang w:eastAsia="zh-CN"/>
                                </w:rPr>
                              </w:pPr>
                              <w:r>
                                <w:rPr>
                                  <w:rFonts w:hint="eastAsia"/>
                                  <w:lang w:eastAsia="zh-CN"/>
                                </w:rPr>
                                <w:t>生活用水</w:t>
                              </w:r>
                            </w:p>
                          </w:txbxContent>
                        </v:textbox>
                        <v:stroke color="#000000"/>
                      </v:rect>
                      <v:rect type="#_x0000_t1" id="_s45" o:spid="_x0000_s45" style="position:absolute;left:2811;top:14956;width:1096;height:988;mso-wrap-style:square;" filled="f" stroked="f" strokeweight="-1.0pt">
                        <v:textbox id="849" inset="2.54mm,1.27mm,2.54mm,1.27mm" o:insetmode="custom" style="layout-flow:horizontal;v-text-anchor:top;">
                          <w:txbxContent>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eastAsia="宋体"/>
                                  <w:sz w:val="21"/>
                                  <w:szCs w:val="21"/>
                                  <w:lang w:val="en-US" w:eastAsia="zh-CN"/>
                                </w:rPr>
                              </w:pPr>
                              <w:r>
                                <w:rPr>
                                  <w:rFonts w:hint="eastAsia"/>
                                  <w:sz w:val="21"/>
                                  <w:szCs w:val="21"/>
                                </w:rPr>
                                <w:t>新鲜水</w:t>
                              </w:r>
                              <w:r>
                                <w:rPr>
                                  <w:rFonts w:hint="eastAsia"/>
                                  <w:sz w:val="21"/>
                                  <w:szCs w:val="21"/>
                                  <w:lang w:val="en-US" w:eastAsia="zh-CN"/>
                                </w:rPr>
                                <w:t>1.601</w:t>
                              </w:r>
                            </w:p>
                          </w:txbxContent>
                        </v:textbox>
                        <v:stroke/>
                      </v:rect>
                      <v:shape type="#_x0000_t32" id="直接箭头连接符 34 6" o:spid="_x0000_s46" style="position:absolute;left:3877;top:16697;width:726;height:0;" filled="f" stroked="t">
                        <v:stroke color="#000000" endarrow="block"/>
                      </v:shape>
                      <v:rect type="#_x0000_t1" id="_s47" o:spid="_x0000_s47" style="position:absolute;left:3898;top:16298;width:562;height:435;mso-wrap-style:square;" filled="f" stroked="f" strokeweight="-1.0pt">
                        <v:textbox id="850" inset="2.54mm,1.27mm,2.54mm,1.27mm" o:insetmode="custom" style="layout-flow:horizontal;v-text-anchor:top;">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0.8</w:t>
                              </w:r>
                            </w:p>
                          </w:txbxContent>
                        </v:textbox>
                        <v:stroke/>
                      </v:rect>
                      <v:rect type="#_x0000_t1" id="_s48" o:spid="_x0000_s48" style="position:absolute;left:6108;top:16348;width:812;height:411;mso-wrap-style:square;" filled="f" stroked="f" strokeweight="-1.0pt">
                        <v:textbox id="851" inset="2.54mm,1.27mm,2.54mm,1.27mm" o:insetmode="custom" style="layout-flow:horizontal;v-text-anchor:top;">
                          <w:txbxContent>
                            <w:p>
                              <w:pPr>
                                <w:rPr>
                                  <w:rFonts w:eastAsia="宋体"/>
                                  <w:sz w:val="21"/>
                                  <w:szCs w:val="21"/>
                                  <w:lang w:val="en-US" w:eastAsia="zh-CN"/>
                                </w:rPr>
                              </w:pPr>
                              <w:r>
                                <w:rPr>
                                  <w:rFonts w:hint="eastAsia"/>
                                  <w:sz w:val="21"/>
                                  <w:szCs w:val="21"/>
                                  <w:lang w:val="en-US" w:eastAsia="zh-CN"/>
                                </w:rPr>
                                <w:t>0.64</w:t>
                              </w:r>
                            </w:p>
                          </w:txbxContent>
                        </v:textbox>
                        <v:stroke/>
                      </v:rect>
                      <v:line type="#_x0000_t20" id="直接连接符 69 11" o:spid="_x0000_s49" style="position:absolute;visibility:visible;" from="5825.0005,16695.031" to="6892.001,16696.047" filled="f" stroked="t" strokeweight="0.5pt">
                        <v:stroke color="#000000" endarrow="block"/>
                      </v:line>
                      <v:rect type="#_x0000_t1" id="_s50" o:spid="_x0000_s50" style="position:absolute;left:6749;top:16126;width:3255;height:998;mso-wrap-style:square;" filled="f" stroked="f" strokeweight="-1.0pt">
                        <v:textbox id="852" inset="2.54mm,1.27mm,2.54mm,1.27mm" o:insetmode="custom" style="layout-flow:horizontal;v-text-anchor:top;">
                          <w:txbxContent>
                            <w:p>
                              <w:pPr>
                                <w:jc w:val="center"/>
                                <w:rPr>
                                  <w:rFonts w:hint="eastAsia"/>
                                  <w:lang w:eastAsia="zh-CN"/>
                                </w:rPr>
                              </w:pPr>
                              <w:r>
                                <w:rPr>
                                  <w:rFonts w:hint="eastAsia"/>
                                  <w:lang w:eastAsia="zh-CN"/>
                                </w:rPr>
                                <w:t>经集成式生物化粪池处理后经园区污水管网排入绿源污水处理有限公司进一步处理</w:t>
                              </w:r>
                            </w:p>
                          </w:txbxContent>
                        </v:textbox>
                        <v:stroke/>
                      </v:rect>
                      <v:rect type="#_x0000_t1" id="_s51" o:spid="_x0000_s51" style="position:absolute;left:4591;top:14110;width:2066;height:466;mso-wrap-style:square;" filled="f" stroked="t">
                        <v:textbox id="853" inset="2.54mm,1.27mm,2.54mm,1.27mm" o:insetmode="custom" style="layout-flow:horizontal;v-text-anchor:top;">
                          <w:txbxContent>
                            <w:p>
                              <w:pPr>
                                <w:jc w:val="center"/>
                                <w:rPr>
                                  <w:rFonts w:eastAsia="宋体"/>
                                  <w:lang w:val="en-US" w:eastAsia="zh-CN"/>
                                </w:rPr>
                              </w:pPr>
                              <w:r>
                                <w:rPr>
                                  <w:rFonts w:hint="eastAsia"/>
                                  <w:lang w:val="en-US" w:eastAsia="zh-CN"/>
                                </w:rPr>
                                <w:t>设备冷却水</w:t>
                              </w:r>
                            </w:p>
                          </w:txbxContent>
                        </v:textbox>
                        <v:stroke color="#000000"/>
                      </v:rect>
                      <v:shape type="#_x0000_t32" id="直接箭头连接符 50 16" o:spid="_x0000_s52" style="position:absolute;left:3856;top:14341;width:726;height:0;" filled="f" stroked="t">
                        <v:stroke color="#000000" endarrow="block"/>
                      </v:shape>
                      <v:rect type="#_x0000_t1" id="_s53" o:spid="_x0000_s53" style="position:absolute;left:3877;top:13942;width:562;height:435;mso-wrap-style:square;" filled="f" stroked="f" strokeweight="-1.0pt">
                        <v:textbox id="854" inset="2.54mm,1.27mm,2.54mm,1.27mm" o:insetmode="custom" style="layout-flow:horizontal;v-text-anchor:top;">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0.8</w:t>
                              </w:r>
                            </w:p>
                          </w:txbxContent>
                        </v:textbox>
                        <v:stroke/>
                      </v:rect>
                      <v:rect type="#_x0000_t1" id="_s54" o:spid="_x0000_s54" style="position:absolute;left:4602;top:15230;width:2066;height:466;mso-wrap-style:square;" filled="f" stroked="t">
                        <v:textbox id="855" inset="2.54mm,1.27mm,2.54mm,1.27mm" o:insetmode="custom" style="layout-flow:horizontal;v-text-anchor:top;">
                          <w:txbxContent>
                            <w:p>
                              <w:pPr>
                                <w:jc w:val="center"/>
                                <w:rPr>
                                  <w:rFonts w:eastAsia="宋体"/>
                                  <w:lang w:val="en-US" w:eastAsia="zh-CN"/>
                                </w:rPr>
                              </w:pPr>
                              <w:r>
                                <w:rPr>
                                  <w:rFonts w:hint="eastAsia"/>
                                  <w:lang w:val="en-US" w:eastAsia="zh-CN"/>
                                </w:rPr>
                                <w:t>切削液配制用水</w:t>
                              </w:r>
                            </w:p>
                          </w:txbxContent>
                        </v:textbox>
                        <v:stroke color="#000000"/>
                      </v:rect>
                      <v:shape type="#_x0000_t32" id="直接箭头连接符 67 21" o:spid="_x0000_s55" style="position:absolute;left:3866;top:15461;width:727;height:0;" filled="f" stroked="t">
                        <v:stroke color="#000000" endarrow="block"/>
                      </v:shape>
                      <v:rect type="#_x0000_t1" id="_s56" o:spid="_x0000_s56" style="position:absolute;left:3888;top:15061;width:779;height:435;mso-wrap-style:square;" filled="f" stroked="f" strokeweight="-1.0pt">
                        <v:textbox id="856" inset="2.54mm,1.27mm,2.54mm,1.27mm" o:insetmode="custom" style="layout-flow:horizontal;v-text-anchor:top;">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0.001</w:t>
                              </w:r>
                            </w:p>
                          </w:txbxContent>
                        </v:textbox>
                        <v:stroke/>
                      </v:rect>
                      <v:line type="#_x0000_t20" id="直接连接符 71 24" o:spid="_x0000_s57" style="position:absolute;flip:y;visibility:visible;" from="5112.001,13992.004" to="5668.0005,14109.003" filled="f" stroked="t">
                        <v:stroke dashstyle="dash" color="#000000" endarrow="block"/>
                      </v:line>
                      <v:rect type="#_x0000_t1" id="_s58" o:spid="_x0000_s58" style="position:absolute;left:5668;top:13791;width:748;height:402;mso-wrap-style:square;" filled="f" stroked="f" strokeweight="-1.0pt">
                        <v:textbox id="857" inset="2.54mm,1.27mm,2.54mm,1.27mm" o:insetmode="custom" style="layout-flow:horizontal;v-text-anchor:top;">
                          <w:txbxContent>
                            <w:p>
                              <w:pPr>
                                <w:rPr>
                                  <w:rFonts w:eastAsia="宋体"/>
                                  <w:sz w:val="21"/>
                                  <w:szCs w:val="21"/>
                                  <w:lang w:val="en-US" w:eastAsia="zh-CN"/>
                                </w:rPr>
                              </w:pPr>
                              <w:r>
                                <w:rPr>
                                  <w:rFonts w:hint="eastAsia"/>
                                  <w:sz w:val="21"/>
                                  <w:szCs w:val="21"/>
                                  <w:lang w:val="en-US" w:eastAsia="zh-CN"/>
                                </w:rPr>
                                <w:t>0.8</w:t>
                              </w:r>
                            </w:p>
                          </w:txbxContent>
                        </v:textbox>
                        <v:stroke/>
                      </v:rect>
                      <v:line type="#_x0000_t20" id="直接连接符 74 27" o:spid="_x0000_s59" style="position:absolute;flip:y;visibility:visible;" from="4781.0,16357.988" to="5336.9995,16474.986" filled="f" stroked="t">
                        <v:stroke dashstyle="dash" color="#000000" endarrow="block"/>
                      </v:line>
                      <v:rect type="#_x0000_t1" id="_s60" o:spid="_x0000_s60" style="position:absolute;left:5337;top:16156;width:748;height:402;mso-wrap-style:square;" filled="f" stroked="f" strokeweight="-1.0pt">
                        <v:textbox id="858" inset="2.54mm,1.27mm,2.54mm,1.27mm" o:insetmode="custom" style="layout-flow:horizontal;v-text-anchor:top;">
                          <w:txbxContent>
                            <w:p>
                              <w:pPr>
                                <w:rPr>
                                  <w:rFonts w:eastAsia="宋体"/>
                                  <w:sz w:val="21"/>
                                  <w:szCs w:val="21"/>
                                  <w:lang w:val="en-US" w:eastAsia="zh-CN"/>
                                </w:rPr>
                              </w:pPr>
                              <w:r>
                                <w:rPr>
                                  <w:rFonts w:hint="eastAsia"/>
                                  <w:sz w:val="21"/>
                                  <w:szCs w:val="21"/>
                                  <w:lang w:val="en-US" w:eastAsia="zh-CN"/>
                                </w:rPr>
                                <w:t>0.16</w:t>
                              </w:r>
                            </w:p>
                          </w:txbxContent>
                        </v:textbox>
                        <v:stroke/>
                      </v:rect>
                      <v:line type="#_x0000_t20" id="直接连接符 77 30" o:spid="_x0000_s61" style="position:absolute;visibility:visible;" from="3854.0002,14320.037" to="3854.0002,16699.027" filled="f" stroked="t">
                        <v:stroke color="#000000"/>
                      </v:line>
                      <v:shape type="#_x0000_t32" id="直接箭头连接符 78 31" o:spid="_x0000_s62" style="position:absolute;left:3129;top:15447;width:726;height:0;" filled="f" stroked="t">
                        <v:stroke color="#000000" endarrow="block"/>
                      </v:shape>
                      <v:shape type="#_x0000_t0" id="任意多边形 79 32" o:spid="_x0000_s63" coordsize="1645,562" path="m980,0hdc1201,0,1423,0,1644,0hdc1644,187,1644,374,1644,561hdc1101,561,558,561,15,561hdc15,461,15,360,15,259hdc10,259,4,259,0,259hd" style="position:absolute;left:5672;top:14329;width:1645;height:562;" filled="f" stroked="t">
                        <v:stroke color="#000000" endarrow="block"/>
                      </v:shape>
                      <v:rect type="#_x0000_t1" id="_s64" o:spid="_x0000_s64" style="position:absolute;left:6528;top:14536;width:748;height:402;mso-wrap-style:square;" filled="f" stroked="f" strokeweight="-1.0pt">
                        <v:textbox id="859" inset="2.54mm,1.27mm,2.54mm,1.27mm" o:insetmode="custom" style="layout-flow:horizontal;v-text-anchor:top;">
                          <w:txbxContent>
                            <w:p>
                              <w:pPr>
                                <w:rPr>
                                  <w:rFonts w:eastAsia="宋体"/>
                                  <w:sz w:val="21"/>
                                  <w:szCs w:val="21"/>
                                  <w:lang w:val="en-US" w:eastAsia="zh-CN"/>
                                </w:rPr>
                              </w:pPr>
                              <w:r>
                                <w:rPr>
                                  <w:rFonts w:hint="eastAsia"/>
                                  <w:sz w:val="21"/>
                                  <w:szCs w:val="21"/>
                                  <w:lang w:val="en-US" w:eastAsia="zh-CN"/>
                                </w:rPr>
                                <w:t>40</w:t>
                              </w:r>
                            </w:p>
                          </w:txbxContent>
                        </v:textbox>
                        <v:stroke/>
                      </v:rect>
                      <v:rect type="#_x0000_t1" id="_s65" o:spid="_x0000_s65" style="position:absolute;left:7395;top:15231;width:2066;height:466;mso-wrap-style:square;" filled="f" stroked="t">
                        <v:textbox id="860" inset="2.54mm,1.27mm,2.54mm,1.27mm" o:insetmode="custom" style="layout-flow:horizontal;v-text-anchor:top;">
                          <w:txbxContent>
                            <w:p>
                              <w:pPr>
                                <w:jc w:val="center"/>
                                <w:rPr>
                                  <w:rFonts w:eastAsia="宋体"/>
                                  <w:lang w:val="en-US" w:eastAsia="zh-CN"/>
                                </w:rPr>
                              </w:pPr>
                              <w:r>
                                <w:rPr>
                                  <w:rFonts w:hint="eastAsia"/>
                                  <w:lang w:val="en-US" w:eastAsia="zh-CN"/>
                                </w:rPr>
                                <w:t>切削液使用过程中</w:t>
                              </w:r>
                            </w:p>
                          </w:txbxContent>
                        </v:textbox>
                        <v:stroke color="#000000"/>
                      </v:rect>
                      <v:line type="#_x0000_t20" id="直接连接符 5 37" o:spid="_x0000_s66" style="position:absolute;flip:y;visibility:visible;" from="7897.002,15109.013" to="8453.002,15226.011" filled="f" stroked="t">
                        <v:stroke dashstyle="dash" color="#000000" endarrow="block"/>
                      </v:line>
                      <v:shape type="#_x0000_t32" id="直接箭头连接符 7 38" o:spid="_x0000_s67" style="position:absolute;left:6660;top:15462;width:726;height:0;" filled="f" stroked="t">
                        <v:stroke color="#000000" endarrow="block"/>
                      </v:shape>
                      <v:rect type="#_x0000_t1" id="_s68" o:spid="_x0000_s68" style="position:absolute;left:8453;top:14908;width:1065;height:402;mso-wrap-style:square;" filled="f" stroked="f" strokeweight="-1.0pt">
                        <v:textbox id="861" inset="2.54mm,1.27mm,2.54mm,1.27mm" o:insetmode="custom" style="layout-flow:horizontal;v-text-anchor:top;">
                          <w:txbxContent>
                            <w:p>
                              <w:pPr>
                                <w:rPr>
                                  <w:rFonts w:eastAsia="宋体"/>
                                  <w:sz w:val="21"/>
                                  <w:szCs w:val="21"/>
                                  <w:lang w:val="en-US" w:eastAsia="zh-CN"/>
                                </w:rPr>
                              </w:pPr>
                              <w:r>
                                <w:rPr>
                                  <w:rFonts w:hint="eastAsia"/>
                                  <w:sz w:val="21"/>
                                  <w:szCs w:val="21"/>
                                  <w:lang w:val="en-US" w:eastAsia="zh-CN"/>
                                </w:rPr>
                                <w:t>0.001</w:t>
                              </w:r>
                            </w:p>
                          </w:txbxContent>
                        </v:textbox>
                        <v:stroke/>
                      </v:rect>
                      <v:rect type="#_x0000_t1" id="_s69" o:spid="_x0000_s69" style="position:absolute;left:6681;top:15063;width:779;height:435;mso-wrap-style:square;" filled="f" stroked="f" strokeweight="-1.0pt">
                        <v:textbox id="862" inset="2.54mm,1.27mm,2.54mm,1.27mm" o:insetmode="custom" style="layout-flow:horizontal;v-text-anchor:top;">
                          <w:txbxContent>
                            <w:p>
                              <w:pPr>
                                <w:rPr>
                                  <w:rFonts w:ascii="Times New Roman" w:eastAsia="宋体" w:cs="Times New Roman" w:hAnsi="Times New Roman"/>
                                  <w:sz w:val="21"/>
                                  <w:szCs w:val="21"/>
                                  <w:lang w:val="en-US" w:eastAsia="zh-CN"/>
                                </w:rPr>
                              </w:pPr>
                              <w:r>
                                <w:rPr>
                                  <w:rFonts w:cs="Times New Roman" w:hint="eastAsia"/>
                                  <w:sz w:val="21"/>
                                  <w:szCs w:val="21"/>
                                  <w:lang w:val="en-US" w:eastAsia="zh-CN"/>
                                </w:rPr>
                                <w:t>0.001</w:t>
                              </w:r>
                            </w:p>
                          </w:txbxContent>
                        </v:textbox>
                        <v:stroke/>
                      </v:rect>
                    </v:group>
                  </w:pict>
                </mc:Fallback>
              </mc:AlternateContent>
            </w: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ascii="Times New Roman" w:cs="Times New Roman" w:hAnsi="Times New Roman"/>
                <w:b/>
                <w:caps w:val="0"/>
                <w:smallCaps w:val="0"/>
                <w:snapToGrid/>
                <w:color w:val="auto"/>
                <w:spacing w:val="0"/>
                <w:kern w:val="0"/>
                <w:highlight w:val="none"/>
              </w:rPr>
            </w:pPr>
          </w:p>
          <w:p>
            <w:pPr>
              <w:pStyle w:val="36"/>
              <w:keepNext w:val="0"/>
              <w:keepLines w:val="0"/>
              <w:suppressLineNumbers w:val="0"/>
              <w:tabs>
                <w:tab w:val="left" w:pos="1399"/>
              </w:tabs>
              <w:spacing w:before="0" w:beforeAutospacing="0" w:after="0" w:afterAutospacing="0"/>
              <w:ind w:left="0" w:right="0"/>
              <w:jc w:val="center"/>
              <w:rPr>
                <w:rStyle w:val="137Char"/>
                <w:rFonts w:cs="Times New Roman" w:hint="eastAsia"/>
                <w:b/>
                <w:caps w:val="0"/>
                <w:smallCaps w:val="0"/>
                <w:snapToGrid/>
                <w:color w:val="auto"/>
                <w:spacing w:val="0"/>
                <w:kern w:val="0"/>
                <w:lang w:val="en-US" w:eastAsia="zh-CN"/>
                <w:highlight w:val="none"/>
              </w:rPr>
            </w:pPr>
            <w:r>
              <w:rPr>
                <w:rStyle w:val="137Char"/>
                <w:rFonts w:ascii="Times New Roman" w:cs="Times New Roman" w:hAnsi="Times New Roman"/>
                <w:b/>
                <w:caps w:val="0"/>
                <w:smallCaps w:val="0"/>
                <w:snapToGrid/>
                <w:color w:val="auto"/>
                <w:spacing w:val="0"/>
                <w:kern w:val="0"/>
                <w:sz w:val="21"/>
                <w:szCs w:val="20"/>
                <w:highlight w:val="none"/>
              </w:rPr>
              <w:t>图2-</w:t>
            </w:r>
            <w:r>
              <w:rPr>
                <w:rStyle w:val="137Char"/>
                <w:rFonts w:ascii="Times New Roman" w:cs="Times New Roman" w:hAnsi="Times New Roman" w:hint="eastAsia"/>
                <w:b/>
                <w:caps w:val="0"/>
                <w:smallCaps w:val="0"/>
                <w:snapToGrid/>
                <w:color w:val="auto"/>
                <w:spacing w:val="0"/>
                <w:kern w:val="0"/>
                <w:sz w:val="21"/>
                <w:szCs w:val="20"/>
                <w:lang w:val="en-US" w:eastAsia="zh-CN"/>
                <w:highlight w:val="none"/>
              </w:rPr>
              <w:t>1</w:t>
            </w:r>
            <w:r>
              <w:rPr>
                <w:rStyle w:val="137Char"/>
                <w:rFonts w:ascii="Times New Roman" w:cs="Times New Roman" w:hAnsi="Times New Roman"/>
                <w:b/>
                <w:caps w:val="0"/>
                <w:smallCaps w:val="0"/>
                <w:snapToGrid/>
                <w:color w:val="auto"/>
                <w:spacing w:val="0"/>
                <w:kern w:val="0"/>
                <w:sz w:val="21"/>
                <w:szCs w:val="20"/>
                <w:highlight w:val="none"/>
              </w:rPr>
              <w:t xml:space="preserve">    本项目水平衡图 单位：m³/</w:t>
            </w:r>
            <w:r>
              <w:rPr>
                <w:rStyle w:val="137Char"/>
                <w:rFonts w:ascii="Times New Roman" w:cs="Times New Roman" w:hAnsi="Times New Roman" w:hint="eastAsia"/>
                <w:b/>
                <w:caps w:val="0"/>
                <w:smallCaps w:val="0"/>
                <w:snapToGrid/>
                <w:color w:val="auto"/>
                <w:spacing w:val="0"/>
                <w:kern w:val="0"/>
                <w:sz w:val="21"/>
                <w:szCs w:val="20"/>
                <w:lang w:val="en-US" w:eastAsia="zh-CN"/>
                <w:highlight w:val="none"/>
              </w:rPr>
              <w:t>d</w:t>
            </w:r>
          </w:p>
          <w:p>
            <w:pPr>
              <w:pStyle w:val="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szCs w:val="20"/>
                <w:highlight w:val="none"/>
              </w:rPr>
            </w:pPr>
            <w:r>
              <w:rPr>
                <w:rFonts w:ascii="Times New Roman" w:cs="Times New Roman" w:hAnsi="Times New Roman"/>
                <w:b/>
                <w:bCs/>
                <w:caps w:val="0"/>
                <w:smallCaps w:val="0"/>
                <w:color w:val="auto"/>
                <w:spacing w:val="0"/>
                <w:sz w:val="24"/>
                <w:szCs w:val="20"/>
                <w:highlight w:val="none"/>
              </w:rPr>
              <w:t>（</w:t>
            </w:r>
            <w:r>
              <w:rPr>
                <w:rFonts w:ascii="Times New Roman" w:cs="Times New Roman" w:hAnsi="Times New Roman" w:hint="eastAsia"/>
                <w:b/>
                <w:bCs/>
                <w:caps w:val="0"/>
                <w:smallCaps w:val="0"/>
                <w:color w:val="auto"/>
                <w:spacing w:val="0"/>
                <w:sz w:val="24"/>
                <w:szCs w:val="20"/>
                <w:lang w:val="en-US" w:eastAsia="zh-CN"/>
                <w:highlight w:val="none"/>
              </w:rPr>
              <w:t>3</w:t>
            </w:r>
            <w:r>
              <w:rPr>
                <w:rFonts w:ascii="Times New Roman" w:cs="Times New Roman" w:hAnsi="Times New Roman"/>
                <w:b/>
                <w:bCs/>
                <w:caps w:val="0"/>
                <w:smallCaps w:val="0"/>
                <w:color w:val="auto"/>
                <w:spacing w:val="0"/>
                <w:sz w:val="24"/>
                <w:szCs w:val="20"/>
                <w:highlight w:val="none"/>
              </w:rPr>
              <w:t>）供电</w:t>
            </w:r>
          </w:p>
          <w:p>
            <w:pPr>
              <w:pStyle w:val="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zCs w:val="20"/>
                <w:highlight w:val="none"/>
              </w:rPr>
            </w:pPr>
            <w:r>
              <w:rPr>
                <w:rFonts w:ascii="Times New Roman" w:cs="Times New Roman" w:hAnsi="Times New Roman" w:hint="eastAsia"/>
                <w:caps w:val="0"/>
                <w:smallCaps w:val="0"/>
                <w:color w:val="auto"/>
                <w:spacing w:val="0"/>
                <w:sz w:val="24"/>
                <w:szCs w:val="20"/>
                <w:lang w:eastAsia="zh-CN"/>
                <w:highlight w:val="none"/>
              </w:rPr>
              <w:t>项目用电由园区供电管网提供</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本项目用电量为</w:t>
            </w:r>
            <w:r>
              <w:rPr>
                <w:rFonts w:ascii="Times New Roman" w:cs="Times New Roman" w:hAnsi="Times New Roman" w:hint="eastAsia"/>
                <w:caps w:val="0"/>
                <w:smallCaps w:val="0"/>
                <w:color w:val="auto"/>
                <w:spacing w:val="0"/>
                <w:sz w:val="24"/>
                <w:szCs w:val="20"/>
                <w:lang w:val="en-US" w:eastAsia="zh-CN"/>
                <w:highlight w:val="none"/>
              </w:rPr>
              <w:t>45万kW·h/a</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能够满足项目用电需求</w:t>
            </w:r>
            <w:r>
              <w:rPr>
                <w:rFonts w:ascii="Times New Roman" w:cs="Times New Roman" w:hAnsi="Times New Roman"/>
                <w:caps w:val="0"/>
                <w:smallCaps w:val="0"/>
                <w:color w:val="auto"/>
                <w:spacing w:val="0"/>
                <w:sz w:val="24"/>
                <w:szCs w:val="20"/>
                <w:highlight w:val="none"/>
              </w:rPr>
              <w:t>。</w:t>
            </w:r>
          </w:p>
          <w:p>
            <w:pPr>
              <w:pStyle w:val="37"/>
              <w:keepNext w:val="0"/>
              <w:keepLines w:val="0"/>
              <w:suppressLineNumbers w:val="0"/>
              <w:spacing w:before="0" w:beforeAutospacing="0" w:after="0" w:afterAutospacing="0"/>
              <w:ind w:left="0" w:right="0"/>
              <w:rPr>
                <w:rFonts w:ascii="Times New Roman" w:eastAsia="宋体" w:cs="Times New Roman" w:hAnsi="Times New Roman" w:hint="eastAsia"/>
                <w:b/>
                <w:bCs/>
                <w:caps w:val="0"/>
                <w:smallCaps w:val="0"/>
                <w:color w:val="auto"/>
                <w:spacing w:val="0"/>
                <w:szCs w:val="20"/>
                <w:lang w:eastAsia="zh-CN"/>
                <w:highlight w:val="none"/>
              </w:rPr>
            </w:pPr>
            <w:r>
              <w:rPr>
                <w:rFonts w:ascii="Times New Roman" w:cs="Times New Roman" w:hAnsi="Times New Roman"/>
                <w:b/>
                <w:bCs/>
                <w:caps w:val="0"/>
                <w:smallCaps w:val="0"/>
                <w:color w:val="auto"/>
                <w:spacing w:val="0"/>
                <w:sz w:val="24"/>
                <w:szCs w:val="20"/>
                <w:highlight w:val="none"/>
              </w:rPr>
              <w:t>（</w:t>
            </w:r>
            <w:r>
              <w:rPr>
                <w:rFonts w:ascii="Times New Roman" w:cs="Times New Roman" w:hAnsi="Times New Roman" w:hint="eastAsia"/>
                <w:b/>
                <w:bCs/>
                <w:caps w:val="0"/>
                <w:smallCaps w:val="0"/>
                <w:color w:val="auto"/>
                <w:spacing w:val="0"/>
                <w:sz w:val="24"/>
                <w:szCs w:val="20"/>
                <w:lang w:val="en-US" w:eastAsia="zh-CN"/>
                <w:highlight w:val="none"/>
              </w:rPr>
              <w:t>4</w:t>
            </w:r>
            <w:r>
              <w:rPr>
                <w:rFonts w:ascii="Times New Roman" w:cs="Times New Roman" w:hAnsi="Times New Roman"/>
                <w:b/>
                <w:bCs/>
                <w:caps w:val="0"/>
                <w:smallCaps w:val="0"/>
                <w:color w:val="auto"/>
                <w:spacing w:val="0"/>
                <w:sz w:val="24"/>
                <w:szCs w:val="20"/>
                <w:highlight w:val="none"/>
              </w:rPr>
              <w:t>）</w:t>
            </w:r>
            <w:r>
              <w:rPr>
                <w:rFonts w:ascii="Times New Roman" w:cs="Times New Roman" w:hAnsi="Times New Roman" w:hint="eastAsia"/>
                <w:b/>
                <w:bCs/>
                <w:caps w:val="0"/>
                <w:smallCaps w:val="0"/>
                <w:color w:val="auto"/>
                <w:spacing w:val="0"/>
                <w:sz w:val="24"/>
                <w:szCs w:val="20"/>
                <w:lang w:val="en-US" w:eastAsia="zh-CN"/>
                <w:highlight w:val="none"/>
              </w:rPr>
              <w:t>供气</w:t>
            </w:r>
          </w:p>
          <w:p>
            <w:pPr>
              <w:pStyle w:val="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zCs w:val="20"/>
                <w:highlight w:val="none"/>
              </w:rPr>
            </w:pPr>
            <w:r>
              <w:rPr>
                <w:rFonts w:ascii="Times New Roman" w:cs="Times New Roman" w:hAnsi="Times New Roman" w:hint="eastAsia"/>
                <w:caps w:val="0"/>
                <w:smallCaps w:val="0"/>
                <w:color w:val="auto"/>
                <w:spacing w:val="0"/>
                <w:sz w:val="24"/>
                <w:szCs w:val="20"/>
                <w:lang w:val="en-US" w:eastAsia="zh-CN"/>
                <w:highlight w:val="none"/>
              </w:rPr>
              <w:t>项目供暖采用单体空调，不涉及使用天然气</w:t>
            </w:r>
            <w:r>
              <w:rPr>
                <w:rFonts w:ascii="Times New Roman" w:cs="Times New Roman" w:hAnsi="Times New Roman"/>
                <w:caps w:val="0"/>
                <w:smallCaps w:val="0"/>
                <w:color w:val="auto"/>
                <w:spacing w:val="0"/>
                <w:sz w:val="24"/>
                <w:szCs w:val="20"/>
                <w:highlight w:val="none"/>
              </w:rPr>
              <w:t>。</w:t>
            </w:r>
          </w:p>
          <w:p>
            <w:pPr>
              <w:pStyle w:val="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szCs w:val="20"/>
                <w:highlight w:val="none"/>
              </w:rPr>
            </w:pPr>
            <w:r>
              <w:rPr>
                <w:rFonts w:ascii="Times New Roman" w:cs="Times New Roman" w:hAnsi="Times New Roman"/>
                <w:b/>
                <w:bCs/>
                <w:caps w:val="0"/>
                <w:smallCaps w:val="0"/>
                <w:color w:val="auto"/>
                <w:spacing w:val="0"/>
                <w:sz w:val="24"/>
                <w:szCs w:val="20"/>
                <w:highlight w:val="none"/>
              </w:rPr>
              <w:t>（</w:t>
            </w:r>
            <w:r>
              <w:rPr>
                <w:rFonts w:ascii="Times New Roman" w:cs="Times New Roman" w:hAnsi="Times New Roman" w:hint="eastAsia"/>
                <w:b/>
                <w:bCs/>
                <w:caps w:val="0"/>
                <w:smallCaps w:val="0"/>
                <w:color w:val="auto"/>
                <w:spacing w:val="0"/>
                <w:sz w:val="24"/>
                <w:szCs w:val="20"/>
                <w:lang w:val="en-US" w:eastAsia="zh-CN"/>
                <w:highlight w:val="none"/>
              </w:rPr>
              <w:t>5</w:t>
            </w:r>
            <w:r>
              <w:rPr>
                <w:rFonts w:ascii="Times New Roman" w:cs="Times New Roman" w:hAnsi="Times New Roman"/>
                <w:b/>
                <w:bCs/>
                <w:caps w:val="0"/>
                <w:smallCaps w:val="0"/>
                <w:color w:val="auto"/>
                <w:spacing w:val="0"/>
                <w:sz w:val="24"/>
                <w:szCs w:val="20"/>
                <w:highlight w:val="none"/>
              </w:rPr>
              <w:t>）供暖及制冷</w:t>
            </w:r>
          </w:p>
          <w:p>
            <w:pPr>
              <w:pStyle w:val="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zCs w:val="20"/>
                <w:lang w:eastAsia="zh-CN"/>
                <w:highlight w:val="none"/>
              </w:rPr>
            </w:pPr>
            <w:r>
              <w:rPr>
                <w:rFonts w:ascii="Times New Roman" w:cs="Times New Roman" w:hAnsi="Times New Roman" w:hint="eastAsia"/>
                <w:caps w:val="0"/>
                <w:smallCaps w:val="0"/>
                <w:color w:val="auto"/>
                <w:spacing w:val="0"/>
                <w:sz w:val="24"/>
                <w:szCs w:val="20"/>
                <w:lang w:eastAsia="zh-CN"/>
                <w:highlight w:val="none"/>
              </w:rPr>
              <w:t>项目生产采用电加热及制冷，职工日常办公生活供暖、制冷均由空调提供</w:t>
            </w:r>
            <w:r>
              <w:rPr>
                <w:rFonts w:ascii="Times New Roman" w:cs="Times New Roman" w:hAnsi="Times New Roman"/>
                <w:caps w:val="0"/>
                <w:smallCaps w:val="0"/>
                <w:color w:val="auto"/>
                <w:spacing w:val="0"/>
                <w:sz w:val="24"/>
                <w:szCs w:val="20"/>
                <w:lang w:eastAsia="zh-CN"/>
                <w:highlight w:val="none"/>
              </w:rPr>
              <w:t>。</w:t>
            </w:r>
          </w:p>
          <w:p>
            <w:pPr>
              <w:pStyle w:val="37"/>
              <w:keepNext w:val="0"/>
              <w:keepLines w:val="0"/>
              <w:suppressLineNumbers w:val="0"/>
              <w:spacing w:before="0" w:beforeAutospacing="0" w:after="0" w:afterAutospacing="0"/>
              <w:ind w:left="0" w:right="0" w:firstLineChars="200" w:firstLine="480"/>
              <w:rPr>
                <w:rFonts w:ascii="Times New Roman" w:cs="Times New Roman" w:hAnsi="Times New Roman"/>
                <w:b/>
                <w:bCs/>
                <w:caps w:val="0"/>
                <w:smallCaps w:val="0"/>
                <w:color w:val="auto"/>
                <w:spacing w:val="0"/>
                <w:szCs w:val="20"/>
                <w:lang w:val="en-US" w:eastAsia="zh-CN"/>
                <w:highlight w:val="none"/>
              </w:rPr>
            </w:pPr>
            <w:r>
              <w:rPr>
                <w:rFonts w:ascii="Times New Roman" w:cs="Times New Roman" w:hAnsi="Times New Roman"/>
                <w:b/>
                <w:bCs/>
                <w:caps w:val="0"/>
                <w:smallCaps w:val="0"/>
                <w:color w:val="auto"/>
                <w:spacing w:val="0"/>
                <w:sz w:val="24"/>
                <w:szCs w:val="20"/>
                <w:lang w:val="en-US" w:eastAsia="zh-CN"/>
                <w:highlight w:val="none"/>
              </w:rPr>
              <w:t>7、劳动定员及工作制度</w:t>
            </w:r>
          </w:p>
          <w:p>
            <w:pPr>
              <w:pStyle w:val="37"/>
              <w:keepNext w:val="0"/>
              <w:keepLines w:val="0"/>
              <w:pageBreakBefore w:val="0"/>
              <w:widowControl w:val="0"/>
              <w:suppressLineNumbers w:val="0"/>
              <w:kinsoku/>
              <w:wordWrap/>
              <w:overflowPunct/>
              <w:topLinePunct/>
              <w:autoSpaceDE/>
              <w:autoSpaceDN/>
              <w:bidi w:val="0"/>
              <w:adjustRightInd w:val="0"/>
              <w:snapToGrid w:val="0"/>
              <w:spacing w:before="0" w:beforeAutospacing="0" w:after="0" w:afterAutospacing="0"/>
              <w:ind w:left="0" w:right="0" w:firstLineChars="200" w:firstLine="480"/>
              <w:textAlignment w:val="auto"/>
              <w:rPr>
                <w:rFonts w:ascii="Times New Roman" w:cs="Times New Roman" w:hAnsi="Times New Roman"/>
                <w:caps w:val="0"/>
                <w:smallCaps w:val="0"/>
                <w:color w:val="auto"/>
                <w:spacing w:val="0"/>
                <w:szCs w:val="20"/>
                <w:lang w:eastAsia="zh-CN"/>
                <w:highlight w:val="none"/>
              </w:rPr>
            </w:pPr>
            <w:r>
              <w:rPr>
                <w:rFonts w:ascii="Times New Roman" w:cs="Times New Roman" w:hAnsi="Times New Roman"/>
                <w:caps w:val="0"/>
                <w:smallCaps w:val="0"/>
                <w:color w:val="auto"/>
                <w:spacing w:val="0"/>
                <w:sz w:val="24"/>
                <w:szCs w:val="20"/>
                <w:lang w:eastAsia="zh-CN"/>
                <w:highlight w:val="none"/>
              </w:rPr>
              <w:t>本项目</w:t>
            </w:r>
            <w:r>
              <w:rPr>
                <w:rFonts w:ascii="Times New Roman" w:cs="Times New Roman" w:hAnsi="Times New Roman" w:hint="eastAsia"/>
                <w:caps w:val="0"/>
                <w:smallCaps w:val="0"/>
                <w:color w:val="auto"/>
                <w:spacing w:val="0"/>
                <w:sz w:val="24"/>
                <w:szCs w:val="20"/>
                <w:lang w:val="en-US" w:eastAsia="zh-CN"/>
                <w:highlight w:val="none"/>
              </w:rPr>
              <w:t>不新增劳动定员，仍为20人</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eastAsia="zh-CN"/>
                <w:highlight w:val="none"/>
              </w:rPr>
              <w:t>项目</w:t>
            </w:r>
            <w:r>
              <w:rPr>
                <w:rFonts w:ascii="Times New Roman" w:cs="Times New Roman" w:hAnsi="Times New Roman" w:hint="eastAsia"/>
                <w:caps w:val="0"/>
                <w:smallCaps w:val="0"/>
                <w:color w:val="auto"/>
                <w:spacing w:val="0"/>
                <w:sz w:val="24"/>
                <w:szCs w:val="20"/>
                <w:lang w:val="en-US" w:eastAsia="zh-CN"/>
                <w:highlight w:val="none"/>
              </w:rPr>
              <w:t>由三</w:t>
            </w:r>
            <w:r>
              <w:rPr>
                <w:rFonts w:ascii="Times New Roman" w:cs="Times New Roman" w:hAnsi="Times New Roman"/>
                <w:caps w:val="0"/>
                <w:smallCaps w:val="0"/>
                <w:color w:val="auto"/>
                <w:spacing w:val="0"/>
                <w:sz w:val="24"/>
                <w:szCs w:val="20"/>
                <w:lang w:eastAsia="zh-CN"/>
                <w:highlight w:val="none"/>
              </w:rPr>
              <w:t>班</w:t>
            </w:r>
            <w:r>
              <w:rPr>
                <w:rFonts w:ascii="Times New Roman" w:cs="Times New Roman" w:hAnsi="Times New Roman" w:hint="eastAsia"/>
                <w:caps w:val="0"/>
                <w:smallCaps w:val="0"/>
                <w:color w:val="auto"/>
                <w:spacing w:val="0"/>
                <w:sz w:val="24"/>
                <w:szCs w:val="20"/>
                <w:lang w:val="en-US" w:eastAsia="zh-CN"/>
                <w:highlight w:val="none"/>
              </w:rPr>
              <w:t>8小时</w:t>
            </w:r>
            <w:r>
              <w:rPr>
                <w:rFonts w:ascii="Times New Roman" w:cs="Times New Roman" w:hAnsi="Times New Roman"/>
                <w:caps w:val="0"/>
                <w:smallCaps w:val="0"/>
                <w:color w:val="auto"/>
                <w:spacing w:val="0"/>
                <w:sz w:val="24"/>
                <w:szCs w:val="20"/>
                <w:lang w:eastAsia="zh-CN"/>
                <w:highlight w:val="none"/>
              </w:rPr>
              <w:t>工作制</w:t>
            </w:r>
            <w:r>
              <w:rPr>
                <w:rFonts w:ascii="Times New Roman" w:cs="Times New Roman" w:hAnsi="Times New Roman" w:hint="eastAsia"/>
                <w:caps w:val="0"/>
                <w:smallCaps w:val="0"/>
                <w:color w:val="auto"/>
                <w:spacing w:val="0"/>
                <w:sz w:val="24"/>
                <w:szCs w:val="20"/>
                <w:lang w:val="en-US" w:eastAsia="zh-CN"/>
                <w:highlight w:val="none"/>
              </w:rPr>
              <w:t>调整为两班8小时</w:t>
            </w:r>
            <w:r>
              <w:rPr>
                <w:rFonts w:ascii="Times New Roman" w:cs="Times New Roman" w:hAnsi="Times New Roman"/>
                <w:caps w:val="0"/>
                <w:smallCaps w:val="0"/>
                <w:color w:val="auto"/>
                <w:spacing w:val="0"/>
                <w:sz w:val="24"/>
                <w:szCs w:val="20"/>
                <w:lang w:eastAsia="zh-CN"/>
                <w:highlight w:val="none"/>
              </w:rPr>
              <w:t>工作制，</w:t>
            </w:r>
            <w:r>
              <w:rPr>
                <w:rFonts w:ascii="Times New Roman" w:cs="Times New Roman" w:hAnsi="Times New Roman" w:hint="eastAsia"/>
                <w:caps w:val="0"/>
                <w:smallCaps w:val="0"/>
                <w:color w:val="auto"/>
                <w:spacing w:val="0"/>
                <w:sz w:val="24"/>
                <w:szCs w:val="20"/>
                <w:lang w:eastAsia="zh-CN"/>
                <w:highlight w:val="none"/>
              </w:rPr>
              <w:t>年工作300天</w:t>
            </w:r>
            <w:r>
              <w:rPr>
                <w:rFonts w:ascii="Times New Roman" w:cs="Times New Roman" w:hAnsi="Times New Roman"/>
                <w:caps w:val="0"/>
                <w:smallCaps w:val="0"/>
                <w:color w:val="auto"/>
                <w:spacing w:val="0"/>
                <w:sz w:val="24"/>
                <w:szCs w:val="20"/>
                <w:lang w:eastAsia="zh-CN"/>
                <w:highlight w:val="none"/>
              </w:rPr>
              <w:t>。</w:t>
            </w:r>
          </w:p>
          <w:p>
            <w:pPr>
              <w:pStyle w:val="37"/>
              <w:keepNext w:val="0"/>
              <w:keepLines w:val="0"/>
              <w:suppressLineNumbers w:val="0"/>
              <w:spacing w:before="0" w:beforeAutospacing="0" w:after="0" w:afterAutospacing="0"/>
              <w:ind w:left="0" w:right="0" w:firstLineChars="200" w:firstLine="480"/>
              <w:rPr>
                <w:rFonts w:ascii="Times New Roman" w:cs="Times New Roman" w:hAnsi="Times New Roman"/>
                <w:b/>
                <w:bCs/>
                <w:caps w:val="0"/>
                <w:smallCaps w:val="0"/>
                <w:color w:val="auto"/>
                <w:spacing w:val="0"/>
                <w:szCs w:val="20"/>
                <w:lang w:val="en-US" w:eastAsia="zh-CN"/>
                <w:highlight w:val="none"/>
              </w:rPr>
            </w:pPr>
            <w:r>
              <w:rPr>
                <w:rFonts w:ascii="Times New Roman" w:cs="Times New Roman" w:hAnsi="Times New Roman"/>
                <w:b/>
                <w:bCs/>
                <w:caps w:val="0"/>
                <w:smallCaps w:val="0"/>
                <w:snapToGrid w:val="0"/>
                <w:color w:val="auto"/>
                <w:spacing w:val="0"/>
                <w:kern w:val="0"/>
                <w:sz w:val="24"/>
                <w:szCs w:val="20"/>
                <w:lang w:val="en-US" w:eastAsia="zh-CN" w:bidi="ar-SA"/>
                <w:highlight w:val="none"/>
              </w:rPr>
              <w:t>8</w:t>
            </w:r>
            <w:r>
              <w:rPr>
                <w:rFonts w:ascii="Times New Roman" w:eastAsia="宋体" w:cs="Times New Roman" w:hAnsi="Times New Roman"/>
                <w:b/>
                <w:bCs/>
                <w:caps w:val="0"/>
                <w:smallCaps w:val="0"/>
                <w:snapToGrid w:val="0"/>
                <w:color w:val="auto"/>
                <w:spacing w:val="0"/>
                <w:kern w:val="0"/>
                <w:sz w:val="24"/>
                <w:szCs w:val="20"/>
                <w:lang w:val="en-US" w:eastAsia="zh-CN" w:bidi="ar-SA"/>
                <w:highlight w:val="none"/>
              </w:rPr>
              <w:t>、</w:t>
            </w:r>
            <w:r>
              <w:rPr>
                <w:rFonts w:ascii="Times New Roman" w:cs="Times New Roman" w:hAnsi="Times New Roman"/>
                <w:b/>
                <w:bCs/>
                <w:caps w:val="0"/>
                <w:smallCaps w:val="0"/>
                <w:color w:val="auto"/>
                <w:spacing w:val="0"/>
                <w:sz w:val="24"/>
                <w:szCs w:val="20"/>
                <w:lang w:val="en-US" w:eastAsia="zh-CN"/>
                <w:highlight w:val="none"/>
              </w:rPr>
              <w:t>平面布置</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项目大门位于厂区南侧，厂区西侧为机加工区，杂物间、危废间位于机加工区西南侧，机加工区东侧为1#办公室、2#办公室，生产区位于厂区东侧，模具暂存区、原料区位于生产区西侧，成品区、人工组装区、更衣室位于生产区南侧，厕所位于厂区东北角</w:t>
            </w:r>
            <w:r>
              <w:rPr>
                <w:rFonts w:ascii="Times New Roman" w:cs="Times New Roman" w:hAnsi="Times New Roman"/>
                <w:caps w:val="0"/>
                <w:smallCaps w:val="0"/>
                <w:color w:val="auto"/>
                <w:spacing w:val="0"/>
                <w:sz w:val="24"/>
                <w:szCs w:val="20"/>
                <w:highlight w:val="none"/>
              </w:rPr>
              <w:t>。项目主要构筑物布局紧凑</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便于物料的转运。</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项目平面布置图见附图3</w:t>
            </w:r>
            <w:r>
              <w:rPr>
                <w:rFonts w:ascii="Times New Roman" w:cs="Times New Roman" w:hAnsi="Times New Roman" w:hint="eastAsia"/>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eastAsia="zh-CN"/>
                <w:highlight w:val="none"/>
              </w:rPr>
            </w:pP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eastAsia="zh-CN"/>
                <w:highlight w:val="none"/>
              </w:rPr>
            </w:pPr>
          </w:p>
          <w:p>
            <w:pPr>
              <w:pStyle w:val="137"/>
              <w:keepNext w:val="0"/>
              <w:keepLines w:val="0"/>
              <w:suppressLineNumbers w:val="0"/>
              <w:spacing w:before="0" w:beforeAutospacing="0" w:after="0" w:afterAutospacing="0"/>
              <w:ind w:left="0" w:right="0" w:firstLineChars="0" w:firstLine="0"/>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firstLineChars="0" w:firstLine="0"/>
              <w:rPr>
                <w:rFonts w:ascii="Times New Roman" w:cs="Times New Roman" w:hAnsi="Times New Roman"/>
                <w:caps w:val="0"/>
                <w:smallCaps w:val="0"/>
                <w:color w:val="auto"/>
                <w:spacing w:val="0"/>
                <w:lang w:val="en-US" w:eastAsia="zh-CN"/>
                <w:highlight w:val="none"/>
              </w:rPr>
            </w:pPr>
          </w:p>
        </w:tc>
      </w:tr>
    </w:tbl>
    <w:p>
      <w:pPr>
        <w:pStyle w:val="45"/>
        <w:adjustRightInd w:val="0"/>
        <w:snapToGrid w:val="0"/>
        <w:spacing w:before="0" w:beforeAutospacing="0" w:after="0" w:afterAutospacing="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Cs w:val="21"/>
          <w:highlight w:val="none"/>
        </w:rPr>
        <w:br w:type="page"/>
      </w:r>
    </w:p>
    <w:tbl>
      <w:tblPr>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675"/>
        <w:gridCol w:w="8385"/>
      </w:tblGrid>
      <w:tr>
        <w:trPr>
          <w:trHeight w:val="20"/>
        </w:trPr>
        <w:tc>
          <w:tcPr>
            <w:tcW w:w="675" w:type="dxa"/>
            <w:vAlign w:val="center"/>
          </w:tcPr>
          <w:p>
            <w:pPr>
              <w:pStyle w:val="45"/>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4"/>
                <w:szCs w:val="21"/>
                <w:highlight w:val="none"/>
              </w:rPr>
              <w:t>工艺流程和产排污环节</w:t>
            </w:r>
          </w:p>
        </w:tc>
        <w:tc>
          <w:tcPr>
            <w:tcW w:w="8385" w:type="dxa"/>
          </w:tcPr>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1、施工期实施工艺</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本次改建项目位于现有厂房东侧。现有建筑仅保留东南角的机加工区、杂物间、危废间及1#、2#办公室，其余车间在改扩建完成后将不再使用，冷却塔、环保设施拆除后外售，不再使用，其余利旧设备均无需拆除，直接迁移至新厂房即可，</w:t>
            </w:r>
            <w:r>
              <w:rPr>
                <w:rFonts w:ascii="Times New Roman" w:cs="Times New Roman" w:hAnsi="Times New Roman"/>
                <w:caps w:val="0"/>
                <w:smallCaps w:val="0"/>
                <w:color w:val="auto"/>
                <w:spacing w:val="0"/>
                <w:sz w:val="24"/>
                <w:szCs w:val="20"/>
                <w:highlight w:val="none"/>
              </w:rPr>
              <w:t>施工期主要包括</w:t>
            </w:r>
            <w:r>
              <w:rPr>
                <w:rFonts w:ascii="Times New Roman" w:cs="Times New Roman" w:hAnsi="Times New Roman" w:hint="eastAsia"/>
                <w:caps w:val="0"/>
                <w:smallCaps w:val="0"/>
                <w:color w:val="auto"/>
                <w:spacing w:val="0"/>
                <w:sz w:val="24"/>
                <w:szCs w:val="20"/>
                <w:lang w:val="en-US" w:eastAsia="zh-CN"/>
                <w:highlight w:val="none"/>
              </w:rPr>
              <w:t>厂房内部装修、</w:t>
            </w:r>
            <w:r>
              <w:rPr>
                <w:rFonts w:ascii="Times New Roman" w:cs="Times New Roman" w:hAnsi="Times New Roman"/>
                <w:caps w:val="0"/>
                <w:smallCaps w:val="0"/>
                <w:color w:val="auto"/>
                <w:spacing w:val="0"/>
                <w:sz w:val="24"/>
                <w:szCs w:val="20"/>
                <w:highlight w:val="none"/>
              </w:rPr>
              <w:t>设备安装、调试运行</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现有厂房的</w:t>
            </w:r>
            <w:r>
              <w:rPr>
                <w:rFonts w:ascii="Times New Roman" w:cs="Times New Roman" w:hAnsi="Times New Roman"/>
                <w:caps w:val="0"/>
                <w:smallCaps w:val="0"/>
                <w:color w:val="auto"/>
                <w:spacing w:val="0"/>
                <w:sz w:val="24"/>
                <w:szCs w:val="20"/>
                <w:highlight w:val="none"/>
              </w:rPr>
              <w:t>等。施工过程中产生施工废水、噪声及施工固体废弃物。施工期工艺流程图及产污环节见图2-</w:t>
            </w:r>
            <w:r>
              <w:rPr>
                <w:rFonts w:ascii="Times New Roman" w:cs="Times New Roman" w:hAnsi="Times New Roman"/>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68" behindDoc="0" locked="0" layoutInCell="1" hidden="0" allowOverlap="1">
                      <wp:simplePos x="0" y="0"/>
                      <wp:positionH relativeFrom="column">
                        <wp:posOffset>2797810</wp:posOffset>
                      </wp:positionH>
                      <wp:positionV relativeFrom="paragraph">
                        <wp:posOffset>165100</wp:posOffset>
                      </wp:positionV>
                      <wp:extent cx="597535" cy="302895"/>
                      <wp:wrapNone/>
                      <wp:docPr id="150" name="文本框 28"/>
                      <wp:cNvGraphicFramePr>
                        <a:graphicFrameLocks noChangeAspect="0"/>
                      </wp:cNvGraphicFramePr>
                      <a:graphic>
                        <a:graphicData uri="http://schemas.microsoft.com/office/word/2010/wordprocessingShape">
                          <wps:wsp>
                            <wps:cNvSpPr/>
                            <wps:spPr>
                              <a:xfrm rot="0">
                                <a:off x="0" y="0"/>
                                <a:ext cx="597535" cy="302895"/>
                              </a:xfrm>
                              <a:prstGeom prst="rect"/>
                              <a:noFill/>
                              <a:ln w="6350" cmpd="sng" cap="flat">
                                <a:noFill/>
                                <a:prstDash val="solid"/>
                                <a:round/>
                              </a:ln>
                            </wps:spPr>
                            <wps:txbx id="70">
                              <w:txbxContent>
                                <w:p>
                                  <w:pPr>
                                    <w:jc w:val="center"/>
                                    <w:rPr>
                                      <w:rFonts w:eastAsia="宋体"/>
                                      <w:lang w:val="en-US" w:eastAsia="zh-CN"/>
                                    </w:rPr>
                                  </w:pPr>
                                  <w:r>
                                    <w:rPr>
                                      <w:rFonts w:hint="eastAsia"/>
                                      <w:lang w:val="en-US" w:eastAsia="zh-CN"/>
                                    </w:rPr>
                                    <w:t>噪声</w:t>
                                  </w:r>
                                </w:p>
                              </w:txbxContent>
                            </wps:txbx>
                            <wps:bodyPr vert="horz" wrap="square" lIns="91440" tIns="45720" rIns="91440" bIns="45720" anchor="t" anchorCtr="0" upright="0">
                              <a:noAutofit/>
                            </wps:bodyPr>
                          </wps:wsp>
                        </a:graphicData>
                      </a:graphic>
                    </wp:anchor>
                  </w:drawing>
                </mc:Choice>
                <mc:Fallback>
                  <w:pict>
                    <v:rect type="#_x0000_t1" id="文本框 28" o:spid="_x0000_s71" filled="f" stroked="f" strokeweight="0.5pt" style="position:absolute;margin-left:220.3pt;margin-top:13.0pt;width:47.050003pt;height:23.85pt;z-index:168;mso-position-horizontal:absolute;mso-position-vertical:absolute;mso-wrap-style:square;">
                      <v:stroke/>
                      <v:textbox id="863" inset="2.54mm,1.27mm,2.54mm,1.27mm" o:insetmode="custom" style="layout-flow:horizontal;v-text-anchor:top;">
                        <w:txbxContent>
                          <w:p>
                            <w:pPr>
                              <w:jc w:val="center"/>
                              <w:rPr>
                                <w:rFonts w:eastAsia="宋体"/>
                                <w:lang w:val="en-US" w:eastAsia="zh-CN"/>
                              </w:rPr>
                            </w:pPr>
                            <w:r>
                              <w:rPr>
                                <w:rFonts w:hint="eastAsia"/>
                                <w:lang w:val="en-US" w:eastAsia="zh-CN"/>
                              </w:rPr>
                              <w:t>噪声</w:t>
                            </w:r>
                          </w:p>
                        </w:txbxContent>
                      </v:textbox>
                    </v:rect>
                  </w:pict>
                </mc:Fallback>
              </mc:AlternateContent>
            </w:r>
            <w:r>
              <w:rPr>
                <w:rFonts w:ascii="Times New Roman" w:cs="Times New Roman" w:hAnsi="Times New Roman"/>
                <w:color w:val="auto"/>
                <w:sz w:val="24"/>
                <w:szCs w:val="20"/>
                <w:highlight w:val="none"/>
              </w:rPr>
              <mc:AlternateContent>
                <mc:Choice Requires="wps">
                  <w:drawing>
                    <wp:anchor distT="0" distB="0" distL="114300" distR="114300" simplePos="0" relativeHeight="166" behindDoc="0" locked="0" layoutInCell="1" hidden="0" allowOverlap="1">
                      <wp:simplePos x="0" y="0"/>
                      <wp:positionH relativeFrom="column">
                        <wp:posOffset>2044065</wp:posOffset>
                      </wp:positionH>
                      <wp:positionV relativeFrom="paragraph">
                        <wp:posOffset>31750</wp:posOffset>
                      </wp:positionV>
                      <wp:extent cx="836295" cy="464820"/>
                      <wp:wrapNone/>
                      <wp:docPr id="149" name="文本框 27"/>
                      <wp:cNvGraphicFramePr>
                        <a:graphicFrameLocks noChangeAspect="0"/>
                      </wp:cNvGraphicFramePr>
                      <a:graphic>
                        <a:graphicData uri="http://schemas.microsoft.com/office/word/2010/wordprocessingShape">
                          <wps:wsp>
                            <wps:cNvSpPr/>
                            <wps:spPr>
                              <a:xfrm rot="0">
                                <a:off x="0" y="0"/>
                                <a:ext cx="836295" cy="464820"/>
                              </a:xfrm>
                              <a:prstGeom prst="rect"/>
                              <a:noFill/>
                              <a:ln w="6350" cmpd="sng" cap="flat">
                                <a:noFill/>
                                <a:prstDash val="solid"/>
                                <a:round/>
                              </a:ln>
                            </wps:spPr>
                            <wps:txbx id="72">
                              <w:txbxContent>
                                <w:p>
                                  <w:pPr>
                                    <w:jc w:val="center"/>
                                    <w:rPr>
                                      <w:rFonts w:eastAsia="宋体"/>
                                      <w:lang w:val="en-US" w:eastAsia="zh-CN"/>
                                    </w:rPr>
                                  </w:pPr>
                                  <w:r>
                                    <w:rPr>
                                      <w:rFonts w:hint="eastAsia"/>
                                      <w:lang w:val="en-US" w:eastAsia="zh-CN"/>
                                    </w:rPr>
                                    <w:t>施工废水、生活污水</w:t>
                                  </w:r>
                                </w:p>
                              </w:txbxContent>
                            </wps:txbx>
                            <wps:bodyPr vert="horz" wrap="square" lIns="91440" tIns="45720" rIns="91440" bIns="45720" anchor="t" anchorCtr="0" upright="0">
                              <a:noAutofit/>
                            </wps:bodyPr>
                          </wps:wsp>
                        </a:graphicData>
                      </a:graphic>
                    </wp:anchor>
                  </w:drawing>
                </mc:Choice>
                <mc:Fallback>
                  <w:pict>
                    <v:rect type="#_x0000_t1" id="文本框 27" o:spid="_x0000_s73" filled="f" stroked="f" strokeweight="0.5pt" style="position:absolute;margin-left:160.95pt;margin-top:2.5pt;width:65.85001pt;height:36.6pt;z-index:166;mso-position-horizontal:absolute;mso-position-vertical:absolute;mso-wrap-style:square;">
                      <v:stroke/>
                      <v:textbox id="864" inset="2.54mm,1.27mm,2.54mm,1.27mm" o:insetmode="custom" style="layout-flow:horizontal;v-text-anchor:top;">
                        <w:txbxContent>
                          <w:p>
                            <w:pPr>
                              <w:jc w:val="center"/>
                              <w:rPr>
                                <w:rFonts w:eastAsia="宋体"/>
                                <w:lang w:val="en-US" w:eastAsia="zh-CN"/>
                              </w:rPr>
                            </w:pPr>
                            <w:r>
                              <w:rPr>
                                <w:rFonts w:hint="eastAsia"/>
                                <w:lang w:val="en-US" w:eastAsia="zh-CN"/>
                              </w:rPr>
                              <w:t>施工废水、生活污水</w:t>
                            </w:r>
                          </w:p>
                        </w:txbxContent>
                      </v:textbox>
                    </v:rect>
                  </w:pict>
                </mc:Fallback>
              </mc:AlternateContent>
            </w:r>
            <w:r>
              <w:rPr>
                <w:rFonts w:ascii="Times New Roman" w:cs="Times New Roman" w:hAnsi="Times New Roman"/>
                <w:color w:val="auto"/>
                <w:sz w:val="24"/>
                <w:szCs w:val="20"/>
                <w:highlight w:val="none"/>
              </w:rPr>
              <mc:AlternateContent>
                <mc:Choice Requires="wps">
                  <w:drawing>
                    <wp:anchor distT="0" distB="0" distL="114300" distR="114300" simplePos="0" relativeHeight="170" behindDoc="0" locked="0" layoutInCell="1" hidden="0" allowOverlap="1">
                      <wp:simplePos x="0" y="0"/>
                      <wp:positionH relativeFrom="column">
                        <wp:posOffset>3529965</wp:posOffset>
                      </wp:positionH>
                      <wp:positionV relativeFrom="paragraph">
                        <wp:posOffset>69850</wp:posOffset>
                      </wp:positionV>
                      <wp:extent cx="854075" cy="445134"/>
                      <wp:wrapNone/>
                      <wp:docPr id="152" name="文本框 27"/>
                      <wp:cNvGraphicFramePr>
                        <a:graphicFrameLocks noChangeAspect="0"/>
                      </wp:cNvGraphicFramePr>
                      <a:graphic>
                        <a:graphicData uri="http://schemas.microsoft.com/office/word/2010/wordprocessingShape">
                          <wps:wsp>
                            <wps:cNvSpPr/>
                            <wps:spPr>
                              <a:xfrm rot="0">
                                <a:off x="0" y="0"/>
                                <a:ext cx="854075" cy="445134"/>
                              </a:xfrm>
                              <a:prstGeom prst="rect"/>
                              <a:noFill/>
                              <a:ln w="6350" cmpd="sng" cap="flat">
                                <a:noFill/>
                                <a:prstDash val="solid"/>
                                <a:round/>
                              </a:ln>
                            </wps:spPr>
                            <wps:txbx id="74">
                              <w:txbxContent>
                                <w:p>
                                  <w:pPr>
                                    <w:jc w:val="center"/>
                                    <w:rPr>
                                      <w:rFonts w:eastAsia="宋体"/>
                                      <w:lang w:val="en-US" w:eastAsia="zh-CN"/>
                                    </w:rPr>
                                  </w:pPr>
                                  <w:r>
                                    <w:rPr>
                                      <w:rFonts w:hint="eastAsia"/>
                                      <w:lang w:val="en-US" w:eastAsia="zh-CN"/>
                                    </w:rPr>
                                    <w:t>生活垃圾、建筑垃圾</w:t>
                                  </w:r>
                                </w:p>
                              </w:txbxContent>
                            </wps:txbx>
                            <wps:bodyPr vert="horz" wrap="square" lIns="91440" tIns="45720" rIns="91440" bIns="45720" anchor="t" anchorCtr="0" upright="0">
                              <a:noAutofit/>
                            </wps:bodyPr>
                          </wps:wsp>
                        </a:graphicData>
                      </a:graphic>
                    </wp:anchor>
                  </w:drawing>
                </mc:Choice>
                <mc:Fallback>
                  <w:pict>
                    <v:rect type="#_x0000_t1" id="文本框 27" o:spid="_x0000_s75" filled="f" stroked="f" strokeweight="0.5pt" style="position:absolute;margin-left:277.95pt;margin-top:5.5pt;width:67.250015pt;height:35.05pt;z-index:170;mso-position-horizontal:absolute;mso-position-vertical:absolute;mso-wrap-style:square;">
                      <v:stroke/>
                      <v:textbox id="865" inset="2.54mm,1.27mm,2.54mm,1.27mm" o:insetmode="custom" style="layout-flow:horizontal;v-text-anchor:top;">
                        <w:txbxContent>
                          <w:p>
                            <w:pPr>
                              <w:jc w:val="center"/>
                              <w:rPr>
                                <w:rFonts w:eastAsia="宋体"/>
                                <w:lang w:val="en-US" w:eastAsia="zh-CN"/>
                              </w:rPr>
                            </w:pPr>
                            <w:r>
                              <w:rPr>
                                <w:rFonts w:hint="eastAsia"/>
                                <w:lang w:val="en-US" w:eastAsia="zh-CN"/>
                              </w:rPr>
                              <w:t>生活垃圾、建筑垃圾</w:t>
                            </w:r>
                          </w:p>
                        </w:txbxContent>
                      </v:textbox>
                    </v:rect>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76" behindDoc="0" locked="0" layoutInCell="1" hidden="0" allowOverlap="1">
                      <wp:simplePos x="0" y="0"/>
                      <wp:positionH relativeFrom="column">
                        <wp:posOffset>3095625</wp:posOffset>
                      </wp:positionH>
                      <wp:positionV relativeFrom="paragraph">
                        <wp:posOffset>111760</wp:posOffset>
                      </wp:positionV>
                      <wp:extent cx="635" cy="427989"/>
                      <wp:effectExtent l="38100" t="0" r="38100" b="10160"/>
                      <wp:wrapNone/>
                      <wp:docPr id="158" name="直接箭头连接符 158"/>
                      <wp:cNvGraphicFramePr>
                        <a:graphicFrameLocks noChangeAspect="0"/>
                      </wp:cNvGraphicFramePr>
                      <a:graphic>
                        <a:graphicData uri="http://schemas.microsoft.com/office/word/2010/wordprocessingShape">
                          <wps:wsp>
                            <wps:cNvSpPr/>
                            <wps:spPr>
                              <a:xfrm flipV="1" rot="21600000">
                                <a:off x="0" y="0"/>
                                <a:ext cx="635" cy="427989"/>
                              </a:xfrm>
                              <a:prstGeom prst="straightConnector1"/>
                              <a:noFill/>
                              <a:ln w="9525" cmpd="sng" cap="flat">
                                <a:solidFill>
                                  <a:srgbClr val="000000"/>
                                </a:solidFill>
                                <a:prstDash val="dash"/>
                                <a:round/>
                                <a:tailEnd type="triangle" w="med" len="med"/>
                              </a:ln>
                            </wps:spPr>
                            <wps:bodyPr vert="horz" wrap="square" lIns="91440" tIns="45720" rIns="91440" bIns="45720" anchor="t" anchorCtr="0" upright="0">
                              <a:noAutofit/>
                            </wps:bodyPr>
                          </wps:wsp>
                        </a:graphicData>
                      </a:graphic>
                    </wp:anchor>
                  </w:drawing>
                </mc:Choice>
                <mc:Fallback>
                  <w:pict>
                    <v:shape type="#_x0000_t32" id="直接箭头连接符 158" o:spid="_x0000_s76" filled="f" stroked="t" style="position:absolute;margin-left:243.75pt;margin-top:8.800003pt;width:0.05003357pt;height:33.69999pt;flip:y;z-index:176;mso-position-horizontal:absolute;mso-position-vertical:absolute;">
                      <v:stroke dashstyle="dash" color="#000000" endarrow="block"/>
                    </v:shape>
                  </w:pict>
                </mc:Fallback>
              </mc:AlternateContent>
            </w:r>
            <w:r>
              <w:rPr>
                <w:rFonts w:ascii="Times New Roman" w:cs="Times New Roman" w:hAnsi="Times New Roman"/>
                <w:color w:val="auto"/>
                <w:sz w:val="24"/>
                <w:szCs w:val="20"/>
                <w:highlight w:val="none"/>
              </w:rPr>
              <mc:AlternateContent>
                <mc:Choice Requires="wps">
                  <w:drawing>
                    <wp:anchor distT="0" distB="0" distL="114300" distR="114300" simplePos="0" relativeHeight="174" behindDoc="0" locked="0" layoutInCell="1" hidden="0" allowOverlap="1">
                      <wp:simplePos x="0" y="0"/>
                      <wp:positionH relativeFrom="column">
                        <wp:posOffset>2457450</wp:posOffset>
                      </wp:positionH>
                      <wp:positionV relativeFrom="paragraph">
                        <wp:posOffset>111760</wp:posOffset>
                      </wp:positionV>
                      <wp:extent cx="635" cy="427989"/>
                      <wp:effectExtent l="38100" t="0" r="38100" b="10160"/>
                      <wp:wrapNone/>
                      <wp:docPr id="157" name="直接箭头连接符 157"/>
                      <wp:cNvGraphicFramePr>
                        <a:graphicFrameLocks noChangeAspect="0"/>
                      </wp:cNvGraphicFramePr>
                      <a:graphic>
                        <a:graphicData uri="http://schemas.microsoft.com/office/word/2010/wordprocessingShape">
                          <wps:wsp>
                            <wps:cNvSpPr/>
                            <wps:spPr>
                              <a:xfrm flipV="1" rot="21600000">
                                <a:off x="0" y="0"/>
                                <a:ext cx="635" cy="427989"/>
                              </a:xfrm>
                              <a:prstGeom prst="straightConnector1"/>
                              <a:noFill/>
                              <a:ln w="9525" cmpd="sng" cap="flat">
                                <a:solidFill>
                                  <a:srgbClr val="000000"/>
                                </a:solidFill>
                                <a:prstDash val="dash"/>
                                <a:round/>
                                <a:tailEnd type="triangle" w="med" len="med"/>
                              </a:ln>
                            </wps:spPr>
                            <wps:bodyPr vert="horz" wrap="square" lIns="91440" tIns="45720" rIns="91440" bIns="45720" anchor="t" anchorCtr="0" upright="0">
                              <a:noAutofit/>
                            </wps:bodyPr>
                          </wps:wsp>
                        </a:graphicData>
                      </a:graphic>
                    </wp:anchor>
                  </w:drawing>
                </mc:Choice>
                <mc:Fallback>
                  <w:pict>
                    <v:shape type="#_x0000_t32" id="直接箭头连接符 157" o:spid="_x0000_s77" filled="f" stroked="t" style="position:absolute;margin-left:193.5pt;margin-top:8.800003pt;width:0.05003357pt;height:33.69999pt;flip:y;z-index:174;mso-position-horizontal:absolute;mso-position-vertical:absolute;">
                      <v:stroke dashstyle="dash" color="#000000" endarrow="block"/>
                    </v:shape>
                  </w:pict>
                </mc:Fallback>
              </mc:AlternateContent>
            </w:r>
            <w:r>
              <w:rPr>
                <w:rFonts w:ascii="Times New Roman" w:cs="Times New Roman" w:hAnsi="Times New Roman"/>
                <w:color w:val="auto"/>
                <w:sz w:val="24"/>
                <w:szCs w:val="20"/>
                <w:highlight w:val="none"/>
              </w:rPr>
              <mc:AlternateContent>
                <mc:Choice Requires="wps">
                  <w:drawing>
                    <wp:anchor distT="0" distB="0" distL="114300" distR="114300" simplePos="0" relativeHeight="178" behindDoc="0" locked="0" layoutInCell="1" hidden="0" allowOverlap="1">
                      <wp:simplePos x="0" y="0"/>
                      <wp:positionH relativeFrom="column">
                        <wp:posOffset>3781425</wp:posOffset>
                      </wp:positionH>
                      <wp:positionV relativeFrom="paragraph">
                        <wp:posOffset>121284</wp:posOffset>
                      </wp:positionV>
                      <wp:extent cx="634" cy="427989"/>
                      <wp:effectExtent l="38100" t="0" r="38100" b="10160"/>
                      <wp:wrapNone/>
                      <wp:docPr id="159" name="直接箭头连接符 159"/>
                      <wp:cNvGraphicFramePr>
                        <a:graphicFrameLocks noChangeAspect="0"/>
                      </wp:cNvGraphicFramePr>
                      <a:graphic>
                        <a:graphicData uri="http://schemas.microsoft.com/office/word/2010/wordprocessingShape">
                          <wps:wsp>
                            <wps:cNvSpPr/>
                            <wps:spPr>
                              <a:xfrm flipV="1" rot="21600000">
                                <a:off x="0" y="0"/>
                                <a:ext cx="634" cy="427989"/>
                              </a:xfrm>
                              <a:prstGeom prst="straightConnector1"/>
                              <a:noFill/>
                              <a:ln w="9525" cmpd="sng" cap="flat">
                                <a:solidFill>
                                  <a:srgbClr val="000000"/>
                                </a:solidFill>
                                <a:prstDash val="dash"/>
                                <a:round/>
                                <a:tailEnd type="triangle" w="med" len="med"/>
                              </a:ln>
                            </wps:spPr>
                            <wps:bodyPr vert="horz" wrap="square" lIns="91440" tIns="45720" rIns="91440" bIns="45720" anchor="t" anchorCtr="0" upright="0">
                              <a:noAutofit/>
                            </wps:bodyPr>
                          </wps:wsp>
                        </a:graphicData>
                      </a:graphic>
                    </wp:anchor>
                  </w:drawing>
                </mc:Choice>
                <mc:Fallback>
                  <w:pict>
                    <v:shape type="#_x0000_t32" id="直接箭头连接符 159" o:spid="_x0000_s78" filled="f" stroked="t" style="position:absolute;margin-left:297.75pt;margin-top:9.54998pt;width:0.049987793pt;height:33.69999pt;flip:y;z-index:178;mso-position-horizontal:absolute;mso-position-vertical:absolute;">
                      <v:stroke dashstyle="dash" color="#000000" endarrow="block"/>
                    </v:shape>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72" behindDoc="0" locked="0" layoutInCell="1" hidden="0" allowOverlap="1">
                      <wp:simplePos x="0" y="0"/>
                      <wp:positionH relativeFrom="column">
                        <wp:posOffset>1800225</wp:posOffset>
                      </wp:positionH>
                      <wp:positionV relativeFrom="paragraph">
                        <wp:posOffset>13970</wp:posOffset>
                      </wp:positionV>
                      <wp:extent cx="2238375" cy="285750"/>
                      <wp:effectExtent l="6350" t="6350" r="22225" b="12700"/>
                      <wp:wrapNone/>
                      <wp:docPr id="153" name="任意多边形 153"/>
                      <wp:cNvGraphicFramePr>
                        <a:graphicFrameLocks noChangeAspect="0"/>
                      </wp:cNvGraphicFramePr>
                      <a:graphic>
                        <a:graphicData uri="http://schemas.microsoft.com/office/word/2010/wordprocessingShape">
                          <wps:wsp>
                            <wps:cNvSpPr/>
                            <wps:spPr>
                              <a:xfrm rot="0">
                                <a:off x="0" y="0"/>
                                <a:ext cx="2238375" cy="285750"/>
                              </a:xfrm>
                              <a:custGeom>
                                <a:gdLst>
                                  <a:gd name="T1" fmla="*/ 0 w 21600"/>
                                  <a:gd name="T2" fmla="*/ 0 h 21600"/>
                                  <a:gd name="T3" fmla="*/ 21600 w 21600"/>
                                  <a:gd name="T4" fmla="*/ 21600 h 21600"/>
                                </a:gdLst>
                                <a:rect l="T1" t="T2" r="T3" b="T4"/>
                                <a:pathLst>
                                  <a:path w="21600" h="21600">
                                    <a:moveTo>
                                      <a:pt x="0" y="21600"/>
                                    </a:moveTo>
                                    <a:lnTo>
                                      <a:pt x="0" y="0"/>
                                    </a:lnTo>
                                    <a:lnTo>
                                      <a:pt x="21600" y="0"/>
                                    </a:lnTo>
                                    <a:lnTo>
                                      <a:pt x="21600" y="20880"/>
                                    </a:lnTo>
                                  </a:path>
                                </a:pathLst>
                              </a:custGeom>
                              <a:noFill/>
                              <a:ln w="9525" cmpd="sng" cap="flat">
                                <a:solidFill>
                                  <a:srgbClr val="000000"/>
                                </a:solidFill>
                                <a:prstDash val="solid"/>
                                <a:round/>
                              </a:ln>
                            </wps:spPr>
                            <wps:bodyPr vert="horz" wrap="square" lIns="91440" tIns="45720" rIns="91440" bIns="45720" anchor="t" anchorCtr="0" upright="0">
                              <a:noAutofit/>
                            </wps:bodyPr>
                          </wps:wsp>
                        </a:graphicData>
                      </a:graphic>
                    </wp:anchor>
                  </w:drawing>
                </mc:Choice>
                <mc:Fallback>
                  <w:pict>
                    <v:shape type="#_x0000_t0" id="任意多边形 153" o:spid="_x0000_s79" filled="f" stroked="t" coordsize="3525,450" path="m,450hdc,300,,150,,hdc1174,,2350,,3525,hdc3525,145,3525,290,3525,435hd" style="position:absolute;margin-left:141.75pt;margin-top:1.1pt;width:176.25pt;height:22.5pt;z-index:172;mso-position-horizontal:absolute;mso-position-vertical:absolute;">
                      <v:stroke color="#000000"/>
                    </v:shape>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62" behindDoc="0" locked="0" layoutInCell="1" hidden="0" allowOverlap="1">
                      <wp:simplePos x="0" y="0"/>
                      <wp:positionH relativeFrom="column">
                        <wp:posOffset>3684270</wp:posOffset>
                      </wp:positionH>
                      <wp:positionV relativeFrom="paragraph">
                        <wp:posOffset>118110</wp:posOffset>
                      </wp:positionV>
                      <wp:extent cx="956945" cy="316865"/>
                      <wp:effectExtent l="4444" t="5080" r="10160" b="20955"/>
                      <wp:wrapNone/>
                      <wp:docPr id="128" name="文本框 14"/>
                      <wp:cNvGraphicFramePr>
                        <a:graphicFrameLocks noChangeAspect="0"/>
                      </wp:cNvGraphicFramePr>
                      <a:graphic>
                        <a:graphicData uri="http://schemas.microsoft.com/office/word/2010/wordprocessingShape">
                          <wps:wsp>
                            <wps:cNvSpPr/>
                            <wps:spPr>
                              <a:xfrm rot="0">
                                <a:off x="0" y="0"/>
                                <a:ext cx="956945" cy="316865"/>
                              </a:xfrm>
                              <a:prstGeom prst="rect"/>
                              <a:noFill/>
                              <a:ln w="6350" cmpd="sng" cap="flat">
                                <a:solidFill>
                                  <a:srgbClr val="000000"/>
                                </a:solidFill>
                                <a:prstDash val="solid"/>
                                <a:round/>
                              </a:ln>
                            </wps:spPr>
                            <wps:txbx id="80">
                              <w:txbxContent>
                                <w:p>
                                  <w:pPr>
                                    <w:jc w:val="center"/>
                                    <w:rPr>
                                      <w:rFonts w:eastAsia="宋体"/>
                                      <w:lang w:val="en-US" w:eastAsia="zh-CN"/>
                                    </w:rPr>
                                  </w:pPr>
                                  <w:r>
                                    <w:rPr>
                                      <w:rFonts w:hint="eastAsia"/>
                                      <w:lang w:val="en-US" w:eastAsia="zh-CN"/>
                                    </w:rPr>
                                    <w:t>调试运行</w:t>
                                  </w:r>
                                </w:p>
                              </w:txbxContent>
                            </wps:txbx>
                            <wps:bodyPr vert="horz" wrap="square" lIns="91440" tIns="45720" rIns="91440" bIns="45720" anchor="t" anchorCtr="0" upright="0">
                              <a:noAutofit/>
                            </wps:bodyPr>
                          </wps:wsp>
                        </a:graphicData>
                      </a:graphic>
                    </wp:anchor>
                  </w:drawing>
                </mc:Choice>
                <mc:Fallback>
                  <w:pict>
                    <v:rect type="#_x0000_t1" id="文本框 14" o:spid="_x0000_s81" filled="f" stroked="t" strokeweight="0.5pt" style="position:absolute;margin-left:290.1pt;margin-top:9.3pt;width:75.350006pt;height:24.950003pt;z-index:162;mso-position-horizontal:absolute;mso-position-vertical:absolute;mso-wrap-style:square;">
                      <v:stroke color="#000000"/>
                      <v:textbox id="866" inset="2.54mm,1.27mm,2.54mm,1.27mm" o:insetmode="custom" style="layout-flow:horizontal;v-text-anchor:top;">
                        <w:txbxContent>
                          <w:p>
                            <w:pPr>
                              <w:jc w:val="center"/>
                              <w:rPr>
                                <w:rFonts w:eastAsia="宋体"/>
                                <w:lang w:val="en-US" w:eastAsia="zh-CN"/>
                              </w:rPr>
                            </w:pPr>
                            <w:r>
                              <w:rPr>
                                <w:rFonts w:hint="eastAsia"/>
                                <w:lang w:val="en-US" w:eastAsia="zh-CN"/>
                              </w:rPr>
                              <w:t>调试运行</w:t>
                            </w:r>
                          </w:p>
                        </w:txbxContent>
                      </v:textbox>
                    </v:rect>
                  </w:pict>
                </mc:Fallback>
              </mc:AlternateContent>
            </w:r>
            <w:r>
              <w:rPr>
                <w:rFonts w:ascii="Times New Roman" w:cs="Times New Roman" w:hAnsi="Times New Roman"/>
                <w:color w:val="auto"/>
                <w:sz w:val="24"/>
                <w:szCs w:val="20"/>
                <w:highlight w:val="none"/>
              </w:rPr>
              <mc:AlternateContent>
                <mc:Choice Requires="wps">
                  <w:drawing>
                    <wp:anchor distT="0" distB="0" distL="114300" distR="114300" simplePos="0" relativeHeight="160" behindDoc="0" locked="0" layoutInCell="1" hidden="0" allowOverlap="1">
                      <wp:simplePos x="0" y="0"/>
                      <wp:positionH relativeFrom="column">
                        <wp:posOffset>499110</wp:posOffset>
                      </wp:positionH>
                      <wp:positionV relativeFrom="paragraph">
                        <wp:posOffset>125095</wp:posOffset>
                      </wp:positionV>
                      <wp:extent cx="1962785" cy="290829"/>
                      <wp:effectExtent l="4444" t="4444" r="13970" b="9525"/>
                      <wp:wrapNone/>
                      <wp:docPr id="126" name="文本框 13"/>
                      <wp:cNvGraphicFramePr>
                        <a:graphicFrameLocks noChangeAspect="0"/>
                      </wp:cNvGraphicFramePr>
                      <a:graphic>
                        <a:graphicData uri="http://schemas.microsoft.com/office/word/2010/wordprocessingShape">
                          <wps:wsp>
                            <wps:cNvSpPr/>
                            <wps:spPr>
                              <a:xfrm rot="0">
                                <a:off x="0" y="0"/>
                                <a:ext cx="1962785" cy="290829"/>
                              </a:xfrm>
                              <a:prstGeom prst="rect"/>
                              <a:noFill/>
                              <a:ln w="6350" cmpd="sng" cap="flat">
                                <a:solidFill>
                                  <a:srgbClr val="000000"/>
                                </a:solidFill>
                                <a:prstDash val="solid"/>
                                <a:round/>
                              </a:ln>
                            </wps:spPr>
                            <wps:txbx id="82">
                              <w:txbxContent>
                                <w:p>
                                  <w:pPr>
                                    <w:jc w:val="center"/>
                                    <w:rPr>
                                      <w:lang w:val="en-US" w:eastAsia="zh-CN"/>
                                    </w:rPr>
                                  </w:pPr>
                                  <w:r>
                                    <w:rPr>
                                      <w:rFonts w:hint="eastAsia"/>
                                      <w:lang w:val="en-US" w:eastAsia="zh-CN"/>
                                    </w:rPr>
                                    <w:t>厂房装修、设备安装、拆除</w:t>
                                  </w:r>
                                </w:p>
                              </w:txbxContent>
                            </wps:txbx>
                            <wps:bodyPr vert="horz" wrap="square" lIns="91440" tIns="45720" rIns="91440" bIns="45720" anchor="t" anchorCtr="0" upright="0">
                              <a:noAutofit/>
                            </wps:bodyPr>
                          </wps:wsp>
                        </a:graphicData>
                      </a:graphic>
                    </wp:anchor>
                  </w:drawing>
                </mc:Choice>
                <mc:Fallback>
                  <w:pict>
                    <v:rect type="#_x0000_t1" id="文本框 13" o:spid="_x0000_s83" filled="f" stroked="t" strokeweight="0.5pt" style="position:absolute;margin-left:39.3pt;margin-top:9.85pt;width:154.55pt;height:22.9pt;z-index:160;mso-position-horizontal:absolute;mso-position-vertical:absolute;mso-wrap-style:square;">
                      <v:stroke color="#000000"/>
                      <v:textbox id="867" inset="2.54mm,1.27mm,2.54mm,1.27mm" o:insetmode="custom" style="layout-flow:horizontal;v-text-anchor:top;">
                        <w:txbxContent>
                          <w:p>
                            <w:pPr>
                              <w:jc w:val="center"/>
                              <w:rPr>
                                <w:lang w:val="en-US" w:eastAsia="zh-CN"/>
                              </w:rPr>
                            </w:pPr>
                            <w:r>
                              <w:rPr>
                                <w:rFonts w:hint="eastAsia"/>
                                <w:lang w:val="en-US" w:eastAsia="zh-CN"/>
                              </w:rPr>
                              <w:t>厂房装修、设备安装、拆除</w:t>
                            </w:r>
                          </w:p>
                        </w:txbxContent>
                      </v:textbox>
                    </v:rect>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64" behindDoc="0" locked="0" layoutInCell="1" hidden="0" allowOverlap="1">
                      <wp:simplePos x="0" y="0"/>
                      <wp:positionH relativeFrom="column">
                        <wp:posOffset>2463800</wp:posOffset>
                      </wp:positionH>
                      <wp:positionV relativeFrom="paragraph">
                        <wp:posOffset>91439</wp:posOffset>
                      </wp:positionV>
                      <wp:extent cx="1209040" cy="634"/>
                      <wp:effectExtent l="0" t="38100" r="10160" b="38100"/>
                      <wp:wrapNone/>
                      <wp:docPr id="139" name="直接箭头连接符 18"/>
                      <wp:cNvGraphicFramePr>
                        <a:graphicFrameLocks noChangeAspect="0"/>
                      </wp:cNvGraphicFramePr>
                      <a:graphic>
                        <a:graphicData uri="http://schemas.microsoft.com/office/word/2010/wordprocessingShape">
                          <wps:wsp>
                            <wps:cNvSpPr/>
                            <wps:spPr>
                              <a:xfrm rot="0">
                                <a:off x="0" y="0"/>
                                <a:ext cx="1209040" cy="635"/>
                              </a:xfrm>
                              <a:prstGeom prst="straightConnector1"/>
                              <a:ln w="6350" cmpd="sng" cap="flat">
                                <a:solidFill>
                                  <a:srgbClr val="000000"/>
                                </a:solidFill>
                                <a:prstDash val="solid"/>
                                <a:miter/>
                                <a:tailEnd type="triangle" w="med" len="med"/>
                              </a:ln>
                            </wps:spPr>
                            <wps:style>
                              <a:lnRef idx="1">
                                <a:schemeClr val="accent1"/>
                              </a:lnRef>
                              <a:fillRef idx="0">
                                <a:schemeClr val="accent1"/>
                              </a:fillRef>
                              <a:effectRef idx="0">
                                <a:schemeClr val="accent1"/>
                              </a:effectRef>
                              <a:fontRef idx="minor">
                                <a:schemeClr val="tx1"/>
                              </a:fontRef>
                            </wps:style>
                            <wps:bodyPr vert="horz" wrap="square" lIns="91440" tIns="45720" rIns="91440" bIns="45720" anchor="t" anchorCtr="0" upright="0">
                              <a:noAutofit/>
                            </wps:bodyPr>
                          </wps:wsp>
                        </a:graphicData>
                      </a:graphic>
                    </wp:anchor>
                  </w:drawing>
                </mc:Choice>
                <mc:Fallback>
                  <w:pict>
                    <v:shape type="#_x0000_t32" id="直接箭头连接符 18" o:spid="_x0000_s84" filled="f" stroked="t" strokeweight="0.5pt" style="position:absolute;margin-left:194.00002pt;margin-top:7.1999817pt;width:95.20006pt;height:0.049987793pt;z-index:164;mso-position-horizontal:absolute;mso-position-vertical:absolute;">
                      <v:stroke color="#000000" endarrow="block"/>
                    </v:shape>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zCs w:val="22"/>
                <w:highlight w:val="none"/>
              </w:rPr>
            </w:pPr>
            <w:r>
              <w:rPr>
                <w:rFonts w:ascii="Times New Roman" w:cs="Times New Roman" w:hAnsi="Times New Roman"/>
                <w:caps w:val="0"/>
                <w:smallCaps w:val="0"/>
                <w:color w:val="auto"/>
                <w:spacing w:val="0"/>
                <w:sz w:val="24"/>
                <w:szCs w:val="20"/>
                <w:highlight w:val="none"/>
              </w:rPr>
              <w:t>图2-</w:t>
            </w:r>
            <w:r>
              <w:rPr>
                <w:rFonts w:ascii="Times New Roman" w:cs="Times New Roman" w:hAnsi="Times New Roman" w:hint="eastAsia"/>
                <w:caps w:val="0"/>
                <w:smallCaps w:val="0"/>
                <w:color w:val="auto"/>
                <w:spacing w:val="0"/>
                <w:sz w:val="24"/>
                <w:szCs w:val="20"/>
                <w:lang w:val="en-US" w:eastAsia="zh-CN"/>
                <w:highlight w:val="none"/>
              </w:rPr>
              <w:t>2</w:t>
            </w:r>
            <w:r>
              <w:rPr>
                <w:rFonts w:ascii="Times New Roman" w:cs="Times New Roman" w:hAnsi="Times New Roman"/>
                <w:caps w:val="0"/>
                <w:smallCaps w:val="0"/>
                <w:color w:val="auto"/>
                <w:spacing w:val="0"/>
                <w:sz w:val="24"/>
                <w:szCs w:val="20"/>
                <w:highlight w:val="none"/>
              </w:rPr>
              <w:t xml:space="preserve">   施工期工艺流程</w:t>
            </w:r>
            <w:r>
              <w:rPr>
                <w:rFonts w:ascii="Times New Roman" w:cs="Times New Roman" w:hAnsi="Times New Roman"/>
                <w:caps w:val="0"/>
                <w:smallCaps w:val="0"/>
                <w:color w:val="auto"/>
                <w:spacing w:val="0"/>
                <w:sz w:val="24"/>
                <w:szCs w:val="22"/>
                <w:highlight w:val="none"/>
              </w:rPr>
              <w:t>图及产污环节</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tabs>
                <w:tab w:val="left" w:pos="6077"/>
              </w:tabs>
              <w:spacing w:before="0" w:beforeAutospacing="0" w:after="0" w:afterAutospacing="0"/>
              <w:ind w:left="0" w:right="0"/>
              <w:rPr>
                <w:rFonts w:ascii="Times New Roman" w:eastAsia="宋体" w:cs="Times New Roman" w:hAnsi="Times New Roman" w:hint="eastAsia"/>
                <w:b/>
                <w:caps w:val="0"/>
                <w:smallCaps w:val="0"/>
                <w:color w:val="auto"/>
                <w:spacing w:val="0"/>
                <w:lang w:eastAsia="zh-CN"/>
                <w:highlight w:val="none"/>
              </w:rPr>
            </w:pPr>
            <w:r>
              <w:rPr>
                <w:rFonts w:ascii="Times New Roman" w:cs="Times New Roman" w:hAnsi="Times New Roman" w:hint="eastAsia"/>
                <w:b/>
                <w:caps w:val="0"/>
                <w:smallCaps w:val="0"/>
                <w:color w:val="auto"/>
                <w:spacing w:val="0"/>
                <w:sz w:val="24"/>
                <w:szCs w:val="20"/>
                <w:lang w:eastAsia="zh-CN"/>
                <w:highlight w:val="none"/>
              </w:rPr>
              <w:tab/>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2、运营期工艺流程及排污节点</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caps w:val="0"/>
                <w:smallCaps w:val="0"/>
                <w:color w:val="auto"/>
                <w:spacing w:val="0"/>
                <w:lang w:val="en-US"/>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80" behindDoc="0" locked="0" layoutInCell="1" hidden="0" allowOverlap="1">
                      <wp:simplePos x="0" y="0"/>
                      <wp:positionH relativeFrom="column">
                        <wp:posOffset>48259</wp:posOffset>
                      </wp:positionH>
                      <wp:positionV relativeFrom="paragraph">
                        <wp:posOffset>156845</wp:posOffset>
                      </wp:positionV>
                      <wp:extent cx="5156835" cy="2134235"/>
                      <wp:effectExtent l="0" t="0" r="5715" b="0"/>
                      <wp:wrapNone/>
                      <wp:docPr id="163" name="组合 163"/>
                      <wp:cNvGraphicFramePr>
                        <a:graphicFrameLocks noChangeAspect="0"/>
                      </wp:cNvGraphicFramePr>
                      <a:graphic>
                        <a:graphicData uri="http://schemas.microsoft.com/office/word/2010/wordprocessingGroup">
                          <wpg:wgp>
                            <wpg:cNvPr id="85" name="组合 85"/>
                            <wpg:cNvGrpSpPr/>
                            <wpg:grpSpPr>
                              <a:xfrm rot="0">
                                <a:off x="0" y="0"/>
                                <a:ext cx="5156835" cy="2134235"/>
                                <a:chOff x="0" y="0"/>
                                <a:chExt cx="5156835" cy="2134235"/>
                              </a:xfrm>
                              <a:prstGeom prst="rect"/>
                              <a:solidFill>
                                <a:srgbClr val="FFFFFF"/>
                              </a:solidFill>
                              <a:ln w="9525" cmpd="sng" cap="flat">
                                <a:solidFill>
                                  <a:srgbClr val="000000"/>
                                </a:solidFill>
                                <a:prstDash val="solid"/>
                                <a:miter/>
                              </a:ln>
                            </wpg:grpSpPr>
                            <wps:wsp>
                              <wps:cNvPr id="86" name="文本框 8 86"/>
                              <wps:cNvSpPr/>
                              <wps:spPr>
                                <a:xfrm rot="0">
                                  <a:off x="0" y="349230"/>
                                  <a:ext cx="795019" cy="264183"/>
                                </a:xfrm>
                                <a:prstGeom prst="rect"/>
                                <a:noFill/>
                                <a:ln cmpd="sng" cap="flat">
                                  <a:noFill/>
                                  <a:prstDash val="solid"/>
                                  <a:round/>
                                </a:ln>
                              </wps:spPr>
                              <wps:txbx id="87">
                                <w:txbxContent>
                                  <w:p>
                                    <w:pPr>
                                      <w:jc w:val="center"/>
                                      <w:rPr>
                                        <w:rFonts w:eastAsia="宋体"/>
                                        <w:lang w:val="en-US" w:eastAsia="zh-CN"/>
                                      </w:rPr>
                                    </w:pPr>
                                    <w:r>
                                      <w:rPr>
                                        <w:rFonts w:hint="eastAsia"/>
                                        <w:lang w:val="en-US" w:eastAsia="zh-CN"/>
                                      </w:rPr>
                                      <w:t>尼龙粒子</w:t>
                                    </w:r>
                                  </w:p>
                                </w:txbxContent>
                              </wps:txbx>
                              <wps:bodyPr vert="horz" wrap="square" lIns="91440" tIns="45720" rIns="91440" bIns="45720" anchor="t" anchorCtr="0" upright="1">
                                <a:spAutoFit/>
                              </wps:bodyPr>
                            </wps:wsp>
                            <wps:wsp>
                              <wps:cNvPr id="88" name="文本框 9 88"/>
                              <wps:cNvSpPr/>
                              <wps:spPr>
                                <a:xfrm rot="0">
                                  <a:off x="1027430" y="335248"/>
                                  <a:ext cx="688974" cy="273689"/>
                                </a:xfrm>
                                <a:prstGeom prst="rect"/>
                                <a:solidFill>
                                  <a:srgbClr val="FFFFFF"/>
                                </a:solidFill>
                                <a:ln w="9525" cmpd="sng" cap="flat">
                                  <a:solidFill>
                                    <a:srgbClr val="000000"/>
                                  </a:solidFill>
                                  <a:prstDash val="solid"/>
                                  <a:miter/>
                                </a:ln>
                              </wps:spPr>
                              <wps:txbx id="89">
                                <w:txbxContent>
                                  <w:p>
                                    <w:pPr>
                                      <w:jc w:val="center"/>
                                      <w:rPr>
                                        <w:rFonts w:eastAsia="宋体"/>
                                        <w:lang w:val="en-US" w:eastAsia="zh-CN"/>
                                      </w:rPr>
                                    </w:pPr>
                                    <w:r>
                                      <w:rPr>
                                        <w:rFonts w:hint="eastAsia"/>
                                        <w:lang w:val="en-US" w:eastAsia="zh-CN"/>
                                      </w:rPr>
                                      <w:t>投料</w:t>
                                    </w:r>
                                  </w:p>
                                </w:txbxContent>
                              </wps:txbx>
                              <wps:bodyPr vert="horz" wrap="square" lIns="91440" tIns="45720" rIns="91440" bIns="45720" anchor="t" anchorCtr="0" upright="1">
                                <a:spAutoFit/>
                              </wps:bodyPr>
                            </wps:wsp>
                            <wps:wsp>
                              <wps:cNvPr id="90" name="直接连接符 10 90"/>
                              <wps:cNvSpPr/>
                              <wps:spPr>
                                <a:xfrm rot="0">
                                  <a:off x="676909" y="484482"/>
                                  <a:ext cx="346074"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91" name="文本框 12 91"/>
                              <wps:cNvSpPr/>
                              <wps:spPr>
                                <a:xfrm rot="0">
                                  <a:off x="2054224" y="335248"/>
                                  <a:ext cx="688975" cy="273689"/>
                                </a:xfrm>
                                <a:prstGeom prst="rect"/>
                                <a:solidFill>
                                  <a:srgbClr val="FFFFFF"/>
                                </a:solidFill>
                                <a:ln w="9525" cmpd="sng" cap="flat">
                                  <a:solidFill>
                                    <a:srgbClr val="000000"/>
                                  </a:solidFill>
                                  <a:prstDash val="solid"/>
                                  <a:miter/>
                                </a:ln>
                              </wps:spPr>
                              <wps:txbx id="92">
                                <w:txbxContent>
                                  <w:p>
                                    <w:pPr>
                                      <w:jc w:val="center"/>
                                      <w:rPr>
                                        <w:rFonts w:eastAsia="宋体"/>
                                        <w:lang w:val="en-US" w:eastAsia="zh-CN"/>
                                      </w:rPr>
                                    </w:pPr>
                                    <w:r>
                                      <w:rPr>
                                        <w:rFonts w:hint="eastAsia"/>
                                        <w:lang w:val="en-US" w:eastAsia="zh-CN"/>
                                      </w:rPr>
                                      <w:t>烘干</w:t>
                                    </w:r>
                                  </w:p>
                                </w:txbxContent>
                              </wps:txbx>
                              <wps:bodyPr vert="horz" wrap="square" lIns="91440" tIns="45720" rIns="91440" bIns="45720" anchor="t" anchorCtr="0" upright="1">
                                <a:spAutoFit/>
                              </wps:bodyPr>
                            </wps:wsp>
                            <wps:wsp>
                              <wps:cNvPr id="93" name="直接连接符 13 93"/>
                              <wps:cNvSpPr/>
                              <wps:spPr>
                                <a:xfrm rot="0">
                                  <a:off x="1713230" y="484482"/>
                                  <a:ext cx="346074"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94" name="文本框 14 94"/>
                              <wps:cNvSpPr/>
                              <wps:spPr>
                                <a:xfrm rot="0">
                                  <a:off x="3101975" y="335248"/>
                                  <a:ext cx="688975" cy="273689"/>
                                </a:xfrm>
                                <a:prstGeom prst="rect"/>
                                <a:solidFill>
                                  <a:srgbClr val="FFFFFF"/>
                                </a:solidFill>
                                <a:ln w="9525" cmpd="sng" cap="flat">
                                  <a:solidFill>
                                    <a:srgbClr val="000000"/>
                                  </a:solidFill>
                                  <a:prstDash val="solid"/>
                                  <a:miter/>
                                </a:ln>
                              </wps:spPr>
                              <wps:txbx id="95">
                                <w:txbxContent>
                                  <w:p>
                                    <w:pPr>
                                      <w:jc w:val="center"/>
                                      <w:rPr>
                                        <w:rFonts w:eastAsia="宋体"/>
                                        <w:lang w:val="en-US" w:eastAsia="zh-CN"/>
                                      </w:rPr>
                                    </w:pPr>
                                    <w:r>
                                      <w:rPr>
                                        <w:rFonts w:hint="eastAsia"/>
                                        <w:lang w:val="en-US" w:eastAsia="zh-CN"/>
                                      </w:rPr>
                                      <w:t>注塑</w:t>
                                    </w:r>
                                  </w:p>
                                </w:txbxContent>
                              </wps:txbx>
                              <wps:bodyPr vert="horz" wrap="square" lIns="91440" tIns="45720" rIns="91440" bIns="45720" anchor="t" anchorCtr="0" upright="1">
                                <a:spAutoFit/>
                              </wps:bodyPr>
                            </wps:wsp>
                            <wps:wsp>
                              <wps:cNvPr id="96" name="直接连接符 15 96"/>
                              <wps:cNvSpPr/>
                              <wps:spPr>
                                <a:xfrm rot="0">
                                  <a:off x="2751455" y="484482"/>
                                  <a:ext cx="346075"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97" name="文本框 16 97"/>
                              <wps:cNvSpPr/>
                              <wps:spPr>
                                <a:xfrm rot="0">
                                  <a:off x="4149725" y="335248"/>
                                  <a:ext cx="930910" cy="273689"/>
                                </a:xfrm>
                                <a:prstGeom prst="rect"/>
                                <a:solidFill>
                                  <a:srgbClr val="FFFFFF"/>
                                </a:solidFill>
                                <a:ln w="9525" cmpd="sng" cap="flat">
                                  <a:solidFill>
                                    <a:srgbClr val="000000"/>
                                  </a:solidFill>
                                  <a:prstDash val="solid"/>
                                  <a:miter/>
                                </a:ln>
                              </wps:spPr>
                              <wps:txbx id="98">
                                <w:txbxContent>
                                  <w:p>
                                    <w:pPr>
                                      <w:jc w:val="center"/>
                                      <w:rPr>
                                        <w:rFonts w:eastAsia="宋体"/>
                                        <w:lang w:val="en-US" w:eastAsia="zh-CN"/>
                                      </w:rPr>
                                    </w:pPr>
                                    <w:r>
                                      <w:rPr>
                                        <w:rFonts w:hint="eastAsia"/>
                                        <w:lang w:val="en-US" w:eastAsia="zh-CN"/>
                                      </w:rPr>
                                      <w:t>检验</w:t>
                                    </w:r>
                                  </w:p>
                                </w:txbxContent>
                              </wps:txbx>
                              <wps:bodyPr vert="horz" wrap="square" lIns="91440" tIns="45720" rIns="91440" bIns="45720" anchor="t" anchorCtr="0" upright="1">
                                <a:spAutoFit/>
                              </wps:bodyPr>
                            </wps:wsp>
                            <wps:wsp>
                              <wps:cNvPr id="99" name="直接连接符 17 99"/>
                              <wps:cNvSpPr/>
                              <wps:spPr>
                                <a:xfrm rot="0">
                                  <a:off x="3799204" y="484482"/>
                                  <a:ext cx="346074"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00" name="直接连接符 18 100"/>
                              <wps:cNvSpPr/>
                              <wps:spPr>
                                <a:xfrm rot="0">
                                  <a:off x="4600574" y="624211"/>
                                  <a:ext cx="635" cy="692784"/>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01" name="文本框 20 101"/>
                              <wps:cNvSpPr/>
                              <wps:spPr>
                                <a:xfrm rot="0">
                                  <a:off x="2938145" y="1285248"/>
                                  <a:ext cx="927100" cy="273689"/>
                                </a:xfrm>
                                <a:prstGeom prst="rect"/>
                                <a:solidFill>
                                  <a:srgbClr val="FFFFFF"/>
                                </a:solidFill>
                                <a:ln w="9525" cmpd="sng" cap="flat">
                                  <a:solidFill>
                                    <a:srgbClr val="000000"/>
                                  </a:solidFill>
                                  <a:prstDash val="solid"/>
                                  <a:miter/>
                                </a:ln>
                              </wps:spPr>
                              <wps:txbx id="102">
                                <w:txbxContent>
                                  <w:p>
                                    <w:pPr>
                                      <w:jc w:val="center"/>
                                      <w:rPr>
                                        <w:rFonts w:eastAsia="宋体"/>
                                        <w:lang w:val="en-US" w:eastAsia="zh-CN"/>
                                      </w:rPr>
                                    </w:pPr>
                                    <w:r>
                                      <w:rPr>
                                        <w:rFonts w:hint="eastAsia"/>
                                        <w:lang w:val="en-US" w:eastAsia="zh-CN"/>
                                      </w:rPr>
                                      <w:t>入库待售</w:t>
                                    </w:r>
                                  </w:p>
                                </w:txbxContent>
                              </wps:txbx>
                              <wps:bodyPr vert="horz" wrap="square" lIns="91440" tIns="45720" rIns="91440" bIns="45720" anchor="t" anchorCtr="0" upright="1">
                                <a:spAutoFit/>
                              </wps:bodyPr>
                            </wps:wsp>
                            <wps:wsp>
                              <wps:cNvPr id="103" name="文本框 24 103"/>
                              <wps:cNvSpPr/>
                              <wps:spPr>
                                <a:xfrm rot="0">
                                  <a:off x="4224019" y="1285248"/>
                                  <a:ext cx="688975" cy="273689"/>
                                </a:xfrm>
                                <a:prstGeom prst="rect"/>
                                <a:solidFill>
                                  <a:srgbClr val="FFFFFF"/>
                                </a:solidFill>
                                <a:ln w="9525" cmpd="sng" cap="flat">
                                  <a:solidFill>
                                    <a:srgbClr val="000000"/>
                                  </a:solidFill>
                                  <a:prstDash val="solid"/>
                                  <a:miter/>
                                </a:ln>
                              </wps:spPr>
                              <wps:txbx id="104">
                                <w:txbxContent>
                                  <w:p>
                                    <w:pPr>
                                      <w:jc w:val="center"/>
                                      <w:rPr>
                                        <w:rFonts w:eastAsia="宋体"/>
                                        <w:lang w:val="en-US" w:eastAsia="zh-CN"/>
                                      </w:rPr>
                                    </w:pPr>
                                    <w:r>
                                      <w:rPr>
                                        <w:rFonts w:hint="eastAsia"/>
                                        <w:lang w:val="en-US" w:eastAsia="zh-CN"/>
                                      </w:rPr>
                                      <w:t>包装</w:t>
                                    </w:r>
                                  </w:p>
                                </w:txbxContent>
                              </wps:txbx>
                              <wps:bodyPr vert="horz" wrap="square" lIns="91440" tIns="45720" rIns="91440" bIns="45720" anchor="t" anchorCtr="0" upright="1">
                                <a:spAutoFit/>
                              </wps:bodyPr>
                            </wps:wsp>
                            <wps:wsp>
                              <wps:cNvPr id="105" name="直接连接符 25 105"/>
                              <wps:cNvSpPr/>
                              <wps:spPr>
                                <a:xfrm rot="0">
                                  <a:off x="3873500" y="1434436"/>
                                  <a:ext cx="346074" cy="646"/>
                                </a:xfrm>
                                <a:prstGeom prst="line"/>
                                <a:noFill/>
                                <a:ln w="9525" cmpd="sng" cap="flat">
                                  <a:solidFill>
                                    <a:srgbClr val="000000"/>
                                  </a:solidFill>
                                  <a:prstDash val="solid"/>
                                  <a:round/>
                                  <a:headEnd type="triangle" w="med" len="med"/>
                                </a:ln>
                              </wps:spPr>
                              <wps:bodyPr vert="horz" wrap="square" lIns="91440" tIns="45720" rIns="91440" bIns="45720" anchor="t" anchorCtr="0" upright="1">
                                <a:noAutofit/>
                              </wps:bodyPr>
                            </wps:wsp>
                            <wps:wsp>
                              <wps:cNvPr id="106" name="直接连接符 31 106"/>
                              <wps:cNvSpPr/>
                              <wps:spPr>
                                <a:xfrm rot="0">
                                  <a:off x="4585335" y="1563367"/>
                                  <a:ext cx="635" cy="320019"/>
                                </a:xfrm>
                                <a:prstGeom prst="line"/>
                                <a:noFill/>
                                <a:ln w="9525" cmpd="sng" cap="flat">
                                  <a:solidFill>
                                    <a:srgbClr val="000000"/>
                                  </a:solidFill>
                                  <a:prstDash val="solid"/>
                                  <a:round/>
                                  <a:headEnd type="triangle" w="med" len="med"/>
                                </a:ln>
                              </wps:spPr>
                              <wps:bodyPr vert="horz" wrap="square" lIns="91440" tIns="45720" rIns="91440" bIns="45720" anchor="t" anchorCtr="0" upright="1">
                                <a:noAutofit/>
                              </wps:bodyPr>
                            </wps:wsp>
                            <wps:wsp>
                              <wps:cNvPr id="107" name="文本框 33 107"/>
                              <wps:cNvSpPr/>
                              <wps:spPr>
                                <a:xfrm rot="0">
                                  <a:off x="4130675" y="1870051"/>
                                  <a:ext cx="850264" cy="264183"/>
                                </a:xfrm>
                                <a:prstGeom prst="rect"/>
                                <a:noFill/>
                                <a:ln cmpd="sng" cap="flat">
                                  <a:noFill/>
                                  <a:prstDash val="solid"/>
                                  <a:round/>
                                </a:ln>
                              </wps:spPr>
                              <wps:txbx id="108">
                                <w:txbxContent>
                                  <w:p>
                                    <w:pPr>
                                      <w:jc w:val="center"/>
                                      <w:rPr>
                                        <w:rFonts w:eastAsia="宋体"/>
                                        <w:lang w:val="en-US" w:eastAsia="zh-CN"/>
                                      </w:rPr>
                                    </w:pPr>
                                    <w:r>
                                      <w:rPr>
                                        <w:rFonts w:hint="eastAsia"/>
                                        <w:lang w:val="en-US" w:eastAsia="zh-CN"/>
                                      </w:rPr>
                                      <w:t>电极片</w:t>
                                    </w:r>
                                  </w:p>
                                </w:txbxContent>
                              </wps:txbx>
                              <wps:bodyPr vert="horz" wrap="square" lIns="91440" tIns="45720" rIns="91440" bIns="45720" anchor="t" anchorCtr="0" upright="1">
                                <a:spAutoFit/>
                              </wps:bodyPr>
                            </wps:wsp>
                            <wps:wsp>
                              <wps:cNvPr id="109" name="文本框 36 109"/>
                              <wps:cNvSpPr/>
                              <wps:spPr>
                                <a:xfrm rot="0">
                                  <a:off x="964565" y="119378"/>
                                  <a:ext cx="777875" cy="244479"/>
                                </a:xfrm>
                                <a:prstGeom prst="rect"/>
                                <a:noFill/>
                                <a:ln cmpd="sng" cap="flat">
                                  <a:noFill/>
                                  <a:prstDash val="solid"/>
                                  <a:round/>
                                </a:ln>
                              </wps:spPr>
                              <wps:txbx id="110">
                                <w:txbxContent>
                                  <w:p>
                                    <w:pPr>
                                      <w:jc w:val="center"/>
                                      <w:rPr>
                                        <w:rFonts w:eastAsia="宋体"/>
                                        <w:lang w:val="en-US" w:eastAsia="zh-CN"/>
                                      </w:rPr>
                                    </w:pPr>
                                    <w:r>
                                      <w:rPr>
                                        <w:rFonts w:hint="eastAsia"/>
                                        <w:lang w:val="en-US" w:eastAsia="zh-CN"/>
                                      </w:rPr>
                                      <w:t>G1 S1-S3</w:t>
                                    </w:r>
                                  </w:p>
                                </w:txbxContent>
                              </wps:txbx>
                              <wps:bodyPr vert="horz" wrap="square" lIns="91440" tIns="45720" rIns="91440" bIns="45720" anchor="t" anchorCtr="0" upright="1">
                                <a:spAutoFit/>
                              </wps:bodyPr>
                            </wps:wsp>
                            <wps:wsp>
                              <wps:cNvPr id="111" name="文本框 37 111"/>
                              <wps:cNvSpPr/>
                              <wps:spPr>
                                <a:xfrm rot="0">
                                  <a:off x="1915159" y="104704"/>
                                  <a:ext cx="952500" cy="308621"/>
                                </a:xfrm>
                                <a:prstGeom prst="rect"/>
                                <a:noFill/>
                                <a:ln cmpd="sng" cap="flat">
                                  <a:noFill/>
                                  <a:prstDash val="solid"/>
                                  <a:round/>
                                </a:ln>
                              </wps:spPr>
                              <wps:txbx id="112">
                                <w:txbxContent>
                                  <w:p>
                                    <w:pPr>
                                      <w:jc w:val="center"/>
                                      <w:rPr>
                                        <w:rFonts w:eastAsia="宋体"/>
                                        <w:lang w:val="en-US" w:eastAsia="zh-CN"/>
                                      </w:rPr>
                                    </w:pPr>
                                    <w:r>
                                      <w:rPr>
                                        <w:rFonts w:hint="eastAsia"/>
                                        <w:lang w:val="en-US" w:eastAsia="zh-CN"/>
                                      </w:rPr>
                                      <w:t>G2 N1 S2-S4</w:t>
                                    </w:r>
                                  </w:p>
                                </w:txbxContent>
                              </wps:txbx>
                              <wps:bodyPr vert="horz" wrap="square" lIns="91440" tIns="45720" rIns="91440" bIns="45720" anchor="t" anchorCtr="0" upright="1">
                                <a:noAutofit/>
                              </wps:bodyPr>
                            </wps:wsp>
                            <wps:wsp>
                              <wps:cNvPr id="113" name="文本框 40 113"/>
                              <wps:cNvSpPr/>
                              <wps:spPr>
                                <a:xfrm rot="0">
                                  <a:off x="4182110" y="137144"/>
                                  <a:ext cx="878839" cy="244479"/>
                                </a:xfrm>
                                <a:prstGeom prst="rect"/>
                                <a:noFill/>
                                <a:ln cmpd="sng" cap="flat">
                                  <a:noFill/>
                                  <a:prstDash val="solid"/>
                                  <a:round/>
                                </a:ln>
                              </wps:spPr>
                              <wps:txbx id="114">
                                <w:txbxContent>
                                  <w:p>
                                    <w:pPr>
                                      <w:jc w:val="center"/>
                                      <w:rPr>
                                        <w:rFonts w:eastAsia="宋体"/>
                                        <w:lang w:val="en-US" w:eastAsia="zh-CN"/>
                                      </w:rPr>
                                    </w:pPr>
                                    <w:r>
                                      <w:rPr>
                                        <w:rFonts w:hint="eastAsia"/>
                                        <w:lang w:val="en-US" w:eastAsia="zh-CN"/>
                                      </w:rPr>
                                      <w:t>S8</w:t>
                                    </w:r>
                                  </w:p>
                                </w:txbxContent>
                              </wps:txbx>
                              <wps:bodyPr vert="horz" wrap="square" lIns="91440" tIns="45720" rIns="91440" bIns="45720" anchor="t" anchorCtr="0" upright="1">
                                <a:spAutoFit/>
                              </wps:bodyPr>
                            </wps:wsp>
                            <wps:wsp>
                              <wps:cNvPr id="115" name="文本框 41 115"/>
                              <wps:cNvSpPr/>
                              <wps:spPr>
                                <a:xfrm rot="0">
                                  <a:off x="4381499" y="1083314"/>
                                  <a:ext cx="775335" cy="269259"/>
                                </a:xfrm>
                                <a:prstGeom prst="rect"/>
                                <a:noFill/>
                                <a:ln cmpd="sng" cap="flat">
                                  <a:noFill/>
                                  <a:prstDash val="solid"/>
                                  <a:round/>
                                </a:ln>
                              </wps:spPr>
                              <wps:txbx id="116">
                                <w:txbxContent>
                                  <w:p>
                                    <w:pPr>
                                      <w:jc w:val="center"/>
                                      <w:rPr>
                                        <w:rFonts w:eastAsia="宋体"/>
                                        <w:lang w:val="en-US" w:eastAsia="zh-CN"/>
                                      </w:rPr>
                                    </w:pPr>
                                    <w:r>
                                      <w:rPr>
                                        <w:rFonts w:hint="eastAsia"/>
                                        <w:lang w:val="en-US" w:eastAsia="zh-CN"/>
                                      </w:rPr>
                                      <w:t>S1</w:t>
                                    </w:r>
                                  </w:p>
                                  <w:p>
                                    <w:pPr>
                                      <w:rPr>
                                        <w:lang w:val="en-US" w:eastAsia="zh-CN"/>
                                      </w:rPr>
                                    </w:pPr>
                                  </w:p>
                                </w:txbxContent>
                              </wps:txbx>
                              <wps:bodyPr vert="horz" wrap="square" lIns="91440" tIns="45720" rIns="91440" bIns="45720" anchor="t" anchorCtr="0" upright="1">
                                <a:noAutofit/>
                              </wps:bodyPr>
                            </wps:wsp>
                            <wps:wsp>
                              <wps:cNvPr id="117" name="文本框 82 117"/>
                              <wps:cNvSpPr/>
                              <wps:spPr>
                                <a:xfrm rot="0">
                                  <a:off x="2945130" y="0"/>
                                  <a:ext cx="952499" cy="436260"/>
                                </a:xfrm>
                                <a:prstGeom prst="rect"/>
                                <a:noFill/>
                                <a:ln cmpd="sng" cap="flat">
                                  <a:noFill/>
                                  <a:prstDash val="solid"/>
                                  <a:round/>
                                </a:ln>
                              </wps:spPr>
                              <wps:txbx id="118">
                                <w:txbxContent>
                                  <w:p>
                                    <w:pPr>
                                      <w:jc w:val="center"/>
                                      <w:rPr>
                                        <w:rFonts w:hint="eastAsia"/>
                                        <w:lang w:val="en-US" w:eastAsia="zh-CN"/>
                                      </w:rPr>
                                    </w:pPr>
                                    <w:r>
                                      <w:rPr>
                                        <w:rFonts w:hint="eastAsia"/>
                                        <w:lang w:val="en-US" w:eastAsia="zh-CN"/>
                                      </w:rPr>
                                      <w:t>G3 N2 S2-S7</w:t>
                                    </w:r>
                                  </w:p>
                                  <w:p>
                                    <w:pPr>
                                      <w:jc w:val="center"/>
                                      <w:rPr>
                                        <w:rFonts w:eastAsia="宋体"/>
                                        <w:lang w:val="en-US" w:eastAsia="zh-CN"/>
                                      </w:rPr>
                                    </w:pPr>
                                    <w:r>
                                      <w:rPr>
                                        <w:rFonts w:hint="eastAsia"/>
                                        <w:lang w:val="en-US" w:eastAsia="zh-CN"/>
                                      </w:rPr>
                                      <w:t>W1</w:t>
                                    </w:r>
                                  </w:p>
                                </w:txbxContent>
                              </wps:txbx>
                              <wps:bodyPr vert="horz" wrap="square" lIns="91440" tIns="45720" rIns="91440" bIns="45720" anchor="t" anchorCtr="0" upright="1">
                                <a:noAutofit/>
                              </wps:bodyPr>
                            </wps:wsp>
                            <wps:bodyPr vert="horz" wrap="square" lIns="91440" tIns="45720" rIns="91440" bIns="45720" anchor="t" anchorCtr="0" upright="1">
                              <a:noAutofit/>
                            </wps:bodyPr>
                          </wpg:wgp>
                        </a:graphicData>
                      </a:graphic>
                    </wp:anchor>
                  </w:drawing>
                </mc:Choice>
                <mc:Fallback>
                  <w:pict>
                    <v:group type="#_x0000_t1" id="组合 163" o:spid="_x0000_s119" coordorigin="2282,2408" coordsize="8121,3361" style="position:absolute;margin-left:3.8pt;margin-top:12.35pt;width:406.05002pt;height:168.05pt;z-index:180;mso-position-horizontal:absolute;mso-position-vertical:absolute;">
                      <v:rect type="#_x0000_t1" id="_s120" o:spid="_x0000_s120" style="position:absolute;left:2282;top:2957;width:1251;height:416;mso-wrap-style:square;" filled="f" stroked="f" strokeweight="-1.0pt">
                        <v:textbox id="868" inset="2.54mm,1.27mm,2.54mm,1.27mm" o:insetmode="custom" style="layout-flow:horizontal;v-text-anchor:top;mso-fit-shape-to-text:t;">
                          <w:txbxContent>
                            <w:p>
                              <w:pPr>
                                <w:jc w:val="center"/>
                                <w:rPr>
                                  <w:rFonts w:eastAsia="宋体"/>
                                  <w:lang w:val="en-US" w:eastAsia="zh-CN"/>
                                </w:rPr>
                              </w:pPr>
                              <w:r>
                                <w:rPr>
                                  <w:rFonts w:hint="eastAsia"/>
                                  <w:lang w:val="en-US" w:eastAsia="zh-CN"/>
                                </w:rPr>
                                <w:t>尼龙粒子</w:t>
                              </w:r>
                            </w:p>
                          </w:txbxContent>
                        </v:textbox>
                        <v:stroke/>
                      </v:rect>
                      <v:rect type="#_x0000_t1" id="_s121" o:spid="_x0000_s121" style="position:absolute;left:3900;top:2935;width:1084;height:431;mso-wrap-style:square;" fillcolor="#FFFFFF" stroked="t">
                        <v:textbox id="869" inset="2.54mm,1.27mm,2.54mm,1.27mm" o:insetmode="custom" style="layout-flow:horizontal;v-text-anchor:top;mso-fit-shape-to-text:t;">
                          <w:txbxContent>
                            <w:p>
                              <w:pPr>
                                <w:jc w:val="center"/>
                                <w:rPr>
                                  <w:rFonts w:eastAsia="宋体"/>
                                  <w:lang w:val="en-US" w:eastAsia="zh-CN"/>
                                </w:rPr>
                              </w:pPr>
                              <w:r>
                                <w:rPr>
                                  <w:rFonts w:hint="eastAsia"/>
                                  <w:lang w:val="en-US" w:eastAsia="zh-CN"/>
                                </w:rPr>
                                <w:t>投料</w:t>
                              </w:r>
                            </w:p>
                          </w:txbxContent>
                        </v:textbox>
                        <v:stroke color="#000000"/>
                      </v:rect>
                      <v:line type="#_x0000_t20" id="直接连接符 10 90" o:spid="_x0000_s122" style="position:absolute;visibility:visible;" from="3348.0,3170.9653" to="3892.9995,3171.9827" filled="f" stroked="t">
                        <v:stroke color="#000000" endarrow="block"/>
                      </v:line>
                      <v:rect type="#_x0000_t1" id="_s123" o:spid="_x0000_s123" style="position:absolute;left:5517;top:2935;width:1085;height:431;mso-wrap-style:square;" fillcolor="#FFFFFF" stroked="t">
                        <v:textbox id="870" inset="2.54mm,1.27mm,2.54mm,1.27mm" o:insetmode="custom" style="layout-flow:horizontal;v-text-anchor:top;mso-fit-shape-to-text:t;">
                          <w:txbxContent>
                            <w:p>
                              <w:pPr>
                                <w:jc w:val="center"/>
                                <w:rPr>
                                  <w:rFonts w:eastAsia="宋体"/>
                                  <w:lang w:val="en-US" w:eastAsia="zh-CN"/>
                                </w:rPr>
                              </w:pPr>
                              <w:r>
                                <w:rPr>
                                  <w:rFonts w:hint="eastAsia"/>
                                  <w:lang w:val="en-US" w:eastAsia="zh-CN"/>
                                </w:rPr>
                                <w:t>烘干</w:t>
                              </w:r>
                            </w:p>
                          </w:txbxContent>
                        </v:textbox>
                        <v:stroke color="#000000"/>
                      </v:rect>
                      <v:line type="#_x0000_t20" id="直接连接符 13 93" o:spid="_x0000_s124" style="position:absolute;visibility:visible;" from="4980.0,3170.9653" to="5525.0,3171.9827" filled="f" stroked="t">
                        <v:stroke color="#000000" endarrow="block"/>
                      </v:line>
                      <v:rect type="#_x0000_t1" id="_s125" o:spid="_x0000_s125" style="position:absolute;left:7167;top:2935;width:1085;height:431;mso-wrap-style:square;" fillcolor="#FFFFFF" stroked="t">
                        <v:textbox id="871" inset="2.54mm,1.27mm,2.54mm,1.27mm" o:insetmode="custom" style="layout-flow:horizontal;v-text-anchor:top;mso-fit-shape-to-text:t;">
                          <w:txbxContent>
                            <w:p>
                              <w:pPr>
                                <w:jc w:val="center"/>
                                <w:rPr>
                                  <w:rFonts w:eastAsia="宋体"/>
                                  <w:lang w:val="en-US" w:eastAsia="zh-CN"/>
                                </w:rPr>
                              </w:pPr>
                              <w:r>
                                <w:rPr>
                                  <w:rFonts w:hint="eastAsia"/>
                                  <w:lang w:val="en-US" w:eastAsia="zh-CN"/>
                                </w:rPr>
                                <w:t>注塑</w:t>
                              </w:r>
                            </w:p>
                          </w:txbxContent>
                        </v:textbox>
                        <v:stroke color="#000000"/>
                      </v:rect>
                      <v:line type="#_x0000_t20" id="直接连接符 15 96" o:spid="_x0000_s126" style="position:absolute;visibility:visible;" from="6615.0,3170.9653" to="7160.0,3171.9827" filled="f" stroked="t">
                        <v:stroke color="#000000" endarrow="block"/>
                      </v:line>
                      <v:rect type="#_x0000_t1" id="_s127" o:spid="_x0000_s127" style="position:absolute;left:8817;top:2935;width:1466;height:431;mso-wrap-style:square;" fillcolor="#FFFFFF" stroked="t">
                        <v:textbox id="872" inset="2.54mm,1.27mm,2.54mm,1.27mm" o:insetmode="custom" style="layout-flow:horizontal;v-text-anchor:top;mso-fit-shape-to-text:t;">
                          <w:txbxContent>
                            <w:p>
                              <w:pPr>
                                <w:jc w:val="center"/>
                                <w:rPr>
                                  <w:rFonts w:eastAsia="宋体"/>
                                  <w:lang w:val="en-US" w:eastAsia="zh-CN"/>
                                </w:rPr>
                              </w:pPr>
                              <w:r>
                                <w:rPr>
                                  <w:rFonts w:hint="eastAsia"/>
                                  <w:lang w:val="en-US" w:eastAsia="zh-CN"/>
                                </w:rPr>
                                <w:t>检验</w:t>
                              </w:r>
                            </w:p>
                          </w:txbxContent>
                        </v:textbox>
                        <v:stroke color="#000000"/>
                      </v:rect>
                      <v:line type="#_x0000_t20" id="直接连接符 17 99" o:spid="_x0000_s128" style="position:absolute;visibility:visible;" from="8265.0,3170.9653" to="8810.0,3171.9827" filled="f" stroked="t">
                        <v:stroke color="#000000" endarrow="block"/>
                      </v:line>
                      <v:line type="#_x0000_t20" id="直接连接符 18 100" o:spid="_x0000_s129" style="position:absolute;visibility:visible;" from="9527.0,3391.0107" to="9528.0,4482.01" filled="f" stroked="t">
                        <v:stroke color="#000000" endarrow="block"/>
                      </v:line>
                      <v:rect type="#_x0000_t1" id="_s130" o:spid="_x0000_s130" style="position:absolute;left:6909;top:4432;width:1460;height:431;mso-wrap-style:square;" fillcolor="#FFFFFF" stroked="t">
                        <v:textbox id="873" inset="2.54mm,1.27mm,2.54mm,1.27mm" o:insetmode="custom" style="layout-flow:horizontal;v-text-anchor:top;mso-fit-shape-to-text:t;">
                          <w:txbxContent>
                            <w:p>
                              <w:pPr>
                                <w:jc w:val="center"/>
                                <w:rPr>
                                  <w:rFonts w:eastAsia="宋体"/>
                                  <w:lang w:val="en-US" w:eastAsia="zh-CN"/>
                                </w:rPr>
                              </w:pPr>
                              <w:r>
                                <w:rPr>
                                  <w:rFonts w:hint="eastAsia"/>
                                  <w:lang w:val="en-US" w:eastAsia="zh-CN"/>
                                </w:rPr>
                                <w:t>入库待售</w:t>
                              </w:r>
                            </w:p>
                          </w:txbxContent>
                        </v:textbox>
                        <v:stroke color="#000000"/>
                      </v:rect>
                      <v:rect type="#_x0000_t1" id="_s131" o:spid="_x0000_s131" style="position:absolute;left:8934;top:4432;width:1085;height:431;mso-wrap-style:square;" fillcolor="#FFFFFF" stroked="t">
                        <v:textbox id="874" inset="2.54mm,1.27mm,2.54mm,1.27mm" o:insetmode="custom" style="layout-flow:horizontal;v-text-anchor:top;mso-fit-shape-to-text:t;">
                          <w:txbxContent>
                            <w:p>
                              <w:pPr>
                                <w:jc w:val="center"/>
                                <w:rPr>
                                  <w:rFonts w:eastAsia="宋体"/>
                                  <w:lang w:val="en-US" w:eastAsia="zh-CN"/>
                                </w:rPr>
                              </w:pPr>
                              <w:r>
                                <w:rPr>
                                  <w:rFonts w:hint="eastAsia"/>
                                  <w:lang w:val="en-US" w:eastAsia="zh-CN"/>
                                </w:rPr>
                                <w:t>包装</w:t>
                              </w:r>
                            </w:p>
                          </w:txbxContent>
                        </v:textbox>
                        <v:stroke color="#000000"/>
                      </v:rect>
                      <v:line type="#_x0000_t20" id="直接连接符 25 105" o:spid="_x0000_s132" style="position:absolute;visibility:visible;" from="8382.001,4666.9556" to="8927.001,4667.973" filled="f" stroked="t">
                        <v:stroke color="#000000" startarrow="block"/>
                      </v:line>
                      <v:line type="#_x0000_t20" id="直接连接符 31 106" o:spid="_x0000_s133" style="position:absolute;visibility:visible;" from="9503.0,4869.9966" to="9504.0,5373.965" filled="f" stroked="t">
                        <v:stroke color="#000000" startarrow="block"/>
                      </v:line>
                      <v:rect type="#_x0000_t1" id="_s134" o:spid="_x0000_s134" style="position:absolute;left:8787;top:5352;width:1339;height:416;mso-wrap-style:square;" filled="f" stroked="f" strokeweight="-1.0pt">
                        <v:textbox id="875" inset="2.54mm,1.27mm,2.54mm,1.27mm" o:insetmode="custom" style="layout-flow:horizontal;v-text-anchor:top;mso-fit-shape-to-text:t;">
                          <w:txbxContent>
                            <w:p>
                              <w:pPr>
                                <w:jc w:val="center"/>
                                <w:rPr>
                                  <w:rFonts w:eastAsia="宋体"/>
                                  <w:lang w:val="en-US" w:eastAsia="zh-CN"/>
                                </w:rPr>
                              </w:pPr>
                              <w:r>
                                <w:rPr>
                                  <w:rFonts w:hint="eastAsia"/>
                                  <w:lang w:val="en-US" w:eastAsia="zh-CN"/>
                                </w:rPr>
                                <w:t>电极片</w:t>
                              </w:r>
                            </w:p>
                          </w:txbxContent>
                        </v:textbox>
                        <v:stroke/>
                      </v:rect>
                      <v:rect type="#_x0000_t1" id="_s135" o:spid="_x0000_s135" style="position:absolute;left:3801;top:2595;width:1225;height:385;mso-wrap-style:square;" filled="f" stroked="f" strokeweight="-1.0pt">
                        <v:textbox id="876" inset="2.54mm,1.27mm,2.54mm,1.27mm" o:insetmode="custom" style="layout-flow:horizontal;v-text-anchor:top;mso-fit-shape-to-text:t;">
                          <w:txbxContent>
                            <w:p>
                              <w:pPr>
                                <w:jc w:val="center"/>
                                <w:rPr>
                                  <w:rFonts w:eastAsia="宋体"/>
                                  <w:lang w:val="en-US" w:eastAsia="zh-CN"/>
                                </w:rPr>
                              </w:pPr>
                              <w:r>
                                <w:rPr>
                                  <w:rFonts w:hint="eastAsia"/>
                                  <w:lang w:val="en-US" w:eastAsia="zh-CN"/>
                                </w:rPr>
                                <w:t>G1 S1-S3</w:t>
                              </w:r>
                            </w:p>
                          </w:txbxContent>
                        </v:textbox>
                        <v:stroke/>
                      </v:rect>
                      <v:rect type="#_x0000_t1" id="_s136" o:spid="_x0000_s136" style="position:absolute;left:5297;top:2572;width:1500;height:486;mso-wrap-style:square;" filled="f" stroked="f" strokeweight="-1.0pt">
                        <v:textbox id="877" inset="2.54mm,1.27mm,2.54mm,1.27mm" o:insetmode="custom" style="layout-flow:horizontal;v-text-anchor:top;">
                          <w:txbxContent>
                            <w:p>
                              <w:pPr>
                                <w:jc w:val="center"/>
                                <w:rPr>
                                  <w:rFonts w:eastAsia="宋体"/>
                                  <w:lang w:val="en-US" w:eastAsia="zh-CN"/>
                                </w:rPr>
                              </w:pPr>
                              <w:r>
                                <w:rPr>
                                  <w:rFonts w:hint="eastAsia"/>
                                  <w:lang w:val="en-US" w:eastAsia="zh-CN"/>
                                </w:rPr>
                                <w:t>G2 N1 S2-S4</w:t>
                              </w:r>
                            </w:p>
                          </w:txbxContent>
                        </v:textbox>
                        <v:stroke/>
                      </v:rect>
                      <v:rect type="#_x0000_t1" id="_s137" o:spid="_x0000_s137" style="position:absolute;left:8868;top:2623;width:1384;height:385;mso-wrap-style:square;" filled="f" stroked="f" strokeweight="-1.0pt">
                        <v:textbox id="878" inset="2.54mm,1.27mm,2.54mm,1.27mm" o:insetmode="custom" style="layout-flow:horizontal;v-text-anchor:top;mso-fit-shape-to-text:t;">
                          <w:txbxContent>
                            <w:p>
                              <w:pPr>
                                <w:jc w:val="center"/>
                                <w:rPr>
                                  <w:rFonts w:eastAsia="宋体"/>
                                  <w:lang w:val="en-US" w:eastAsia="zh-CN"/>
                                </w:rPr>
                              </w:pPr>
                              <w:r>
                                <w:rPr>
                                  <w:rFonts w:hint="eastAsia"/>
                                  <w:lang w:val="en-US" w:eastAsia="zh-CN"/>
                                </w:rPr>
                                <w:t>S8</w:t>
                              </w:r>
                            </w:p>
                          </w:txbxContent>
                        </v:textbox>
                        <v:stroke/>
                      </v:rect>
                      <v:rect type="#_x0000_t1" id="_s138" o:spid="_x0000_s138" style="position:absolute;left:9182;top:4114;width:1221;height:424;mso-wrap-style:square;" filled="f" stroked="f" strokeweight="-1.0pt">
                        <v:textbox id="879" inset="2.54mm,1.27mm,2.54mm,1.27mm" o:insetmode="custom" style="layout-flow:horizontal;v-text-anchor:top;">
                          <w:txbxContent>
                            <w:p>
                              <w:pPr>
                                <w:jc w:val="center"/>
                                <w:rPr>
                                  <w:rFonts w:eastAsia="宋体"/>
                                  <w:lang w:val="en-US" w:eastAsia="zh-CN"/>
                                </w:rPr>
                              </w:pPr>
                              <w:r>
                                <w:rPr>
                                  <w:rFonts w:hint="eastAsia"/>
                                  <w:lang w:val="en-US" w:eastAsia="zh-CN"/>
                                </w:rPr>
                                <w:t>S1</w:t>
                              </w:r>
                            </w:p>
                            <w:p>
                              <w:pPr>
                                <w:rPr>
                                  <w:lang w:val="en-US" w:eastAsia="zh-CN"/>
                                </w:rPr>
                              </w:pPr>
                            </w:p>
                          </w:txbxContent>
                        </v:textbox>
                        <v:stroke/>
                      </v:rect>
                      <v:rect type="#_x0000_t1" id="_s139" o:spid="_x0000_s139" style="position:absolute;left:6920;top:2408;width:1499;height:687;mso-wrap-style:square;" filled="f" stroked="f" strokeweight="-1.0pt">
                        <v:textbox id="880" inset="2.54mm,1.27mm,2.54mm,1.27mm" o:insetmode="custom" style="layout-flow:horizontal;v-text-anchor:top;">
                          <w:txbxContent>
                            <w:p>
                              <w:pPr>
                                <w:jc w:val="center"/>
                                <w:rPr>
                                  <w:rFonts w:hint="eastAsia"/>
                                  <w:lang w:val="en-US" w:eastAsia="zh-CN"/>
                                </w:rPr>
                              </w:pPr>
                              <w:r>
                                <w:rPr>
                                  <w:rFonts w:hint="eastAsia"/>
                                  <w:lang w:val="en-US" w:eastAsia="zh-CN"/>
                                </w:rPr>
                                <w:t>G3 N2 S2-S7</w:t>
                              </w:r>
                            </w:p>
                            <w:p>
                              <w:pPr>
                                <w:jc w:val="center"/>
                                <w:rPr>
                                  <w:rFonts w:eastAsia="宋体"/>
                                  <w:lang w:val="en-US" w:eastAsia="zh-CN"/>
                                </w:rPr>
                              </w:pPr>
                              <w:r>
                                <w:rPr>
                                  <w:rFonts w:hint="eastAsia"/>
                                  <w:lang w:val="en-US" w:eastAsia="zh-CN"/>
                                </w:rPr>
                                <w:t>W1</w:t>
                              </w:r>
                            </w:p>
                          </w:txbxContent>
                        </v:textbox>
                        <v:stroke/>
                      </v:rect>
                    </v:group>
                  </w:pict>
                </mc:Fallback>
              </mc:AlternateContent>
            </w:r>
            <w:r>
              <w:rPr>
                <w:rFonts w:ascii="Times New Roman" w:eastAsia="宋体" w:cs="Times New Roman" w:hAnsi="Times New Roman"/>
                <w:caps w:val="0"/>
                <w:smallCaps w:val="0"/>
                <w:snapToGrid w:val="0"/>
                <w:color w:val="auto"/>
                <w:spacing w:val="0"/>
                <w:kern w:val="2"/>
                <w:sz w:val="24"/>
                <w:szCs w:val="24"/>
                <w:lang w:val="en-US" w:eastAsia="zh-CN" w:bidi="ar-SA"/>
                <w:highlight w:val="none"/>
              </w:rPr>
              <w:t>（1）</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汽车塑料配件工艺流程及排污节点：</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eastAsia="宋体" w:cs="Times New Roman" w:hAnsi="Times New Roman"/>
                <w:b w:val="0"/>
                <w:bCs/>
                <w:caps w:val="0"/>
                <w:smallCaps w:val="0"/>
                <w:color w:val="auto"/>
                <w:spacing w:val="0"/>
                <w:lang w:val="en-US" w:eastAsia="zh-CN"/>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caps w:val="0"/>
                <w:smallCaps w:val="0"/>
                <w:color w:val="auto"/>
                <w:spacing w:val="0"/>
                <w:highlight w:val="none"/>
              </w:rPr>
            </w:pPr>
            <w:r>
              <w:rPr>
                <w:rFonts w:ascii="Times New Roman" w:cs="Times New Roman" w:hAnsi="Times New Roman"/>
                <w:b w:val="0"/>
                <w:bCs/>
                <w:caps w:val="0"/>
                <w:smallCaps w:val="0"/>
                <w:color w:val="auto"/>
                <w:spacing w:val="0"/>
                <w:sz w:val="21"/>
                <w:szCs w:val="21"/>
                <w:lang w:val="en-US" w:eastAsia="zh-CN"/>
                <w:highlight w:val="none"/>
              </w:rPr>
              <w:t>注：</w:t>
            </w:r>
            <w:r>
              <w:rPr>
                <w:rFonts w:ascii="Times New Roman" w:cs="Times New Roman" w:hAnsi="Times New Roman" w:hint="eastAsia"/>
                <w:b w:val="0"/>
                <w:bCs/>
                <w:caps w:val="0"/>
                <w:smallCaps w:val="0"/>
                <w:color w:val="auto"/>
                <w:spacing w:val="0"/>
                <w:sz w:val="21"/>
                <w:szCs w:val="21"/>
                <w:lang w:val="en-US" w:eastAsia="zh-CN"/>
                <w:highlight w:val="none"/>
              </w:rPr>
              <w:t xml:space="preserve">G废气 </w:t>
            </w:r>
            <w:r>
              <w:rPr>
                <w:rFonts w:ascii="Times New Roman" w:cs="Times New Roman" w:hAnsi="Times New Roman"/>
                <w:b w:val="0"/>
                <w:bCs/>
                <w:caps w:val="0"/>
                <w:smallCaps w:val="0"/>
                <w:color w:val="auto"/>
                <w:spacing w:val="0"/>
                <w:sz w:val="21"/>
                <w:szCs w:val="21"/>
                <w:lang w:val="en-US" w:eastAsia="zh-CN"/>
                <w:highlight w:val="none"/>
              </w:rPr>
              <w:t>N噪声 S固废</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图2-</w:t>
            </w: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 xml:space="preserve">    汽车塑料配件工艺流程及产污环节图</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生产工艺介绍如下：</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①</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投料</w:t>
            </w:r>
          </w:p>
          <w:p>
            <w:pPr>
              <w:pStyle w:val="137"/>
              <w:keepNext w:val="0"/>
              <w:keepLines w:val="0"/>
              <w:suppressLineNumbers w:val="0"/>
              <w:spacing w:before="0" w:beforeAutospacing="0" w:after="0" w:afterAutospacing="0"/>
              <w:ind w:left="0" w:right="0" w:firstLineChars="200" w:firstLine="480"/>
              <w:rPr>
                <w:rFonts w:cs="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尼龙粒子人工拆包后人工倒入干燥机/干燥箱进行干燥。</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本工序污染物主要为：尼龙粒子拆包、投料时产生的颗粒物G1；废包装材料S1、废布袋S2、除尘灰S3。</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②</w:t>
            </w:r>
            <w:r>
              <w:rPr>
                <w:rFonts w:ascii="Times New Roman" w:cs="Times New Roman" w:hAnsi="Times New Roman" w:hint="eastAsia"/>
                <w:caps w:val="0"/>
                <w:smallCaps w:val="0"/>
                <w:snapToGrid w:val="0"/>
                <w:color w:val="auto"/>
                <w:spacing w:val="0"/>
                <w:kern w:val="2"/>
                <w:sz w:val="24"/>
                <w:szCs w:val="24"/>
                <w:lang w:val="en-US" w:eastAsia="zh-CN" w:bidi="ar-SA"/>
                <w:highlight w:val="none"/>
              </w:rPr>
              <w:t>烘干</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因尼龙粒子的吸湿性强，需将干燥机/干燥箱温度调至80~120℃进行干燥，去除水分以防止注塑时产生气泡、银纹等缺陷。</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本工序污染物主要为：烘干过程中产生的非甲烷总烃、氨、臭气浓度G2；干燥机/干燥箱运转时产生的噪声N1；废活性炭S4。</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③</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注塑</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经过干燥后的尼龙粒子通过管道经气力输送至注塑机入料斗中，在高压注塑机加热筒内电热片的加热作用下加热至熔融状态，尼龙粒子加热温度为240-270℃。熔融状态的物料经注射螺杆注入模具中，同时进行自然冷却，得到半成品汽车塑料件，待半成品自然冷却后，人工取出，并裁剪除去多余的塑料。</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本工序污染物主要为：注塑过程中产生的颗粒物、非甲烷总烃、氨、臭气浓度G3；注塑机运转时产生的噪声N2；废布袋S2、除尘灰S3、废活性炭S4、废塑料边角料S5、废切削液S6、废切削液桶S7；设备冷却水W1。</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④</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检验</w:t>
            </w:r>
          </w:p>
          <w:p>
            <w:pPr>
              <w:pStyle w:val="137"/>
              <w:keepNext w:val="0"/>
              <w:keepLines w:val="0"/>
              <w:suppressLineNumbers w:val="0"/>
              <w:spacing w:before="0" w:beforeAutospacing="0" w:after="0" w:afterAutospacing="0"/>
              <w:ind w:left="0" w:right="0" w:firstLineChars="200" w:firstLine="480"/>
              <w:rPr>
                <w:rFonts w:cs="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经人工检验外观，合格的进入下一工序，不合格品收集后待售。</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本工序污染物主要为：检验过程中产生的不合格品S8。</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⑤</w:t>
            </w:r>
            <w:r>
              <w:rPr>
                <w:rFonts w:ascii="Times New Roman" w:cs="Times New Roman" w:hAnsi="Times New Roman" w:hint="eastAsia"/>
                <w:caps w:val="0"/>
                <w:smallCaps w:val="0"/>
                <w:snapToGrid w:val="0"/>
                <w:color w:val="auto"/>
                <w:spacing w:val="0"/>
                <w:kern w:val="2"/>
                <w:sz w:val="24"/>
                <w:szCs w:val="24"/>
                <w:lang w:val="en-US" w:eastAsia="zh-CN" w:bidi="ar-SA"/>
                <w:highlight w:val="none"/>
              </w:rPr>
              <w:t>包装</w:t>
            </w:r>
          </w:p>
          <w:p>
            <w:pPr>
              <w:pStyle w:val="137"/>
              <w:keepNext w:val="0"/>
              <w:keepLines w:val="0"/>
              <w:suppressLineNumbers w:val="0"/>
              <w:spacing w:before="0" w:beforeAutospacing="0" w:after="0" w:afterAutospacing="0"/>
              <w:ind w:left="0" w:right="0" w:firstLineChars="200" w:firstLine="480"/>
              <w:rPr>
                <w:rFonts w:cs="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经人工检验合格的半成品与电极片组装后，经人工包装后入库待售。项目电极片20%由本厂生产，80%直接外购成品。</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本工序污染物主要为：废包装材料S1。</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⑥</w:t>
            </w:r>
            <w:r>
              <w:rPr>
                <w:rFonts w:ascii="Times New Roman" w:cs="Times New Roman" w:hAnsi="Times New Roman" w:hint="eastAsia"/>
                <w:caps w:val="0"/>
                <w:smallCaps w:val="0"/>
                <w:snapToGrid w:val="0"/>
                <w:color w:val="auto"/>
                <w:spacing w:val="0"/>
                <w:kern w:val="2"/>
                <w:sz w:val="24"/>
                <w:szCs w:val="24"/>
                <w:lang w:val="en-US" w:eastAsia="zh-CN" w:bidi="ar-SA"/>
                <w:highlight w:val="none"/>
              </w:rPr>
              <w:t>入库待售</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成品人工搬运至成品区暂存待售。</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本工序无污染物产生。</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caps w:val="0"/>
                <w:smallCaps w:val="0"/>
                <w:color w:val="auto"/>
                <w:spacing w:val="0"/>
                <w:lang w:val="en-US"/>
                <w:highlight w:val="none"/>
              </w:rPr>
            </w:pPr>
            <w:r>
              <w:rPr>
                <w:rFonts w:ascii="Times New Roman" w:cs="Times New Roman" w:hAnsi="Times New Roman" w:hint="eastAsia"/>
                <w:caps w:val="0"/>
                <w:smallCaps w:val="0"/>
                <w:color w:val="auto"/>
                <w:spacing w:val="0"/>
                <w:sz w:val="24"/>
                <w:szCs w:val="20"/>
                <w:lang w:val="en-US" w:eastAsia="zh-CN"/>
                <w:highlight w:val="none"/>
              </w:rPr>
              <w:t>（2）</w:t>
            </w:r>
            <w:r>
              <w:rPr>
                <w:rFonts w:ascii="Times New Roman" w:cs="Times New Roman" w:hAnsi="Times New Roman" w:hint="eastAsia"/>
                <w:caps w:val="0"/>
                <w:smallCaps w:val="0"/>
                <w:snapToGrid w:val="0"/>
                <w:color w:val="auto"/>
                <w:spacing w:val="0"/>
                <w:kern w:val="2"/>
                <w:sz w:val="24"/>
                <w:szCs w:val="24"/>
                <w:lang w:val="en-US" w:eastAsia="zh-CN" w:bidi="ar-SA"/>
                <w:highlight w:val="none"/>
              </w:rPr>
              <w:t>电极片工艺流程及排污节点：</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82" behindDoc="0" locked="0" layoutInCell="1" hidden="0" allowOverlap="1">
                      <wp:simplePos x="0" y="0"/>
                      <wp:positionH relativeFrom="column">
                        <wp:posOffset>559434</wp:posOffset>
                      </wp:positionH>
                      <wp:positionV relativeFrom="paragraph">
                        <wp:posOffset>48259</wp:posOffset>
                      </wp:positionV>
                      <wp:extent cx="4048125" cy="497158"/>
                      <wp:effectExtent l="0" t="0" r="7620" b="19684"/>
                      <wp:wrapNone/>
                      <wp:docPr id="164" name="组合 164"/>
                      <wp:cNvGraphicFramePr>
                        <a:graphicFrameLocks noChangeAspect="0"/>
                      </wp:cNvGraphicFramePr>
                      <a:graphic>
                        <a:graphicData uri="http://schemas.microsoft.com/office/word/2010/wordprocessingGroup">
                          <wpg:wgp>
                            <wpg:cNvPr id="140" name="组合 140"/>
                            <wpg:cNvGrpSpPr/>
                            <wpg:grpSpPr>
                              <a:xfrm rot="0">
                                <a:off x="0" y="0"/>
                                <a:ext cx="4048125" cy="497158"/>
                                <a:chOff x="0" y="0"/>
                                <a:chExt cx="4048125" cy="497158"/>
                              </a:xfrm>
                              <a:prstGeom prst="rect"/>
                              <a:solidFill>
                                <a:srgbClr val="FFFFFF"/>
                              </a:solidFill>
                              <a:ln w="9525" cmpd="sng" cap="flat">
                                <a:solidFill>
                                  <a:srgbClr val="000000"/>
                                </a:solidFill>
                                <a:prstDash val="solid"/>
                                <a:miter/>
                              </a:ln>
                            </wpg:grpSpPr>
                            <wps:wsp>
                              <wps:cNvPr id="141" name="文本框 88 141"/>
                              <wps:cNvSpPr/>
                              <wps:spPr>
                                <a:xfrm rot="0">
                                  <a:off x="0" y="227952"/>
                                  <a:ext cx="922655" cy="264176"/>
                                </a:xfrm>
                                <a:prstGeom prst="rect"/>
                                <a:noFill/>
                                <a:ln cmpd="sng" cap="flat">
                                  <a:noFill/>
                                  <a:prstDash val="solid"/>
                                  <a:round/>
                                </a:ln>
                              </wps:spPr>
                              <wps:txbx id="142">
                                <w:txbxContent>
                                  <w:p>
                                    <w:pPr>
                                      <w:jc w:val="center"/>
                                      <w:rPr>
                                        <w:rFonts w:eastAsia="宋体"/>
                                        <w:lang w:val="en-US" w:eastAsia="zh-CN"/>
                                      </w:rPr>
                                    </w:pPr>
                                    <w:r>
                                      <w:rPr>
                                        <w:rFonts w:hint="eastAsia"/>
                                        <w:lang w:val="en-US" w:eastAsia="zh-CN"/>
                                      </w:rPr>
                                      <w:t>铝板、铜板</w:t>
                                    </w:r>
                                  </w:p>
                                </w:txbxContent>
                              </wps:txbx>
                              <wps:bodyPr vert="horz" wrap="square" lIns="91440" tIns="45720" rIns="91440" bIns="45720" anchor="t" anchorCtr="0" upright="1">
                                <a:spAutoFit/>
                              </wps:bodyPr>
                            </wps:wsp>
                            <wps:wsp>
                              <wps:cNvPr id="143" name="文本框 89 143"/>
                              <wps:cNvSpPr/>
                              <wps:spPr>
                                <a:xfrm rot="0">
                                  <a:off x="1237615" y="217155"/>
                                  <a:ext cx="671195" cy="273681"/>
                                </a:xfrm>
                                <a:prstGeom prst="rect"/>
                                <a:solidFill>
                                  <a:srgbClr val="FFFFFF"/>
                                </a:solidFill>
                                <a:ln w="9525" cmpd="sng" cap="flat">
                                  <a:solidFill>
                                    <a:srgbClr val="000000"/>
                                  </a:solidFill>
                                  <a:prstDash val="solid"/>
                                  <a:miter/>
                                </a:ln>
                              </wps:spPr>
                              <wps:txbx id="144">
                                <w:txbxContent>
                                  <w:p>
                                    <w:pPr>
                                      <w:jc w:val="center"/>
                                      <w:rPr>
                                        <w:rFonts w:eastAsia="宋体"/>
                                        <w:lang w:val="en-US" w:eastAsia="zh-CN"/>
                                      </w:rPr>
                                    </w:pPr>
                                    <w:r>
                                      <w:rPr>
                                        <w:rFonts w:hint="eastAsia"/>
                                        <w:lang w:val="en-US" w:eastAsia="zh-CN"/>
                                      </w:rPr>
                                      <w:t>剪板</w:t>
                                    </w:r>
                                  </w:p>
                                </w:txbxContent>
                              </wps:txbx>
                              <wps:bodyPr vert="horz" wrap="square" lIns="91440" tIns="45720" rIns="91440" bIns="45720" anchor="t" anchorCtr="0" upright="1">
                                <a:spAutoFit/>
                              </wps:bodyPr>
                            </wps:wsp>
                            <wps:wsp>
                              <wps:cNvPr id="145" name="直接连接符 90 145"/>
                              <wps:cNvSpPr/>
                              <wps:spPr>
                                <a:xfrm rot="0">
                                  <a:off x="878205" y="360018"/>
                                  <a:ext cx="346074" cy="645"/>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46" name="文本框 91 146"/>
                              <wps:cNvSpPr/>
                              <wps:spPr>
                                <a:xfrm rot="0">
                                  <a:off x="2255520" y="223477"/>
                                  <a:ext cx="688975" cy="273681"/>
                                </a:xfrm>
                                <a:prstGeom prst="rect"/>
                                <a:solidFill>
                                  <a:srgbClr val="FFFFFF"/>
                                </a:solidFill>
                                <a:ln w="9525" cmpd="sng" cap="flat">
                                  <a:solidFill>
                                    <a:srgbClr val="000000"/>
                                  </a:solidFill>
                                  <a:prstDash val="solid"/>
                                  <a:miter/>
                                </a:ln>
                              </wps:spPr>
                              <wps:txbx id="147">
                                <w:txbxContent>
                                  <w:p>
                                    <w:pPr>
                                      <w:jc w:val="center"/>
                                      <w:rPr>
                                        <w:rFonts w:eastAsia="宋体"/>
                                        <w:lang w:val="en-US" w:eastAsia="zh-CN"/>
                                      </w:rPr>
                                    </w:pPr>
                                    <w:r>
                                      <w:rPr>
                                        <w:rFonts w:hint="eastAsia"/>
                                        <w:lang w:val="en-US" w:eastAsia="zh-CN"/>
                                      </w:rPr>
                                      <w:t>冲压</w:t>
                                    </w:r>
                                  </w:p>
                                </w:txbxContent>
                              </wps:txbx>
                              <wps:bodyPr vert="horz" wrap="square" lIns="91440" tIns="45720" rIns="91440" bIns="45720" anchor="t" anchorCtr="0" upright="1">
                                <a:spAutoFit/>
                              </wps:bodyPr>
                            </wps:wsp>
                            <wps:wsp>
                              <wps:cNvPr id="148" name="直接连接符 92 148"/>
                              <wps:cNvSpPr/>
                              <wps:spPr>
                                <a:xfrm rot="0">
                                  <a:off x="1905000" y="360018"/>
                                  <a:ext cx="346074" cy="645"/>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49" name="直接连接符 93 149"/>
                              <wps:cNvSpPr/>
                              <wps:spPr>
                                <a:xfrm rot="0">
                                  <a:off x="2952750" y="360018"/>
                                  <a:ext cx="346075" cy="645"/>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50" name="文本框 94 150"/>
                              <wps:cNvSpPr/>
                              <wps:spPr>
                                <a:xfrm rot="0">
                                  <a:off x="3303270" y="223477"/>
                                  <a:ext cx="688975" cy="273681"/>
                                </a:xfrm>
                                <a:prstGeom prst="rect"/>
                                <a:solidFill>
                                  <a:srgbClr val="FFFFFF"/>
                                </a:solidFill>
                                <a:ln w="9525" cmpd="sng" cap="flat">
                                  <a:solidFill>
                                    <a:srgbClr val="000000"/>
                                  </a:solidFill>
                                  <a:prstDash val="solid"/>
                                  <a:miter/>
                                </a:ln>
                              </wps:spPr>
                              <wps:txbx id="151">
                                <w:txbxContent>
                                  <w:p>
                                    <w:pPr>
                                      <w:jc w:val="center"/>
                                      <w:rPr>
                                        <w:rFonts w:eastAsia="宋体"/>
                                        <w:lang w:val="en-US" w:eastAsia="zh-CN"/>
                                      </w:rPr>
                                    </w:pPr>
                                    <w:r>
                                      <w:rPr>
                                        <w:rFonts w:hint="eastAsia"/>
                                        <w:lang w:val="en-US" w:eastAsia="zh-CN"/>
                                      </w:rPr>
                                      <w:t>检验</w:t>
                                    </w:r>
                                  </w:p>
                                </w:txbxContent>
                              </wps:txbx>
                              <wps:bodyPr vert="horz" wrap="square" lIns="91440" tIns="45720" rIns="91440" bIns="45720" anchor="t" anchorCtr="0" upright="1">
                                <a:spAutoFit/>
                              </wps:bodyPr>
                            </wps:wsp>
                            <wps:wsp>
                              <wps:cNvPr id="152" name="文本框 116 152"/>
                              <wps:cNvSpPr/>
                              <wps:spPr>
                                <a:xfrm rot="0">
                                  <a:off x="1167130" y="0"/>
                                  <a:ext cx="812165" cy="264176"/>
                                </a:xfrm>
                                <a:prstGeom prst="rect"/>
                                <a:noFill/>
                                <a:ln cmpd="sng" cap="flat">
                                  <a:noFill/>
                                  <a:prstDash val="solid"/>
                                  <a:round/>
                                </a:ln>
                              </wps:spPr>
                              <wps:txbx id="153">
                                <w:txbxContent>
                                  <w:p>
                                    <w:pPr>
                                      <w:jc w:val="center"/>
                                      <w:rPr>
                                        <w:rFonts w:eastAsia="宋体"/>
                                        <w:lang w:val="en-US" w:eastAsia="zh-CN"/>
                                      </w:rPr>
                                    </w:pPr>
                                    <w:r>
                                      <w:rPr>
                                        <w:rFonts w:hint="eastAsia"/>
                                        <w:lang w:val="en-US" w:eastAsia="zh-CN"/>
                                      </w:rPr>
                                      <w:t>N3、S9</w:t>
                                    </w:r>
                                  </w:p>
                                </w:txbxContent>
                              </wps:txbx>
                              <wps:bodyPr vert="horz" wrap="square" lIns="91440" tIns="45720" rIns="91440" bIns="45720" anchor="t" anchorCtr="0" upright="1">
                                <a:spAutoFit/>
                              </wps:bodyPr>
                            </wps:wsp>
                            <wps:wsp>
                              <wps:cNvPr id="154" name="文本框 118 154"/>
                              <wps:cNvSpPr/>
                              <wps:spPr>
                                <a:xfrm rot="0">
                                  <a:off x="2210435" y="0"/>
                                  <a:ext cx="812165" cy="244472"/>
                                </a:xfrm>
                                <a:prstGeom prst="rect"/>
                                <a:noFill/>
                                <a:ln cmpd="sng" cap="flat">
                                  <a:noFill/>
                                  <a:prstDash val="solid"/>
                                  <a:round/>
                                </a:ln>
                              </wps:spPr>
                              <wps:txbx id="155">
                                <w:txbxContent>
                                  <w:p>
                                    <w:pPr>
                                      <w:jc w:val="center"/>
                                      <w:rPr>
                                        <w:lang w:val="en-US" w:eastAsia="zh-CN"/>
                                      </w:rPr>
                                    </w:pPr>
                                    <w:r>
                                      <w:rPr>
                                        <w:rFonts w:hint="eastAsia"/>
                                        <w:lang w:val="en-US" w:eastAsia="zh-CN"/>
                                      </w:rPr>
                                      <w:t>N4</w:t>
                                    </w:r>
                                  </w:p>
                                </w:txbxContent>
                              </wps:txbx>
                              <wps:bodyPr vert="horz" wrap="square" lIns="91440" tIns="45720" rIns="91440" bIns="45720" anchor="t" anchorCtr="0" upright="1">
                                <a:spAutoFit/>
                              </wps:bodyPr>
                            </wps:wsp>
                            <wps:wsp>
                              <wps:cNvPr id="156" name="文本框 119 156"/>
                              <wps:cNvSpPr/>
                              <wps:spPr>
                                <a:xfrm rot="0">
                                  <a:off x="3235960" y="0"/>
                                  <a:ext cx="812165" cy="244472"/>
                                </a:xfrm>
                                <a:prstGeom prst="rect"/>
                                <a:noFill/>
                                <a:ln cmpd="sng" cap="flat">
                                  <a:noFill/>
                                  <a:prstDash val="solid"/>
                                  <a:round/>
                                </a:ln>
                              </wps:spPr>
                              <wps:txbx id="157">
                                <w:txbxContent>
                                  <w:p>
                                    <w:pPr>
                                      <w:jc w:val="center"/>
                                      <w:rPr>
                                        <w:rFonts w:eastAsia="宋体"/>
                                        <w:lang w:val="en-US" w:eastAsia="zh-CN"/>
                                      </w:rPr>
                                    </w:pPr>
                                    <w:r>
                                      <w:rPr>
                                        <w:rFonts w:hint="eastAsia"/>
                                        <w:lang w:val="en-US" w:eastAsia="zh-CN"/>
                                      </w:rPr>
                                      <w:t>S10</w:t>
                                    </w:r>
                                  </w:p>
                                </w:txbxContent>
                              </wps:txbx>
                              <wps:bodyPr vert="horz" wrap="square" lIns="91440" tIns="45720" rIns="91440" bIns="45720" anchor="t" anchorCtr="0" upright="1">
                                <a:spAutoFit/>
                              </wps:bodyPr>
                            </wps:wsp>
                            <wps:bodyPr vert="horz" wrap="square" lIns="91440" tIns="45720" rIns="91440" bIns="45720" anchor="t" anchorCtr="0" upright="1">
                              <a:noAutofit/>
                            </wps:bodyPr>
                          </wpg:wgp>
                        </a:graphicData>
                      </a:graphic>
                    </wp:anchor>
                  </w:drawing>
                </mc:Choice>
                <mc:Fallback>
                  <w:pict>
                    <v:group type="#_x0000_t1" id="组合 164" o:spid="_x0000_s158" coordorigin="3087,6197" coordsize="6375,782" style="position:absolute;margin-left:44.05pt;margin-top:3.7999992pt;width:318.75pt;height:39.14637pt;z-index:182;mso-position-horizontal:absolute;mso-position-vertical:absolute;">
                      <v:rect type="#_x0000_t1" id="_s159" o:spid="_x0000_s159" style="position:absolute;left:3087;top:6555;width:1453;height:416;mso-wrap-style:square;" filled="f" stroked="f" strokeweight="-1.0pt">
                        <v:textbox id="881" inset="2.54mm,1.27mm,2.54mm,1.27mm" o:insetmode="custom" style="layout-flow:horizontal;v-text-anchor:top;mso-fit-shape-to-text:t;">
                          <w:txbxContent>
                            <w:p>
                              <w:pPr>
                                <w:jc w:val="center"/>
                                <w:rPr>
                                  <w:rFonts w:eastAsia="宋体"/>
                                  <w:lang w:val="en-US" w:eastAsia="zh-CN"/>
                                </w:rPr>
                              </w:pPr>
                              <w:r>
                                <w:rPr>
                                  <w:rFonts w:hint="eastAsia"/>
                                  <w:lang w:val="en-US" w:eastAsia="zh-CN"/>
                                </w:rPr>
                                <w:t>铝板、铜板</w:t>
                              </w:r>
                            </w:p>
                          </w:txbxContent>
                        </v:textbox>
                        <v:stroke/>
                      </v:rect>
                      <v:rect type="#_x0000_t1" id="_s160" o:spid="_x0000_s160" style="position:absolute;left:5036;top:6538;width:1057;height:430;mso-wrap-style:square;" fillcolor="#FFFFFF" stroked="t">
                        <v:textbox id="882" inset="2.54mm,1.27mm,2.54mm,1.27mm" o:insetmode="custom" style="layout-flow:horizontal;v-text-anchor:top;mso-fit-shape-to-text:t;">
                          <w:txbxContent>
                            <w:p>
                              <w:pPr>
                                <w:jc w:val="center"/>
                                <w:rPr>
                                  <w:rFonts w:eastAsia="宋体"/>
                                  <w:lang w:val="en-US" w:eastAsia="zh-CN"/>
                                </w:rPr>
                              </w:pPr>
                              <w:r>
                                <w:rPr>
                                  <w:rFonts w:hint="eastAsia"/>
                                  <w:lang w:val="en-US" w:eastAsia="zh-CN"/>
                                </w:rPr>
                                <w:t>剪板</w:t>
                              </w:r>
                            </w:p>
                          </w:txbxContent>
                        </v:textbox>
                        <v:stroke color="#000000"/>
                      </v:rect>
                      <v:line type="#_x0000_t20" id="直接连接符 90 145" o:spid="_x0000_s161" style="position:absolute;visibility:visible;" from="4470.0,6763.9575" to="5015.0,6764.975" filled="f" stroked="t">
                        <v:stroke color="#000000" endarrow="block"/>
                      </v:line>
                      <v:rect type="#_x0000_t1" id="_s162" o:spid="_x0000_s162" style="position:absolute;left:6639;top:6548;width:1085;height:430;mso-wrap-style:square;" fillcolor="#FFFFFF" stroked="t">
                        <v:textbox id="883" inset="2.54mm,1.27mm,2.54mm,1.27mm" o:insetmode="custom" style="layout-flow:horizontal;v-text-anchor:top;mso-fit-shape-to-text:t;">
                          <w:txbxContent>
                            <w:p>
                              <w:pPr>
                                <w:jc w:val="center"/>
                                <w:rPr>
                                  <w:rFonts w:eastAsia="宋体"/>
                                  <w:lang w:val="en-US" w:eastAsia="zh-CN"/>
                                </w:rPr>
                              </w:pPr>
                              <w:r>
                                <w:rPr>
                                  <w:rFonts w:hint="eastAsia"/>
                                  <w:lang w:val="en-US" w:eastAsia="zh-CN"/>
                                </w:rPr>
                                <w:t>冲压</w:t>
                              </w:r>
                            </w:p>
                          </w:txbxContent>
                        </v:textbox>
                        <v:stroke color="#000000"/>
                      </v:rect>
                      <v:line type="#_x0000_t20" id="直接连接符 92 148" o:spid="_x0000_s163" style="position:absolute;visibility:visible;" from="6087.001,6763.9575" to="6632.001,6764.975" filled="f" stroked="t">
                        <v:stroke color="#000000" endarrow="block"/>
                      </v:line>
                      <v:line type="#_x0000_t20" id="直接连接符 93 149" o:spid="_x0000_s164" style="position:absolute;visibility:visible;" from="7737.001,6763.9575" to="8282.001,6764.975" filled="f" stroked="t">
                        <v:stroke color="#000000" endarrow="block"/>
                      </v:line>
                      <v:rect type="#_x0000_t1" id="_s165" o:spid="_x0000_s165" style="position:absolute;left:8289;top:6548;width:1084;height:430;mso-wrap-style:square;" fillcolor="#FFFFFF" stroked="t">
                        <v:textbox id="884" inset="2.54mm,1.27mm,2.54mm,1.27mm" o:insetmode="custom" style="layout-flow:horizontal;v-text-anchor:top;mso-fit-shape-to-text:t;">
                          <w:txbxContent>
                            <w:p>
                              <w:pPr>
                                <w:jc w:val="center"/>
                                <w:rPr>
                                  <w:rFonts w:eastAsia="宋体"/>
                                  <w:lang w:val="en-US" w:eastAsia="zh-CN"/>
                                </w:rPr>
                              </w:pPr>
                              <w:r>
                                <w:rPr>
                                  <w:rFonts w:hint="eastAsia"/>
                                  <w:lang w:val="en-US" w:eastAsia="zh-CN"/>
                                </w:rPr>
                                <w:t>检验</w:t>
                              </w:r>
                            </w:p>
                          </w:txbxContent>
                        </v:textbox>
                        <v:stroke color="#000000"/>
                      </v:rect>
                      <v:rect type="#_x0000_t1" id="_s166" o:spid="_x0000_s166" style="position:absolute;left:4925;top:6197;width:1279;height:416;mso-wrap-style:square;" filled="f" stroked="f" strokeweight="-1.0pt">
                        <v:textbox id="885" inset="2.54mm,1.27mm,2.54mm,1.27mm" o:insetmode="custom" style="layout-flow:horizontal;v-text-anchor:top;mso-fit-shape-to-text:t;">
                          <w:txbxContent>
                            <w:p>
                              <w:pPr>
                                <w:jc w:val="center"/>
                                <w:rPr>
                                  <w:rFonts w:eastAsia="宋体"/>
                                  <w:lang w:val="en-US" w:eastAsia="zh-CN"/>
                                </w:rPr>
                              </w:pPr>
                              <w:r>
                                <w:rPr>
                                  <w:rFonts w:hint="eastAsia"/>
                                  <w:lang w:val="en-US" w:eastAsia="zh-CN"/>
                                </w:rPr>
                                <w:t>N3、S9</w:t>
                              </w:r>
                            </w:p>
                          </w:txbxContent>
                        </v:textbox>
                        <v:stroke/>
                      </v:rect>
                      <v:rect type="#_x0000_t1" id="_s167" o:spid="_x0000_s167" style="position:absolute;left:6568;top:6197;width:1279;height:384;mso-wrap-style:square;" filled="f" stroked="f" strokeweight="-1.0pt">
                        <v:textbox id="886" inset="2.54mm,1.27mm,2.54mm,1.27mm" o:insetmode="custom" style="layout-flow:horizontal;v-text-anchor:top;mso-fit-shape-to-text:t;">
                          <w:txbxContent>
                            <w:p>
                              <w:pPr>
                                <w:jc w:val="center"/>
                                <w:rPr>
                                  <w:lang w:val="en-US" w:eastAsia="zh-CN"/>
                                </w:rPr>
                              </w:pPr>
                              <w:r>
                                <w:rPr>
                                  <w:rFonts w:hint="eastAsia"/>
                                  <w:lang w:val="en-US" w:eastAsia="zh-CN"/>
                                </w:rPr>
                                <w:t>N4</w:t>
                              </w:r>
                            </w:p>
                          </w:txbxContent>
                        </v:textbox>
                        <v:stroke/>
                      </v:rect>
                      <v:rect type="#_x0000_t1" id="_s168" o:spid="_x0000_s168" style="position:absolute;left:8183;top:6197;width:1279;height:384;mso-wrap-style:square;" filled="f" stroked="f" strokeweight="-1.0pt">
                        <v:textbox id="887" inset="2.54mm,1.27mm,2.54mm,1.27mm" o:insetmode="custom" style="layout-flow:horizontal;v-text-anchor:top;mso-fit-shape-to-text:t;">
                          <w:txbxContent>
                            <w:p>
                              <w:pPr>
                                <w:jc w:val="center"/>
                                <w:rPr>
                                  <w:rFonts w:eastAsia="宋体"/>
                                  <w:lang w:val="en-US" w:eastAsia="zh-CN"/>
                                </w:rPr>
                              </w:pPr>
                              <w:r>
                                <w:rPr>
                                  <w:rFonts w:hint="eastAsia"/>
                                  <w:lang w:val="en-US" w:eastAsia="zh-CN"/>
                                </w:rPr>
                                <w:t>S10</w:t>
                              </w:r>
                            </w:p>
                          </w:txbxContent>
                        </v:textbox>
                        <v:stroke/>
                      </v:rect>
                    </v:group>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b w:val="0"/>
                <w:bCs/>
                <w:caps w:val="0"/>
                <w:smallCaps w:val="0"/>
                <w:color w:val="auto"/>
                <w:spacing w:val="0"/>
                <w:sz w:val="21"/>
                <w:szCs w:val="21"/>
                <w:lang w:val="en-US" w:eastAsia="zh-CN"/>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caps w:val="0"/>
                <w:smallCaps w:val="0"/>
                <w:color w:val="auto"/>
                <w:spacing w:val="0"/>
                <w:highlight w:val="none"/>
              </w:rPr>
            </w:pPr>
            <w:r>
              <w:rPr>
                <w:rFonts w:ascii="Times New Roman" w:cs="Times New Roman" w:hAnsi="Times New Roman"/>
                <w:b w:val="0"/>
                <w:bCs/>
                <w:caps w:val="0"/>
                <w:smallCaps w:val="0"/>
                <w:color w:val="auto"/>
                <w:spacing w:val="0"/>
                <w:sz w:val="21"/>
                <w:szCs w:val="21"/>
                <w:lang w:val="en-US" w:eastAsia="zh-CN"/>
                <w:highlight w:val="none"/>
              </w:rPr>
              <w:t>注：N噪声 S固废</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图2-</w:t>
            </w:r>
            <w:r>
              <w:rPr>
                <w:rFonts w:ascii="Times New Roman" w:cs="Times New Roman" w:hAnsi="Times New Roman" w:hint="eastAsia"/>
                <w:caps w:val="0"/>
                <w:smallCaps w:val="0"/>
                <w:color w:val="auto"/>
                <w:spacing w:val="0"/>
                <w:sz w:val="24"/>
                <w:szCs w:val="20"/>
                <w:lang w:val="en-US" w:eastAsia="zh-CN"/>
                <w:highlight w:val="none"/>
              </w:rPr>
              <w:t>4</w:t>
            </w:r>
            <w:r>
              <w:rPr>
                <w:rFonts w:ascii="Times New Roman" w:cs="Times New Roman" w:hAnsi="Times New Roman"/>
                <w:caps w:val="0"/>
                <w:smallCaps w:val="0"/>
                <w:color w:val="auto"/>
                <w:spacing w:val="0"/>
                <w:sz w:val="24"/>
                <w:szCs w:val="20"/>
                <w:highlight w:val="none"/>
              </w:rPr>
              <w:t xml:space="preserve">    电极片工艺流程及产污环节图</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生产工艺介绍如下：</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①</w:t>
            </w:r>
            <w:r>
              <w:rPr>
                <w:rFonts w:ascii="Times New Roman" w:cs="Times New Roman" w:hAnsi="Times New Roman" w:hint="eastAsia"/>
                <w:caps w:val="0"/>
                <w:smallCaps w:val="0"/>
                <w:snapToGrid w:val="0"/>
                <w:color w:val="auto"/>
                <w:spacing w:val="0"/>
                <w:kern w:val="2"/>
                <w:sz w:val="24"/>
                <w:szCs w:val="24"/>
                <w:lang w:val="en-US" w:eastAsia="zh-CN" w:bidi="ar-SA"/>
                <w:highlight w:val="none"/>
              </w:rPr>
              <w:t>剪板</w:t>
            </w:r>
          </w:p>
          <w:p>
            <w:pPr>
              <w:pStyle w:val="137"/>
              <w:keepNext w:val="0"/>
              <w:keepLines w:val="0"/>
              <w:suppressLineNumbers w:val="0"/>
              <w:spacing w:before="0" w:beforeAutospacing="0" w:after="0" w:afterAutospacing="0"/>
              <w:ind w:left="0" w:right="0" w:firstLineChars="200" w:firstLine="480"/>
              <w:rPr>
                <w:rFonts w:cs="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铝板、铜板采取货车输送进厂，在原料区暂存，将铝板、铜板根据产品尺寸要求经剪板机剪板成为半成品。</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本工序污染物主要为：剪板机运转时产生的噪声N3；金属下脚料S9。</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②</w:t>
            </w:r>
            <w:r>
              <w:rPr>
                <w:rFonts w:ascii="Times New Roman" w:cs="Times New Roman" w:hAnsi="Times New Roman" w:hint="eastAsia"/>
                <w:caps w:val="0"/>
                <w:smallCaps w:val="0"/>
                <w:snapToGrid w:val="0"/>
                <w:color w:val="auto"/>
                <w:spacing w:val="0"/>
                <w:kern w:val="2"/>
                <w:sz w:val="24"/>
                <w:szCs w:val="24"/>
                <w:lang w:val="en-US" w:eastAsia="zh-CN" w:bidi="ar-SA"/>
                <w:highlight w:val="none"/>
              </w:rPr>
              <w:t>冲压</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剪板为半成品后经冲压机冲压。</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本工序污染物主要为：冲压机运转时产生的噪声N4。</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③</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检验</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经人工检验合格后与汽车塑料件进行组装，即为汽车塑料配件产品。</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本工序污染物主要为：不合格电极片S10。</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caps w:val="0"/>
                <w:smallCaps w:val="0"/>
                <w:color w:val="auto"/>
                <w:spacing w:val="0"/>
                <w:lang w:val="en-US"/>
                <w:highlight w:val="none"/>
              </w:rPr>
            </w:pP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注塑模具维修工艺流程及排污节点：</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olor w:val="auto"/>
                <w:sz w:val="24"/>
                <w:szCs w:val="20"/>
                <w:highlight w:val="none"/>
              </w:rPr>
              <mc:AlternateContent>
                <mc:Choice Requires="wps">
                  <w:drawing>
                    <wp:anchor distT="0" distB="0" distL="114300" distR="114300" simplePos="0" relativeHeight="184" behindDoc="0" locked="0" layoutInCell="1" hidden="0" allowOverlap="1">
                      <wp:simplePos x="0" y="0"/>
                      <wp:positionH relativeFrom="column">
                        <wp:posOffset>1226820</wp:posOffset>
                      </wp:positionH>
                      <wp:positionV relativeFrom="paragraph">
                        <wp:posOffset>89535</wp:posOffset>
                      </wp:positionV>
                      <wp:extent cx="2760980" cy="493359"/>
                      <wp:effectExtent l="0" t="0" r="21590" b="22860"/>
                      <wp:wrapNone/>
                      <wp:docPr id="165" name="组合 165"/>
                      <wp:cNvGraphicFramePr>
                        <a:graphicFrameLocks noChangeAspect="0"/>
                      </wp:cNvGraphicFramePr>
                      <a:graphic>
                        <a:graphicData uri="http://schemas.microsoft.com/office/word/2010/wordprocessingGroup">
                          <wpg:wgp>
                            <wpg:cNvPr id="169" name="组合 169"/>
                            <wpg:cNvGrpSpPr/>
                            <wpg:grpSpPr>
                              <a:xfrm rot="0">
                                <a:off x="0" y="0"/>
                                <a:ext cx="2760980" cy="493359"/>
                                <a:chOff x="0" y="0"/>
                                <a:chExt cx="2760980" cy="493359"/>
                              </a:xfrm>
                              <a:prstGeom prst="rect"/>
                              <a:solidFill>
                                <a:srgbClr val="FFFFFF"/>
                              </a:solidFill>
                              <a:ln w="9525" cmpd="sng" cap="flat">
                                <a:solidFill>
                                  <a:srgbClr val="000000"/>
                                </a:solidFill>
                                <a:prstDash val="solid"/>
                                <a:miter/>
                              </a:ln>
                            </wpg:grpSpPr>
                            <wps:wsp>
                              <wps:cNvPr id="170" name="文本框 88 170"/>
                              <wps:cNvSpPr/>
                              <wps:spPr>
                                <a:xfrm rot="0">
                                  <a:off x="0" y="224782"/>
                                  <a:ext cx="712470" cy="264192"/>
                                </a:xfrm>
                                <a:prstGeom prst="rect"/>
                                <a:noFill/>
                                <a:ln cmpd="sng" cap="flat">
                                  <a:noFill/>
                                  <a:prstDash val="solid"/>
                                  <a:round/>
                                </a:ln>
                              </wps:spPr>
                              <wps:txbx id="171">
                                <w:txbxContent>
                                  <w:p>
                                    <w:pPr>
                                      <w:jc w:val="center"/>
                                      <w:rPr>
                                        <w:rFonts w:eastAsia="宋体"/>
                                        <w:lang w:val="en-US" w:eastAsia="zh-CN"/>
                                      </w:rPr>
                                    </w:pPr>
                                    <w:r>
                                      <w:rPr>
                                        <w:rFonts w:hint="eastAsia"/>
                                        <w:lang w:val="en-US" w:eastAsia="zh-CN"/>
                                      </w:rPr>
                                      <w:t>模具</w:t>
                                    </w:r>
                                  </w:p>
                                </w:txbxContent>
                              </wps:txbx>
                              <wps:bodyPr vert="horz" wrap="square" lIns="91440" tIns="45720" rIns="91440" bIns="45720" anchor="t" anchorCtr="0" upright="1">
                                <a:spAutoFit/>
                              </wps:bodyPr>
                            </wps:wsp>
                            <wps:wsp>
                              <wps:cNvPr id="172" name="文本框 89 172"/>
                              <wps:cNvSpPr/>
                              <wps:spPr>
                                <a:xfrm rot="0">
                                  <a:off x="1018539" y="219660"/>
                                  <a:ext cx="688975" cy="273699"/>
                                </a:xfrm>
                                <a:prstGeom prst="rect"/>
                                <a:solidFill>
                                  <a:srgbClr val="FFFFFF"/>
                                </a:solidFill>
                                <a:ln w="9525" cmpd="sng" cap="flat">
                                  <a:solidFill>
                                    <a:srgbClr val="000000"/>
                                  </a:solidFill>
                                  <a:prstDash val="solid"/>
                                  <a:miter/>
                                </a:ln>
                              </wps:spPr>
                              <wps:txbx id="173">
                                <w:txbxContent>
                                  <w:p>
                                    <w:pPr>
                                      <w:jc w:val="center"/>
                                      <w:rPr>
                                        <w:rFonts w:eastAsia="宋体"/>
                                        <w:lang w:val="en-US" w:eastAsia="zh-CN"/>
                                      </w:rPr>
                                    </w:pPr>
                                    <w:r>
                                      <w:rPr>
                                        <w:rFonts w:hint="eastAsia"/>
                                        <w:lang w:val="en-US" w:eastAsia="zh-CN"/>
                                      </w:rPr>
                                      <w:t>机加工</w:t>
                                    </w:r>
                                  </w:p>
                                </w:txbxContent>
                              </wps:txbx>
                              <wps:bodyPr vert="horz" wrap="square" lIns="91440" tIns="45720" rIns="91440" bIns="45720" anchor="t" anchorCtr="0" upright="1">
                                <a:spAutoFit/>
                              </wps:bodyPr>
                            </wps:wsp>
                            <wps:wsp>
                              <wps:cNvPr id="174" name="直接连接符 90 174"/>
                              <wps:cNvSpPr/>
                              <wps:spPr>
                                <a:xfrm rot="0">
                                  <a:off x="668019" y="356210"/>
                                  <a:ext cx="346075"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75" name="文本框 91 175"/>
                              <wps:cNvSpPr/>
                              <wps:spPr>
                                <a:xfrm rot="0">
                                  <a:off x="2072005" y="219660"/>
                                  <a:ext cx="688974" cy="273699"/>
                                </a:xfrm>
                                <a:prstGeom prst="rect"/>
                                <a:solidFill>
                                  <a:srgbClr val="FFFFFF"/>
                                </a:solidFill>
                                <a:ln w="9525" cmpd="sng" cap="flat">
                                  <a:solidFill>
                                    <a:srgbClr val="000000"/>
                                  </a:solidFill>
                                  <a:prstDash val="solid"/>
                                  <a:miter/>
                                </a:ln>
                              </wps:spPr>
                              <wps:txbx id="176">
                                <w:txbxContent>
                                  <w:p>
                                    <w:pPr>
                                      <w:jc w:val="center"/>
                                      <w:rPr>
                                        <w:rFonts w:eastAsia="宋体"/>
                                        <w:lang w:val="en-US" w:eastAsia="zh-CN"/>
                                      </w:rPr>
                                    </w:pPr>
                                    <w:r>
                                      <w:rPr>
                                        <w:rFonts w:hint="eastAsia"/>
                                        <w:lang w:val="en-US" w:eastAsia="zh-CN"/>
                                      </w:rPr>
                                      <w:t>检验</w:t>
                                    </w:r>
                                  </w:p>
                                </w:txbxContent>
                              </wps:txbx>
                              <wps:bodyPr vert="horz" wrap="square" lIns="91440" tIns="45720" rIns="91440" bIns="45720" anchor="t" anchorCtr="0" upright="1">
                                <a:spAutoFit/>
                              </wps:bodyPr>
                            </wps:wsp>
                            <wps:wsp>
                              <wps:cNvPr id="177" name="直接连接符 92 177"/>
                              <wps:cNvSpPr/>
                              <wps:spPr>
                                <a:xfrm rot="0">
                                  <a:off x="1712595" y="356210"/>
                                  <a:ext cx="346075" cy="646"/>
                                </a:xfrm>
                                <a:prstGeom prst="line"/>
                                <a:noFill/>
                                <a:ln w="9525" cmpd="sng" cap="flat">
                                  <a:solidFill>
                                    <a:srgbClr val="000000"/>
                                  </a:solidFill>
                                  <a:prstDash val="solid"/>
                                  <a:round/>
                                  <a:tailEnd type="triangle" w="med" len="med"/>
                                </a:ln>
                              </wps:spPr>
                              <wps:bodyPr vert="horz" wrap="square" lIns="91440" tIns="45720" rIns="91440" bIns="45720" anchor="t" anchorCtr="0" upright="1">
                                <a:noAutofit/>
                              </wps:bodyPr>
                            </wps:wsp>
                            <wps:wsp>
                              <wps:cNvPr id="178" name="文本框 116 178"/>
                              <wps:cNvSpPr/>
                              <wps:spPr>
                                <a:xfrm rot="0">
                                  <a:off x="945514" y="0"/>
                                  <a:ext cx="812165" cy="244487"/>
                                </a:xfrm>
                                <a:prstGeom prst="rect"/>
                                <a:noFill/>
                                <a:ln cmpd="sng" cap="flat">
                                  <a:noFill/>
                                  <a:prstDash val="solid"/>
                                  <a:round/>
                                </a:ln>
                              </wps:spPr>
                              <wps:txbx id="179">
                                <w:txbxContent>
                                  <w:p>
                                    <w:pPr>
                                      <w:jc w:val="center"/>
                                      <w:rPr>
                                        <w:rFonts w:eastAsia="宋体"/>
                                        <w:lang w:val="en-US" w:eastAsia="zh-CN"/>
                                      </w:rPr>
                                    </w:pPr>
                                    <w:r>
                                      <w:rPr>
                                        <w:rFonts w:hint="eastAsia"/>
                                        <w:lang w:val="en-US" w:eastAsia="zh-CN"/>
                                      </w:rPr>
                                      <w:t>N5 S11-14</w:t>
                                    </w:r>
                                  </w:p>
                                </w:txbxContent>
                              </wps:txbx>
                              <wps:bodyPr vert="horz" wrap="square" lIns="91440" tIns="45720" rIns="91440" bIns="45720" anchor="t" anchorCtr="0" upright="1">
                                <a:spAutoFit/>
                              </wps:bodyPr>
                            </wps:wsp>
                            <wps:bodyPr vert="horz" wrap="square" lIns="91440" tIns="45720" rIns="91440" bIns="45720" anchor="t" anchorCtr="0" upright="1">
                              <a:noAutofit/>
                            </wps:bodyPr>
                          </wpg:wgp>
                        </a:graphicData>
                      </a:graphic>
                    </wp:anchor>
                  </w:drawing>
                </mc:Choice>
                <mc:Fallback>
                  <w:pict>
                    <v:group type="#_x0000_t1" id="组合 165" o:spid="_x0000_s180" coordorigin="4138,13470" coordsize="4348,776" style="position:absolute;margin-left:96.6pt;margin-top:7.050001pt;width:217.40002pt;height:38.847237pt;z-index:184;mso-position-horizontal:absolute;mso-position-vertical:absolute;">
                      <v:rect type="#_x0000_t1" id="_s181" o:spid="_x0000_s181" style="position:absolute;left:4138;top:13824;width:1122;height:416;mso-wrap-style:square;" filled="f" stroked="f" strokeweight="-1.0pt">
                        <v:textbox id="888" inset="2.54mm,1.27mm,2.54mm,1.27mm" o:insetmode="custom" style="layout-flow:horizontal;v-text-anchor:top;mso-fit-shape-to-text:t;">
                          <w:txbxContent>
                            <w:p>
                              <w:pPr>
                                <w:jc w:val="center"/>
                                <w:rPr>
                                  <w:rFonts w:eastAsia="宋体"/>
                                  <w:lang w:val="en-US" w:eastAsia="zh-CN"/>
                                </w:rPr>
                              </w:pPr>
                              <w:r>
                                <w:rPr>
                                  <w:rFonts w:hint="eastAsia"/>
                                  <w:lang w:val="en-US" w:eastAsia="zh-CN"/>
                                </w:rPr>
                                <w:t>模具</w:t>
                              </w:r>
                            </w:p>
                          </w:txbxContent>
                        </v:textbox>
                        <v:stroke/>
                      </v:rect>
                      <v:rect type="#_x0000_t1" id="_s182" o:spid="_x0000_s182" style="position:absolute;left:5742;top:13816;width:1085;height:431;mso-wrap-style:square;" fillcolor="#FFFFFF" stroked="t">
                        <v:textbox id="889" inset="2.54mm,1.27mm,2.54mm,1.27mm" o:insetmode="custom" style="layout-flow:horizontal;v-text-anchor:top;mso-fit-shape-to-text:t;">
                          <w:txbxContent>
                            <w:p>
                              <w:pPr>
                                <w:jc w:val="center"/>
                                <w:rPr>
                                  <w:rFonts w:eastAsia="宋体"/>
                                  <w:lang w:val="en-US" w:eastAsia="zh-CN"/>
                                </w:rPr>
                              </w:pPr>
                              <w:r>
                                <w:rPr>
                                  <w:rFonts w:hint="eastAsia"/>
                                  <w:lang w:val="en-US" w:eastAsia="zh-CN"/>
                                </w:rPr>
                                <w:t>机加工</w:t>
                              </w:r>
                            </w:p>
                          </w:txbxContent>
                        </v:textbox>
                        <v:stroke color="#000000"/>
                      </v:rect>
                      <v:line type="#_x0000_t20" id="直接连接符 90 174" o:spid="_x0000_s183" style="position:absolute;visibility:visible;" from="5190.0,14031.9375" to="5735.0,14032.954" filled="f" stroked="t">
                        <v:stroke color="#000000" endarrow="block"/>
                      </v:line>
                      <v:rect type="#_x0000_t1" id="_s184" o:spid="_x0000_s184" style="position:absolute;left:7401;top:13816;width:1085;height:431;mso-wrap-style:square;" fillcolor="#FFFFFF" stroked="t">
                        <v:textbox id="890" inset="2.54mm,1.27mm,2.54mm,1.27mm" o:insetmode="custom" style="layout-flow:horizontal;v-text-anchor:top;mso-fit-shape-to-text:t;">
                          <w:txbxContent>
                            <w:p>
                              <w:pPr>
                                <w:jc w:val="center"/>
                                <w:rPr>
                                  <w:rFonts w:eastAsia="宋体"/>
                                  <w:lang w:val="en-US" w:eastAsia="zh-CN"/>
                                </w:rPr>
                              </w:pPr>
                              <w:r>
                                <w:rPr>
                                  <w:rFonts w:hint="eastAsia"/>
                                  <w:lang w:val="en-US" w:eastAsia="zh-CN"/>
                                </w:rPr>
                                <w:t>检验</w:t>
                              </w:r>
                            </w:p>
                          </w:txbxContent>
                        </v:textbox>
                        <v:stroke color="#000000"/>
                      </v:rect>
                      <v:line type="#_x0000_t20" id="直接连接符 92 177" o:spid="_x0000_s185" style="position:absolute;visibility:visible;" from="6835.0005,14031.9375" to="7380.0005,14032.954" filled="f" stroked="t">
                        <v:stroke color="#000000" endarrow="block"/>
                      </v:line>
                      <v:rect type="#_x0000_t1" id="_s186" o:spid="_x0000_s186" style="position:absolute;left:5626;top:13470;width:1279;height:385;mso-wrap-style:square;" filled="f" stroked="f" strokeweight="-1.0pt">
                        <v:textbox id="891" inset="2.54mm,1.27mm,2.54mm,1.27mm" o:insetmode="custom" style="layout-flow:horizontal;v-text-anchor:top;mso-fit-shape-to-text:t;">
                          <w:txbxContent>
                            <w:p>
                              <w:pPr>
                                <w:jc w:val="center"/>
                                <w:rPr>
                                  <w:rFonts w:eastAsia="宋体"/>
                                  <w:lang w:val="en-US" w:eastAsia="zh-CN"/>
                                </w:rPr>
                              </w:pPr>
                              <w:r>
                                <w:rPr>
                                  <w:rFonts w:hint="eastAsia"/>
                                  <w:lang w:val="en-US" w:eastAsia="zh-CN"/>
                                </w:rPr>
                                <w:t>N5 S11-14</w:t>
                              </w:r>
                            </w:p>
                          </w:txbxContent>
                        </v:textbox>
                        <v:stroke/>
                      </v:rect>
                    </v:group>
                  </w:pict>
                </mc:Fallback>
              </mc:AlternateConten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47"/>
              <w:keepNext w:val="0"/>
              <w:keepLines w:val="0"/>
              <w:suppressLineNumbers w:val="0"/>
              <w:spacing w:before="0" w:beforeAutospacing="0" w:after="0" w:afterAutospacing="0"/>
              <w:ind w:left="0" w:right="0"/>
              <w:jc w:val="right"/>
              <w:rPr>
                <w:rFonts w:ascii="Times New Roman" w:cs="Times New Roman" w:hAnsi="Times New Roman"/>
                <w:caps w:val="0"/>
                <w:smallCaps w:val="0"/>
                <w:color w:val="auto"/>
                <w:spacing w:val="0"/>
                <w:highlight w:val="none"/>
              </w:rPr>
            </w:pPr>
            <w:r>
              <w:rPr>
                <w:rFonts w:ascii="Times New Roman" w:cs="Times New Roman" w:hAnsi="Times New Roman"/>
                <w:b w:val="0"/>
                <w:bCs/>
                <w:caps w:val="0"/>
                <w:smallCaps w:val="0"/>
                <w:color w:val="auto"/>
                <w:spacing w:val="0"/>
                <w:sz w:val="21"/>
                <w:szCs w:val="21"/>
                <w:lang w:val="en-US" w:eastAsia="zh-CN"/>
                <w:highlight w:val="none"/>
              </w:rPr>
              <w:t>注：N噪声 S固废</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图2-</w:t>
            </w:r>
            <w:r>
              <w:rPr>
                <w:rFonts w:ascii="Times New Roman" w:cs="Times New Roman" w:hAnsi="Times New Roman" w:hint="eastAsia"/>
                <w:caps w:val="0"/>
                <w:smallCaps w:val="0"/>
                <w:color w:val="auto"/>
                <w:spacing w:val="0"/>
                <w:sz w:val="24"/>
                <w:szCs w:val="20"/>
                <w:lang w:val="en-US" w:eastAsia="zh-CN"/>
                <w:highlight w:val="none"/>
              </w:rPr>
              <w:t>5</w:t>
            </w:r>
            <w:r>
              <w:rPr>
                <w:rFonts w:ascii="Times New Roman" w:cs="Times New Roman" w:hAnsi="Times New Roman"/>
                <w:caps w:val="0"/>
                <w:smallCaps w:val="0"/>
                <w:color w:val="auto"/>
                <w:spacing w:val="0"/>
                <w:sz w:val="24"/>
                <w:szCs w:val="20"/>
                <w:highlight w:val="none"/>
              </w:rPr>
              <w:t xml:space="preserve">    注塑模具维修工艺流程及产污环节图</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生产工艺介绍如下：</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①</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机加工</w:t>
            </w:r>
          </w:p>
          <w:p>
            <w:pPr>
              <w:pStyle w:val="137"/>
              <w:keepNext w:val="0"/>
              <w:keepLines w:val="0"/>
              <w:suppressLineNumbers w:val="0"/>
              <w:spacing w:before="0" w:beforeAutospacing="0" w:after="0" w:afterAutospacing="0"/>
              <w:ind w:left="0" w:right="0" w:firstLineChars="200" w:firstLine="480"/>
              <w:rPr>
                <w:rFonts w:cs="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项目注塑模具使用一段时间后需要维修，人工通过使用车床、铣床、钻床、磨床、线切割、气泵、模具维修设备进行模具维修。</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本工序污染物主要为：机加工设备运转时产生的噪声N5；含油金属屑S11、</w:t>
            </w:r>
            <w:r>
              <w:rPr>
                <w:rFonts w:ascii="Times New Roman" w:cs="Times New Roman" w:hAnsi="Times New Roman"/>
                <w:caps w:val="0"/>
                <w:smallCaps w:val="0"/>
                <w:color w:val="auto"/>
                <w:spacing w:val="0"/>
                <w:sz w:val="24"/>
                <w:szCs w:val="20"/>
                <w:lang w:val="en-US" w:eastAsia="zh-CN"/>
                <w:highlight w:val="none"/>
              </w:rPr>
              <w:t>设备维护产生的废润滑油</w:t>
            </w:r>
            <w:r>
              <w:rPr>
                <w:rFonts w:ascii="Times New Roman" w:cs="Times New Roman" w:hAnsi="Times New Roman" w:hint="eastAsia"/>
                <w:caps w:val="0"/>
                <w:smallCaps w:val="0"/>
                <w:color w:val="auto"/>
                <w:spacing w:val="0"/>
                <w:sz w:val="24"/>
                <w:szCs w:val="20"/>
                <w:lang w:val="en-US" w:eastAsia="zh-CN"/>
                <w:highlight w:val="none"/>
              </w:rPr>
              <w:t>S12</w:t>
            </w:r>
            <w:r>
              <w:rPr>
                <w:rFonts w:ascii="Times New Roman" w:cs="Times New Roman" w:hAnsi="Times New Roman"/>
                <w:caps w:val="0"/>
                <w:smallCaps w:val="0"/>
                <w:color w:val="auto"/>
                <w:spacing w:val="0"/>
                <w:sz w:val="24"/>
                <w:szCs w:val="20"/>
                <w:lang w:val="en-US" w:eastAsia="zh-CN"/>
                <w:highlight w:val="none"/>
              </w:rPr>
              <w:t>、废润滑油桶</w:t>
            </w:r>
            <w:r>
              <w:rPr>
                <w:rFonts w:ascii="Times New Roman" w:cs="Times New Roman" w:hAnsi="Times New Roman" w:hint="eastAsia"/>
                <w:caps w:val="0"/>
                <w:smallCaps w:val="0"/>
                <w:color w:val="auto"/>
                <w:spacing w:val="0"/>
                <w:sz w:val="24"/>
                <w:szCs w:val="20"/>
                <w:lang w:val="en-US" w:eastAsia="zh-CN"/>
                <w:highlight w:val="none"/>
              </w:rPr>
              <w:t>S13、含油抹布及废劳保用品S14</w:t>
            </w:r>
            <w:r>
              <w:rPr>
                <w:rFonts w:ascii="Times New Roman" w:cs="Times New Roman" w:hAnsi="Times New Roman" w:hint="eastAsia"/>
                <w:caps w:val="0"/>
                <w:smallCaps w:val="0"/>
                <w:snapToGrid w:val="0"/>
                <w:color w:val="auto"/>
                <w:spacing w:val="0"/>
                <w:kern w:val="2"/>
                <w:sz w:val="24"/>
                <w:szCs w:val="24"/>
                <w:lang w:val="en-US" w:eastAsia="zh-CN" w:bidi="ar-SA"/>
                <w:highlight w:val="none"/>
              </w:rPr>
              <w:t>。</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snapToGrid w:val="0"/>
                <w:color w:val="auto"/>
                <w:spacing w:val="0"/>
                <w:kern w:val="2"/>
                <w:sz w:val="24"/>
                <w:szCs w:val="24"/>
                <w:lang w:val="en-US" w:eastAsia="zh-CN" w:bidi="ar-SA"/>
                <w:highlight w:val="none"/>
              </w:rPr>
              <w:t>②</w:t>
            </w:r>
            <w:r>
              <w:rPr>
                <w:rFonts w:ascii="Times New Roman" w:cs="Times New Roman" w:hAnsi="Times New Roman" w:hint="eastAsia"/>
                <w:caps w:val="0"/>
                <w:smallCaps w:val="0"/>
                <w:snapToGrid w:val="0"/>
                <w:color w:val="auto"/>
                <w:spacing w:val="0"/>
                <w:kern w:val="2"/>
                <w:sz w:val="24"/>
                <w:szCs w:val="24"/>
                <w:lang w:val="en-US" w:eastAsia="zh-CN" w:bidi="ar-SA"/>
                <w:highlight w:val="none"/>
              </w:rPr>
              <w:t>检验</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经机加工调整后的模具，经过检验合格后方可使用。</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本工序无污染物产生。</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除上述生产运转时产生的固废，还有职工生活垃圾S；职工生活污水W；治理措施风机运转时产生的噪声N。</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表2-</w:t>
            </w:r>
            <w:r>
              <w:rPr>
                <w:rFonts w:ascii="Times New Roman" w:cs="Times New Roman" w:hAnsi="Times New Roman" w:hint="eastAsia"/>
                <w:caps w:val="0"/>
                <w:smallCaps w:val="0"/>
                <w:color w:val="auto"/>
                <w:spacing w:val="0"/>
                <w:sz w:val="24"/>
                <w:szCs w:val="20"/>
                <w:lang w:val="en-US" w:eastAsia="zh-CN"/>
                <w:highlight w:val="none"/>
              </w:rPr>
              <w:t>6</w:t>
            </w:r>
            <w:r>
              <w:rPr>
                <w:rFonts w:ascii="Times New Roman" w:cs="Times New Roman" w:hAnsi="Times New Roman"/>
                <w:caps w:val="0"/>
                <w:smallCaps w:val="0"/>
                <w:color w:val="auto"/>
                <w:spacing w:val="0"/>
                <w:sz w:val="24"/>
                <w:szCs w:val="20"/>
                <w:highlight w:val="none"/>
              </w:rPr>
              <w:t xml:space="preserve">    本项目产污节点及防治措施一览表</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714"/>
              <w:gridCol w:w="863"/>
              <w:gridCol w:w="1301"/>
              <w:gridCol w:w="1844"/>
              <w:gridCol w:w="1935"/>
              <w:gridCol w:w="1499"/>
            </w:tblGrid>
            <w:tr>
              <w:trPr>
                <w:trHeight w:val="454"/>
              </w:trPr>
              <w:tc>
                <w:tcPr>
                  <w:tcW w:w="163"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类别</w:t>
                  </w:r>
                </w:p>
              </w:tc>
              <w:tc>
                <w:tcPr>
                  <w:tcW w:w="212"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编号</w:t>
                  </w:r>
                </w:p>
              </w:tc>
              <w:tc>
                <w:tcPr>
                  <w:tcW w:w="321"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排污节点</w:t>
                  </w:r>
                </w:p>
              </w:tc>
              <w:tc>
                <w:tcPr>
                  <w:tcW w:w="455"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主要污染物</w:t>
                  </w:r>
                </w:p>
              </w:tc>
              <w:tc>
                <w:tcPr>
                  <w:tcW w:w="848" w:type="dxa"/>
                  <w:gridSpan w:val="2"/>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治理措施</w:t>
                  </w:r>
                </w:p>
              </w:tc>
            </w:tr>
            <w:tr>
              <w:trPr>
                <w:trHeight w:val="458"/>
              </w:trPr>
              <w:tc>
                <w:tcPr>
                  <w:tcW w:w="163"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废气</w:t>
                  </w: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G1</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拆包、投料</w:t>
                  </w:r>
                </w:p>
              </w:tc>
              <w:tc>
                <w:tcPr>
                  <w:tcW w:w="455"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cs="Times New Roman" w:hAnsi="Times New Roman"/>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颗粒物</w:t>
                  </w:r>
                </w:p>
              </w:tc>
              <w:tc>
                <w:tcPr>
                  <w:tcW w:w="478" w:type="dxa"/>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0"/>
                      <w:lang w:val="en-US" w:eastAsia="zh-CN"/>
                      <w:highlight w:val="none"/>
                    </w:rPr>
                  </w:pPr>
                  <w:r>
                    <w:rPr>
                      <w:rFonts w:ascii="Times New Roman" w:cs="Times New Roman" w:hAnsi="Times New Roman" w:hint="eastAsia"/>
                      <w:color w:val="auto"/>
                      <w:sz w:val="21"/>
                      <w:szCs w:val="20"/>
                      <w:lang w:val="en-US" w:eastAsia="zh-CN"/>
                      <w:highlight w:val="none"/>
                    </w:rPr>
                    <w:t>采用集气罩收集</w:t>
                  </w:r>
                </w:p>
              </w:tc>
              <w:tc>
                <w:tcPr>
                  <w:tcW w:w="370" w:type="dxa"/>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0"/>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布袋除尘器+两级活性炭吸附装置TA002+15m高排气筒DA002</w:t>
                  </w:r>
                </w:p>
              </w:tc>
            </w:tr>
            <w:tr>
              <w:trPr>
                <w:trHeight w:val="458"/>
              </w:trPr>
              <w:tc>
                <w:tcPr>
                  <w:tcW w:w="163" w:type="dxa"/>
                  <w:vMerge/>
                  <w:vAlign w:val="center"/>
                </w:tcPr>
                <w:p/>
              </w:tc>
              <w:tc>
                <w:tcPr>
                  <w:tcW w:w="21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G2</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烘干</w:t>
                  </w:r>
                </w:p>
              </w:tc>
              <w:tc>
                <w:tcPr>
                  <w:tcW w:w="455"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非甲烷总烃、氨、臭气浓度</w:t>
                  </w:r>
                </w:p>
              </w:tc>
              <w:tc>
                <w:tcPr>
                  <w:tcW w:w="478" w:type="dxa"/>
                  <w:vMerge/>
                  <w:tcBorders>
                    <w:left w:val="single" w:sz="4" w:space="0" w:color="auto"/>
                  </w:tcBorders>
                  <w:vAlign w:val="center"/>
                </w:tcPr>
                <w:p/>
              </w:tc>
              <w:tc>
                <w:tcPr>
                  <w:tcW w:w="370" w:type="dxa"/>
                  <w:vMerge/>
                  <w:tcBorders>
                    <w:left w:val="single" w:sz="4" w:space="0" w:color="auto"/>
                  </w:tcBorders>
                  <w:vAlign w:val="center"/>
                </w:tcPr>
                <w:p/>
              </w:tc>
            </w:tr>
            <w:tr>
              <w:trPr>
                <w:trHeight w:val="458"/>
              </w:trPr>
              <w:tc>
                <w:tcPr>
                  <w:tcW w:w="163" w:type="dxa"/>
                  <w:vMerge/>
                  <w:vAlign w:val="center"/>
                </w:tcPr>
                <w:p/>
              </w:tc>
              <w:tc>
                <w:tcPr>
                  <w:tcW w:w="21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G3</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注塑</w:t>
                  </w:r>
                </w:p>
              </w:tc>
              <w:tc>
                <w:tcPr>
                  <w:tcW w:w="455"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颗粒物、非甲烷总烃、氨、臭气浓度</w:t>
                  </w:r>
                </w:p>
              </w:tc>
              <w:tc>
                <w:tcPr>
                  <w:tcW w:w="47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0"/>
                      <w:lang w:val="en-US" w:eastAsia="zh-CN"/>
                      <w:highlight w:val="none"/>
                    </w:rPr>
                  </w:pPr>
                  <w:r>
                    <w:rPr>
                      <w:rFonts w:ascii="Times New Roman" w:cs="Times New Roman" w:hAnsi="Times New Roman" w:hint="eastAsia"/>
                      <w:color w:val="auto"/>
                      <w:sz w:val="21"/>
                      <w:szCs w:val="20"/>
                      <w:lang w:val="en-US" w:eastAsia="zh-CN"/>
                      <w:highlight w:val="none"/>
                    </w:rPr>
                    <w:t>采用集气罩收集</w:t>
                  </w:r>
                </w:p>
              </w:tc>
              <w:tc>
                <w:tcPr>
                  <w:tcW w:w="370" w:type="dxa"/>
                  <w:vMerge/>
                  <w:tcBorders>
                    <w:left w:val="single" w:sz="4" w:space="0" w:color="auto"/>
                  </w:tcBorders>
                  <w:vAlign w:val="center"/>
                </w:tcPr>
                <w:p/>
              </w:tc>
            </w:tr>
            <w:tr>
              <w:trPr>
                <w:trHeight w:val="454"/>
              </w:trPr>
              <w:tc>
                <w:tcPr>
                  <w:tcW w:w="163"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废水</w:t>
                  </w:r>
                </w:p>
              </w:tc>
              <w:tc>
                <w:tcPr>
                  <w:tcW w:w="212"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W1</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设备冷却水</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SS</w:t>
                  </w:r>
                </w:p>
              </w:tc>
              <w:tc>
                <w:tcPr>
                  <w:tcW w:w="848" w:type="dxa"/>
                  <w:gridSpan w:val="2"/>
                  <w:tcBorders>
                    <w:left w:val="single" w:sz="4" w:space="0" w:color="auto"/>
                  </w:tcBorders>
                  <w:shd w:val="clear" w:color="auto" w:fill="auto"/>
                  <w:vAlign w:val="center"/>
                </w:tcPr>
                <w:p>
                  <w:pPr>
                    <w:keepNext w:val="0"/>
                    <w:keepLines w:val="0"/>
                    <w:suppressLineNumbers w:val="0"/>
                    <w:tabs>
                      <w:tab w:val="left" w:pos="1085"/>
                    </w:tabs>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循环使用，不外排</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W</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职工生活污水</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color w:val="auto"/>
                      <w:sz w:val="21"/>
                      <w:szCs w:val="21"/>
                      <w:highlight w:val="none"/>
                    </w:rPr>
                    <w:t>pH、</w:t>
                  </w:r>
                  <w:r>
                    <w:rPr>
                      <w:rFonts w:ascii="Times New Roman" w:cs="Times New Roman" w:hAnsi="Times New Roman"/>
                      <w:color w:val="auto"/>
                      <w:sz w:val="21"/>
                      <w:szCs w:val="21"/>
                      <w:highlight w:val="none"/>
                    </w:rPr>
                    <w:t>COD</w:t>
                  </w:r>
                  <w:r>
                    <w:rPr>
                      <w:rFonts w:ascii="Times New Roman" w:cs="Times New Roman" w:hAnsi="Times New Roman" w:hint="eastAsia"/>
                      <w:color w:val="auto"/>
                      <w:sz w:val="21"/>
                      <w:szCs w:val="21"/>
                      <w:highlight w:val="none"/>
                    </w:rPr>
                    <w:t>、BOD</w:t>
                  </w:r>
                  <w:r>
                    <w:rPr>
                      <w:rFonts w:ascii="Times New Roman" w:cs="Times New Roman" w:hAnsi="Times New Roman" w:hint="eastAsia"/>
                      <w:color w:val="auto"/>
                      <w:sz w:val="21"/>
                      <w:szCs w:val="21"/>
                      <w:vertAlign w:val="subscript"/>
                      <w:highlight w:val="none"/>
                    </w:rPr>
                    <w:t>5</w:t>
                  </w:r>
                  <w:r>
                    <w:rPr>
                      <w:rFonts w:ascii="Times New Roman" w:cs="Times New Roman" w:hAnsi="Times New Roman" w:hint="eastAsia"/>
                      <w:color w:val="auto"/>
                      <w:sz w:val="21"/>
                      <w:szCs w:val="21"/>
                      <w:highlight w:val="none"/>
                    </w:rPr>
                    <w:t>、SS、</w:t>
                  </w:r>
                  <w:r>
                    <w:rPr>
                      <w:rFonts w:ascii="Times New Roman" w:cs="Times New Roman" w:hAnsi="Times New Roman"/>
                      <w:color w:val="auto"/>
                      <w:sz w:val="21"/>
                      <w:szCs w:val="21"/>
                      <w:highlight w:val="none"/>
                    </w:rPr>
                    <w:t>氨氮</w:t>
                  </w:r>
                  <w:r>
                    <w:rPr>
                      <w:rFonts w:ascii="Times New Roman" w:cs="Times New Roman" w:hAnsi="Times New Roman" w:hint="eastAsia"/>
                      <w:color w:val="auto"/>
                      <w:sz w:val="21"/>
                      <w:szCs w:val="21"/>
                      <w:lang w:eastAsia="zh-CN"/>
                      <w:highlight w:val="none"/>
                    </w:rPr>
                    <w:t>、</w:t>
                  </w:r>
                  <w:r>
                    <w:rPr>
                      <w:rFonts w:ascii="Times New Roman" w:cs="Times New Roman" w:hAnsi="Times New Roman" w:hint="eastAsia"/>
                      <w:color w:val="auto"/>
                      <w:sz w:val="21"/>
                      <w:szCs w:val="21"/>
                      <w:lang w:val="en-US" w:eastAsia="zh-CN"/>
                      <w:highlight w:val="none"/>
                    </w:rPr>
                    <w:t>总磷、总氮</w:t>
                  </w:r>
                </w:p>
              </w:tc>
              <w:tc>
                <w:tcPr>
                  <w:tcW w:w="848" w:type="dxa"/>
                  <w:gridSpan w:val="2"/>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olor w:val="auto"/>
                      <w:sz w:val="21"/>
                      <w:szCs w:val="21"/>
                      <w:lang w:val="en-US" w:eastAsia="zh-CN"/>
                      <w:highlight w:val="none"/>
                    </w:rPr>
                    <w:t>经集成式生物化粪池处理后经园区污水管网排入绿源污水处理有限公司进一步处理</w:t>
                  </w:r>
                  <w:r>
                    <w:rPr>
                      <w:rFonts w:ascii="Times New Roman" w:cs="Times New Roman" w:hAnsi="Times New Roman"/>
                      <w:color w:val="auto"/>
                      <w:sz w:val="21"/>
                      <w:szCs w:val="21"/>
                      <w:highlight w:val="none"/>
                    </w:rPr>
                    <w:t>。</w:t>
                  </w:r>
                </w:p>
              </w:tc>
            </w:tr>
            <w:tr>
              <w:trPr>
                <w:trHeight w:val="454"/>
              </w:trPr>
              <w:tc>
                <w:tcPr>
                  <w:tcW w:w="163"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噪声</w:t>
                  </w: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N</w:t>
                  </w:r>
                  <w:r>
                    <w:rPr>
                      <w:rFonts w:ascii="Times New Roman" w:cs="Times New Roman" w:hAnsi="Times New Roman" w:hint="eastAsia"/>
                      <w:caps w:val="0"/>
                      <w:smallCaps w:val="0"/>
                      <w:color w:val="auto"/>
                      <w:spacing w:val="0"/>
                      <w:sz w:val="21"/>
                      <w:szCs w:val="20"/>
                      <w:lang w:val="en-US" w:eastAsia="zh-CN"/>
                      <w:highlight w:val="none"/>
                    </w:rPr>
                    <w:t>1</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干燥机/干燥箱</w:t>
                  </w:r>
                </w:p>
              </w:tc>
              <w:tc>
                <w:tcPr>
                  <w:tcW w:w="455" w:type="dxa"/>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声功率级</w:t>
                  </w:r>
                </w:p>
              </w:tc>
              <w:tc>
                <w:tcPr>
                  <w:tcW w:w="848" w:type="dxa"/>
                  <w:gridSpan w:val="2"/>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2"/>
                      <w:lang w:eastAsia="zh-CN"/>
                      <w:highlight w:val="none"/>
                    </w:rPr>
                    <w:t>选用低噪声设备、基础减振、厂房隔声等措施</w:t>
                  </w:r>
                </w:p>
              </w:tc>
            </w:tr>
            <w:tr>
              <w:trPr>
                <w:trHeight w:val="454"/>
              </w:trPr>
              <w:tc>
                <w:tcPr>
                  <w:tcW w:w="163" w:type="dxa"/>
                  <w:vMerge/>
                  <w:vAlign w:val="center"/>
                </w:tcP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N2</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注塑机</w:t>
                  </w:r>
                </w:p>
              </w:tc>
              <w:tc>
                <w:tcPr>
                  <w:tcW w:w="455" w:type="dxa"/>
                  <w:vMerge/>
                  <w:tcBorders>
                    <w:left w:val="single" w:sz="4" w:space="0" w:color="auto"/>
                  </w:tcBorders>
                  <w:vAlign w:val="center"/>
                </w:tcPr>
                <w:p/>
              </w:tc>
              <w:tc>
                <w:tcPr>
                  <w:tcW w:w="848" w:type="dxa"/>
                  <w:gridSpan w:val="2"/>
                  <w:vMerge/>
                  <w:tcBorders>
                    <w:left w:val="single" w:sz="4" w:space="0" w:color="auto"/>
                  </w:tcBorders>
                  <w:vAlign w:val="center"/>
                </w:tcPr>
                <w:p/>
              </w:tc>
            </w:tr>
            <w:tr>
              <w:trPr>
                <w:trHeight w:val="454"/>
              </w:trPr>
              <w:tc>
                <w:tcPr>
                  <w:tcW w:w="163" w:type="dxa"/>
                  <w:vMerge/>
                  <w:vAlign w:val="center"/>
                </w:tcP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N3</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剪板机</w:t>
                  </w:r>
                </w:p>
              </w:tc>
              <w:tc>
                <w:tcPr>
                  <w:tcW w:w="455" w:type="dxa"/>
                  <w:vMerge/>
                  <w:tcBorders>
                    <w:left w:val="single" w:sz="4" w:space="0" w:color="auto"/>
                  </w:tcBorders>
                  <w:vAlign w:val="center"/>
                </w:tcPr>
                <w:p/>
              </w:tc>
              <w:tc>
                <w:tcPr>
                  <w:tcW w:w="848" w:type="dxa"/>
                  <w:gridSpan w:val="2"/>
                  <w:vMerge/>
                  <w:tcBorders>
                    <w:left w:val="single" w:sz="4" w:space="0" w:color="auto"/>
                  </w:tcBorders>
                  <w:vAlign w:val="center"/>
                </w:tcPr>
                <w:p/>
              </w:tc>
            </w:tr>
            <w:tr>
              <w:trPr>
                <w:trHeight w:val="454"/>
              </w:trPr>
              <w:tc>
                <w:tcPr>
                  <w:tcW w:w="163" w:type="dxa"/>
                  <w:vMerge/>
                  <w:vAlign w:val="center"/>
                </w:tcP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N4</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冲压机</w:t>
                  </w:r>
                </w:p>
              </w:tc>
              <w:tc>
                <w:tcPr>
                  <w:tcW w:w="455" w:type="dxa"/>
                  <w:vMerge/>
                  <w:tcBorders>
                    <w:left w:val="single" w:sz="4" w:space="0" w:color="auto"/>
                  </w:tcBorders>
                  <w:vAlign w:val="center"/>
                </w:tcPr>
                <w:p/>
              </w:tc>
              <w:tc>
                <w:tcPr>
                  <w:tcW w:w="848" w:type="dxa"/>
                  <w:gridSpan w:val="2"/>
                  <w:vMerge/>
                  <w:tcBorders>
                    <w:left w:val="single" w:sz="4" w:space="0" w:color="auto"/>
                  </w:tcBorders>
                  <w:vAlign w:val="center"/>
                </w:tcPr>
                <w:p/>
              </w:tc>
            </w:tr>
            <w:tr>
              <w:trPr>
                <w:trHeight w:val="454"/>
              </w:trPr>
              <w:tc>
                <w:tcPr>
                  <w:tcW w:w="163" w:type="dxa"/>
                  <w:vMerge/>
                  <w:vAlign w:val="center"/>
                </w:tcP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N5</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机加工设备</w:t>
                  </w:r>
                </w:p>
              </w:tc>
              <w:tc>
                <w:tcPr>
                  <w:tcW w:w="455" w:type="dxa"/>
                  <w:vMerge/>
                  <w:tcBorders>
                    <w:left w:val="single" w:sz="4" w:space="0" w:color="auto"/>
                  </w:tcBorders>
                  <w:vAlign w:val="center"/>
                </w:tcPr>
                <w:p/>
              </w:tc>
              <w:tc>
                <w:tcPr>
                  <w:tcW w:w="848" w:type="dxa"/>
                  <w:gridSpan w:val="2"/>
                  <w:vMerge/>
                  <w:tcBorders>
                    <w:left w:val="single" w:sz="4" w:space="0" w:color="auto"/>
                  </w:tcBorders>
                  <w:vAlign w:val="center"/>
                </w:tcPr>
                <w:p/>
              </w:tc>
            </w:tr>
            <w:tr>
              <w:trPr>
                <w:trHeight w:val="454"/>
              </w:trPr>
              <w:tc>
                <w:tcPr>
                  <w:tcW w:w="163" w:type="dxa"/>
                  <w:vMerge/>
                  <w:vAlign w:val="center"/>
                </w:tcPr>
                <w:p/>
              </w:tc>
              <w:tc>
                <w:tcPr>
                  <w:tcW w:w="21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N</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风机等</w:t>
                  </w:r>
                </w:p>
              </w:tc>
              <w:tc>
                <w:tcPr>
                  <w:tcW w:w="455" w:type="dxa"/>
                  <w:vMerge/>
                  <w:tcBorders>
                    <w:left w:val="single" w:sz="4" w:space="0" w:color="auto"/>
                  </w:tcBorders>
                  <w:vAlign w:val="center"/>
                </w:tcPr>
                <w:p/>
              </w:tc>
              <w:tc>
                <w:tcPr>
                  <w:tcW w:w="848" w:type="dxa"/>
                  <w:gridSpan w:val="2"/>
                  <w:vMerge/>
                  <w:tcBorders>
                    <w:left w:val="single" w:sz="4" w:space="0" w:color="auto"/>
                  </w:tcBorders>
                  <w:vAlign w:val="center"/>
                </w:tcPr>
                <w:p/>
              </w:tc>
            </w:tr>
            <w:tr>
              <w:trPr>
                <w:trHeight w:val="454"/>
              </w:trPr>
              <w:tc>
                <w:tcPr>
                  <w:tcW w:w="163"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固废</w:t>
                  </w:r>
                </w:p>
              </w:tc>
              <w:tc>
                <w:tcPr>
                  <w:tcW w:w="212"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1</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原辅料拆包</w:t>
                  </w:r>
                </w:p>
              </w:tc>
              <w:tc>
                <w:tcPr>
                  <w:tcW w:w="455"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废包装材料</w:t>
                  </w:r>
                </w:p>
              </w:tc>
              <w:tc>
                <w:tcPr>
                  <w:tcW w:w="848"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收集后外售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2</w:t>
                  </w:r>
                </w:p>
              </w:tc>
              <w:tc>
                <w:tcPr>
                  <w:tcW w:w="321"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布袋除尘器</w:t>
                  </w:r>
                </w:p>
              </w:tc>
              <w:tc>
                <w:tcPr>
                  <w:tcW w:w="455"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废布袋</w:t>
                  </w:r>
                </w:p>
              </w:tc>
              <w:tc>
                <w:tcPr>
                  <w:tcW w:w="848" w:type="dxa"/>
                  <w:gridSpan w:val="2"/>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3</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布袋除尘器</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2"/>
                      <w:lang w:val="en-US" w:eastAsia="zh-CN" w:bidi="ar-SA"/>
                      <w:highlight w:val="none"/>
                    </w:rPr>
                  </w:pPr>
                  <w:r>
                    <w:rPr>
                      <w:rFonts w:ascii="Times New Roman" w:cs="Times New Roman" w:hAnsi="Times New Roman" w:hint="eastAsia"/>
                      <w:caps w:val="0"/>
                      <w:smallCaps w:val="0"/>
                      <w:color w:val="auto"/>
                      <w:spacing w:val="0"/>
                      <w:sz w:val="21"/>
                      <w:szCs w:val="22"/>
                      <w:lang w:val="en-US" w:eastAsia="zh-CN"/>
                      <w:highlight w:val="none"/>
                    </w:rPr>
                    <w:t>除尘灰</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S4</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两级活性吸附装置</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废活性炭</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S5</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废塑料边角料</w:t>
                  </w:r>
                </w:p>
              </w:tc>
              <w:tc>
                <w:tcPr>
                  <w:tcW w:w="848" w:type="dxa"/>
                  <w:gridSpan w:val="2"/>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收集后外售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S6</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废切削液</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kern w:val="2"/>
                      <w:sz w:val="21"/>
                      <w:szCs w:val="20"/>
                      <w:lang w:val="en-US" w:eastAsia="zh-CN" w:bidi="ar-SA"/>
                      <w:highlight w:val="none"/>
                    </w:rPr>
                    <w:t>S7</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废切削液桶</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8</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汽车塑料配件检验</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2"/>
                      <w:lang w:val="en-US" w:eastAsia="zh-CN" w:bidi="ar-SA"/>
                      <w:highlight w:val="none"/>
                    </w:rPr>
                    <w:t>不合格品</w:t>
                  </w:r>
                </w:p>
              </w:tc>
              <w:tc>
                <w:tcPr>
                  <w:tcW w:w="848" w:type="dxa"/>
                  <w:gridSpan w:val="2"/>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收集后外售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9</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剪板</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金属下脚料</w:t>
                  </w:r>
                </w:p>
              </w:tc>
              <w:tc>
                <w:tcPr>
                  <w:tcW w:w="848" w:type="dxa"/>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收集后外售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S</w:t>
                  </w:r>
                  <w:r>
                    <w:rPr>
                      <w:rFonts w:ascii="Times New Roman" w:cs="Times New Roman" w:hAnsi="Times New Roman" w:hint="eastAsia"/>
                      <w:caps w:val="0"/>
                      <w:smallCaps w:val="0"/>
                      <w:color w:val="auto"/>
                      <w:spacing w:val="0"/>
                      <w:sz w:val="21"/>
                      <w:szCs w:val="20"/>
                      <w:lang w:val="en-US" w:eastAsia="zh-CN"/>
                      <w:highlight w:val="none"/>
                    </w:rPr>
                    <w:t>10</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电极片检验</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cs="Times New Roman"/>
                      <w:caps w:val="0"/>
                      <w:smallCaps w:val="0"/>
                      <w:color w:val="auto"/>
                      <w:spacing w:val="0"/>
                      <w:szCs w:val="22"/>
                      <w:lang w:val="en-US" w:eastAsia="zh-CN"/>
                      <w:highlight w:val="none"/>
                    </w:rPr>
                  </w:pPr>
                  <w:r>
                    <w:rPr>
                      <w:rFonts w:ascii="Times New Roman" w:cs="Times New Roman" w:hAnsi="Times New Roman" w:hint="eastAsia"/>
                      <w:caps w:val="0"/>
                      <w:smallCaps w:val="0"/>
                      <w:color w:val="auto"/>
                      <w:spacing w:val="0"/>
                      <w:sz w:val="21"/>
                      <w:szCs w:val="22"/>
                      <w:lang w:val="en-US" w:eastAsia="zh-CN"/>
                      <w:highlight w:val="none"/>
                    </w:rPr>
                    <w:t>不合格电极片</w:t>
                  </w:r>
                </w:p>
              </w:tc>
              <w:tc>
                <w:tcPr>
                  <w:tcW w:w="848" w:type="dxa"/>
                  <w:gridSpan w:val="2"/>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收集后外售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S11</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机加工</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2"/>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含油金属屑</w:t>
                  </w:r>
                </w:p>
              </w:tc>
              <w:tc>
                <w:tcPr>
                  <w:tcW w:w="848" w:type="dxa"/>
                  <w:gridSpan w:val="2"/>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S12</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废润滑油</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kern w:val="2"/>
                      <w:sz w:val="21"/>
                      <w:szCs w:val="20"/>
                      <w:lang w:val="en-US" w:eastAsia="zh-CN" w:bidi="ar-SA"/>
                      <w:highlight w:val="none"/>
                    </w:rPr>
                    <w:t>S13</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废润滑油桶</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kern w:val="2"/>
                      <w:sz w:val="21"/>
                      <w:szCs w:val="20"/>
                      <w:lang w:val="en-US" w:eastAsia="zh-CN" w:bidi="ar-SA"/>
                      <w:highlight w:val="none"/>
                    </w:rPr>
                    <w:t>S14</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含油抹布及废劳保用品</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危废间暂存后交由有危废处置资质单位处置</w:t>
                  </w:r>
                </w:p>
              </w:tc>
            </w:tr>
            <w:tr>
              <w:trPr>
                <w:trHeight w:val="454"/>
              </w:trPr>
              <w:tc>
                <w:tcPr>
                  <w:tcW w:w="163" w:type="dxa"/>
                  <w:vMerge/>
                  <w:vAlign w:val="center"/>
                </w:tcPr>
                <w:p/>
              </w:tc>
              <w:tc>
                <w:tcPr>
                  <w:tcW w:w="212"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S</w:t>
                  </w:r>
                </w:p>
              </w:tc>
              <w:tc>
                <w:tcPr>
                  <w:tcW w:w="321"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职工生活</w:t>
                  </w:r>
                </w:p>
              </w:tc>
              <w:tc>
                <w:tcPr>
                  <w:tcW w:w="455"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生活垃圾</w:t>
                  </w:r>
                </w:p>
              </w:tc>
              <w:tc>
                <w:tcPr>
                  <w:tcW w:w="848" w:type="dxa"/>
                  <w:gridSpan w:val="2"/>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收集后由环卫部门统一处置</w:t>
                  </w:r>
                </w:p>
              </w:tc>
            </w:tr>
          </w:tbl>
          <w:p>
            <w:pPr>
              <w:keepNext w:val="0"/>
              <w:keepLines w:val="0"/>
              <w:suppressLineNumbers w:val="0"/>
              <w:spacing w:before="0" w:beforeAutospacing="0" w:after="0" w:afterAutospacing="0"/>
              <w:ind w:left="0" w:right="0"/>
              <w:rPr>
                <w:rFonts w:ascii="Times New Roman" w:eastAsia="宋体" w:cs="Times New Roman" w:hAnsi="Times New Roman" w:hint="eastAsia"/>
                <w:caps w:val="0"/>
                <w:smallCaps w:val="0"/>
                <w:color w:val="auto"/>
                <w:spacing w:val="0"/>
                <w:szCs w:val="20"/>
                <w:lang w:eastAsia="zh-CN"/>
                <w:highlight w:val="none"/>
              </w:rPr>
            </w:pPr>
          </w:p>
        </w:tc>
      </w:tr>
      <w:tr>
        <w:trPr>
          <w:trHeight w:val="219"/>
        </w:trPr>
        <w:tc>
          <w:tcPr>
            <w:tcW w:w="675" w:type="dxa"/>
            <w:vAlign w:val="center"/>
          </w:tcPr>
          <w:p>
            <w:pPr>
              <w:pStyle w:val="45"/>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bCs/>
                <w:caps w:val="0"/>
                <w:smallCaps w:val="0"/>
                <w:color w:val="auto"/>
                <w:spacing w:val="0"/>
                <w:kern w:val="2"/>
                <w:sz w:val="24"/>
                <w:szCs w:val="21"/>
                <w:highlight w:val="none"/>
              </w:rPr>
              <w:t>与项目有关的原有环境污染问题</w:t>
            </w:r>
          </w:p>
        </w:tc>
        <w:tc>
          <w:tcPr>
            <w:tcW w:w="8385" w:type="dxa"/>
            <w:tcBorders>
              <w:left w:val="single" w:sz="4" w:space="0" w:color="auto"/>
            </w:tcBorders>
            <w:vAlign w:val="center"/>
          </w:tcPr>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hd w:val="clear" w:color="auto" w:fill="FFFFFF"/>
                <w:highlight w:val="none"/>
              </w:rPr>
            </w:pPr>
            <w:r>
              <w:rPr>
                <w:rFonts w:ascii="Times New Roman" w:cs="Times New Roman" w:hAnsi="Times New Roman"/>
                <w:caps w:val="0"/>
                <w:smallCaps w:val="0"/>
                <w:color w:val="auto"/>
                <w:spacing w:val="0"/>
                <w:sz w:val="24"/>
                <w:szCs w:val="20"/>
                <w:shd w:val="clear" w:color="auto" w:fill="FFFFFF"/>
                <w:highlight w:val="none"/>
              </w:rPr>
              <w:t>1、</w:t>
            </w:r>
            <w:r>
              <w:rPr>
                <w:rFonts w:ascii="Times New Roman" w:cs="Times New Roman" w:hAnsi="Times New Roman"/>
                <w:caps w:val="0"/>
                <w:smallCaps w:val="0"/>
                <w:color w:val="auto"/>
                <w:spacing w:val="0"/>
                <w:sz w:val="24"/>
                <w:szCs w:val="20"/>
                <w:highlight w:val="none"/>
              </w:rPr>
              <w:t>现有工程</w:t>
            </w:r>
            <w:r>
              <w:rPr>
                <w:rFonts w:ascii="Times New Roman" w:cs="Times New Roman" w:hAnsi="Times New Roman"/>
                <w:caps w:val="0"/>
                <w:smallCaps w:val="0"/>
                <w:color w:val="auto"/>
                <w:spacing w:val="0"/>
                <w:sz w:val="24"/>
                <w:szCs w:val="20"/>
                <w:shd w:val="clear" w:color="auto" w:fill="FFFFFF"/>
                <w:highlight w:val="none"/>
              </w:rPr>
              <w:t>概况</w:t>
            </w:r>
          </w:p>
          <w:p>
            <w:pPr>
              <w:pStyle w:val="137"/>
              <w:keepNext w:val="0"/>
              <w:keepLines w:val="0"/>
              <w:suppressLineNumbers w:val="0"/>
              <w:spacing w:before="0" w:beforeAutospacing="0" w:after="0" w:afterAutospacing="0"/>
              <w:ind w:left="0" w:right="0"/>
              <w:rPr>
                <w:rFonts w:ascii="Times New Roman" w:eastAsia="宋体" w:cs="Times New Roman" w:hAnsi="Times New Roman"/>
                <w:i w:val="0"/>
                <w:iCs w:val="0"/>
                <w:caps w:val="0"/>
                <w:smallCaps w:val="0"/>
                <w:color w:val="auto"/>
                <w:spacing w:val="0"/>
                <w:lang w:eastAsia="zh-CN"/>
                <w:highlight w:val="none"/>
              </w:rPr>
            </w:pPr>
            <w:r>
              <w:rPr>
                <w:rFonts w:ascii="Times New Roman" w:cs="Times New Roman" w:hAnsi="Times New Roman" w:hint="eastAsia"/>
                <w:i w:val="0"/>
                <w:iCs w:val="0"/>
                <w:caps w:val="0"/>
                <w:smallCaps w:val="0"/>
                <w:color w:val="auto"/>
                <w:spacing w:val="0"/>
                <w:sz w:val="24"/>
                <w:szCs w:val="20"/>
                <w:lang w:val="en-US" w:eastAsia="zh-CN"/>
                <w:highlight w:val="none"/>
              </w:rPr>
              <w:t>2020</w:t>
            </w:r>
            <w:r>
              <w:rPr>
                <w:rFonts w:ascii="Times New Roman" w:cs="Times New Roman" w:hAnsi="Times New Roman"/>
                <w:i w:val="0"/>
                <w:iCs w:val="0"/>
                <w:caps w:val="0"/>
                <w:smallCaps w:val="0"/>
                <w:color w:val="auto"/>
                <w:spacing w:val="0"/>
                <w:sz w:val="24"/>
                <w:szCs w:val="20"/>
                <w:highlight w:val="none"/>
              </w:rPr>
              <w:t>年</w:t>
            </w:r>
            <w:r>
              <w:rPr>
                <w:rFonts w:ascii="Times New Roman" w:cs="Times New Roman" w:hAnsi="Times New Roman" w:hint="eastAsia"/>
                <w:i w:val="0"/>
                <w:iCs w:val="0"/>
                <w:caps w:val="0"/>
                <w:smallCaps w:val="0"/>
                <w:color w:val="auto"/>
                <w:spacing w:val="0"/>
                <w:sz w:val="24"/>
                <w:szCs w:val="20"/>
                <w:lang w:val="en-US" w:eastAsia="zh-CN"/>
                <w:highlight w:val="none"/>
              </w:rPr>
              <w:t>4</w:t>
            </w:r>
            <w:r>
              <w:rPr>
                <w:rFonts w:ascii="Times New Roman" w:cs="Times New Roman" w:hAnsi="Times New Roman"/>
                <w:i w:val="0"/>
                <w:iCs w:val="0"/>
                <w:caps w:val="0"/>
                <w:smallCaps w:val="0"/>
                <w:color w:val="auto"/>
                <w:spacing w:val="0"/>
                <w:sz w:val="24"/>
                <w:szCs w:val="20"/>
                <w:highlight w:val="none"/>
              </w:rPr>
              <w:t>月</w:t>
            </w:r>
            <w:r>
              <w:rPr>
                <w:rFonts w:ascii="Times New Roman" w:cs="Times New Roman" w:hAnsi="Times New Roman" w:hint="eastAsia"/>
                <w:i w:val="0"/>
                <w:iCs w:val="0"/>
                <w:caps w:val="0"/>
                <w:smallCaps w:val="0"/>
                <w:color w:val="auto"/>
                <w:spacing w:val="0"/>
                <w:sz w:val="24"/>
                <w:szCs w:val="20"/>
                <w:lang w:eastAsia="zh-CN"/>
                <w:highlight w:val="none"/>
              </w:rPr>
              <w:t>石家庄旭照电子科技有限公司</w:t>
            </w:r>
            <w:r>
              <w:rPr>
                <w:rFonts w:ascii="Times New Roman" w:cs="Times New Roman" w:hAnsi="Times New Roman"/>
                <w:i w:val="0"/>
                <w:iCs w:val="0"/>
                <w:caps w:val="0"/>
                <w:smallCaps w:val="0"/>
                <w:color w:val="auto"/>
                <w:spacing w:val="0"/>
                <w:sz w:val="24"/>
                <w:szCs w:val="20"/>
                <w:highlight w:val="none"/>
              </w:rPr>
              <w:t>委托</w:t>
            </w:r>
            <w:r>
              <w:rPr>
                <w:rFonts w:ascii="Times New Roman" w:cs="Times New Roman" w:hAnsi="Times New Roman" w:hint="eastAsia"/>
                <w:i w:val="0"/>
                <w:iCs w:val="0"/>
                <w:caps w:val="0"/>
                <w:smallCaps w:val="0"/>
                <w:color w:val="auto"/>
                <w:spacing w:val="0"/>
                <w:sz w:val="24"/>
                <w:szCs w:val="20"/>
                <w:lang w:eastAsia="zh-CN"/>
                <w:highlight w:val="none"/>
              </w:rPr>
              <w:t>石家庄冀宁工程项目管理有限公司</w:t>
            </w:r>
            <w:r>
              <w:rPr>
                <w:rFonts w:ascii="Times New Roman" w:cs="Times New Roman" w:hAnsi="Times New Roman"/>
                <w:i w:val="0"/>
                <w:iCs w:val="0"/>
                <w:caps w:val="0"/>
                <w:smallCaps w:val="0"/>
                <w:color w:val="auto"/>
                <w:spacing w:val="0"/>
                <w:sz w:val="24"/>
                <w:szCs w:val="20"/>
                <w:highlight w:val="none"/>
              </w:rPr>
              <w:t>编制了《</w:t>
            </w:r>
            <w:r>
              <w:rPr>
                <w:rFonts w:ascii="Times New Roman" w:cs="Times New Roman" w:hAnsi="Times New Roman" w:hint="eastAsia"/>
                <w:i w:val="0"/>
                <w:iCs w:val="0"/>
                <w:caps w:val="0"/>
                <w:smallCaps w:val="0"/>
                <w:color w:val="auto"/>
                <w:spacing w:val="0"/>
                <w:sz w:val="24"/>
                <w:szCs w:val="20"/>
                <w:lang w:eastAsia="zh-CN"/>
                <w:highlight w:val="none"/>
              </w:rPr>
              <w:t>石家庄旭照电子科技有限公司年产90万（只）套集水杯及配套塑料制品项目</w:t>
            </w:r>
            <w:r>
              <w:rPr>
                <w:rFonts w:ascii="Times New Roman" w:cs="Times New Roman" w:hAnsi="Times New Roman"/>
                <w:i w:val="0"/>
                <w:iCs w:val="0"/>
                <w:caps w:val="0"/>
                <w:smallCaps w:val="0"/>
                <w:color w:val="auto"/>
                <w:spacing w:val="0"/>
                <w:sz w:val="24"/>
                <w:szCs w:val="20"/>
                <w:highlight w:val="none"/>
              </w:rPr>
              <w:t>环境影响报告表》</w:t>
            </w:r>
            <w:r>
              <w:rPr>
                <w:rFonts w:ascii="Times New Roman" w:cs="Times New Roman" w:hAnsi="Times New Roman" w:hint="eastAsia"/>
                <w:i w:val="0"/>
                <w:iCs w:val="0"/>
                <w:caps w:val="0"/>
                <w:smallCaps w:val="0"/>
                <w:color w:val="auto"/>
                <w:spacing w:val="0"/>
                <w:sz w:val="24"/>
                <w:szCs w:val="20"/>
                <w:lang w:eastAsia="zh-CN"/>
                <w:highlight w:val="none"/>
              </w:rPr>
              <w:t>，</w:t>
            </w:r>
            <w:r>
              <w:rPr>
                <w:rFonts w:ascii="Times New Roman" w:cs="Times New Roman" w:hAnsi="Times New Roman" w:hint="eastAsia"/>
                <w:i w:val="0"/>
                <w:iCs w:val="0"/>
                <w:caps w:val="0"/>
                <w:smallCaps w:val="0"/>
                <w:color w:val="auto"/>
                <w:spacing w:val="0"/>
                <w:sz w:val="24"/>
                <w:szCs w:val="20"/>
                <w:lang w:val="en-US" w:eastAsia="zh-CN"/>
                <w:highlight w:val="none"/>
              </w:rPr>
              <w:t>设计年产90万（只）套集水杯及配套塑料制品，其中中间产品电极片90万件、其他金属零部件90万套、注塑模具50件；</w:t>
            </w:r>
            <w:r>
              <w:rPr>
                <w:rFonts w:ascii="Times New Roman" w:cs="Times New Roman" w:hAnsi="Times New Roman"/>
                <w:i w:val="0"/>
                <w:iCs w:val="0"/>
                <w:caps w:val="0"/>
                <w:smallCaps w:val="0"/>
                <w:color w:val="auto"/>
                <w:spacing w:val="0"/>
                <w:sz w:val="24"/>
                <w:szCs w:val="20"/>
                <w:highlight w:val="none"/>
              </w:rPr>
              <w:t>于</w:t>
            </w:r>
            <w:r>
              <w:rPr>
                <w:rFonts w:ascii="Times New Roman" w:cs="Times New Roman" w:hAnsi="Times New Roman" w:hint="eastAsia"/>
                <w:i w:val="0"/>
                <w:iCs w:val="0"/>
                <w:caps w:val="0"/>
                <w:smallCaps w:val="0"/>
                <w:color w:val="auto"/>
                <w:spacing w:val="0"/>
                <w:sz w:val="24"/>
                <w:szCs w:val="20"/>
                <w:lang w:eastAsia="zh-CN"/>
                <w:highlight w:val="none"/>
              </w:rPr>
              <w:t>2020年5月28日</w:t>
            </w:r>
            <w:r>
              <w:rPr>
                <w:rFonts w:ascii="Times New Roman" w:cs="Times New Roman" w:hAnsi="Times New Roman"/>
                <w:i w:val="0"/>
                <w:iCs w:val="0"/>
                <w:caps w:val="0"/>
                <w:smallCaps w:val="0"/>
                <w:color w:val="auto"/>
                <w:spacing w:val="0"/>
                <w:sz w:val="24"/>
                <w:szCs w:val="20"/>
                <w:highlight w:val="none"/>
              </w:rPr>
              <w:t>取得</w:t>
            </w:r>
            <w:r>
              <w:rPr>
                <w:rFonts w:ascii="Times New Roman" w:cs="Times New Roman" w:hAnsi="Times New Roman" w:hint="eastAsia"/>
                <w:i w:val="0"/>
                <w:iCs w:val="0"/>
                <w:caps w:val="0"/>
                <w:smallCaps w:val="0"/>
                <w:color w:val="auto"/>
                <w:spacing w:val="0"/>
                <w:sz w:val="24"/>
                <w:szCs w:val="20"/>
                <w:lang w:eastAsia="zh-CN"/>
                <w:highlight w:val="none"/>
              </w:rPr>
              <w:t>石家庄市栾城区行政审批局</w:t>
            </w:r>
            <w:r>
              <w:rPr>
                <w:rFonts w:ascii="Times New Roman" w:cs="Times New Roman" w:hAnsi="Times New Roman"/>
                <w:i w:val="0"/>
                <w:iCs w:val="0"/>
                <w:caps w:val="0"/>
                <w:smallCaps w:val="0"/>
                <w:color w:val="auto"/>
                <w:spacing w:val="0"/>
                <w:sz w:val="24"/>
                <w:szCs w:val="20"/>
                <w:highlight w:val="none"/>
              </w:rPr>
              <w:t>审批意见</w:t>
            </w:r>
            <w:r>
              <w:rPr>
                <w:rFonts w:ascii="Times New Roman" w:cs="Times New Roman" w:hAnsi="Times New Roman" w:hint="eastAsia"/>
                <w:i w:val="0"/>
                <w:iCs w:val="0"/>
                <w:caps w:val="0"/>
                <w:smallCaps w:val="0"/>
                <w:color w:val="auto"/>
                <w:spacing w:val="0"/>
                <w:sz w:val="24"/>
                <w:szCs w:val="20"/>
                <w:lang w:eastAsia="zh-CN"/>
                <w:highlight w:val="none"/>
              </w:rPr>
              <w:t>，</w:t>
            </w:r>
            <w:r>
              <w:rPr>
                <w:rFonts w:ascii="Times New Roman" w:cs="Times New Roman" w:hAnsi="Times New Roman" w:hint="eastAsia"/>
                <w:i w:val="0"/>
                <w:iCs w:val="0"/>
                <w:caps w:val="0"/>
                <w:smallCaps w:val="0"/>
                <w:color w:val="auto"/>
                <w:spacing w:val="0"/>
                <w:sz w:val="24"/>
                <w:szCs w:val="20"/>
                <w:lang w:val="en-US" w:eastAsia="zh-CN"/>
                <w:highlight w:val="none"/>
              </w:rPr>
              <w:t>于</w:t>
            </w:r>
            <w:r>
              <w:rPr>
                <w:rFonts w:ascii="Times New Roman" w:cs="Times New Roman" w:hAnsi="Times New Roman" w:hint="eastAsia"/>
                <w:b w:val="0"/>
                <w:bCs w:val="0"/>
                <w:caps w:val="0"/>
                <w:smallCaps w:val="0"/>
                <w:color w:val="auto"/>
                <w:spacing w:val="0"/>
                <w:sz w:val="24"/>
                <w:szCs w:val="20"/>
                <w:lang w:val="en-US" w:eastAsia="zh-CN"/>
                <w:highlight w:val="none"/>
              </w:rPr>
              <w:t>2020年11月25日首次申请固定污染源登记回执</w:t>
            </w:r>
            <w:r>
              <w:rPr>
                <w:rFonts w:ascii="Times New Roman" w:cs="Times New Roman" w:hAnsi="Times New Roman"/>
                <w:i w:val="0"/>
                <w:iCs w:val="0"/>
                <w:caps w:val="0"/>
                <w:smallCaps w:val="0"/>
                <w:color w:val="auto"/>
                <w:spacing w:val="0"/>
                <w:sz w:val="24"/>
                <w:szCs w:val="20"/>
                <w:highlight w:val="none"/>
              </w:rPr>
              <w:t>，于</w:t>
            </w:r>
            <w:r>
              <w:rPr>
                <w:rFonts w:ascii="Times New Roman" w:cs="Times New Roman" w:hAnsi="Times New Roman" w:hint="eastAsia"/>
                <w:i w:val="0"/>
                <w:iCs w:val="0"/>
                <w:caps w:val="0"/>
                <w:smallCaps w:val="0"/>
                <w:color w:val="auto"/>
                <w:spacing w:val="0"/>
                <w:sz w:val="24"/>
                <w:szCs w:val="20"/>
                <w:lang w:eastAsia="zh-CN"/>
                <w:highlight w:val="none"/>
              </w:rPr>
              <w:t>20</w:t>
            </w:r>
            <w:r>
              <w:rPr>
                <w:rFonts w:ascii="Times New Roman" w:cs="Times New Roman" w:hAnsi="Times New Roman" w:hint="eastAsia"/>
                <w:i w:val="0"/>
                <w:iCs w:val="0"/>
                <w:caps w:val="0"/>
                <w:smallCaps w:val="0"/>
                <w:color w:val="auto"/>
                <w:spacing w:val="0"/>
                <w:sz w:val="24"/>
                <w:szCs w:val="20"/>
                <w:lang w:val="en-US" w:eastAsia="zh-CN"/>
                <w:highlight w:val="none"/>
              </w:rPr>
              <w:t>20</w:t>
            </w:r>
            <w:r>
              <w:rPr>
                <w:rFonts w:ascii="Times New Roman" w:cs="Times New Roman" w:hAnsi="Times New Roman" w:hint="eastAsia"/>
                <w:i w:val="0"/>
                <w:iCs w:val="0"/>
                <w:caps w:val="0"/>
                <w:smallCaps w:val="0"/>
                <w:color w:val="auto"/>
                <w:spacing w:val="0"/>
                <w:sz w:val="24"/>
                <w:szCs w:val="20"/>
                <w:lang w:eastAsia="zh-CN"/>
                <w:highlight w:val="none"/>
              </w:rPr>
              <w:t>年</w:t>
            </w:r>
            <w:r>
              <w:rPr>
                <w:rFonts w:ascii="Times New Roman" w:cs="Times New Roman" w:hAnsi="Times New Roman" w:hint="eastAsia"/>
                <w:i w:val="0"/>
                <w:iCs w:val="0"/>
                <w:caps w:val="0"/>
                <w:smallCaps w:val="0"/>
                <w:color w:val="auto"/>
                <w:spacing w:val="0"/>
                <w:sz w:val="24"/>
                <w:szCs w:val="20"/>
                <w:lang w:val="en-US" w:eastAsia="zh-CN"/>
                <w:highlight w:val="none"/>
              </w:rPr>
              <w:t>11</w:t>
            </w:r>
            <w:r>
              <w:rPr>
                <w:rFonts w:ascii="Times New Roman" w:cs="Times New Roman" w:hAnsi="Times New Roman" w:hint="eastAsia"/>
                <w:i w:val="0"/>
                <w:iCs w:val="0"/>
                <w:caps w:val="0"/>
                <w:smallCaps w:val="0"/>
                <w:color w:val="auto"/>
                <w:spacing w:val="0"/>
                <w:sz w:val="24"/>
                <w:szCs w:val="20"/>
                <w:lang w:eastAsia="zh-CN"/>
                <w:highlight w:val="none"/>
              </w:rPr>
              <w:t>月</w:t>
            </w:r>
            <w:r>
              <w:rPr>
                <w:rFonts w:ascii="Times New Roman" w:cs="Times New Roman" w:hAnsi="Times New Roman" w:hint="eastAsia"/>
                <w:i w:val="0"/>
                <w:iCs w:val="0"/>
                <w:caps w:val="0"/>
                <w:smallCaps w:val="0"/>
                <w:color w:val="auto"/>
                <w:spacing w:val="0"/>
                <w:sz w:val="24"/>
                <w:szCs w:val="20"/>
                <w:lang w:val="en-US" w:eastAsia="zh-CN"/>
                <w:highlight w:val="none"/>
              </w:rPr>
              <w:t>26</w:t>
            </w:r>
            <w:r>
              <w:rPr>
                <w:rFonts w:ascii="Times New Roman" w:cs="Times New Roman" w:hAnsi="Times New Roman" w:hint="eastAsia"/>
                <w:i w:val="0"/>
                <w:iCs w:val="0"/>
                <w:caps w:val="0"/>
                <w:smallCaps w:val="0"/>
                <w:color w:val="auto"/>
                <w:spacing w:val="0"/>
                <w:sz w:val="24"/>
                <w:szCs w:val="20"/>
                <w:lang w:eastAsia="zh-CN"/>
                <w:highlight w:val="none"/>
              </w:rPr>
              <w:t>日</w:t>
            </w:r>
            <w:r>
              <w:rPr>
                <w:rFonts w:ascii="Times New Roman" w:cs="Times New Roman" w:hAnsi="Times New Roman"/>
                <w:i w:val="0"/>
                <w:iCs w:val="0"/>
                <w:caps w:val="0"/>
                <w:smallCaps w:val="0"/>
                <w:color w:val="auto"/>
                <w:spacing w:val="0"/>
                <w:sz w:val="24"/>
                <w:szCs w:val="20"/>
                <w:highlight w:val="none"/>
              </w:rPr>
              <w:t>取得了</w:t>
            </w:r>
            <w:r>
              <w:rPr>
                <w:rFonts w:ascii="Times New Roman" w:cs="Times New Roman" w:hAnsi="Times New Roman" w:hint="eastAsia"/>
                <w:i w:val="0"/>
                <w:iCs w:val="0"/>
                <w:caps w:val="0"/>
                <w:smallCaps w:val="0"/>
                <w:color w:val="auto"/>
                <w:spacing w:val="0"/>
                <w:sz w:val="24"/>
                <w:szCs w:val="20"/>
                <w:lang w:eastAsia="zh-CN"/>
                <w:highlight w:val="none"/>
              </w:rPr>
              <w:t>石家庄旭照电子科技有限公司年产90万（只）套集水杯及配套塑料制品项目</w:t>
            </w:r>
            <w:r>
              <w:rPr>
                <w:rFonts w:ascii="Times New Roman" w:cs="Times New Roman" w:hAnsi="Times New Roman" w:hint="eastAsia"/>
                <w:i w:val="0"/>
                <w:iCs w:val="0"/>
                <w:caps w:val="0"/>
                <w:smallCaps w:val="0"/>
                <w:color w:val="auto"/>
                <w:spacing w:val="0"/>
                <w:sz w:val="24"/>
                <w:szCs w:val="20"/>
                <w:lang w:val="en-US" w:eastAsia="zh-CN"/>
                <w:highlight w:val="none"/>
              </w:rPr>
              <w:t>竣工环境保护阶段性验收专家意见</w:t>
            </w:r>
            <w:r>
              <w:rPr>
                <w:rFonts w:ascii="Times New Roman" w:cs="Times New Roman" w:hAnsi="Times New Roman" w:hint="eastAsia"/>
                <w:i w:val="0"/>
                <w:iCs w:val="0"/>
                <w:caps w:val="0"/>
                <w:smallCaps w:val="0"/>
                <w:color w:val="auto"/>
                <w:spacing w:val="0"/>
                <w:sz w:val="24"/>
                <w:szCs w:val="20"/>
                <w:lang w:eastAsia="zh-CN"/>
                <w:highlight w:val="none"/>
              </w:rPr>
              <w:t>，</w:t>
            </w:r>
            <w:r>
              <w:rPr>
                <w:rFonts w:ascii="Times New Roman" w:cs="Times New Roman" w:hAnsi="Times New Roman"/>
                <w:i w:val="0"/>
                <w:iCs w:val="0"/>
                <w:caps w:val="0"/>
                <w:smallCaps w:val="0"/>
                <w:color w:val="auto"/>
                <w:spacing w:val="0"/>
                <w:sz w:val="24"/>
                <w:szCs w:val="20"/>
                <w:lang w:val="en-US" w:eastAsia="zh-CN"/>
                <w:highlight w:val="none"/>
              </w:rPr>
              <w:t>于</w:t>
            </w:r>
            <w:r>
              <w:rPr>
                <w:rFonts w:ascii="Times New Roman" w:cs="Times New Roman" w:hAnsi="Times New Roman" w:hint="eastAsia"/>
                <w:i w:val="0"/>
                <w:iCs w:val="0"/>
                <w:caps w:val="0"/>
                <w:smallCaps w:val="0"/>
                <w:color w:val="auto"/>
                <w:spacing w:val="0"/>
                <w:sz w:val="24"/>
                <w:szCs w:val="20"/>
                <w:lang w:eastAsia="zh-CN"/>
                <w:highlight w:val="none"/>
              </w:rPr>
              <w:t>2022年8月11日</w:t>
            </w:r>
            <w:r>
              <w:rPr>
                <w:rFonts w:ascii="Times New Roman" w:cs="Times New Roman" w:hAnsi="Times New Roman"/>
                <w:i w:val="0"/>
                <w:iCs w:val="0"/>
                <w:caps w:val="0"/>
                <w:smallCaps w:val="0"/>
                <w:color w:val="auto"/>
                <w:spacing w:val="0"/>
                <w:sz w:val="24"/>
                <w:szCs w:val="20"/>
                <w:lang w:val="en-US" w:eastAsia="zh-CN"/>
                <w:highlight w:val="none"/>
              </w:rPr>
              <w:t>取得</w:t>
            </w:r>
            <w:r>
              <w:rPr>
                <w:rFonts w:ascii="Times New Roman" w:cs="Times New Roman" w:hAnsi="Times New Roman" w:hint="eastAsia"/>
                <w:i w:val="0"/>
                <w:iCs w:val="0"/>
                <w:caps w:val="0"/>
                <w:smallCaps w:val="0"/>
                <w:color w:val="auto"/>
                <w:spacing w:val="0"/>
                <w:sz w:val="24"/>
                <w:szCs w:val="20"/>
                <w:lang w:eastAsia="zh-CN"/>
                <w:highlight w:val="none"/>
              </w:rPr>
              <w:t>石家庄旭照电子科技有限公司年产90万（只）套集水杯及配套塑料制品项目</w:t>
            </w:r>
            <w:r>
              <w:rPr>
                <w:rFonts w:ascii="Times New Roman" w:cs="Times New Roman" w:hAnsi="Times New Roman"/>
                <w:i w:val="0"/>
                <w:iCs w:val="0"/>
                <w:caps w:val="0"/>
                <w:smallCaps w:val="0"/>
                <w:color w:val="auto"/>
                <w:spacing w:val="0"/>
                <w:sz w:val="24"/>
                <w:szCs w:val="20"/>
                <w:lang w:val="en-US" w:eastAsia="zh-CN"/>
                <w:highlight w:val="none"/>
              </w:rPr>
              <w:t>验收意见</w:t>
            </w:r>
            <w:r>
              <w:rPr>
                <w:rFonts w:ascii="Times New Roman" w:cs="Times New Roman" w:hAnsi="Times New Roman"/>
                <w:i w:val="0"/>
                <w:iCs w:val="0"/>
                <w:caps w:val="0"/>
                <w:smallCaps w:val="0"/>
                <w:color w:val="auto"/>
                <w:spacing w:val="0"/>
                <w:sz w:val="24"/>
                <w:szCs w:val="20"/>
                <w:lang w:eastAsia="zh-CN"/>
                <w:highlight w:val="none"/>
              </w:rPr>
              <w:t>。现有工程净化设施调整已于2024年6月12日取得《石家庄旭照电子科技有限公司废气治理设施提升改造项目环境影响登记表》，由布袋除尘器+UV光氧+活性炭吸附装置调整为布袋除尘器+二级活性炭吸附装置</w:t>
            </w:r>
            <w:r>
              <w:rPr>
                <w:rFonts w:ascii="Times New Roman" w:cs="Times New Roman" w:hAnsi="Times New Roman" w:hint="eastAsia"/>
                <w:i w:val="0"/>
                <w:iCs w:val="0"/>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cs="Times New Roman" w:hint="eastAsia"/>
                <w:i w:val="0"/>
                <w:iCs w:val="0"/>
                <w:caps w:val="0"/>
                <w:smallCaps w:val="0"/>
                <w:color w:val="auto"/>
                <w:spacing w:val="0"/>
                <w:lang w:val="en-US" w:eastAsia="zh-CN"/>
                <w:highlight w:val="none"/>
              </w:rPr>
            </w:pPr>
            <w:r>
              <w:rPr>
                <w:rFonts w:ascii="Times New Roman" w:cs="Times New Roman" w:hAnsi="Times New Roman" w:hint="eastAsia"/>
                <w:b w:val="0"/>
                <w:bCs w:val="0"/>
                <w:caps w:val="0"/>
                <w:smallCaps w:val="0"/>
                <w:color w:val="auto"/>
                <w:spacing w:val="0"/>
                <w:sz w:val="24"/>
                <w:szCs w:val="20"/>
                <w:lang w:val="en-US" w:eastAsia="zh-CN"/>
                <w:highlight w:val="none"/>
              </w:rPr>
              <w:t>2020年11月25日首次申请固定污染源登记回执，2024年6月12日进行变更申请取得固定污染源登记回执</w:t>
            </w:r>
            <w:r>
              <w:rPr>
                <w:rFonts w:ascii="Times New Roman" w:cs="Times New Roman" w:hAnsi="Times New Roman" w:hint="eastAsia"/>
                <w:i w:val="0"/>
                <w:iCs w:val="0"/>
                <w:caps w:val="0"/>
                <w:smallCaps w:val="0"/>
                <w:color w:val="auto"/>
                <w:spacing w:val="0"/>
                <w:sz w:val="24"/>
                <w:szCs w:val="20"/>
                <w:lang w:val="en-US" w:eastAsia="zh-CN"/>
                <w:highlight w:val="none"/>
              </w:rPr>
              <w:t>，回执编号：91130132MA08M7644N001X，有效期2024年6月12日至2029年6月11日。</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2、现有工程污染物排放情况</w:t>
            </w:r>
          </w:p>
          <w:p>
            <w:pPr>
              <w:pStyle w:val="137"/>
              <w:keepNext w:val="0"/>
              <w:keepLines w:val="0"/>
              <w:suppressLineNumbers w:val="0"/>
              <w:spacing w:before="0" w:beforeAutospacing="0" w:after="0" w:afterAutospacing="0"/>
              <w:ind w:left="0" w:right="0"/>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根据</w:t>
            </w:r>
            <w:r>
              <w:rPr>
                <w:rFonts w:ascii="Times New Roman" w:cs="Times New Roman" w:hAnsi="Times New Roman" w:hint="eastAsia"/>
                <w:caps w:val="0"/>
                <w:smallCaps w:val="0"/>
                <w:color w:val="auto"/>
                <w:spacing w:val="0"/>
                <w:sz w:val="24"/>
                <w:szCs w:val="20"/>
                <w:lang w:eastAsia="zh-CN"/>
                <w:highlight w:val="none"/>
              </w:rPr>
              <w:t>河北聚元环境科技有限公司</w:t>
            </w:r>
            <w:r>
              <w:rPr>
                <w:rFonts w:ascii="Times New Roman" w:cs="Times New Roman" w:hAnsi="Times New Roman"/>
                <w:caps w:val="0"/>
                <w:smallCaps w:val="0"/>
                <w:color w:val="auto"/>
                <w:spacing w:val="0"/>
                <w:sz w:val="24"/>
                <w:szCs w:val="20"/>
                <w:highlight w:val="none"/>
              </w:rPr>
              <w:t>出具的监测报告</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报告编号：</w:t>
            </w:r>
            <w:r>
              <w:rPr>
                <w:rFonts w:ascii="Times New Roman" w:cs="Times New Roman" w:hAnsi="Times New Roman" w:hint="eastAsia"/>
                <w:caps w:val="0"/>
                <w:smallCaps w:val="0"/>
                <w:color w:val="auto"/>
                <w:spacing w:val="0"/>
                <w:sz w:val="24"/>
                <w:szCs w:val="20"/>
                <w:lang w:val="en-US" w:eastAsia="zh-CN"/>
                <w:highlight w:val="none"/>
              </w:rPr>
              <w:t>JYHJ-2025-0181</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eastAsia="zh-CN"/>
                <w:highlight w:val="none"/>
              </w:rPr>
              <w:t>石家庄旭照电子科技有限公司</w:t>
            </w:r>
            <w:r>
              <w:rPr>
                <w:rFonts w:ascii="Times New Roman" w:cs="Times New Roman" w:hAnsi="Times New Roman"/>
                <w:caps w:val="0"/>
                <w:smallCaps w:val="0"/>
                <w:color w:val="auto"/>
                <w:spacing w:val="0"/>
                <w:sz w:val="24"/>
                <w:szCs w:val="20"/>
                <w:highlight w:val="none"/>
              </w:rPr>
              <w:t>现有污染物排放情况如下</w:t>
            </w:r>
            <w:r>
              <w:rPr>
                <w:rFonts w:ascii="Times New Roman" w:cs="Times New Roman" w:hAnsi="Times New Roman"/>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lang w:val="en-US" w:eastAsia="zh-CN"/>
                <w:highlight w:val="none"/>
              </w:rPr>
              <w:t>废气：主要为</w:t>
            </w:r>
            <w:r>
              <w:rPr>
                <w:rFonts w:ascii="Times New Roman" w:cs="Times New Roman" w:hAnsi="Times New Roman" w:hint="eastAsia"/>
                <w:caps w:val="0"/>
                <w:smallCaps w:val="0"/>
                <w:color w:val="auto"/>
                <w:spacing w:val="0"/>
                <w:sz w:val="24"/>
                <w:szCs w:val="20"/>
                <w:lang w:val="en-US" w:eastAsia="zh-CN"/>
                <w:highlight w:val="none"/>
              </w:rPr>
              <w:t>注塑、烘干</w:t>
            </w:r>
            <w:r>
              <w:rPr>
                <w:rFonts w:ascii="Times New Roman" w:cs="Times New Roman" w:hAnsi="Times New Roman"/>
                <w:caps w:val="0"/>
                <w:smallCaps w:val="0"/>
                <w:color w:val="auto"/>
                <w:spacing w:val="0"/>
                <w:sz w:val="24"/>
                <w:szCs w:val="20"/>
                <w:lang w:val="en-US" w:eastAsia="zh-CN"/>
                <w:highlight w:val="none"/>
              </w:rPr>
              <w:t>废气，</w:t>
            </w:r>
            <w:r>
              <w:rPr>
                <w:rFonts w:ascii="Times New Roman" w:cs="Times New Roman" w:hAnsi="Times New Roman" w:hint="eastAsia"/>
                <w:caps w:val="0"/>
                <w:smallCaps w:val="0"/>
                <w:color w:val="auto"/>
                <w:spacing w:val="0"/>
                <w:sz w:val="24"/>
                <w:szCs w:val="20"/>
                <w:lang w:val="en-US" w:eastAsia="zh-CN"/>
                <w:highlight w:val="none"/>
              </w:rPr>
              <w:t>注塑、烘干</w:t>
            </w:r>
            <w:r>
              <w:rPr>
                <w:rFonts w:ascii="Times New Roman" w:cs="Times New Roman" w:hAnsi="Times New Roman"/>
                <w:caps w:val="0"/>
                <w:smallCaps w:val="0"/>
                <w:color w:val="auto"/>
                <w:spacing w:val="0"/>
                <w:sz w:val="24"/>
                <w:szCs w:val="20"/>
                <w:lang w:val="en-US" w:eastAsia="zh-CN"/>
                <w:highlight w:val="none"/>
              </w:rPr>
              <w:t>废气经布袋除尘器</w:t>
            </w:r>
            <w:r>
              <w:rPr>
                <w:rFonts w:ascii="Times New Roman" w:cs="Times New Roman" w:hAnsi="Times New Roman" w:hint="eastAsia"/>
                <w:caps w:val="0"/>
                <w:smallCaps w:val="0"/>
                <w:color w:val="auto"/>
                <w:spacing w:val="0"/>
                <w:sz w:val="24"/>
                <w:szCs w:val="20"/>
                <w:lang w:val="en-US" w:eastAsia="zh-CN"/>
                <w:highlight w:val="none"/>
              </w:rPr>
              <w:t>+活性炭吸附</w:t>
            </w:r>
            <w:r>
              <w:rPr>
                <w:rFonts w:ascii="Times New Roman" w:cs="Times New Roman" w:hAnsi="Times New Roman"/>
                <w:caps w:val="0"/>
                <w:smallCaps w:val="0"/>
                <w:color w:val="auto"/>
                <w:spacing w:val="0"/>
                <w:sz w:val="24"/>
                <w:szCs w:val="20"/>
                <w:lang w:val="en-US"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15</w:t>
            </w:r>
            <w:r>
              <w:rPr>
                <w:rFonts w:ascii="Times New Roman" w:cs="Times New Roman" w:hAnsi="Times New Roman"/>
                <w:caps w:val="0"/>
                <w:smallCaps w:val="0"/>
                <w:color w:val="auto"/>
                <w:spacing w:val="0"/>
                <w:sz w:val="24"/>
                <w:szCs w:val="20"/>
                <w:lang w:val="en-US" w:eastAsia="zh-CN"/>
                <w:highlight w:val="none"/>
              </w:rPr>
              <w:t>m高排气筒排放，无组织废气经车间密闭后排放</w:t>
            </w:r>
            <w:r>
              <w:rPr>
                <w:rFonts w:ascii="Times New Roman" w:cs="Times New Roman" w:hAnsi="Times New Roman" w:hint="eastAsia"/>
                <w:caps w:val="0"/>
                <w:smallCaps w:val="0"/>
                <w:color w:val="auto"/>
                <w:spacing w:val="0"/>
                <w:sz w:val="24"/>
                <w:szCs w:val="20"/>
                <w:lang w:val="en-US" w:eastAsia="zh-CN"/>
                <w:highlight w:val="none"/>
              </w:rPr>
              <w:t>，</w:t>
            </w:r>
            <w:r>
              <w:rPr>
                <w:rFonts w:ascii="Times New Roman" w:cs="Times New Roman" w:hAnsi="Times New Roman"/>
                <w:caps w:val="0"/>
                <w:smallCaps w:val="0"/>
                <w:color w:val="auto"/>
                <w:spacing w:val="0"/>
                <w:sz w:val="24"/>
                <w:szCs w:val="20"/>
                <w:highlight w:val="none"/>
              </w:rPr>
              <w:t>所在厂区现有</w:t>
            </w:r>
            <w:r>
              <w:rPr>
                <w:rFonts w:ascii="Times New Roman" w:cs="Times New Roman" w:hAnsi="Times New Roman"/>
                <w:caps w:val="0"/>
                <w:smallCaps w:val="0"/>
                <w:color w:val="auto"/>
                <w:spacing w:val="0"/>
                <w:sz w:val="24"/>
                <w:szCs w:val="20"/>
                <w:lang w:val="en-US" w:eastAsia="zh-CN"/>
                <w:highlight w:val="none"/>
              </w:rPr>
              <w:t>废气</w:t>
            </w:r>
            <w:r>
              <w:rPr>
                <w:rFonts w:ascii="Times New Roman" w:cs="Times New Roman" w:hAnsi="Times New Roman"/>
                <w:caps w:val="0"/>
                <w:smallCaps w:val="0"/>
                <w:color w:val="auto"/>
                <w:spacing w:val="0"/>
                <w:sz w:val="24"/>
                <w:szCs w:val="20"/>
                <w:highlight w:val="none"/>
              </w:rPr>
              <w:t>污染物产生及治理情况见</w:t>
            </w:r>
            <w:r>
              <w:rPr>
                <w:rFonts w:ascii="Times New Roman" w:cs="Times New Roman" w:hAnsi="Times New Roman"/>
                <w:caps w:val="0"/>
                <w:smallCaps w:val="0"/>
                <w:color w:val="auto"/>
                <w:spacing w:val="0"/>
                <w:sz w:val="24"/>
                <w:szCs w:val="20"/>
                <w:lang w:val="en-US" w:eastAsia="zh-CN"/>
                <w:highlight w:val="none"/>
              </w:rPr>
              <w:t>下表</w:t>
            </w:r>
            <w:r>
              <w:rPr>
                <w:rFonts w:ascii="Times New Roman" w:cs="Times New Roman" w:hAnsi="Times New Roman"/>
                <w:caps w:val="0"/>
                <w:smallCaps w:val="0"/>
                <w:color w:val="auto"/>
                <w:spacing w:val="0"/>
                <w:sz w:val="24"/>
                <w:szCs w:val="20"/>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7</w:t>
            </w:r>
            <w:r>
              <w:rPr>
                <w:rFonts w:ascii="Times New Roman" w:eastAsia="宋体" w:cs="Times New Roman" w:hAnsi="Times New Roman"/>
                <w:b/>
                <w:caps w:val="0"/>
                <w:smallCaps w:val="0"/>
                <w:color w:val="auto"/>
                <w:spacing w:val="0"/>
                <w:sz w:val="24"/>
                <w:szCs w:val="20"/>
                <w:highlight w:val="none"/>
              </w:rPr>
              <w:t xml:space="preserve">   项目所在厂区废气排放及治理情况一览表</w:t>
            </w:r>
          </w:p>
          <w:tbl>
            <w:tblPr>
              <w:jc w:val="left"/>
              <w:tblInd w:w="0" w:type="dx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Look w:val="0600" w:firstRow="0" w:lastRow="0" w:firstColumn="0" w:lastColumn="0" w:noHBand="1" w:noVBand="1"/>
            </w:tblPr>
            <w:tblGrid>
              <w:gridCol w:w="334"/>
              <w:gridCol w:w="695"/>
              <w:gridCol w:w="786"/>
              <w:gridCol w:w="830"/>
              <w:gridCol w:w="682"/>
              <w:gridCol w:w="903"/>
              <w:gridCol w:w="903"/>
              <w:gridCol w:w="2595"/>
              <w:gridCol w:w="430"/>
            </w:tblGrid>
            <w:tr>
              <w:trPr>
                <w:cantSplit/>
                <w:trHeight w:hRule="exact" w:val="1234"/>
              </w:trPr>
              <w:tc>
                <w:tcPr>
                  <w:tcW w:w="76"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类别</w:t>
                  </w:r>
                </w:p>
              </w:tc>
              <w:tc>
                <w:tcPr>
                  <w:tcW w:w="177"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污染源</w:t>
                  </w:r>
                </w:p>
              </w:tc>
              <w:tc>
                <w:tcPr>
                  <w:tcW w:w="266"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污染物</w:t>
                  </w:r>
                </w:p>
              </w:tc>
              <w:tc>
                <w:tcPr>
                  <w:tcW w:w="264"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治理措施</w:t>
                  </w:r>
                </w:p>
              </w:tc>
              <w:tc>
                <w:tcPr>
                  <w:tcW w:w="169" w:type="dxa"/>
                  <w:tcBorders>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最大</w:t>
                  </w:r>
                  <w:r>
                    <w:rPr>
                      <w:rFonts w:ascii="Times New Roman" w:cs="Times New Roman" w:hAnsi="Times New Roman"/>
                      <w:caps w:val="0"/>
                      <w:smallCaps w:val="0"/>
                      <w:color w:val="auto"/>
                      <w:spacing w:val="0"/>
                      <w:sz w:val="21"/>
                      <w:szCs w:val="21"/>
                      <w:lang w:val="en-US" w:eastAsia="zh-CN"/>
                      <w:highlight w:val="none"/>
                    </w:rPr>
                    <w:t>排气量m</w:t>
                  </w:r>
                  <w:r>
                    <w:rPr>
                      <w:rFonts w:ascii="Times New Roman" w:cs="Times New Roman" w:hAnsi="Times New Roman"/>
                      <w:caps w:val="0"/>
                      <w:smallCaps w:val="0"/>
                      <w:color w:val="auto"/>
                      <w:spacing w:val="0"/>
                      <w:sz w:val="21"/>
                      <w:szCs w:val="21"/>
                      <w:vertAlign w:val="superscript"/>
                      <w:lang w:val="en-US" w:eastAsia="zh-CN"/>
                      <w:highlight w:val="none"/>
                    </w:rPr>
                    <w:t>3</w:t>
                  </w:r>
                  <w:r>
                    <w:rPr>
                      <w:rFonts w:ascii="Times New Roman" w:cs="Times New Roman" w:hAnsi="Times New Roman"/>
                      <w:caps w:val="0"/>
                      <w:smallCaps w:val="0"/>
                      <w:color w:val="auto"/>
                      <w:spacing w:val="0"/>
                      <w:sz w:val="21"/>
                      <w:szCs w:val="21"/>
                      <w:lang w:val="en-US" w:eastAsia="zh-CN"/>
                      <w:highlight w:val="none"/>
                    </w:rPr>
                    <w:t>/h</w:t>
                  </w:r>
                </w:p>
              </w:tc>
              <w:tc>
                <w:tcPr>
                  <w:tcW w:w="220" w:type="dxa"/>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highlight w:val="none"/>
                    </w:rPr>
                  </w:pPr>
                  <w:r>
                    <w:rPr>
                      <w:rFonts w:ascii="Times New Roman" w:cs="Times New Roman" w:hAnsi="Times New Roman" w:hint="eastAsia"/>
                      <w:caps w:val="0"/>
                      <w:smallCaps w:val="0"/>
                      <w:color w:val="auto"/>
                      <w:spacing w:val="0"/>
                      <w:sz w:val="21"/>
                      <w:szCs w:val="21"/>
                      <w:lang w:val="en-US" w:eastAsia="zh-CN"/>
                      <w:highlight w:val="none"/>
                    </w:rPr>
                    <w:t>检测值</w:t>
                  </w:r>
                  <w:r>
                    <w:rPr>
                      <w:rFonts w:ascii="Times New Roman" w:cs="Times New Roman" w:hAnsi="Times New Roman" w:hint="eastAsia"/>
                      <w:i w:val="0"/>
                      <w:iCs w:val="0"/>
                      <w:color w:val="auto"/>
                      <w:kern w:val="0"/>
                      <w:sz w:val="21"/>
                      <w:szCs w:val="21"/>
                      <w:u w:val="none"/>
                      <w:lang w:val="en-US" w:eastAsia="zh-CN"/>
                      <w:highlight w:val="none"/>
                    </w:rPr>
                    <w:t>mg/m</w:t>
                  </w:r>
                  <w:r>
                    <w:rPr>
                      <w:rFonts w:ascii="Times New Roman" w:cs="Times New Roman" w:hAnsi="Times New Roman" w:hint="eastAsia"/>
                      <w:i w:val="0"/>
                      <w:iCs w:val="0"/>
                      <w:color w:val="auto"/>
                      <w:kern w:val="0"/>
                      <w:sz w:val="21"/>
                      <w:szCs w:val="21"/>
                      <w:u w:val="none"/>
                      <w:vertAlign w:val="superscript"/>
                      <w:lang w:val="en-US" w:eastAsia="zh-CN"/>
                      <w:highlight w:val="none"/>
                    </w:rPr>
                    <w:t>3</w:t>
                  </w:r>
                </w:p>
              </w:tc>
              <w:tc>
                <w:tcPr>
                  <w:tcW w:w="220"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标准限值</w:t>
                  </w:r>
                  <w:r>
                    <w:rPr>
                      <w:rFonts w:ascii="Times New Roman" w:cs="Times New Roman" w:hAnsi="Times New Roman" w:hint="eastAsia"/>
                      <w:i w:val="0"/>
                      <w:iCs w:val="0"/>
                      <w:color w:val="auto"/>
                      <w:kern w:val="0"/>
                      <w:sz w:val="21"/>
                      <w:szCs w:val="21"/>
                      <w:u w:val="none"/>
                      <w:lang w:val="en-US" w:eastAsia="zh-CN"/>
                      <w:highlight w:val="none"/>
                    </w:rPr>
                    <w:t>mg/m</w:t>
                  </w:r>
                  <w:r>
                    <w:rPr>
                      <w:rFonts w:ascii="Times New Roman" w:cs="Times New Roman" w:hAnsi="Times New Roman" w:hint="eastAsia"/>
                      <w:i w:val="0"/>
                      <w:iCs w:val="0"/>
                      <w:color w:val="auto"/>
                      <w:kern w:val="0"/>
                      <w:sz w:val="21"/>
                      <w:szCs w:val="21"/>
                      <w:u w:val="none"/>
                      <w:vertAlign w:val="superscript"/>
                      <w:lang w:val="en-US" w:eastAsia="zh-CN"/>
                      <w:highlight w:val="none"/>
                    </w:rPr>
                    <w:t>3</w:t>
                  </w:r>
                </w:p>
              </w:tc>
              <w:tc>
                <w:tcPr>
                  <w:tcW w:w="466"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执行标准</w:t>
                  </w:r>
                </w:p>
              </w:tc>
              <w:tc>
                <w:tcPr>
                  <w:tcW w:w="141" w:type="dxa"/>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达标情况</w:t>
                  </w:r>
                </w:p>
              </w:tc>
            </w:tr>
            <w:tr>
              <w:trPr>
                <w:cantSplit/>
                <w:trHeight w:hRule="exact" w:val="838"/>
              </w:trPr>
              <w:tc>
                <w:tcPr>
                  <w:tcW w:w="76" w:type="dxa"/>
                  <w:vMerge w:val="restar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废气</w:t>
                  </w:r>
                </w:p>
              </w:tc>
              <w:tc>
                <w:tcPr>
                  <w:tcW w:w="177"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注塑、烘干废气</w:t>
                  </w:r>
                </w:p>
              </w:tc>
              <w:tc>
                <w:tcPr>
                  <w:tcW w:w="266" w:type="dxa"/>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264"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布袋除尘器+活性炭吸附+15m高排气筒</w:t>
                  </w:r>
                </w:p>
              </w:tc>
              <w:tc>
                <w:tcPr>
                  <w:tcW w:w="169" w:type="dxa"/>
                  <w:tcBorders>
                    <w:bottom w:val="single" w:sz="4" w:space="0" w:color="auto"/>
                    <w:righ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5393</w:t>
                  </w:r>
                </w:p>
              </w:tc>
              <w:tc>
                <w:tcPr>
                  <w:tcW w:w="220" w:type="dxa"/>
                  <w:tcBorders>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3.26</w:t>
                  </w:r>
                </w:p>
              </w:tc>
              <w:tc>
                <w:tcPr>
                  <w:tcW w:w="220" w:type="dxa"/>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20</w:t>
                  </w:r>
                </w:p>
              </w:tc>
              <w:tc>
                <w:tcPr>
                  <w:tcW w:w="466"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《合成树脂工业污染物排放标准》（GB31572-2015）（含2024年修改单）表5标准</w:t>
                  </w:r>
                </w:p>
              </w:tc>
              <w:tc>
                <w:tcPr>
                  <w:tcW w:w="141"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r>
              <w:trPr>
                <w:cantSplit/>
                <w:trHeight w:hRule="exact" w:val="1038"/>
              </w:trPr>
              <w:tc>
                <w:tcPr>
                  <w:tcW w:w="76" w:type="dxa"/>
                  <w:vMerge/>
                  <w:vAlign w:val="center"/>
                </w:tcPr>
                <w:p/>
              </w:tc>
              <w:tc>
                <w:tcPr>
                  <w:tcW w:w="177" w:type="dxa"/>
                  <w:vMerge/>
                  <w:tcBorders>
                    <w:left w:val="single" w:sz="4" w:space="0" w:color="000000"/>
                  </w:tcBorders>
                  <w:vAlign w:val="center"/>
                </w:tcPr>
                <w:p/>
              </w:tc>
              <w:tc>
                <w:tcPr>
                  <w:tcW w:w="266" w:type="dxa"/>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264" w:type="dxa"/>
                  <w:vMerge/>
                  <w:tcBorders>
                    <w:left w:val="single" w:sz="4" w:space="0" w:color="000000"/>
                  </w:tcBorders>
                  <w:vAlign w:val="center"/>
                </w:tcPr>
                <w:p/>
              </w:tc>
              <w:tc>
                <w:tcPr>
                  <w:tcW w:w="169" w:type="dxa"/>
                  <w:tcBorders>
                    <w:top w:val="single" w:sz="4" w:space="0" w:color="auto"/>
                    <w:righ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5261</w:t>
                  </w:r>
                </w:p>
              </w:tc>
              <w:tc>
                <w:tcPr>
                  <w:tcW w:w="220" w:type="dxa"/>
                  <w:tcBorders>
                    <w:top w:val="single" w:sz="4" w:space="0" w:color="auto"/>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4.00</w:t>
                  </w:r>
                </w:p>
              </w:tc>
              <w:tc>
                <w:tcPr>
                  <w:tcW w:w="220" w:type="dxa"/>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60</w:t>
                  </w:r>
                </w:p>
              </w:tc>
              <w:tc>
                <w:tcPr>
                  <w:tcW w:w="466" w:type="dxa"/>
                  <w:vMerge/>
                  <w:tcBorders>
                    <w:left w:val="single" w:sz="4" w:space="0" w:color="000000"/>
                  </w:tcBorders>
                  <w:vAlign w:val="center"/>
                </w:tcPr>
                <w:p/>
              </w:tc>
              <w:tc>
                <w:tcPr>
                  <w:tcW w:w="141" w:type="dxa"/>
                  <w:vMerge/>
                  <w:tcBorders>
                    <w:left w:val="single" w:sz="4" w:space="0" w:color="000000"/>
                  </w:tcBorders>
                  <w:vAlign w:val="center"/>
                </w:tcPr>
                <w:p/>
              </w:tc>
            </w:tr>
            <w:tr>
              <w:trPr>
                <w:cantSplit/>
                <w:trHeight w:hRule="exact" w:val="1547"/>
              </w:trPr>
              <w:tc>
                <w:tcPr>
                  <w:tcW w:w="76" w:type="dxa"/>
                  <w:vMerge/>
                  <w:vAlign w:val="center"/>
                </w:tcPr>
                <w:p/>
              </w:tc>
              <w:tc>
                <w:tcPr>
                  <w:tcW w:w="177" w:type="dxa"/>
                  <w:vMerge/>
                  <w:tcBorders>
                    <w:left w:val="single" w:sz="4" w:space="0" w:color="000000"/>
                  </w:tcBorders>
                  <w:vAlign w:val="center"/>
                </w:tcPr>
                <w:p/>
              </w:tc>
              <w:tc>
                <w:tcPr>
                  <w:tcW w:w="266" w:type="dxa"/>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单位产品非甲烷总烃排放量kg/t产品</w:t>
                  </w:r>
                </w:p>
              </w:tc>
              <w:tc>
                <w:tcPr>
                  <w:tcW w:w="264" w:type="dxa"/>
                  <w:vMerge/>
                  <w:tcBorders>
                    <w:left w:val="single" w:sz="4" w:space="0" w:color="000000"/>
                  </w:tcBorders>
                  <w:vAlign w:val="center"/>
                </w:tcPr>
                <w:p/>
              </w:tc>
              <w:tc>
                <w:tcPr>
                  <w:tcW w:w="169" w:type="dxa"/>
                  <w:tcBorders>
                    <w:top w:val="single" w:sz="4" w:space="0" w:color="auto"/>
                    <w:righ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w:t>
                  </w:r>
                </w:p>
              </w:tc>
              <w:tc>
                <w:tcPr>
                  <w:tcW w:w="220" w:type="dxa"/>
                  <w:tcBorders>
                    <w:top w:val="single" w:sz="4" w:space="0" w:color="auto"/>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0.001</w:t>
                  </w:r>
                </w:p>
              </w:tc>
              <w:tc>
                <w:tcPr>
                  <w:tcW w:w="220" w:type="dxa"/>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0.3</w:t>
                  </w:r>
                </w:p>
              </w:tc>
              <w:tc>
                <w:tcPr>
                  <w:tcW w:w="466" w:type="dxa"/>
                  <w:vMerge/>
                  <w:tcBorders>
                    <w:left w:val="single" w:sz="4" w:space="0" w:color="000000"/>
                  </w:tcBorders>
                  <w:vAlign w:val="center"/>
                </w:tcPr>
                <w:p/>
              </w:tc>
              <w:tc>
                <w:tcPr>
                  <w:tcW w:w="141" w:type="dxa"/>
                  <w:vMerge/>
                  <w:tcBorders>
                    <w:left w:val="single" w:sz="4" w:space="0" w:color="000000"/>
                  </w:tcBorders>
                  <w:vAlign w:val="center"/>
                </w:tcPr>
                <w:p/>
              </w:tc>
            </w:tr>
            <w:tr>
              <w:trPr>
                <w:cantSplit/>
                <w:trHeight w:val="1033"/>
              </w:trPr>
              <w:tc>
                <w:tcPr>
                  <w:tcW w:w="76" w:type="dxa"/>
                  <w:vMerge/>
                  <w:vAlign w:val="center"/>
                </w:tcPr>
                <w:p/>
              </w:tc>
              <w:tc>
                <w:tcPr>
                  <w:tcW w:w="177"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厂界</w:t>
                  </w:r>
                </w:p>
              </w:tc>
              <w:tc>
                <w:tcPr>
                  <w:tcW w:w="266" w:type="dxa"/>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spacing w:val="0"/>
                      <w:sz w:val="21"/>
                      <w:szCs w:val="21"/>
                      <w:lang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264"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车间密闭</w:t>
                  </w:r>
                </w:p>
              </w:tc>
              <w:tc>
                <w:tcPr>
                  <w:tcW w:w="169" w:type="dxa"/>
                  <w:tcBorders>
                    <w:bottom w:val="single" w:sz="4" w:space="0" w:color="auto"/>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lang w:val="en-US" w:eastAsia="zh-CN"/>
                      <w:highlight w:val="none"/>
                    </w:rPr>
                    <w:t>--</w:t>
                  </w:r>
                </w:p>
              </w:tc>
              <w:tc>
                <w:tcPr>
                  <w:tcW w:w="220" w:type="dxa"/>
                  <w:tcBorders>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0.22</w:t>
                  </w:r>
                </w:p>
              </w:tc>
              <w:tc>
                <w:tcPr>
                  <w:tcW w:w="220" w:type="dxa"/>
                  <w:tcBorders>
                    <w:left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1.5</w:t>
                  </w:r>
                </w:p>
              </w:tc>
              <w:tc>
                <w:tcPr>
                  <w:tcW w:w="466" w:type="dxa"/>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《恶臭污染物排放标准》（GB14554-1993）表1二级新扩改建标准</w:t>
                  </w:r>
                </w:p>
              </w:tc>
              <w:tc>
                <w:tcPr>
                  <w:tcW w:w="141" w:type="dxa"/>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达标</w:t>
                  </w:r>
                </w:p>
              </w:tc>
            </w:tr>
            <w:tr>
              <w:trPr>
                <w:cantSplit/>
                <w:trHeight w:val="787"/>
              </w:trPr>
              <w:tc>
                <w:tcPr>
                  <w:tcW w:w="76" w:type="dxa"/>
                  <w:vMerge/>
                  <w:vAlign w:val="center"/>
                </w:tcPr>
                <w:p/>
              </w:tc>
              <w:tc>
                <w:tcPr>
                  <w:tcW w:w="177" w:type="dxa"/>
                  <w:vMerge/>
                  <w:tcBorders>
                    <w:left w:val="single" w:sz="4" w:space="0" w:color="000000"/>
                  </w:tcBorders>
                  <w:vAlign w:val="center"/>
                </w:tcPr>
                <w:p/>
              </w:tc>
              <w:tc>
                <w:tcPr>
                  <w:tcW w:w="266" w:type="dxa"/>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264" w:type="dxa"/>
                  <w:vMerge/>
                  <w:tcBorders>
                    <w:left w:val="single" w:sz="4" w:space="0" w:color="000000"/>
                  </w:tcBorders>
                  <w:vAlign w:val="center"/>
                </w:tcPr>
                <w:p/>
              </w:tc>
              <w:tc>
                <w:tcPr>
                  <w:tcW w:w="169" w:type="dxa"/>
                  <w:tcBorders>
                    <w:top w:val="single" w:sz="4" w:space="0" w:color="auto"/>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lang w:val="en-US" w:eastAsia="zh-CN"/>
                      <w:highlight w:val="none"/>
                    </w:rPr>
                    <w:t>--</w:t>
                  </w:r>
                </w:p>
              </w:tc>
              <w:tc>
                <w:tcPr>
                  <w:tcW w:w="220"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1.17</w:t>
                  </w:r>
                </w:p>
              </w:tc>
              <w:tc>
                <w:tcPr>
                  <w:tcW w:w="220" w:type="dxa"/>
                  <w:tcBorders>
                    <w:top w:val="single" w:sz="4" w:space="0" w:color="auto"/>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2.0</w:t>
                  </w:r>
                </w:p>
              </w:tc>
              <w:tc>
                <w:tcPr>
                  <w:tcW w:w="466" w:type="dxa"/>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《工业企业挥发性有机物排放控制标准》（DB13/2322-2016）表2标准</w:t>
                  </w:r>
                </w:p>
              </w:tc>
              <w:tc>
                <w:tcPr>
                  <w:tcW w:w="141" w:type="dxa"/>
                  <w:vMerge/>
                  <w:tcBorders>
                    <w:left w:val="single" w:sz="4" w:space="0" w:color="000000"/>
                  </w:tcBorders>
                  <w:vAlign w:val="center"/>
                </w:tcPr>
                <w:p/>
              </w:tc>
            </w:tr>
          </w:tbl>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废水：</w:t>
            </w:r>
            <w:r>
              <w:rPr>
                <w:rFonts w:ascii="Times New Roman" w:cs="Times New Roman" w:hAnsi="Times New Roman"/>
                <w:caps w:val="0"/>
                <w:smallCaps w:val="0"/>
                <w:color w:val="auto"/>
                <w:spacing w:val="0"/>
                <w:sz w:val="24"/>
                <w:szCs w:val="20"/>
                <w:lang w:val="en-US" w:eastAsia="zh-CN"/>
                <w:highlight w:val="none"/>
              </w:rPr>
              <w:t>现有工程废水主要为</w:t>
            </w:r>
            <w:r>
              <w:rPr>
                <w:rFonts w:ascii="Times New Roman" w:cs="Times New Roman" w:hAnsi="Times New Roman" w:hint="eastAsia"/>
                <w:caps w:val="0"/>
                <w:smallCaps w:val="0"/>
                <w:color w:val="auto"/>
                <w:spacing w:val="0"/>
                <w:sz w:val="24"/>
                <w:szCs w:val="20"/>
                <w:lang w:val="en-US" w:eastAsia="zh-CN"/>
                <w:highlight w:val="none"/>
              </w:rPr>
              <w:t>职工生活污水</w:t>
            </w:r>
            <w:r>
              <w:rPr>
                <w:rFonts w:ascii="Times New Roman" w:cs="Times New Roman" w:hAnsi="Times New Roman"/>
                <w:caps w:val="0"/>
                <w:smallCaps w:val="0"/>
                <w:color w:val="auto"/>
                <w:spacing w:val="0"/>
                <w:sz w:val="24"/>
                <w:szCs w:val="20"/>
                <w:lang w:val="en-US"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经集成式生物化粪池处理后经园区污水管网排入绿源污水处理有限公司进一步处理。</w:t>
            </w:r>
            <w:r>
              <w:rPr>
                <w:rFonts w:ascii="Times New Roman" w:cs="Times New Roman" w:hAnsi="Times New Roman"/>
                <w:caps w:val="0"/>
                <w:smallCaps w:val="0"/>
                <w:color w:val="auto"/>
                <w:spacing w:val="0"/>
                <w:sz w:val="24"/>
                <w:szCs w:val="20"/>
                <w:highlight w:val="none"/>
              </w:rPr>
              <w:t>所在厂区现有</w:t>
            </w:r>
            <w:r>
              <w:rPr>
                <w:rFonts w:ascii="Times New Roman" w:cs="Times New Roman" w:hAnsi="Times New Roman" w:hint="eastAsia"/>
                <w:caps w:val="0"/>
                <w:smallCaps w:val="0"/>
                <w:color w:val="auto"/>
                <w:spacing w:val="0"/>
                <w:sz w:val="24"/>
                <w:szCs w:val="20"/>
                <w:lang w:val="en-US" w:eastAsia="zh-CN"/>
                <w:highlight w:val="none"/>
              </w:rPr>
              <w:t>废水</w:t>
            </w:r>
            <w:r>
              <w:rPr>
                <w:rFonts w:ascii="Times New Roman" w:cs="Times New Roman" w:hAnsi="Times New Roman"/>
                <w:caps w:val="0"/>
                <w:smallCaps w:val="0"/>
                <w:color w:val="auto"/>
                <w:spacing w:val="0"/>
                <w:sz w:val="24"/>
                <w:szCs w:val="20"/>
                <w:highlight w:val="none"/>
              </w:rPr>
              <w:t>污染物产生及治理情况见</w:t>
            </w:r>
            <w:r>
              <w:rPr>
                <w:rFonts w:ascii="Times New Roman" w:cs="Times New Roman" w:hAnsi="Times New Roman"/>
                <w:caps w:val="0"/>
                <w:smallCaps w:val="0"/>
                <w:color w:val="auto"/>
                <w:spacing w:val="0"/>
                <w:sz w:val="24"/>
                <w:szCs w:val="20"/>
                <w:lang w:val="en-US" w:eastAsia="zh-CN"/>
                <w:highlight w:val="none"/>
              </w:rPr>
              <w:t>下表</w:t>
            </w:r>
            <w:r>
              <w:rPr>
                <w:rFonts w:ascii="Times New Roman" w:cs="Times New Roman" w:hAnsi="Times New Roman"/>
                <w:caps w:val="0"/>
                <w:smallCaps w:val="0"/>
                <w:color w:val="auto"/>
                <w:spacing w:val="0"/>
                <w:sz w:val="24"/>
                <w:szCs w:val="20"/>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8</w:t>
            </w:r>
            <w:r>
              <w:rPr>
                <w:rFonts w:ascii="Times New Roman" w:eastAsia="宋体" w:cs="Times New Roman" w:hAnsi="Times New Roman"/>
                <w:b/>
                <w:caps w:val="0"/>
                <w:smallCaps w:val="0"/>
                <w:color w:val="auto"/>
                <w:spacing w:val="0"/>
                <w:sz w:val="24"/>
                <w:szCs w:val="20"/>
                <w:highlight w:val="none"/>
              </w:rPr>
              <w:t xml:space="preserve">   项目所在厂区</w:t>
            </w:r>
            <w:r>
              <w:rPr>
                <w:rFonts w:ascii="Times New Roman" w:eastAsia="宋体" w:cs="Times New Roman" w:hAnsi="Times New Roman" w:hint="eastAsia"/>
                <w:b/>
                <w:caps w:val="0"/>
                <w:smallCaps w:val="0"/>
                <w:color w:val="auto"/>
                <w:spacing w:val="0"/>
                <w:sz w:val="24"/>
                <w:szCs w:val="20"/>
                <w:lang w:val="en-US" w:eastAsia="zh-CN"/>
                <w:highlight w:val="none"/>
              </w:rPr>
              <w:t>废水</w:t>
            </w:r>
            <w:r>
              <w:rPr>
                <w:rFonts w:ascii="Times New Roman" w:eastAsia="宋体" w:cs="Times New Roman" w:hAnsi="Times New Roman"/>
                <w:b/>
                <w:caps w:val="0"/>
                <w:smallCaps w:val="0"/>
                <w:color w:val="auto"/>
                <w:spacing w:val="0"/>
                <w:sz w:val="24"/>
                <w:szCs w:val="20"/>
                <w:highlight w:val="none"/>
              </w:rPr>
              <w:t>排放及治理情况一览表</w:t>
            </w:r>
          </w:p>
          <w:tbl>
            <w:tblPr>
              <w:jc w:val="left"/>
              <w:tblInd w:w="0" w:type="dx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Look w:val="0600" w:firstRow="0" w:lastRow="0" w:firstColumn="0" w:lastColumn="0" w:noHBand="1" w:noVBand="1"/>
            </w:tblPr>
            <w:tblGrid>
              <w:gridCol w:w="312"/>
              <w:gridCol w:w="723"/>
              <w:gridCol w:w="1084"/>
              <w:gridCol w:w="1077"/>
              <w:gridCol w:w="689"/>
              <w:gridCol w:w="897"/>
              <w:gridCol w:w="897"/>
              <w:gridCol w:w="1899"/>
              <w:gridCol w:w="574"/>
            </w:tblGrid>
            <w:tr>
              <w:trPr>
                <w:cantSplit/>
                <w:trHeight w:hRule="exact" w:val="1234"/>
              </w:trPr>
              <w:tc>
                <w:tcPr>
                  <w:tcW w:w="191"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类别</w:t>
                  </w:r>
                </w:p>
              </w:tc>
              <w:tc>
                <w:tcPr>
                  <w:tcW w:w="443"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污染源</w:t>
                  </w:r>
                </w:p>
              </w:tc>
              <w:tc>
                <w:tcPr>
                  <w:tcW w:w="664"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污染物</w:t>
                  </w:r>
                </w:p>
              </w:tc>
              <w:tc>
                <w:tcPr>
                  <w:tcW w:w="660"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治理措施</w:t>
                  </w:r>
                </w:p>
              </w:tc>
              <w:tc>
                <w:tcPr>
                  <w:tcW w:w="422" w:type="pct"/>
                  <w:tcBorders>
                    <w:righ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水量</w:t>
                  </w:r>
                  <w:r>
                    <w:rPr>
                      <w:rFonts w:ascii="Times New Roman" w:cs="Times New Roman" w:hAnsi="Times New Roman"/>
                      <w:caps w:val="0"/>
                      <w:smallCaps w:val="0"/>
                      <w:color w:val="auto"/>
                      <w:spacing w:val="0"/>
                      <w:sz w:val="21"/>
                      <w:szCs w:val="21"/>
                      <w:lang w:val="en-US" w:eastAsia="zh-CN"/>
                      <w:highlight w:val="none"/>
                    </w:rPr>
                    <w:t>m</w:t>
                  </w:r>
                  <w:r>
                    <w:rPr>
                      <w:rFonts w:ascii="Times New Roman" w:cs="Times New Roman" w:hAnsi="Times New Roman"/>
                      <w:caps w:val="0"/>
                      <w:smallCaps w:val="0"/>
                      <w:color w:val="auto"/>
                      <w:spacing w:val="0"/>
                      <w:sz w:val="21"/>
                      <w:szCs w:val="21"/>
                      <w:vertAlign w:val="superscript"/>
                      <w:lang w:val="en-US" w:eastAsia="zh-CN"/>
                      <w:highlight w:val="none"/>
                    </w:rPr>
                    <w:t>3</w:t>
                  </w: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d</w:t>
                  </w:r>
                </w:p>
              </w:tc>
              <w:tc>
                <w:tcPr>
                  <w:tcW w:w="55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highlight w:val="none"/>
                    </w:rPr>
                  </w:pPr>
                  <w:r>
                    <w:rPr>
                      <w:rFonts w:ascii="Times New Roman" w:cs="Times New Roman" w:hAnsi="Times New Roman" w:hint="eastAsia"/>
                      <w:caps w:val="0"/>
                      <w:smallCaps w:val="0"/>
                      <w:color w:val="auto"/>
                      <w:spacing w:val="0"/>
                      <w:sz w:val="21"/>
                      <w:szCs w:val="21"/>
                      <w:lang w:val="en-US" w:eastAsia="zh-CN"/>
                      <w:highlight w:val="none"/>
                    </w:rPr>
                    <w:t>检测值</w:t>
                  </w:r>
                  <w:r>
                    <w:rPr>
                      <w:rFonts w:ascii="Times New Roman" w:cs="Times New Roman" w:hAnsi="Times New Roman" w:hint="eastAsia"/>
                      <w:i w:val="0"/>
                      <w:iCs w:val="0"/>
                      <w:color w:val="auto"/>
                      <w:kern w:val="0"/>
                      <w:sz w:val="21"/>
                      <w:szCs w:val="21"/>
                      <w:u w:val="none"/>
                      <w:lang w:val="en-US" w:eastAsia="zh-CN"/>
                      <w:highlight w:val="none"/>
                    </w:rPr>
                    <w:t>mg/L</w:t>
                  </w:r>
                </w:p>
              </w:tc>
              <w:tc>
                <w:tcPr>
                  <w:tcW w:w="550"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highlight w:val="none"/>
                    </w:rPr>
                  </w:pPr>
                  <w:r>
                    <w:rPr>
                      <w:rFonts w:ascii="Times New Roman" w:cs="Times New Roman" w:hAnsi="Times New Roman"/>
                      <w:caps w:val="0"/>
                      <w:smallCaps w:val="0"/>
                      <w:color w:val="auto"/>
                      <w:spacing w:val="0"/>
                      <w:sz w:val="21"/>
                      <w:szCs w:val="21"/>
                      <w:highlight w:val="none"/>
                    </w:rPr>
                    <w:t>标准限值</w:t>
                  </w:r>
                  <w:r>
                    <w:rPr>
                      <w:rFonts w:ascii="Times New Roman" w:cs="Times New Roman" w:hAnsi="Times New Roman" w:hint="eastAsia"/>
                      <w:i w:val="0"/>
                      <w:iCs w:val="0"/>
                      <w:color w:val="auto"/>
                      <w:kern w:val="0"/>
                      <w:sz w:val="21"/>
                      <w:szCs w:val="21"/>
                      <w:u w:val="none"/>
                      <w:lang w:val="en-US" w:eastAsia="zh-CN"/>
                      <w:highlight w:val="none"/>
                    </w:rPr>
                    <w:t>mg/L</w:t>
                  </w:r>
                </w:p>
              </w:tc>
              <w:tc>
                <w:tcPr>
                  <w:tcW w:w="1164"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执行标准</w:t>
                  </w:r>
                </w:p>
              </w:tc>
              <w:tc>
                <w:tcPr>
                  <w:tcW w:w="352"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达标情况</w:t>
                  </w:r>
                </w:p>
              </w:tc>
            </w:tr>
            <w:tr>
              <w:trPr>
                <w:cantSplit/>
                <w:trHeight w:hRule="exact" w:val="838"/>
              </w:trPr>
              <w:tc>
                <w:tcPr>
                  <w:tcW w:w="191"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废水</w:t>
                  </w:r>
                </w:p>
              </w:tc>
              <w:tc>
                <w:tcPr>
                  <w:tcW w:w="443" w:type="pct"/>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职工生活污水</w:t>
                  </w:r>
                </w:p>
              </w:tc>
              <w:tc>
                <w:tcPr>
                  <w:tcW w:w="664" w:type="pct"/>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SS</w:t>
                  </w:r>
                </w:p>
              </w:tc>
              <w:tc>
                <w:tcPr>
                  <w:tcW w:w="660" w:type="pct"/>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lang w:val="en-US" w:eastAsia="zh-CN"/>
                      <w:highlight w:val="none"/>
                    </w:rPr>
                    <w:t>集成式生物化粪池</w:t>
                  </w:r>
                </w:p>
              </w:tc>
              <w:tc>
                <w:tcPr>
                  <w:tcW w:w="422" w:type="pct"/>
                  <w:vMerge w:val="restart"/>
                  <w:tcBorders>
                    <w:righ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0.64</w:t>
                  </w:r>
                </w:p>
              </w:tc>
              <w:tc>
                <w:tcPr>
                  <w:tcW w:w="550" w:type="pct"/>
                  <w:tcBorders>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32</w:t>
                  </w:r>
                </w:p>
              </w:tc>
              <w:tc>
                <w:tcPr>
                  <w:tcW w:w="550" w:type="pct"/>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100</w:t>
                  </w:r>
                </w:p>
              </w:tc>
              <w:tc>
                <w:tcPr>
                  <w:tcW w:w="1164" w:type="pct"/>
                  <w:vMerge w:val="restar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《污水综合排放标准》（GB8978-1996）表4三级标准及绿源污水处理有限公司协议标准要求</w:t>
                  </w:r>
                </w:p>
              </w:tc>
              <w:tc>
                <w:tcPr>
                  <w:tcW w:w="352" w:type="pct"/>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r>
              <w:trPr>
                <w:cantSplit/>
                <w:trHeight w:hRule="exact" w:val="1038"/>
              </w:trPr>
              <w:tc>
                <w:tcPr>
                  <w:tcW w:w="191" w:type="pct"/>
                  <w:vMerge/>
                  <w:vAlign w:val="center"/>
                </w:tcPr>
                <w:p/>
              </w:tc>
              <w:tc>
                <w:tcPr>
                  <w:tcW w:w="443" w:type="pct"/>
                  <w:vMerge/>
                  <w:tcBorders>
                    <w:left w:val="single" w:sz="4" w:space="0" w:color="000000"/>
                  </w:tcBorders>
                  <w:vAlign w:val="center"/>
                </w:tcPr>
                <w:p/>
              </w:tc>
              <w:tc>
                <w:tcPr>
                  <w:tcW w:w="664" w:type="pct"/>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氨氮</w:t>
                  </w:r>
                </w:p>
              </w:tc>
              <w:tc>
                <w:tcPr>
                  <w:tcW w:w="660" w:type="pct"/>
                  <w:vMerge/>
                  <w:tcBorders>
                    <w:left w:val="single" w:sz="4" w:space="0" w:color="000000"/>
                  </w:tcBorders>
                  <w:vAlign w:val="center"/>
                </w:tcPr>
                <w:p/>
              </w:tc>
              <w:tc>
                <w:tcPr>
                  <w:tcW w:w="422" w:type="pct"/>
                  <w:vMerge/>
                  <w:tcBorders>
                    <w:right w:val="single" w:sz="4" w:space="0" w:color="auto"/>
                  </w:tcBorders>
                  <w:vAlign w:val="center"/>
                </w:tcPr>
                <w:p/>
              </w:tc>
              <w:tc>
                <w:tcPr>
                  <w:tcW w:w="550" w:type="pct"/>
                  <w:tcBorders>
                    <w:top w:val="single" w:sz="4" w:space="0" w:color="auto"/>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4.88</w:t>
                  </w:r>
                </w:p>
              </w:tc>
              <w:tc>
                <w:tcPr>
                  <w:tcW w:w="550" w:type="pct"/>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25</w:t>
                  </w:r>
                </w:p>
              </w:tc>
              <w:tc>
                <w:tcPr>
                  <w:tcW w:w="1164" w:type="pct"/>
                  <w:vMerge/>
                  <w:tcBorders>
                    <w:left w:val="single" w:sz="4" w:space="0" w:color="000000"/>
                  </w:tcBorders>
                  <w:vAlign w:val="center"/>
                </w:tcPr>
                <w:p/>
              </w:tc>
              <w:tc>
                <w:tcPr>
                  <w:tcW w:w="352" w:type="pct"/>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r>
              <w:trPr>
                <w:cantSplit/>
                <w:trHeight w:hRule="exact" w:val="1038"/>
              </w:trPr>
              <w:tc>
                <w:tcPr>
                  <w:tcW w:w="191" w:type="pct"/>
                  <w:vMerge/>
                  <w:vAlign w:val="center"/>
                </w:tcPr>
                <w:p/>
              </w:tc>
              <w:tc>
                <w:tcPr>
                  <w:tcW w:w="443" w:type="pct"/>
                  <w:vMerge/>
                  <w:tcBorders>
                    <w:left w:val="single" w:sz="4" w:space="0" w:color="000000"/>
                  </w:tcBorders>
                  <w:vAlign w:val="center"/>
                </w:tcPr>
                <w:p/>
              </w:tc>
              <w:tc>
                <w:tcPr>
                  <w:tcW w:w="664" w:type="pct"/>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COD</w:t>
                  </w:r>
                </w:p>
              </w:tc>
              <w:tc>
                <w:tcPr>
                  <w:tcW w:w="660" w:type="pct"/>
                  <w:vMerge/>
                  <w:tcBorders>
                    <w:left w:val="single" w:sz="4" w:space="0" w:color="000000"/>
                  </w:tcBorders>
                  <w:vAlign w:val="center"/>
                </w:tcPr>
                <w:p/>
              </w:tc>
              <w:tc>
                <w:tcPr>
                  <w:tcW w:w="422" w:type="pct"/>
                  <w:vMerge/>
                  <w:tcBorders>
                    <w:right w:val="single" w:sz="4" w:space="0" w:color="auto"/>
                  </w:tcBorders>
                  <w:vAlign w:val="center"/>
                </w:tcPr>
                <w:p/>
              </w:tc>
              <w:tc>
                <w:tcPr>
                  <w:tcW w:w="550" w:type="pct"/>
                  <w:tcBorders>
                    <w:top w:val="single" w:sz="4" w:space="0" w:color="auto"/>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124</w:t>
                  </w:r>
                </w:p>
              </w:tc>
              <w:tc>
                <w:tcPr>
                  <w:tcW w:w="550" w:type="pct"/>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240</w:t>
                  </w:r>
                </w:p>
              </w:tc>
              <w:tc>
                <w:tcPr>
                  <w:tcW w:w="1164" w:type="pct"/>
                  <w:vMerge/>
                  <w:tcBorders>
                    <w:left w:val="single" w:sz="4" w:space="0" w:color="000000"/>
                  </w:tcBorders>
                  <w:vAlign w:val="center"/>
                </w:tcPr>
                <w:p/>
              </w:tc>
              <w:tc>
                <w:tcPr>
                  <w:tcW w:w="352" w:type="pc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r>
              <w:trPr>
                <w:cantSplit/>
                <w:trHeight w:hRule="exact" w:val="1038"/>
              </w:trPr>
              <w:tc>
                <w:tcPr>
                  <w:tcW w:w="191" w:type="pct"/>
                  <w:vMerge/>
                  <w:vAlign w:val="center"/>
                </w:tcPr>
                <w:p/>
              </w:tc>
              <w:tc>
                <w:tcPr>
                  <w:tcW w:w="443" w:type="pct"/>
                  <w:vMerge/>
                  <w:tcBorders>
                    <w:left w:val="single" w:sz="4" w:space="0" w:color="000000"/>
                  </w:tcBorders>
                  <w:vAlign w:val="center"/>
                </w:tcPr>
                <w:p/>
              </w:tc>
              <w:tc>
                <w:tcPr>
                  <w:tcW w:w="664" w:type="pct"/>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BOD</w:t>
                  </w:r>
                  <w:r>
                    <w:rPr>
                      <w:rFonts w:ascii="Times New Roman" w:cs="Times New Roman" w:hAnsi="Times New Roman" w:hint="eastAsia"/>
                      <w:caps w:val="0"/>
                      <w:smallCaps w:val="0"/>
                      <w:color w:val="auto"/>
                      <w:spacing w:val="0"/>
                      <w:sz w:val="21"/>
                      <w:szCs w:val="21"/>
                      <w:vertAlign w:val="subscript"/>
                      <w:lang w:val="en-US" w:eastAsia="zh-CN"/>
                      <w:highlight w:val="none"/>
                    </w:rPr>
                    <w:t>5</w:t>
                  </w:r>
                </w:p>
              </w:tc>
              <w:tc>
                <w:tcPr>
                  <w:tcW w:w="660" w:type="pct"/>
                  <w:vMerge/>
                  <w:tcBorders>
                    <w:left w:val="single" w:sz="4" w:space="0" w:color="000000"/>
                  </w:tcBorders>
                  <w:vAlign w:val="center"/>
                </w:tcPr>
                <w:p/>
              </w:tc>
              <w:tc>
                <w:tcPr>
                  <w:tcW w:w="422" w:type="pct"/>
                  <w:vMerge/>
                  <w:tcBorders>
                    <w:right w:val="single" w:sz="4" w:space="0" w:color="auto"/>
                  </w:tcBorders>
                  <w:vAlign w:val="center"/>
                </w:tcPr>
                <w:p/>
              </w:tc>
              <w:tc>
                <w:tcPr>
                  <w:tcW w:w="550" w:type="pct"/>
                  <w:tcBorders>
                    <w:top w:val="single" w:sz="4" w:space="0" w:color="auto"/>
                    <w:left w:val="single" w:sz="4" w:space="0" w:color="auto"/>
                    <w:bottom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34.4</w:t>
                  </w:r>
                </w:p>
              </w:tc>
              <w:tc>
                <w:tcPr>
                  <w:tcW w:w="550" w:type="pct"/>
                  <w:tcBorders>
                    <w:top w:val="single" w:sz="4" w:space="0" w:color="auto"/>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100</w:t>
                  </w:r>
                </w:p>
              </w:tc>
              <w:tc>
                <w:tcPr>
                  <w:tcW w:w="1164" w:type="pct"/>
                  <w:vMerge/>
                  <w:tcBorders>
                    <w:left w:val="single" w:sz="4" w:space="0" w:color="000000"/>
                  </w:tcBorders>
                  <w:vAlign w:val="center"/>
                </w:tcPr>
                <w:p/>
              </w:tc>
              <w:tc>
                <w:tcPr>
                  <w:tcW w:w="352" w:type="pc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bl>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噪声：</w:t>
            </w:r>
            <w:r>
              <w:rPr>
                <w:rFonts w:ascii="Times New Roman" w:cs="Times New Roman" w:hAnsi="Times New Roman" w:hint="eastAsia"/>
                <w:caps w:val="0"/>
                <w:smallCaps w:val="0"/>
                <w:color w:val="auto"/>
                <w:spacing w:val="0"/>
                <w:sz w:val="24"/>
                <w:szCs w:val="20"/>
                <w:lang w:val="en-US" w:eastAsia="zh-CN"/>
                <w:highlight w:val="none"/>
              </w:rPr>
              <w:t>噪声主要为生产设备运转时产生的噪声，通过采取选用低噪声设备、基础减振、厂房隔声等措施降噪</w:t>
            </w:r>
            <w:r>
              <w:rPr>
                <w:rFonts w:ascii="Times New Roman" w:cs="Times New Roman" w:hAnsi="Times New Roman"/>
                <w:caps w:val="0"/>
                <w:smallCaps w:val="0"/>
                <w:color w:val="auto"/>
                <w:spacing w:val="0"/>
                <w:sz w:val="24"/>
                <w:szCs w:val="20"/>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9</w:t>
            </w:r>
            <w:r>
              <w:rPr>
                <w:rFonts w:ascii="Times New Roman" w:eastAsia="宋体" w:cs="Times New Roman" w:hAnsi="Times New Roman"/>
                <w:b/>
                <w:caps w:val="0"/>
                <w:smallCaps w:val="0"/>
                <w:color w:val="auto"/>
                <w:spacing w:val="0"/>
                <w:sz w:val="24"/>
                <w:szCs w:val="20"/>
                <w:highlight w:val="none"/>
              </w:rPr>
              <w:t xml:space="preserve">   项目所在厂区</w:t>
            </w:r>
            <w:r>
              <w:rPr>
                <w:rFonts w:ascii="Times New Roman" w:eastAsia="宋体" w:cs="Times New Roman" w:hAnsi="Times New Roman"/>
                <w:b/>
                <w:caps w:val="0"/>
                <w:smallCaps w:val="0"/>
                <w:color w:val="auto"/>
                <w:spacing w:val="0"/>
                <w:sz w:val="24"/>
                <w:szCs w:val="20"/>
                <w:lang w:val="en-US" w:eastAsia="zh-CN"/>
                <w:highlight w:val="none"/>
              </w:rPr>
              <w:t>噪声检测结果</w:t>
            </w:r>
            <w:r>
              <w:rPr>
                <w:rFonts w:ascii="Times New Roman" w:eastAsia="宋体" w:cs="Times New Roman" w:hAnsi="Times New Roman"/>
                <w:b/>
                <w:caps w:val="0"/>
                <w:smallCaps w:val="0"/>
                <w:color w:val="auto"/>
                <w:spacing w:val="0"/>
                <w:sz w:val="24"/>
                <w:szCs w:val="20"/>
                <w:highlight w:val="none"/>
              </w:rPr>
              <w:t>一览表</w:t>
            </w:r>
          </w:p>
          <w:tbl>
            <w:tblPr>
              <w:jc w:val="left"/>
              <w:tblInd w:w="0" w:type="dx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Look w:val="0600" w:firstRow="0" w:lastRow="0" w:firstColumn="0" w:lastColumn="0" w:noHBand="1" w:noVBand="1"/>
            </w:tblPr>
            <w:tblGrid>
              <w:gridCol w:w="1348"/>
              <w:gridCol w:w="571"/>
              <w:gridCol w:w="1571"/>
              <w:gridCol w:w="1578"/>
              <w:gridCol w:w="769"/>
              <w:gridCol w:w="1737"/>
              <w:gridCol w:w="583"/>
            </w:tblGrid>
            <w:tr>
              <w:trPr>
                <w:cantSplit/>
                <w:trHeight w:hRule="exact" w:val="370"/>
              </w:trPr>
              <w:tc>
                <w:tcPr>
                  <w:tcW w:w="1176" w:type="pct"/>
                  <w:gridSpan w:val="2"/>
                  <w:vMerge w:val="restart"/>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检测时间</w:t>
                  </w:r>
                </w:p>
              </w:tc>
              <w:tc>
                <w:tcPr>
                  <w:tcW w:w="1930" w:type="pct"/>
                  <w:gridSpan w:val="2"/>
                  <w:tcBorders>
                    <w:bottom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lang w:val="en-US" w:eastAsia="zh-CN"/>
                      <w:highlight w:val="none"/>
                    </w:rPr>
                    <w:t>检测点位dB(A)</w:t>
                  </w:r>
                </w:p>
              </w:tc>
              <w:tc>
                <w:tcPr>
                  <w:tcW w:w="471"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highlight w:val="none"/>
                    </w:rPr>
                    <w:t>标准限值</w:t>
                  </w:r>
                  <w:r>
                    <w:rPr>
                      <w:rFonts w:ascii="Times New Roman" w:cs="Times New Roman" w:hAnsi="Times New Roman"/>
                      <w:caps w:val="0"/>
                      <w:smallCaps w:val="0"/>
                      <w:color w:val="auto"/>
                      <w:spacing w:val="0"/>
                      <w:sz w:val="21"/>
                      <w:szCs w:val="21"/>
                      <w:lang w:val="en-US" w:eastAsia="zh-CN"/>
                      <w:highlight w:val="none"/>
                    </w:rPr>
                    <w:t>dB(A)</w:t>
                  </w:r>
                </w:p>
              </w:tc>
              <w:tc>
                <w:tcPr>
                  <w:tcW w:w="1064"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执行标准</w:t>
                  </w:r>
                </w:p>
              </w:tc>
              <w:tc>
                <w:tcPr>
                  <w:tcW w:w="357"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达标</w:t>
                  </w:r>
                </w:p>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情况</w:t>
                  </w:r>
                </w:p>
              </w:tc>
            </w:tr>
            <w:tr>
              <w:trPr>
                <w:cantSplit/>
                <w:trHeight w:hRule="exact" w:val="897"/>
              </w:trPr>
              <w:tc>
                <w:tcPr>
                  <w:tcW w:w="1176" w:type="pct"/>
                  <w:gridSpan w:val="2"/>
                  <w:vMerge/>
                  <w:vAlign w:val="center"/>
                </w:tcPr>
                <w:p/>
              </w:tc>
              <w:tc>
                <w:tcPr>
                  <w:tcW w:w="963" w:type="pct"/>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南厂界</w:t>
                  </w:r>
                </w:p>
              </w:tc>
              <w:tc>
                <w:tcPr>
                  <w:tcW w:w="967" w:type="pct"/>
                  <w:tcBorders>
                    <w:top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lang w:val="en-US" w:eastAsia="zh-CN"/>
                      <w:highlight w:val="none"/>
                    </w:rPr>
                    <w:t>西厂界</w:t>
                  </w:r>
                </w:p>
              </w:tc>
              <w:tc>
                <w:tcPr>
                  <w:tcW w:w="471" w:type="pct"/>
                  <w:vMerge/>
                  <w:tcBorders>
                    <w:left w:val="single" w:sz="4" w:space="0" w:color="000000"/>
                  </w:tcBorders>
                  <w:vAlign w:val="center"/>
                </w:tcPr>
                <w:p/>
              </w:tc>
              <w:tc>
                <w:tcPr>
                  <w:tcW w:w="1064" w:type="pct"/>
                  <w:vMerge/>
                  <w:tcBorders>
                    <w:left w:val="single" w:sz="4" w:space="0" w:color="000000"/>
                  </w:tcBorders>
                  <w:vAlign w:val="center"/>
                </w:tcPr>
                <w:p/>
              </w:tc>
              <w:tc>
                <w:tcPr>
                  <w:tcW w:w="357" w:type="pct"/>
                  <w:vMerge/>
                  <w:tcBorders>
                    <w:left w:val="single" w:sz="4" w:space="0" w:color="000000"/>
                  </w:tcBorders>
                  <w:vAlign w:val="center"/>
                </w:tcPr>
                <w:p/>
              </w:tc>
            </w:tr>
            <w:tr>
              <w:trPr>
                <w:cantSplit/>
                <w:trHeight w:hRule="exact" w:val="1350"/>
              </w:trPr>
              <w:tc>
                <w:tcPr>
                  <w:tcW w:w="826" w:type="pct"/>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2025.4.23</w:t>
                  </w:r>
                </w:p>
              </w:tc>
              <w:tc>
                <w:tcPr>
                  <w:tcW w:w="349" w:type="pc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昼间</w:t>
                  </w:r>
                </w:p>
              </w:tc>
              <w:tc>
                <w:tcPr>
                  <w:tcW w:w="963" w:type="pct"/>
                  <w:tcBorders>
                    <w:left w:val="single" w:sz="4" w:space="0" w:color="000000"/>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Arial" w:hAnsi="Times New Roman"/>
                      <w:color w:val="auto"/>
                      <w:kern w:val="2"/>
                      <w:sz w:val="21"/>
                      <w:szCs w:val="22"/>
                      <w:lang w:val="en-US" w:eastAsia="zh-CN" w:bidi="ar-SA"/>
                      <w:highlight w:val="none"/>
                    </w:rPr>
                  </w:pPr>
                  <w:r>
                    <w:rPr>
                      <w:rFonts w:ascii="Times New Roman" w:eastAsia="宋体" w:cs="Arial" w:hAnsi="Times New Roman" w:hint="eastAsia"/>
                      <w:color w:val="auto"/>
                      <w:kern w:val="2"/>
                      <w:sz w:val="21"/>
                      <w:szCs w:val="22"/>
                      <w:lang w:val="en-US" w:eastAsia="zh-CN" w:bidi="ar-SA"/>
                      <w:highlight w:val="none"/>
                    </w:rPr>
                    <w:t>62.8</w:t>
                  </w:r>
                </w:p>
              </w:tc>
              <w:tc>
                <w:tcPr>
                  <w:tcW w:w="967" w:type="pct"/>
                  <w:tcBorders>
                    <w:left w:val="single" w:sz="4" w:space="0" w:color="000000"/>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Arial" w:hAnsi="Times New Roman"/>
                      <w:color w:val="auto"/>
                      <w:kern w:val="2"/>
                      <w:sz w:val="21"/>
                      <w:szCs w:val="22"/>
                      <w:lang w:val="en-US" w:eastAsia="zh-CN" w:bidi="ar-SA"/>
                      <w:highlight w:val="none"/>
                    </w:rPr>
                  </w:pPr>
                  <w:r>
                    <w:rPr>
                      <w:rFonts w:ascii="Times New Roman" w:eastAsia="宋体" w:cs="Arial" w:hAnsi="Times New Roman" w:hint="eastAsia"/>
                      <w:color w:val="auto"/>
                      <w:kern w:val="2"/>
                      <w:sz w:val="21"/>
                      <w:szCs w:val="22"/>
                      <w:lang w:val="en-US" w:eastAsia="zh-CN" w:bidi="ar-SA"/>
                      <w:highlight w:val="none"/>
                    </w:rPr>
                    <w:t>61.5</w:t>
                  </w:r>
                </w:p>
              </w:tc>
              <w:tc>
                <w:tcPr>
                  <w:tcW w:w="471" w:type="pc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65</w:t>
                  </w:r>
                </w:p>
              </w:tc>
              <w:tc>
                <w:tcPr>
                  <w:tcW w:w="1064" w:type="pct"/>
                  <w:tcBorders>
                    <w:left w:val="single" w:sz="4" w:space="0" w:color="000000"/>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eastAsia="zh-CN"/>
                      <w:highlight w:val="none"/>
                    </w:rPr>
                    <w:t>《</w:t>
                  </w:r>
                  <w:r>
                    <w:rPr>
                      <w:rFonts w:ascii="Times New Roman" w:cs="Times New Roman" w:hAnsi="Times New Roman"/>
                      <w:caps w:val="0"/>
                      <w:smallCaps w:val="0"/>
                      <w:color w:val="auto"/>
                      <w:spacing w:val="0"/>
                      <w:sz w:val="21"/>
                      <w:szCs w:val="21"/>
                      <w:lang w:val="en-US" w:eastAsia="zh-CN"/>
                      <w:highlight w:val="none"/>
                    </w:rPr>
                    <w:t>工业企业厂界环境噪声排放标准</w:t>
                  </w:r>
                  <w:r>
                    <w:rPr>
                      <w:rFonts w:ascii="Times New Roman" w:cs="Times New Roman" w:hAnsi="Times New Roman"/>
                      <w:caps w:val="0"/>
                      <w:smallCaps w:val="0"/>
                      <w:color w:val="auto"/>
                      <w:spacing w:val="0"/>
                      <w:sz w:val="21"/>
                      <w:szCs w:val="21"/>
                      <w:lang w:eastAsia="zh-CN"/>
                      <w:highlight w:val="none"/>
                    </w:rPr>
                    <w:t>》（</w:t>
                  </w:r>
                  <w:r>
                    <w:rPr>
                      <w:rFonts w:ascii="Times New Roman" w:cs="Times New Roman" w:hAnsi="Times New Roman"/>
                      <w:caps w:val="0"/>
                      <w:smallCaps w:val="0"/>
                      <w:color w:val="auto"/>
                      <w:spacing w:val="0"/>
                      <w:sz w:val="21"/>
                      <w:szCs w:val="21"/>
                      <w:lang w:val="en-US" w:eastAsia="zh-CN"/>
                      <w:highlight w:val="none"/>
                    </w:rPr>
                    <w:t>GB12348-2008</w:t>
                  </w:r>
                  <w:r>
                    <w:rPr>
                      <w:rFonts w:ascii="Times New Roman" w:cs="Times New Roman" w:hAnsi="Times New Roman"/>
                      <w:caps w:val="0"/>
                      <w:smallCaps w:val="0"/>
                      <w:color w:val="auto"/>
                      <w:spacing w:val="0"/>
                      <w:sz w:val="21"/>
                      <w:szCs w:val="21"/>
                      <w:lang w:eastAsia="zh-CN"/>
                      <w:highlight w:val="none"/>
                    </w:rPr>
                    <w:t>）</w:t>
                  </w:r>
                  <w:r>
                    <w:rPr>
                      <w:rFonts w:ascii="Times New Roman" w:cs="Times New Roman" w:hAnsi="Times New Roman"/>
                      <w:caps w:val="0"/>
                      <w:smallCaps w:val="0"/>
                      <w:color w:val="auto"/>
                      <w:spacing w:val="0"/>
                      <w:sz w:val="21"/>
                      <w:szCs w:val="21"/>
                      <w:lang w:val="en-US" w:eastAsia="zh-CN"/>
                      <w:highlight w:val="none"/>
                    </w:rPr>
                    <w:t>3类标准</w:t>
                  </w:r>
                </w:p>
              </w:tc>
              <w:tc>
                <w:tcPr>
                  <w:tcW w:w="357" w:type="pct"/>
                  <w:tcBorders>
                    <w:left w:val="single" w:sz="4" w:space="0" w:color="000000"/>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达标</w:t>
                  </w:r>
                </w:p>
              </w:tc>
            </w:tr>
          </w:tbl>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注：厂界东、北两侧紧邻其他企业，不具备检测条件。</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固体废物：现有工程运营期固体废物主要为注塑过程中产生的废边角料</w:t>
            </w:r>
            <w:r>
              <w:rPr>
                <w:rFonts w:ascii="Times New Roman" w:cs="Times New Roman" w:hAnsi="Times New Roman" w:hint="eastAsia"/>
                <w:caps w:val="0"/>
                <w:smallCaps w:val="0"/>
                <w:color w:val="auto"/>
                <w:spacing w:val="0"/>
                <w:sz w:val="24"/>
                <w:szCs w:val="20"/>
                <w:lang w:val="en-US" w:eastAsia="zh-CN"/>
                <w:highlight w:val="none"/>
              </w:rPr>
              <w:t>，</w:t>
            </w:r>
            <w:r>
              <w:rPr>
                <w:rFonts w:ascii="Times New Roman" w:cs="Times New Roman" w:hAnsi="Times New Roman"/>
                <w:caps w:val="0"/>
                <w:smallCaps w:val="0"/>
                <w:color w:val="auto"/>
                <w:spacing w:val="0"/>
                <w:sz w:val="24"/>
                <w:szCs w:val="20"/>
                <w:highlight w:val="none"/>
              </w:rPr>
              <w:t>注塑工序产生的不合格产品、原料废包装、除尘灰，电极片生产过程中产生的废金属料、不合格产品、废模具以及其他配套金属零部件生产过程中产生的金属废屑</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废</w:t>
            </w:r>
            <w:r>
              <w:rPr>
                <w:rFonts w:ascii="Times New Roman" w:cs="Times New Roman" w:hAnsi="Times New Roman"/>
                <w:caps w:val="0"/>
                <w:smallCaps w:val="0"/>
                <w:color w:val="auto"/>
                <w:spacing w:val="0"/>
                <w:sz w:val="24"/>
                <w:szCs w:val="20"/>
                <w:highlight w:val="none"/>
              </w:rPr>
              <w:t>活性炭、</w:t>
            </w:r>
            <w:r>
              <w:rPr>
                <w:rFonts w:ascii="Times New Roman" w:cs="Times New Roman" w:hAnsi="Times New Roman" w:hint="eastAsia"/>
                <w:caps w:val="0"/>
                <w:smallCaps w:val="0"/>
                <w:color w:val="auto"/>
                <w:spacing w:val="0"/>
                <w:sz w:val="24"/>
                <w:szCs w:val="20"/>
                <w:lang w:val="en-US" w:eastAsia="zh-CN"/>
                <w:highlight w:val="none"/>
              </w:rPr>
              <w:t>废</w:t>
            </w:r>
            <w:r>
              <w:rPr>
                <w:rFonts w:ascii="Times New Roman" w:cs="Times New Roman" w:hAnsi="Times New Roman"/>
                <w:caps w:val="0"/>
                <w:smallCaps w:val="0"/>
                <w:color w:val="auto"/>
                <w:spacing w:val="0"/>
                <w:sz w:val="24"/>
                <w:szCs w:val="20"/>
                <w:highlight w:val="none"/>
              </w:rPr>
              <w:t>机油、废切削液</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沾油抹布和手套及生活垃圾</w:t>
            </w:r>
            <w:r>
              <w:rPr>
                <w:rFonts w:ascii="Times New Roman" w:cs="Times New Roman" w:hAnsi="Times New Roman" w:hint="eastAsia"/>
                <w:caps w:val="0"/>
                <w:smallCaps w:val="0"/>
                <w:color w:val="auto"/>
                <w:spacing w:val="0"/>
                <w:sz w:val="24"/>
                <w:szCs w:val="20"/>
                <w:lang w:eastAsia="zh-CN"/>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10</w:t>
            </w:r>
            <w:r>
              <w:rPr>
                <w:rFonts w:ascii="Times New Roman" w:eastAsia="宋体" w:cs="Times New Roman" w:hAnsi="Times New Roman"/>
                <w:b/>
                <w:caps w:val="0"/>
                <w:smallCaps w:val="0"/>
                <w:color w:val="auto"/>
                <w:spacing w:val="0"/>
                <w:sz w:val="24"/>
                <w:szCs w:val="20"/>
                <w:highlight w:val="none"/>
              </w:rPr>
              <w:t xml:space="preserve">   </w:t>
            </w:r>
            <w:r>
              <w:rPr>
                <w:rFonts w:ascii="Times New Roman" w:cs="Times New Roman" w:hAnsi="Times New Roman" w:hint="eastAsia"/>
                <w:b/>
                <w:caps w:val="0"/>
                <w:smallCaps w:val="0"/>
                <w:color w:val="auto"/>
                <w:spacing w:val="0"/>
                <w:sz w:val="24"/>
                <w:szCs w:val="20"/>
                <w:lang w:val="en-US" w:eastAsia="zh-CN"/>
                <w:highlight w:val="none"/>
              </w:rPr>
              <w:t>现有固体废物产生</w:t>
            </w:r>
            <w:r>
              <w:rPr>
                <w:rFonts w:ascii="Times New Roman" w:eastAsia="宋体" w:cs="Times New Roman" w:hAnsi="Times New Roman"/>
                <w:b/>
                <w:caps w:val="0"/>
                <w:smallCaps w:val="0"/>
                <w:color w:val="auto"/>
                <w:spacing w:val="0"/>
                <w:sz w:val="24"/>
                <w:szCs w:val="20"/>
                <w:highlight w:val="none"/>
              </w:rPr>
              <w:t>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090"/>
              <w:gridCol w:w="2882"/>
              <w:gridCol w:w="1974"/>
              <w:gridCol w:w="2207"/>
            </w:tblGrid>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序号</w:t>
                  </w:r>
                </w:p>
              </w:tc>
              <w:tc>
                <w:tcPr>
                  <w:tcW w:w="1767"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固体废物</w:t>
                  </w:r>
                  <w:r>
                    <w:rPr>
                      <w:rFonts w:ascii="Times New Roman" w:eastAsia="宋体" w:cs="Times New Roman" w:hAnsi="Times New Roman"/>
                      <w:color w:val="auto"/>
                      <w:kern w:val="0"/>
                      <w:sz w:val="21"/>
                      <w:szCs w:val="21"/>
                      <w:highlight w:val="none"/>
                    </w:rPr>
                    <w:t>名称</w:t>
                  </w:r>
                </w:p>
              </w:tc>
              <w:tc>
                <w:tcPr>
                  <w:tcW w:w="1210" w:type="pct"/>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产生量</w:t>
                  </w:r>
                </w:p>
              </w:tc>
              <w:tc>
                <w:tcPr>
                  <w:tcW w:w="1353"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单位</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cs="Times New Roman" w:hint="eastAsia"/>
                      <w:color w:val="auto"/>
                      <w:kern w:val="0"/>
                      <w:szCs w:val="21"/>
                      <w:lang w:val="en-US" w:eastAsia="zh-CN"/>
                      <w:highlight w:val="none"/>
                    </w:rPr>
                  </w:pPr>
                  <w:r>
                    <w:rPr>
                      <w:rFonts w:ascii="Times New Roman" w:cs="Times New Roman" w:hAnsi="Times New Roman"/>
                      <w:caps w:val="0"/>
                      <w:smallCaps w:val="0"/>
                      <w:color w:val="auto"/>
                      <w:spacing w:val="0"/>
                      <w:sz w:val="21"/>
                      <w:szCs w:val="20"/>
                      <w:highlight w:val="none"/>
                    </w:rPr>
                    <w:t>废边角料</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2</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cs="Times New Roman" w:hint="eastAsia"/>
                      <w:color w:val="auto"/>
                      <w:kern w:val="0"/>
                      <w:szCs w:val="21"/>
                      <w:lang w:val="en-US" w:eastAsia="zh-CN"/>
                      <w:highlight w:val="none"/>
                    </w:rPr>
                  </w:pPr>
                  <w:r>
                    <w:rPr>
                      <w:rFonts w:ascii="Times New Roman" w:cs="Times New Roman" w:hAnsi="Times New Roman"/>
                      <w:caps w:val="0"/>
                      <w:smallCaps w:val="0"/>
                      <w:color w:val="auto"/>
                      <w:spacing w:val="0"/>
                      <w:sz w:val="21"/>
                      <w:szCs w:val="20"/>
                      <w:highlight w:val="none"/>
                    </w:rPr>
                    <w:t>不合格产品</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3</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cs="Times New Roman" w:hint="eastAsia"/>
                      <w:color w:val="auto"/>
                      <w:kern w:val="0"/>
                      <w:szCs w:val="21"/>
                      <w:lang w:val="en-US" w:eastAsia="zh-CN"/>
                      <w:highlight w:val="none"/>
                    </w:rPr>
                  </w:pPr>
                  <w:r>
                    <w:rPr>
                      <w:rFonts w:ascii="Times New Roman" w:cs="Times New Roman" w:hAnsi="Times New Roman"/>
                      <w:caps w:val="0"/>
                      <w:smallCaps w:val="0"/>
                      <w:color w:val="auto"/>
                      <w:spacing w:val="0"/>
                      <w:sz w:val="21"/>
                      <w:szCs w:val="20"/>
                      <w:highlight w:val="none"/>
                    </w:rPr>
                    <w:t>原料废包装</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4</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除尘灰</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0.095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5</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废金属料</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1.0</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6</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不合格产品</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7</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废模具</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8</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金属废屑</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0.1</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hint="eastAsia"/>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9</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hint="eastAsia"/>
                      <w:caps w:val="0"/>
                      <w:smallCaps w:val="0"/>
                      <w:color w:val="auto"/>
                      <w:spacing w:val="0"/>
                      <w:sz w:val="21"/>
                      <w:szCs w:val="20"/>
                      <w:lang w:val="en-US" w:eastAsia="zh-CN"/>
                      <w:highlight w:val="none"/>
                    </w:rPr>
                    <w:t>废</w:t>
                  </w:r>
                  <w:r>
                    <w:rPr>
                      <w:rFonts w:ascii="Times New Roman" w:cs="Times New Roman" w:hAnsi="Times New Roman"/>
                      <w:caps w:val="0"/>
                      <w:smallCaps w:val="0"/>
                      <w:color w:val="auto"/>
                      <w:spacing w:val="0"/>
                      <w:sz w:val="21"/>
                      <w:szCs w:val="20"/>
                      <w:highlight w:val="none"/>
                    </w:rPr>
                    <w:t>活性炭</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0.6</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10</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hint="eastAsia"/>
                      <w:caps w:val="0"/>
                      <w:smallCaps w:val="0"/>
                      <w:color w:val="auto"/>
                      <w:spacing w:val="0"/>
                      <w:sz w:val="21"/>
                      <w:szCs w:val="20"/>
                      <w:lang w:val="en-US" w:eastAsia="zh-CN"/>
                      <w:highlight w:val="none"/>
                    </w:rPr>
                    <w:t>废</w:t>
                  </w:r>
                  <w:r>
                    <w:rPr>
                      <w:rFonts w:ascii="Times New Roman" w:cs="Times New Roman" w:hAnsi="Times New Roman"/>
                      <w:caps w:val="0"/>
                      <w:smallCaps w:val="0"/>
                      <w:color w:val="auto"/>
                      <w:spacing w:val="0"/>
                      <w:sz w:val="21"/>
                      <w:szCs w:val="20"/>
                      <w:highlight w:val="none"/>
                    </w:rPr>
                    <w:t>机油</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0.05</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11</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废切削液</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0.018</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12</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沾油抹布和手套</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0.01</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r>
              <w:trPr>
                <w:trHeight w:val="90"/>
              </w:trPr>
              <w:tc>
                <w:tcPr>
                  <w:tcW w:w="66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13</w:t>
                  </w:r>
                </w:p>
              </w:tc>
              <w:tc>
                <w:tcPr>
                  <w:tcW w:w="1767"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1"/>
                      <w:szCs w:val="20"/>
                      <w:highlight w:val="none"/>
                    </w:rPr>
                    <w:t>生活垃圾</w:t>
                  </w:r>
                </w:p>
              </w:tc>
              <w:tc>
                <w:tcPr>
                  <w:tcW w:w="1210"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3</w:t>
                  </w:r>
                </w:p>
              </w:tc>
              <w:tc>
                <w:tcPr>
                  <w:tcW w:w="1353" w:type="pct"/>
                  <w:tcBorders>
                    <w:left w:val="single" w:sz="4" w:space="0" w:color="auto"/>
                  </w:tcBorders>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t/a</w:t>
                  </w:r>
                </w:p>
              </w:tc>
            </w:tr>
          </w:tbl>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注塑过程中产生的废边角料破碎后回用于生产</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注塑工序产生的不合格产品、原料废包装、除尘灰，电极片生产过程中产生的废金属料、不合格产品、废模具以及其他配套金属零部件生产过程中产生的金属废屑全部集中收集后外售</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废</w:t>
            </w:r>
            <w:r>
              <w:rPr>
                <w:rFonts w:ascii="Times New Roman" w:cs="Times New Roman" w:hAnsi="Times New Roman"/>
                <w:caps w:val="0"/>
                <w:smallCaps w:val="0"/>
                <w:color w:val="auto"/>
                <w:spacing w:val="0"/>
                <w:sz w:val="24"/>
                <w:szCs w:val="20"/>
                <w:highlight w:val="none"/>
              </w:rPr>
              <w:t>活性炭、</w:t>
            </w:r>
            <w:r>
              <w:rPr>
                <w:rFonts w:ascii="Times New Roman" w:cs="Times New Roman" w:hAnsi="Times New Roman" w:hint="eastAsia"/>
                <w:caps w:val="0"/>
                <w:smallCaps w:val="0"/>
                <w:color w:val="auto"/>
                <w:spacing w:val="0"/>
                <w:sz w:val="24"/>
                <w:szCs w:val="20"/>
                <w:lang w:val="en-US" w:eastAsia="zh-CN"/>
                <w:highlight w:val="none"/>
              </w:rPr>
              <w:t>废</w:t>
            </w:r>
            <w:r>
              <w:rPr>
                <w:rFonts w:ascii="Times New Roman" w:cs="Times New Roman" w:hAnsi="Times New Roman"/>
                <w:caps w:val="0"/>
                <w:smallCaps w:val="0"/>
                <w:color w:val="auto"/>
                <w:spacing w:val="0"/>
                <w:sz w:val="24"/>
                <w:szCs w:val="20"/>
                <w:highlight w:val="none"/>
              </w:rPr>
              <w:t>机油、废切削液暂存危废问，</w:t>
            </w:r>
            <w:r>
              <w:rPr>
                <w:rFonts w:ascii="Times New Roman" w:cs="Times New Roman" w:hAnsi="Times New Roman" w:hint="eastAsia"/>
                <w:caps w:val="0"/>
                <w:smallCaps w:val="0"/>
                <w:color w:val="auto"/>
                <w:spacing w:val="0"/>
                <w:sz w:val="24"/>
                <w:szCs w:val="20"/>
                <w:lang w:val="en-US" w:eastAsia="zh-CN"/>
                <w:highlight w:val="none"/>
              </w:rPr>
              <w:t>定期交由河北宜盖亚环保科技有限公司</w:t>
            </w:r>
            <w:r>
              <w:rPr>
                <w:rFonts w:ascii="Times New Roman" w:cs="Times New Roman" w:hAnsi="Times New Roman"/>
                <w:caps w:val="0"/>
                <w:smallCaps w:val="0"/>
                <w:color w:val="auto"/>
                <w:spacing w:val="0"/>
                <w:sz w:val="24"/>
                <w:szCs w:val="20"/>
                <w:highlight w:val="none"/>
              </w:rPr>
              <w:t>，沾油抹布和手套、职工生活垃圾集中收集，由环卫部门统一处理。</w:t>
            </w:r>
          </w:p>
          <w:p>
            <w:pPr>
              <w:pStyle w:val="137"/>
              <w:keepNext w:val="0"/>
              <w:keepLines w:val="0"/>
              <w:suppressLineNumbers w:val="0"/>
              <w:spacing w:before="0" w:beforeAutospacing="0" w:after="0" w:afterAutospacing="0"/>
              <w:ind w:left="0" w:right="0"/>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3、现有工程设备产能及对应环保设施</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11</w:t>
            </w:r>
            <w:r>
              <w:rPr>
                <w:rFonts w:ascii="Times New Roman" w:eastAsia="宋体" w:cs="Times New Roman" w:hAnsi="Times New Roman"/>
                <w:b/>
                <w:caps w:val="0"/>
                <w:smallCaps w:val="0"/>
                <w:color w:val="auto"/>
                <w:spacing w:val="0"/>
                <w:sz w:val="24"/>
                <w:szCs w:val="20"/>
                <w:highlight w:val="none"/>
              </w:rPr>
              <w:t xml:space="preserve">   </w:t>
            </w:r>
            <w:r>
              <w:rPr>
                <w:rFonts w:ascii="Times New Roman" w:cs="Times New Roman" w:hAnsi="Times New Roman" w:hint="eastAsia"/>
                <w:b/>
                <w:caps w:val="0"/>
                <w:smallCaps w:val="0"/>
                <w:color w:val="auto"/>
                <w:spacing w:val="0"/>
                <w:sz w:val="24"/>
                <w:szCs w:val="20"/>
                <w:lang w:val="en-US" w:eastAsia="zh-CN"/>
                <w:highlight w:val="none"/>
              </w:rPr>
              <w:t>现有设备</w:t>
            </w:r>
            <w:r>
              <w:rPr>
                <w:rFonts w:ascii="Times New Roman" w:eastAsia="宋体" w:cs="Times New Roman" w:hAnsi="Times New Roman"/>
                <w:b/>
                <w:caps w:val="0"/>
                <w:smallCaps w:val="0"/>
                <w:color w:val="auto"/>
                <w:spacing w:val="0"/>
                <w:sz w:val="24"/>
                <w:szCs w:val="20"/>
                <w:highlight w:val="none"/>
              </w:rPr>
              <w:t>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747"/>
              <w:gridCol w:w="1665"/>
              <w:gridCol w:w="2461"/>
              <w:gridCol w:w="714"/>
              <w:gridCol w:w="904"/>
              <w:gridCol w:w="1659"/>
            </w:tblGrid>
            <w:tr>
              <w:trPr>
                <w:trHeight w:val="90"/>
              </w:trPr>
              <w:tc>
                <w:tcPr>
                  <w:tcW w:w="45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序号</w:t>
                  </w:r>
                </w:p>
              </w:tc>
              <w:tc>
                <w:tcPr>
                  <w:tcW w:w="1021"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设备名称</w:t>
                  </w:r>
                </w:p>
              </w:tc>
              <w:tc>
                <w:tcPr>
                  <w:tcW w:w="1509" w:type="pct"/>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设施参数</w:t>
                  </w:r>
                </w:p>
              </w:tc>
              <w:tc>
                <w:tcPr>
                  <w:tcW w:w="43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单位</w:t>
                  </w:r>
                </w:p>
              </w:tc>
              <w:tc>
                <w:tcPr>
                  <w:tcW w:w="554"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现有工程数量</w:t>
                  </w:r>
                </w:p>
              </w:tc>
              <w:tc>
                <w:tcPr>
                  <w:tcW w:w="1017"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环保措施</w:t>
                  </w:r>
                </w:p>
              </w:tc>
            </w:tr>
            <w:tr>
              <w:trPr>
                <w:trHeight w:val="425"/>
              </w:trPr>
              <w:tc>
                <w:tcPr>
                  <w:tcW w:w="45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1</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注塑机</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处理能力0.002t/h</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9</w:t>
                  </w:r>
                </w:p>
              </w:tc>
              <w:tc>
                <w:tcPr>
                  <w:tcW w:w="1017" w:type="pct"/>
                  <w:vMerge w:val="restar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布袋除尘器+两级活性炭</w:t>
                  </w:r>
                </w:p>
              </w:tc>
            </w:tr>
            <w:tr>
              <w:trPr>
                <w:trHeight w:val="425"/>
              </w:trPr>
              <w:tc>
                <w:tcPr>
                  <w:tcW w:w="45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2</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干燥机</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处理能力0.005t/h</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color w:val="auto"/>
                      <w:kern w:val="0"/>
                      <w:sz w:val="21"/>
                      <w:szCs w:val="21"/>
                      <w:lang w:val="en-US" w:eastAsia="zh-CN"/>
                      <w:highlight w:val="none"/>
                    </w:rPr>
                    <w:t>1</w:t>
                  </w:r>
                </w:p>
              </w:tc>
              <w:tc>
                <w:tcPr>
                  <w:tcW w:w="1017" w:type="pct"/>
                  <w:vMerge/>
                  <w:tcBorders>
                    <w:left w:val="single" w:sz="4" w:space="0" w:color="auto"/>
                  </w:tcBorders>
                  <w:vAlign w:val="center"/>
                </w:tcPr>
                <w:p/>
              </w:tc>
            </w:tr>
            <w:tr>
              <w:trPr>
                <w:trHeight w:val="425"/>
              </w:trPr>
              <w:tc>
                <w:tcPr>
                  <w:tcW w:w="458" w:type="pct"/>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3</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干燥箱</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处理能力0.005t/h</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eastAsia="宋体" w:cs="Times New Roman" w:hAnsi="Times New Roman" w:hint="eastAsia"/>
                      <w:color w:val="auto"/>
                      <w:kern w:val="0"/>
                      <w:sz w:val="21"/>
                      <w:szCs w:val="21"/>
                      <w:lang w:val="en-US" w:eastAsia="zh-CN"/>
                      <w:highlight w:val="none"/>
                    </w:rPr>
                    <w:t>3</w:t>
                  </w:r>
                </w:p>
              </w:tc>
              <w:tc>
                <w:tcPr>
                  <w:tcW w:w="1017" w:type="pct"/>
                  <w:vMerge/>
                  <w:tcBorders>
                    <w:left w:val="single" w:sz="4" w:space="0" w:color="auto"/>
                  </w:tcBorders>
                  <w:vAlign w:val="center"/>
                </w:tcP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strike w:val="0"/>
                      <w:dstrike w:val="0"/>
                      <w:color w:val="auto"/>
                      <w:kern w:val="0"/>
                      <w:sz w:val="21"/>
                      <w:szCs w:val="21"/>
                      <w:lang w:val="en-US" w:eastAsia="zh-CN" w:bidi="ar-SA"/>
                      <w:highlight w:val="none"/>
                    </w:rPr>
                  </w:pPr>
                  <w:r>
                    <w:rPr>
                      <w:rFonts w:ascii="Times New Roman" w:eastAsia="宋体" w:cs="Times New Roman" w:hAnsi="Times New Roman"/>
                      <w:strike w:val="0"/>
                      <w:dstrike w:val="0"/>
                      <w:color w:val="auto"/>
                      <w:kern w:val="0"/>
                      <w:sz w:val="21"/>
                      <w:szCs w:val="21"/>
                      <w:highlight w:val="none"/>
                    </w:rPr>
                    <w:t>4</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冷却塔</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循环水量20m</w:t>
                  </w:r>
                  <w:r>
                    <w:rPr>
                      <w:rFonts w:ascii="Times New Roman" w:cs="Times New Roman" w:hAnsi="Times New Roman" w:hint="eastAsia"/>
                      <w:color w:val="auto"/>
                      <w:kern w:val="0"/>
                      <w:sz w:val="21"/>
                      <w:szCs w:val="21"/>
                      <w:vertAlign w:val="superscript"/>
                      <w:lang w:val="en-US" w:eastAsia="zh-CN"/>
                      <w:highlight w:val="none"/>
                    </w:rPr>
                    <w:t>3</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strike w:val="0"/>
                      <w:dstrike w:val="0"/>
                      <w:color w:val="auto"/>
                      <w:kern w:val="0"/>
                      <w:sz w:val="21"/>
                      <w:szCs w:val="21"/>
                      <w:lang w:val="en-US" w:eastAsia="zh-CN" w:bidi="ar-SA"/>
                      <w:highlight w:val="none"/>
                    </w:rPr>
                  </w:pPr>
                  <w:r>
                    <w:rPr>
                      <w:rFonts w:ascii="Times New Roman" w:eastAsia="宋体" w:cs="Times New Roman" w:hAnsi="Times New Roman"/>
                      <w:strike w:val="0"/>
                      <w:dstrike w:val="0"/>
                      <w:color w:val="auto"/>
                      <w:kern w:val="0"/>
                      <w:sz w:val="21"/>
                      <w:szCs w:val="21"/>
                      <w:highlight w:val="none"/>
                    </w:rPr>
                    <w:t>5</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冷水机</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功率10.1kw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6</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攻丝机</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功率0.75kw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7</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车床</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功率4kw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101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8</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铣床</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功率2.2kw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2</w:t>
                  </w:r>
                </w:p>
              </w:tc>
              <w:tc>
                <w:tcPr>
                  <w:tcW w:w="101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9</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钻床</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功率0.8kw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3</w:t>
                  </w:r>
                </w:p>
              </w:tc>
              <w:tc>
                <w:tcPr>
                  <w:tcW w:w="1017"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10</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磨床</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功率1.1kw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11</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线切割</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功率0.37kw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12</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气泵</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功率2.8kw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13</w:t>
                  </w:r>
                </w:p>
              </w:tc>
              <w:tc>
                <w:tcPr>
                  <w:tcW w:w="1021" w:type="pct"/>
                  <w:tcBorders>
                    <w:left w:val="single" w:sz="4" w:space="0" w:color="auto"/>
                  </w:tcBorders>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color w:val="auto"/>
                      <w:sz w:val="21"/>
                      <w:szCs w:val="21"/>
                      <w:lang w:eastAsia="zh-CN"/>
                      <w:highlight w:val="none"/>
                    </w:rPr>
                    <w:t>模具维修设备</w:t>
                  </w:r>
                </w:p>
              </w:tc>
              <w:tc>
                <w:tcPr>
                  <w:tcW w:w="1509" w:type="pct"/>
                  <w:tcBorders>
                    <w:left w:val="single" w:sz="4" w:space="0" w:color="auto"/>
                  </w:tcBorders>
                  <w:vAlign w:val="center"/>
                </w:tcPr>
                <w:p>
                  <w:pPr>
                    <w:keepNext w:val="0"/>
                    <w:keepLines w:val="0"/>
                    <w:suppressLineNumbers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功率1.2kw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14</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功率2.2kw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4</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0"/>
                      <w:sz w:val="21"/>
                      <w:szCs w:val="21"/>
                      <w:lang w:val="en-US" w:eastAsia="zh-CN"/>
                      <w:highlight w:val="none"/>
                    </w:rPr>
                    <w:t>--</w:t>
                  </w:r>
                </w:p>
              </w:tc>
            </w:tr>
            <w:tr>
              <w:trPr>
                <w:trHeight w:val="425"/>
              </w:trPr>
              <w:tc>
                <w:tcPr>
                  <w:tcW w:w="458" w:type="pct"/>
                  <w:shd w:val="clear" w:color="auto" w:fill="auto"/>
                  <w:vAlign w:val="center"/>
                </w:tcPr>
                <w:p>
                  <w:pPr>
                    <w:keepNext w:val="0"/>
                    <w:keepLines w:val="0"/>
                    <w:suppressLineNumbers w:val="0"/>
                    <w:spacing w:before="0" w:beforeAutospacing="0" w:after="0" w:afterAutospacing="0" w:line="280" w:lineRule="exac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15</w:t>
                  </w:r>
                </w:p>
              </w:tc>
              <w:tc>
                <w:tcPr>
                  <w:tcW w:w="1021"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剪板机</w:t>
                  </w:r>
                </w:p>
              </w:tc>
              <w:tc>
                <w:tcPr>
                  <w:tcW w:w="1509"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cs="Times New Roman" w:hAnsi="Times New Roman" w:hint="eastAsia"/>
                      <w:color w:val="auto"/>
                      <w:kern w:val="0"/>
                      <w:sz w:val="21"/>
                      <w:szCs w:val="21"/>
                      <w:lang w:val="en-US" w:eastAsia="zh-CN"/>
                      <w:highlight w:val="none"/>
                    </w:rPr>
                    <w:t>功率3kw</w:t>
                  </w:r>
                </w:p>
              </w:tc>
              <w:tc>
                <w:tcPr>
                  <w:tcW w:w="438" w:type="pct"/>
                  <w:tcBorders>
                    <w:left w:val="single" w:sz="4" w:space="0" w:color="auto"/>
                  </w:tcBorders>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台</w:t>
                  </w:r>
                </w:p>
              </w:tc>
              <w:tc>
                <w:tcPr>
                  <w:tcW w:w="554" w:type="pct"/>
                  <w:tcBorders>
                    <w:left w:val="single" w:sz="4" w:space="0" w:color="auto"/>
                  </w:tcBorders>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1</w:t>
                  </w:r>
                </w:p>
              </w:tc>
              <w:tc>
                <w:tcPr>
                  <w:tcW w:w="1017" w:type="pct"/>
                  <w:tcBorders>
                    <w:left w:val="single" w:sz="4" w:space="0" w:color="auto"/>
                  </w:tcBorders>
                  <w:vAlign w:val="center"/>
                </w:tcPr>
                <w:p>
                  <w:pPr>
                    <w:keepNext w:val="0"/>
                    <w:keepLines w:val="0"/>
                    <w:suppressLineNumbers w:val="0"/>
                    <w:autoSpaceDE w:val="0"/>
                    <w:autoSpaceDN w:val="0"/>
                    <w:spacing w:before="0" w:beforeAutospacing="0" w:after="0" w:afterAutospacing="0"/>
                    <w:ind w:left="0" w:right="0" w:firstLine="0"/>
                    <w:jc w:val="center"/>
                    <w:rPr>
                      <w:rFonts w:ascii="Times New Roman" w:eastAsia="宋体" w:cs="Times New Roman" w:hAnsi="Times New Roman"/>
                      <w:color w:val="auto"/>
                      <w:kern w:val="0"/>
                      <w:szCs w:val="21"/>
                      <w:lang w:val="en-US" w:eastAsia="zh-CN"/>
                      <w:highlight w:val="none"/>
                    </w:rPr>
                  </w:pPr>
                  <w:r>
                    <w:rPr>
                      <w:rFonts w:ascii="Times New Roman" w:cs="Times New Roman" w:hAnsi="Times New Roman" w:hint="eastAsia"/>
                      <w:color w:val="auto"/>
                      <w:kern w:val="0"/>
                      <w:sz w:val="21"/>
                      <w:szCs w:val="21"/>
                      <w:lang w:val="en-US" w:eastAsia="zh-CN"/>
                      <w:highlight w:val="none"/>
                    </w:rPr>
                    <w:t>--</w:t>
                  </w:r>
                </w:p>
              </w:tc>
            </w:tr>
          </w:tbl>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4</w:t>
            </w:r>
            <w:r>
              <w:rPr>
                <w:rFonts w:ascii="Times New Roman" w:cs="Times New Roman" w:hAnsi="Times New Roman"/>
                <w:caps w:val="0"/>
                <w:smallCaps w:val="0"/>
                <w:color w:val="auto"/>
                <w:spacing w:val="0"/>
                <w:sz w:val="24"/>
                <w:szCs w:val="20"/>
                <w:highlight w:val="none"/>
              </w:rPr>
              <w:t>、现有工程存在的问题</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根据现有工程环评文件及相关材料，结合实际生产情况，</w:t>
            </w:r>
            <w:r>
              <w:rPr>
                <w:rFonts w:ascii="Times New Roman" w:cs="Times New Roman" w:hAnsi="Times New Roman" w:hint="eastAsia"/>
                <w:caps w:val="0"/>
                <w:smallCaps w:val="0"/>
                <w:color w:val="auto"/>
                <w:spacing w:val="0"/>
                <w:sz w:val="24"/>
                <w:szCs w:val="20"/>
                <w:lang w:val="en-US" w:eastAsia="zh-CN"/>
                <w:highlight w:val="none"/>
              </w:rPr>
              <w:t>现有工程环保手续拆包、投料、注塑未识别颗粒物，烘干、注塑未识别甲苯二异氰酸酯（TDI）、二苯基甲烷二异氰酸酯（MDI）、异佛尔酮二异氰酸酯（IPDI）、多亚甲基多苯基异氰酸酯（PAPI）</w:t>
            </w:r>
            <w:r>
              <w:rPr>
                <w:rFonts w:ascii="Times New Roman" w:cs="Times New Roman" w:hAnsi="Times New Roman"/>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解决方案：</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hint="eastAsia"/>
                <w:caps w:val="0"/>
                <w:smallCaps w:val="0"/>
                <w:color w:val="auto"/>
                <w:spacing w:val="0"/>
                <w:lang w:eastAsia="zh-CN"/>
                <w:highlight w:val="none"/>
              </w:rPr>
            </w:pPr>
            <w:r>
              <w:rPr>
                <w:rFonts w:ascii="Times New Roman" w:cs="Times New Roman" w:hAnsi="Times New Roman" w:hint="eastAsia"/>
                <w:caps w:val="0"/>
                <w:smallCaps w:val="0"/>
                <w:color w:val="auto"/>
                <w:spacing w:val="0"/>
                <w:sz w:val="24"/>
                <w:szCs w:val="20"/>
                <w:lang w:val="en-US" w:eastAsia="zh-CN"/>
                <w:highlight w:val="none"/>
              </w:rPr>
              <w:t>本次评价增加拆包、投料、注塑工序产生的颗粒物，后续按照本评价监测计划进行监测；因改建完成后不使用聚氨酯树脂，不涉及甲苯二异氰酸酯（TDI）、二苯基甲烷二异氰酸酯（MDI）、异佛尔酮二异氰酸酯（IPDI）、多亚甲基多苯基异氰酸酯（PAPI），故本次要求现有工程在使用聚氨酯原料的前提下，对上述因子进行检测，无检测方法的因子待国家污染物监测方法标准发布后实施</w:t>
            </w:r>
            <w:r>
              <w:rPr>
                <w:rFonts w:ascii="Times New Roman" w:cs="Times New Roman" w:hAnsi="Times New Roman" w:hint="eastAsia"/>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firstLineChars="200" w:firstLine="480"/>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hint="eastAsia"/>
                <w:caps w:val="0"/>
                <w:smallCaps w:val="0"/>
                <w:color w:val="auto"/>
                <w:spacing w:val="0"/>
                <w:sz w:val="24"/>
                <w:szCs w:val="20"/>
                <w:lang w:val="en-US" w:eastAsia="zh-CN"/>
                <w:highlight w:val="none"/>
              </w:rPr>
              <w:t>除以上问题外，企业</w:t>
            </w:r>
            <w:r>
              <w:rPr>
                <w:rFonts w:ascii="Times New Roman" w:cs="Times New Roman" w:hAnsi="Times New Roman"/>
                <w:caps w:val="0"/>
                <w:smallCaps w:val="0"/>
                <w:color w:val="auto"/>
                <w:spacing w:val="0"/>
                <w:sz w:val="24"/>
                <w:szCs w:val="20"/>
                <w:lang w:val="en-US" w:eastAsia="zh-CN"/>
                <w:highlight w:val="none"/>
              </w:rPr>
              <w:t>未发生环境污染事故，无环境违法行为。</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5</w:t>
            </w:r>
            <w:r>
              <w:rPr>
                <w:rFonts w:ascii="Times New Roman" w:cs="Times New Roman" w:hAnsi="Times New Roman"/>
                <w:caps w:val="0"/>
                <w:smallCaps w:val="0"/>
                <w:color w:val="auto"/>
                <w:spacing w:val="0"/>
                <w:sz w:val="24"/>
                <w:szCs w:val="20"/>
                <w:highlight w:val="none"/>
              </w:rPr>
              <w:t>、现有工程污染物排放量</w:t>
            </w:r>
          </w:p>
          <w:p>
            <w:pPr>
              <w:keepNext w:val="0"/>
              <w:keepLines w:val="0"/>
              <w:widowControl/>
              <w:suppressLineNumbers w:val="0"/>
              <w:spacing w:before="0" w:beforeAutospacing="0" w:after="0" w:afterAutospacing="0" w:line="400" w:lineRule="exact"/>
              <w:ind w:left="0" w:right="0" w:firstLineChars="199" w:firstLine="478"/>
              <w:jc w:val="left"/>
              <w:outlineLvl w:val="2"/>
              <w:rPr>
                <w:rFonts w:ascii="Times New Roman" w:cs="Times New Roman" w:hAnsi="Times New Roman"/>
                <w:b/>
                <w:caps w:val="0"/>
                <w:smallCaps w:val="0"/>
                <w:color w:val="auto"/>
                <w:spacing w:val="0"/>
                <w:sz w:val="24"/>
                <w:szCs w:val="20"/>
                <w:highlight w:val="none"/>
              </w:rPr>
            </w:pPr>
            <w:bookmarkStart w:id="7" w:name="_Toc22365"/>
            <w:r>
              <w:rPr>
                <w:rFonts w:ascii="Times New Roman" w:cs="Times New Roman" w:hAnsi="Times New Roman"/>
                <w:caps w:val="0"/>
                <w:smallCaps w:val="0"/>
                <w:color w:val="auto"/>
                <w:spacing w:val="0"/>
                <w:sz w:val="24"/>
                <w:szCs w:val="20"/>
                <w:highlight w:val="none"/>
              </w:rPr>
              <w:t>现有工程污染物排放量情况如下：</w:t>
            </w:r>
            <w:bookmarkEnd w:id="7"/>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b/>
                <w:caps w:val="0"/>
                <w:smallCaps w:val="0"/>
                <w:color w:val="auto"/>
                <w:spacing w:val="0"/>
                <w:sz w:val="24"/>
                <w:szCs w:val="20"/>
                <w:lang w:val="en-US" w:eastAsia="zh-CN"/>
                <w:highlight w:val="none"/>
              </w:rPr>
              <w:t>2-</w:t>
            </w:r>
            <w:r>
              <w:rPr>
                <w:rFonts w:ascii="Times New Roman" w:cs="Times New Roman" w:hAnsi="Times New Roman" w:hint="eastAsia"/>
                <w:b/>
                <w:caps w:val="0"/>
                <w:smallCaps w:val="0"/>
                <w:color w:val="auto"/>
                <w:spacing w:val="0"/>
                <w:sz w:val="24"/>
                <w:szCs w:val="20"/>
                <w:lang w:val="en-US" w:eastAsia="zh-CN"/>
                <w:highlight w:val="none"/>
              </w:rPr>
              <w:t>12</w:t>
            </w:r>
            <w:r>
              <w:rPr>
                <w:rFonts w:ascii="Times New Roman" w:eastAsia="宋体" w:cs="Times New Roman" w:hAnsi="Times New Roman"/>
                <w:b/>
                <w:caps w:val="0"/>
                <w:smallCaps w:val="0"/>
                <w:color w:val="auto"/>
                <w:spacing w:val="0"/>
                <w:sz w:val="24"/>
                <w:szCs w:val="20"/>
                <w:highlight w:val="none"/>
              </w:rPr>
              <w:t xml:space="preserve">    现有工程污染物排放量一览表      单位t/a</w:t>
            </w:r>
          </w:p>
          <w:tbl>
            <w:tblPr>
              <w:jc w:val="center"/>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6" w:type="dxa"/>
                <w:bottom w:w="0" w:type="dxa"/>
                <w:right w:w="6" w:type="dxa"/>
              </w:tblCellMar>
              <w:tblLook w:val="0600" w:firstRow="0" w:lastRow="0" w:firstColumn="0" w:lastColumn="0" w:noHBand="1" w:noVBand="1"/>
            </w:tblPr>
            <w:tblGrid>
              <w:gridCol w:w="707"/>
              <w:gridCol w:w="750"/>
              <w:gridCol w:w="750"/>
              <w:gridCol w:w="750"/>
              <w:gridCol w:w="750"/>
              <w:gridCol w:w="5"/>
              <w:gridCol w:w="745"/>
              <w:gridCol w:w="750"/>
              <w:gridCol w:w="761"/>
              <w:gridCol w:w="575"/>
              <w:gridCol w:w="1602"/>
            </w:tblGrid>
            <w:tr>
              <w:tc>
                <w:tcPr>
                  <w:tcW w:w="434"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污染物</w:t>
                  </w:r>
                </w:p>
              </w:tc>
              <w:tc>
                <w:tcPr>
                  <w:tcW w:w="1843" w:type="pct"/>
                  <w:gridSpan w:val="5"/>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废气</w:t>
                  </w:r>
                </w:p>
              </w:tc>
              <w:tc>
                <w:tcPr>
                  <w:tcW w:w="1384" w:type="pct"/>
                  <w:gridSpan w:val="3"/>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废水</w:t>
                  </w:r>
                </w:p>
              </w:tc>
              <w:tc>
                <w:tcPr>
                  <w:tcW w:w="353"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固体</w:t>
                  </w:r>
                </w:p>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废物</w:t>
                  </w:r>
                </w:p>
              </w:tc>
              <w:tc>
                <w:tcPr>
                  <w:tcW w:w="983" w:type="pct"/>
                  <w:vMerge w:val="restar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数据来源</w:t>
                  </w:r>
                </w:p>
              </w:tc>
            </w:tr>
            <w:tr>
              <w:tc>
                <w:tcPr>
                  <w:tcW w:w="434" w:type="pct"/>
                  <w:vMerge/>
                  <w:vAlign w:val="center"/>
                </w:tcPr>
                <w:p/>
              </w:tc>
              <w:tc>
                <w:tcPr>
                  <w:tcW w:w="460" w:type="pct"/>
                  <w:tcBorders>
                    <w:left w:val="single" w:sz="4" w:space="0" w:color="auto"/>
                  </w:tcBorders>
                  <w:shd w:val="clear" w:color="auto" w:fill="auto"/>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spacing w:val="0"/>
                      <w:kern w:val="0"/>
                      <w:sz w:val="21"/>
                      <w:szCs w:val="21"/>
                      <w:lang w:val="en-US" w:eastAsia="zh-CN" w:bidi="ar-SA"/>
                      <w:highlight w:val="none"/>
                    </w:rPr>
                  </w:pPr>
                  <w:r>
                    <w:rPr>
                      <w:rFonts w:ascii="Times New Roman" w:cs="Times New Roman" w:hAnsi="Times New Roman" w:hint="eastAsia"/>
                      <w:caps w:val="0"/>
                      <w:smallCaps w:val="0"/>
                      <w:color w:val="auto"/>
                      <w:spacing w:val="0"/>
                      <w:kern w:val="0"/>
                      <w:sz w:val="21"/>
                      <w:szCs w:val="21"/>
                      <w:lang w:val="en-US" w:eastAsia="zh-CN"/>
                      <w:highlight w:val="none"/>
                    </w:rPr>
                    <w:t>氨</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lang w:val="en-US" w:eastAsia="zh-CN"/>
                      <w:highlight w:val="none"/>
                    </w:rPr>
                  </w:pPr>
                  <w:r>
                    <w:rPr>
                      <w:rFonts w:ascii="Times New Roman" w:cs="Times New Roman" w:hAnsi="Times New Roman" w:hint="eastAsia"/>
                      <w:caps w:val="0"/>
                      <w:smallCaps w:val="0"/>
                      <w:color w:val="auto"/>
                      <w:spacing w:val="0"/>
                      <w:kern w:val="0"/>
                      <w:sz w:val="21"/>
                      <w:szCs w:val="21"/>
                      <w:lang w:val="en-US" w:eastAsia="zh-CN"/>
                      <w:highlight w:val="none"/>
                    </w:rPr>
                    <w:t>颗粒物</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lang w:val="en-US" w:eastAsia="zh-CN"/>
                      <w:highlight w:val="none"/>
                    </w:rPr>
                  </w:pPr>
                  <w:r>
                    <w:rPr>
                      <w:rFonts w:ascii="Times New Roman" w:cs="Times New Roman" w:hAnsi="Times New Roman" w:hint="eastAsia"/>
                      <w:caps w:val="0"/>
                      <w:smallCaps w:val="0"/>
                      <w:color w:val="auto"/>
                      <w:spacing w:val="0"/>
                      <w:kern w:val="0"/>
                      <w:sz w:val="21"/>
                      <w:szCs w:val="21"/>
                      <w:lang w:val="en-US" w:eastAsia="zh-CN"/>
                      <w:highlight w:val="none"/>
                    </w:rPr>
                    <w:t>非甲烷总烃</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SO</w:t>
                  </w:r>
                  <w:r>
                    <w:rPr>
                      <w:rFonts w:ascii="Times New Roman" w:cs="Times New Roman" w:hAnsi="Times New Roman"/>
                      <w:caps w:val="0"/>
                      <w:smallCaps w:val="0"/>
                      <w:color w:val="auto"/>
                      <w:spacing w:val="0"/>
                      <w:kern w:val="0"/>
                      <w:sz w:val="21"/>
                      <w:szCs w:val="21"/>
                      <w:vertAlign w:val="subscript"/>
                      <w:highlight w:val="none"/>
                    </w:rPr>
                    <w:t>2</w:t>
                  </w:r>
                </w:p>
              </w:tc>
              <w:tc>
                <w:tcPr>
                  <w:tcW w:w="460" w:type="pct"/>
                  <w:gridSpan w:val="2"/>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NOx</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COD</w:t>
                  </w:r>
                </w:p>
              </w:tc>
              <w:tc>
                <w:tcPr>
                  <w:tcW w:w="464"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氨氮</w:t>
                  </w:r>
                </w:p>
              </w:tc>
              <w:tc>
                <w:tcPr>
                  <w:tcW w:w="353" w:type="pct"/>
                  <w:vMerge/>
                  <w:tcBorders>
                    <w:left w:val="single" w:sz="4" w:space="0" w:color="auto"/>
                  </w:tcBorders>
                  <w:vAlign w:val="center"/>
                </w:tcPr>
                <w:p/>
              </w:tc>
              <w:tc>
                <w:tcPr>
                  <w:tcW w:w="983" w:type="pct"/>
                  <w:vMerge/>
                  <w:tcBorders>
                    <w:left w:val="single" w:sz="4" w:space="0" w:color="auto"/>
                  </w:tcBorders>
                </w:tcPr>
                <w:p/>
              </w:tc>
            </w:tr>
            <w:tr>
              <w:tc>
                <w:tcPr>
                  <w:tcW w:w="434" w:type="pct"/>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排放量</w:t>
                  </w:r>
                </w:p>
              </w:tc>
              <w:tc>
                <w:tcPr>
                  <w:tcW w:w="460" w:type="pct"/>
                  <w:tcBorders>
                    <w:left w:val="single" w:sz="4" w:space="0" w:color="auto"/>
                  </w:tcBorders>
                  <w:shd w:val="clear" w:color="auto" w:fill="auto"/>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 w:val="21"/>
                      <w:szCs w:val="21"/>
                      <w:lang w:val="en-US" w:eastAsia="zh-CN" w:bidi="ar-SA"/>
                      <w:highlight w:val="none"/>
                    </w:rPr>
                  </w:pPr>
                  <w:r>
                    <w:rPr>
                      <w:rFonts w:ascii="Times New Roman" w:eastAsia="宋体" w:cs="Times New Roman" w:hAnsi="Times New Roman" w:hint="eastAsia"/>
                      <w:caps w:val="0"/>
                      <w:smallCaps w:val="0"/>
                      <w:color w:val="auto"/>
                      <w:spacing w:val="0"/>
                      <w:kern w:val="0"/>
                      <w:sz w:val="21"/>
                      <w:szCs w:val="21"/>
                      <w:lang w:val="en-US" w:eastAsia="zh-CN"/>
                      <w:highlight w:val="none"/>
                    </w:rPr>
                    <w:t>0.127</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cs="Times New Roman" w:hAnsi="Times New Roman" w:hint="eastAsia"/>
                      <w:caps w:val="0"/>
                      <w:smallCaps w:val="0"/>
                      <w:color w:val="auto"/>
                      <w:spacing w:val="0"/>
                      <w:kern w:val="0"/>
                      <w:sz w:val="21"/>
                      <w:szCs w:val="21"/>
                      <w:lang w:val="en-US" w:eastAsia="zh-CN"/>
                      <w:highlight w:val="none"/>
                    </w:rPr>
                    <w:t>0.411</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hint="eastAsia"/>
                      <w:caps w:val="0"/>
                      <w:smallCaps w:val="0"/>
                      <w:color w:val="auto"/>
                      <w:spacing w:val="0"/>
                      <w:kern w:val="0"/>
                      <w:sz w:val="21"/>
                      <w:szCs w:val="21"/>
                      <w:lang w:val="en-US" w:eastAsia="zh-CN"/>
                      <w:highlight w:val="none"/>
                    </w:rPr>
                    <w:t>0.152</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hint="eastAsia"/>
                      <w:caps w:val="0"/>
                      <w:smallCaps w:val="0"/>
                      <w:color w:val="auto"/>
                      <w:spacing w:val="0"/>
                      <w:kern w:val="0"/>
                      <w:sz w:val="21"/>
                      <w:szCs w:val="21"/>
                      <w:lang w:val="en-US" w:eastAsia="zh-CN"/>
                      <w:highlight w:val="none"/>
                    </w:rPr>
                    <w:t>0</w:t>
                  </w:r>
                </w:p>
              </w:tc>
              <w:tc>
                <w:tcPr>
                  <w:tcW w:w="460" w:type="pct"/>
                  <w:gridSpan w:val="2"/>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hint="eastAsia"/>
                      <w:caps w:val="0"/>
                      <w:smallCaps w:val="0"/>
                      <w:color w:val="auto"/>
                      <w:spacing w:val="0"/>
                      <w:kern w:val="0"/>
                      <w:sz w:val="21"/>
                      <w:szCs w:val="21"/>
                      <w:lang w:val="en-US" w:eastAsia="zh-CN"/>
                      <w:highlight w:val="none"/>
                    </w:rPr>
                    <w:t>0</w:t>
                  </w:r>
                </w:p>
              </w:tc>
              <w:tc>
                <w:tcPr>
                  <w:tcW w:w="460"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caps w:val="0"/>
                      <w:smallCaps w:val="0"/>
                      <w:color w:val="auto"/>
                      <w:spacing w:val="0"/>
                      <w:kern w:val="0"/>
                      <w:sz w:val="21"/>
                      <w:szCs w:val="21"/>
                      <w:lang w:val="en-US" w:eastAsia="zh-CN"/>
                      <w:highlight w:val="none"/>
                    </w:rPr>
                    <w:t>0.006</w:t>
                  </w:r>
                </w:p>
              </w:tc>
              <w:tc>
                <w:tcPr>
                  <w:tcW w:w="464"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caps w:val="0"/>
                      <w:smallCaps w:val="0"/>
                      <w:color w:val="auto"/>
                      <w:spacing w:val="0"/>
                      <w:kern w:val="0"/>
                      <w:sz w:val="21"/>
                      <w:szCs w:val="21"/>
                      <w:lang w:val="en-US" w:eastAsia="zh-CN"/>
                      <w:highlight w:val="none"/>
                    </w:rPr>
                    <w:t>9.370</w:t>
                  </w:r>
                </w:p>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caps w:val="0"/>
                      <w:smallCaps w:val="0"/>
                      <w:color w:val="auto"/>
                      <w:spacing w:val="0"/>
                      <w:kern w:val="0"/>
                      <w:sz w:val="21"/>
                      <w:szCs w:val="21"/>
                      <w:lang w:val="en-US" w:eastAsia="zh-CN"/>
                      <w:highlight w:val="none"/>
                    </w:rPr>
                    <w:t>×10</w:t>
                  </w:r>
                  <w:r>
                    <w:rPr>
                      <w:rFonts w:ascii="Times New Roman" w:eastAsia="宋体" w:cs="Times New Roman" w:hAnsi="Times New Roman"/>
                      <w:caps w:val="0"/>
                      <w:smallCaps w:val="0"/>
                      <w:color w:val="auto"/>
                      <w:spacing w:val="0"/>
                      <w:kern w:val="0"/>
                      <w:sz w:val="21"/>
                      <w:szCs w:val="21"/>
                      <w:vertAlign w:val="superscript"/>
                      <w:lang w:val="en-US" w:eastAsia="zh-CN"/>
                      <w:highlight w:val="none"/>
                    </w:rPr>
                    <w:t>-4</w:t>
                  </w:r>
                </w:p>
              </w:tc>
              <w:tc>
                <w:tcPr>
                  <w:tcW w:w="353"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1"/>
                      <w:szCs w:val="21"/>
                      <w:highlight w:val="none"/>
                    </w:rPr>
                    <w:t>0</w:t>
                  </w:r>
                </w:p>
              </w:tc>
              <w:tc>
                <w:tcPr>
                  <w:tcW w:w="983" w:type="pc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kern w:val="0"/>
                      <w:szCs w:val="21"/>
                      <w:lang w:val="en-US" w:eastAsia="zh-CN"/>
                      <w:highlight w:val="none"/>
                    </w:rPr>
                  </w:pPr>
                  <w:r>
                    <w:rPr>
                      <w:rFonts w:ascii="Times New Roman" w:eastAsia="宋体" w:cs="Times New Roman" w:hAnsi="Times New Roman"/>
                      <w:caps w:val="0"/>
                      <w:smallCaps w:val="0"/>
                      <w:color w:val="auto"/>
                      <w:spacing w:val="0"/>
                      <w:kern w:val="0"/>
                      <w:sz w:val="21"/>
                      <w:szCs w:val="21"/>
                      <w:lang w:val="en-US" w:eastAsia="zh-CN"/>
                      <w:highlight w:val="none"/>
                    </w:rPr>
                    <w:t>报告编号：JYHJ-2025-0181</w:t>
                  </w:r>
                </w:p>
              </w:tc>
            </w:tr>
          </w:tbl>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Chars="200" w:firstLine="440"/>
              <w:textAlignment w:val="auto"/>
              <w:rPr>
                <w:rFonts w:ascii="Times New Roman" w:cs="Times New Roman" w:hAnsi="Times New Roman"/>
                <w:caps w:val="0"/>
                <w:smallCaps w:val="0"/>
                <w:color w:val="auto"/>
                <w:spacing w:val="0"/>
                <w:sz w:val="22"/>
                <w:szCs w:val="22"/>
                <w:lang w:val="en-US" w:eastAsia="zh-CN"/>
                <w:highlight w:val="none"/>
              </w:rPr>
            </w:pPr>
            <w:r>
              <w:rPr>
                <w:rFonts w:ascii="Times New Roman" w:cs="Times New Roman" w:hAnsi="Times New Roman" w:hint="eastAsia"/>
                <w:caps w:val="0"/>
                <w:smallCaps w:val="0"/>
                <w:color w:val="auto"/>
                <w:spacing w:val="0"/>
                <w:sz w:val="22"/>
                <w:szCs w:val="22"/>
                <w:lang w:val="en-US" w:eastAsia="zh-CN"/>
                <w:highlight w:val="none"/>
              </w:rPr>
              <w:t>注：因现有工程未识别颗粒物，按照本项目产排污系数计算颗粒物排放量。参照《排放源统计调查产排污核算方法和系数手册》（环境部公告 2021年 第24号）中292塑料制品行业系数手册，树脂、助剂混料-混合-挤出颗粒物产生量为6.00千克/吨-产品，现有工程塑料产品约137吨，产生量为0.822t/a，排放量为0.411t/a。</w:t>
            </w:r>
          </w:p>
          <w:p>
            <w:pPr>
              <w:pStyle w:val="137"/>
              <w:keepNext w:val="0"/>
              <w:keepLines w:val="0"/>
              <w:suppressLineNumbers w:val="0"/>
              <w:spacing w:before="0" w:beforeAutospacing="0" w:after="0" w:afterAutospacing="0"/>
              <w:ind w:left="0" w:right="0" w:firstLineChars="200" w:firstLine="480"/>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snapToGrid w:val="0"/>
                <w:color w:val="auto"/>
                <w:spacing w:val="0"/>
                <w:kern w:val="2"/>
                <w:sz w:val="24"/>
                <w:szCs w:val="24"/>
                <w:lang w:val="en-US" w:eastAsia="zh-CN" w:bidi="ar-SA"/>
                <w:highlight w:val="none"/>
              </w:rPr>
              <w:t>6</w:t>
            </w:r>
            <w:r>
              <w:rPr>
                <w:rFonts w:ascii="Times New Roman" w:eastAsia="宋体" w:cs="Times New Roman" w:hAnsi="Times New Roman"/>
                <w:caps w:val="0"/>
                <w:smallCaps w:val="0"/>
                <w:snapToGrid w:val="0"/>
                <w:color w:val="auto"/>
                <w:spacing w:val="0"/>
                <w:kern w:val="2"/>
                <w:sz w:val="24"/>
                <w:szCs w:val="24"/>
                <w:lang w:val="en-US" w:eastAsia="zh-CN" w:bidi="ar-SA"/>
                <w:highlight w:val="none"/>
              </w:rPr>
              <w:t>、</w:t>
            </w:r>
            <w:r>
              <w:rPr>
                <w:rFonts w:ascii="Times New Roman" w:cs="Times New Roman" w:hAnsi="Times New Roman"/>
                <w:caps w:val="0"/>
                <w:smallCaps w:val="0"/>
                <w:color w:val="auto"/>
                <w:spacing w:val="0"/>
                <w:sz w:val="24"/>
                <w:szCs w:val="20"/>
                <w:lang w:val="en-US" w:eastAsia="zh-CN"/>
                <w:highlight w:val="none"/>
              </w:rPr>
              <w:t>现有工程总量控制指标</w:t>
            </w:r>
          </w:p>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Chars="200" w:firstLine="480"/>
              <w:textAlignment w:val="auto"/>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lang w:val="en-US" w:eastAsia="zh-CN"/>
                <w:highlight w:val="none"/>
              </w:rPr>
              <w:t>现有</w:t>
            </w:r>
            <w:r>
              <w:rPr>
                <w:rFonts w:ascii="Times New Roman" w:cs="Times New Roman" w:hAnsi="Times New Roman"/>
                <w:caps w:val="0"/>
                <w:smallCaps w:val="0"/>
                <w:color w:val="auto"/>
                <w:spacing w:val="0"/>
                <w:sz w:val="24"/>
                <w:szCs w:val="20"/>
                <w:highlight w:val="none"/>
              </w:rPr>
              <w:t>总量控制指标：SO</w:t>
            </w:r>
            <w:r>
              <w:rPr>
                <w:rFonts w:ascii="Times New Roman" w:cs="Times New Roman" w:hAnsi="Times New Roman"/>
                <w:caps w:val="0"/>
                <w:smallCaps w:val="0"/>
                <w:color w:val="auto"/>
                <w:spacing w:val="0"/>
                <w:sz w:val="24"/>
                <w:szCs w:val="20"/>
                <w:vertAlign w:val="subscript"/>
                <w:highlight w:val="none"/>
              </w:rPr>
              <w:t>2</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0</w:t>
            </w:r>
            <w:r>
              <w:rPr>
                <w:rFonts w:ascii="Times New Roman" w:cs="Times New Roman" w:hAnsi="Times New Roman"/>
                <w:caps w:val="0"/>
                <w:smallCaps w:val="0"/>
                <w:color w:val="auto"/>
                <w:spacing w:val="0"/>
                <w:sz w:val="24"/>
                <w:szCs w:val="20"/>
                <w:highlight w:val="none"/>
              </w:rPr>
              <w:t>t/a ；NO</w:t>
            </w:r>
            <w:r>
              <w:rPr>
                <w:rFonts w:ascii="Times New Roman" w:cs="Times New Roman" w:hAnsi="Times New Roman"/>
                <w:caps w:val="0"/>
                <w:smallCaps w:val="0"/>
                <w:color w:val="auto"/>
                <w:spacing w:val="0"/>
                <w:sz w:val="24"/>
                <w:szCs w:val="20"/>
                <w:vertAlign w:val="subscript"/>
                <w:highlight w:val="none"/>
              </w:rPr>
              <w:t>X</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0</w:t>
            </w:r>
            <w:r>
              <w:rPr>
                <w:rFonts w:ascii="Times New Roman" w:cs="Times New Roman" w:hAnsi="Times New Roman"/>
                <w:caps w:val="0"/>
                <w:smallCaps w:val="0"/>
                <w:color w:val="auto"/>
                <w:spacing w:val="0"/>
                <w:sz w:val="24"/>
                <w:szCs w:val="20"/>
                <w:highlight w:val="none"/>
              </w:rPr>
              <w:t>t/a；COD：</w:t>
            </w:r>
            <w:r>
              <w:rPr>
                <w:rFonts w:ascii="Times New Roman" w:cs="Times New Roman" w:hAnsi="Times New Roman" w:hint="eastAsia"/>
                <w:caps w:val="0"/>
                <w:smallCaps w:val="0"/>
                <w:color w:val="auto"/>
                <w:spacing w:val="0"/>
                <w:sz w:val="24"/>
                <w:szCs w:val="20"/>
                <w:lang w:val="en-US" w:eastAsia="zh-CN"/>
                <w:highlight w:val="none"/>
              </w:rPr>
              <w:t>0.046</w:t>
            </w:r>
            <w:r>
              <w:rPr>
                <w:rFonts w:ascii="Times New Roman" w:cs="Times New Roman" w:hAnsi="Times New Roman"/>
                <w:caps w:val="0"/>
                <w:smallCaps w:val="0"/>
                <w:color w:val="auto"/>
                <w:spacing w:val="0"/>
                <w:sz w:val="24"/>
                <w:szCs w:val="20"/>
                <w:highlight w:val="none"/>
              </w:rPr>
              <w:t>t/a；NH</w:t>
            </w:r>
            <w:r>
              <w:rPr>
                <w:rFonts w:ascii="Times New Roman" w:cs="Times New Roman" w:hAnsi="Times New Roman"/>
                <w:caps w:val="0"/>
                <w:smallCaps w:val="0"/>
                <w:color w:val="auto"/>
                <w:spacing w:val="0"/>
                <w:sz w:val="24"/>
                <w:szCs w:val="20"/>
                <w:vertAlign w:val="subscript"/>
                <w:highlight w:val="none"/>
              </w:rPr>
              <w:t>3</w:t>
            </w:r>
            <w:r>
              <w:rPr>
                <w:rFonts w:ascii="Times New Roman" w:cs="Times New Roman" w:hAnsi="Times New Roman"/>
                <w:caps w:val="0"/>
                <w:smallCaps w:val="0"/>
                <w:color w:val="auto"/>
                <w:spacing w:val="0"/>
                <w:sz w:val="24"/>
                <w:szCs w:val="20"/>
                <w:highlight w:val="none"/>
              </w:rPr>
              <w:t>-N：</w:t>
            </w:r>
            <w:r>
              <w:rPr>
                <w:rFonts w:ascii="Times New Roman" w:cs="Times New Roman" w:hAnsi="Times New Roman" w:hint="eastAsia"/>
                <w:caps w:val="0"/>
                <w:smallCaps w:val="0"/>
                <w:color w:val="auto"/>
                <w:spacing w:val="0"/>
                <w:sz w:val="24"/>
                <w:szCs w:val="20"/>
                <w:lang w:val="en-US" w:eastAsia="zh-CN"/>
                <w:highlight w:val="none"/>
              </w:rPr>
              <w:t>0.005</w:t>
            </w:r>
            <w:r>
              <w:rPr>
                <w:rFonts w:ascii="Times New Roman" w:cs="Times New Roman" w:hAnsi="Times New Roman"/>
                <w:caps w:val="0"/>
                <w:smallCaps w:val="0"/>
                <w:color w:val="auto"/>
                <w:spacing w:val="0"/>
                <w:sz w:val="24"/>
                <w:szCs w:val="20"/>
                <w:highlight w:val="none"/>
              </w:rPr>
              <w:t>t/a</w:t>
            </w:r>
            <w:r>
              <w:rPr>
                <w:rFonts w:ascii="Times New Roman" w:cs="Times New Roman" w:hAnsi="Times New Roman" w:hint="eastAsia"/>
                <w:caps w:val="0"/>
                <w:smallCaps w:val="0"/>
                <w:color w:val="auto"/>
                <w:spacing w:val="0"/>
                <w:sz w:val="24"/>
                <w:szCs w:val="20"/>
                <w:lang w:val="en-US" w:eastAsia="zh-CN"/>
                <w:highlight w:val="none"/>
              </w:rPr>
              <w:t>。现有工程实际排放量未超出现有工程总量控制指标</w:t>
            </w:r>
            <w:r>
              <w:rPr>
                <w:rFonts w:ascii="Times New Roman" w:cs="Times New Roman" w:hAnsi="Times New Roman"/>
                <w:caps w:val="0"/>
                <w:smallCaps w:val="0"/>
                <w:color w:val="auto"/>
                <w:spacing w:val="0"/>
                <w:sz w:val="24"/>
                <w:szCs w:val="20"/>
                <w:highlight w:val="none"/>
              </w:rPr>
              <w:t>。</w:t>
            </w:r>
          </w:p>
          <w:p>
            <w:pPr>
              <w:keepNext w:val="0"/>
              <w:keepLines w:val="0"/>
              <w:suppressLineNumbers w:val="0"/>
              <w:spacing w:before="0" w:beforeAutospacing="0" w:after="0" w:afterAutospacing="0"/>
              <w:ind w:left="0" w:right="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ind w:left="0" w:right="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ind w:left="0" w:right="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ind w:left="0" w:right="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ind w:left="0" w:right="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ind w:left="0" w:right="0"/>
              <w:rPr>
                <w:rFonts w:ascii="Times New Roman" w:eastAsia="宋体" w:cs="Times New Roman" w:hAnsi="Times New Roman"/>
                <w:caps w:val="0"/>
                <w:smallCaps w:val="0"/>
                <w:color w:val="auto"/>
                <w:spacing w:val="0"/>
                <w:szCs w:val="20"/>
                <w:lang w:val="en-US" w:eastAsia="zh-CN"/>
                <w:highlight w:val="none"/>
              </w:rPr>
            </w:pPr>
          </w:p>
        </w:tc>
      </w:tr>
    </w:tbl>
    <w:p>
      <w:pPr>
        <w:pStyle w:val="45"/>
        <w:jc w:val="center"/>
        <w:rPr>
          <w:rFonts w:ascii="Times New Roman" w:eastAsia="黑体" w:cs="Times New Roman" w:hAnsi="Times New Roman"/>
          <w:caps w:val="0"/>
          <w:smallCaps w:val="0"/>
          <w:snapToGrid w:val="0"/>
          <w:color w:val="auto"/>
          <w:spacing w:val="0"/>
          <w:sz w:val="36"/>
          <w:szCs w:val="36"/>
          <w:highlight w:val="none"/>
        </w:rPr>
        <w:sectPr>
          <w:pgSz w:w="11906" w:h="16838"/>
          <w:pgMar w:top="1701" w:right="1531" w:bottom="1701" w:left="1531" w:header="851" w:footer="851" w:gutter="0"/>
          <w:cols w:num="1" w:space="720"/>
          <w:docGrid w:linePitch="312" w:charSpace="0"/>
        </w:sectPr>
      </w:pPr>
    </w:p>
    <w:p>
      <w:pPr>
        <w:pStyle w:val="45"/>
        <w:jc w:val="center"/>
        <w:outlineLvl w:val="0"/>
        <w:rPr>
          <w:rFonts w:ascii="Times New Roman" w:eastAsia="黑体" w:cs="Times New Roman" w:hAnsi="Times New Roman"/>
          <w:caps w:val="0"/>
          <w:smallCaps w:val="0"/>
          <w:snapToGrid w:val="0"/>
          <w:color w:val="auto"/>
          <w:spacing w:val="0"/>
          <w:sz w:val="30"/>
          <w:szCs w:val="30"/>
          <w:highlight w:val="none"/>
        </w:rPr>
      </w:pPr>
      <w:bookmarkStart w:id="8" w:name="_Toc22540"/>
      <w:r>
        <w:rPr>
          <w:rFonts w:ascii="Times New Roman" w:eastAsia="黑体" w:cs="Times New Roman" w:hAnsi="Times New Roman"/>
          <w:caps w:val="0"/>
          <w:smallCaps w:val="0"/>
          <w:snapToGrid w:val="0"/>
          <w:color w:val="auto"/>
          <w:spacing w:val="0"/>
          <w:sz w:val="30"/>
          <w:szCs w:val="30"/>
          <w:highlight w:val="none"/>
        </w:rPr>
        <w:t>三、区域环境质量现状、环境保护目标及评价标准</w:t>
      </w:r>
      <w:bookmarkEnd w:id="8"/>
    </w:p>
    <w:tbl>
      <w:tblPr>
        <w:jc w:val="cente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34"/>
        <w:gridCol w:w="7887"/>
      </w:tblGrid>
      <w:tr>
        <w:trPr>
          <w:trHeight w:val="458"/>
        </w:trPr>
        <w:tc>
          <w:tcPr>
            <w:tcW w:w="372" w:type="pct"/>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区域</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环境</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质量</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4"/>
                <w:szCs w:val="21"/>
                <w:highlight w:val="none"/>
              </w:rPr>
              <w:t>现状</w:t>
            </w:r>
          </w:p>
        </w:tc>
        <w:tc>
          <w:tcPr>
            <w:tcW w:w="4627" w:type="pct"/>
            <w:vAlign w:val="center"/>
          </w:tcPr>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1、环境空气</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1）基本污染物环境质量现状监测数据</w:t>
            </w:r>
          </w:p>
          <w:p>
            <w:pPr>
              <w:pStyle w:val="137"/>
              <w:keepNext w:val="0"/>
              <w:keepLines w:val="0"/>
              <w:suppressLineNumbers w:val="0"/>
              <w:spacing w:before="0" w:beforeAutospacing="0" w:after="0" w:afterAutospacing="0" w:line="460" w:lineRule="exact"/>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根据《环境影响评价技术导则 大气环境》（HJ2.2-2018）要求，采用地方生态环境主管部门公开发布的评价基准年环境质量公告的数据对项目所在区域进行区域达标判定。</w:t>
            </w:r>
          </w:p>
          <w:p>
            <w:pPr>
              <w:pStyle w:val="137"/>
              <w:keepNext w:val="0"/>
              <w:keepLines w:val="0"/>
              <w:suppressLineNumbers w:val="0"/>
              <w:spacing w:before="0" w:beforeAutospacing="0" w:after="0" w:afterAutospacing="0" w:line="460" w:lineRule="exact"/>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根据石家庄市生态环境局发布的</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eastAsia="zh-CN"/>
                <w:highlight w:val="none"/>
              </w:rPr>
              <w:t>石家庄市生态环境状况公报（2024年）</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中相关数据，</w:t>
            </w:r>
            <w:r>
              <w:rPr>
                <w:rFonts w:ascii="Times New Roman" w:cs="Times New Roman" w:hAnsi="Times New Roman"/>
                <w:caps w:val="0"/>
                <w:smallCaps w:val="0"/>
                <w:color w:val="auto"/>
                <w:spacing w:val="0"/>
                <w:sz w:val="24"/>
                <w:szCs w:val="20"/>
                <w:lang w:val="en-US" w:eastAsia="zh-CN"/>
                <w:highlight w:val="none"/>
              </w:rPr>
              <w:t>石家庄市</w:t>
            </w:r>
            <w:r>
              <w:rPr>
                <w:rFonts w:ascii="Times New Roman" w:cs="Times New Roman" w:hAnsi="Times New Roman"/>
                <w:caps w:val="0"/>
                <w:smallCaps w:val="0"/>
                <w:color w:val="auto"/>
                <w:spacing w:val="0"/>
                <w:sz w:val="24"/>
                <w:szCs w:val="20"/>
                <w:highlight w:val="none"/>
              </w:rPr>
              <w:t>环境空气质量现状评价结果见</w:t>
            </w:r>
            <w:r>
              <w:rPr>
                <w:rFonts w:ascii="Times New Roman" w:cs="Times New Roman" w:hAnsi="Times New Roman"/>
                <w:caps w:val="0"/>
                <w:smallCaps w:val="0"/>
                <w:snapToGrid w:val="0"/>
                <w:color w:val="auto"/>
                <w:spacing w:val="0"/>
                <w:kern w:val="0"/>
                <w:sz w:val="24"/>
                <w:szCs w:val="20"/>
                <w:highlight w:val="none"/>
              </w:rPr>
              <w:t>下表。</w:t>
            </w:r>
          </w:p>
          <w:p>
            <w:pPr>
              <w:pStyle w:val="147"/>
              <w:keepNext w:val="0"/>
              <w:keepLines w:val="0"/>
              <w:suppressLineNumbers w:val="0"/>
              <w:spacing w:before="0" w:beforeAutospacing="0" w:after="0" w:afterAutospacing="0"/>
              <w:ind w:left="0" w:right="0"/>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表</w:t>
            </w:r>
            <w:r>
              <w:rPr>
                <w:rFonts w:ascii="Times New Roman" w:cs="Times New Roman" w:hAnsi="Times New Roman"/>
                <w:caps w:val="0"/>
                <w:smallCaps w:val="0"/>
                <w:color w:val="auto"/>
                <w:spacing w:val="0"/>
                <w:sz w:val="24"/>
                <w:szCs w:val="20"/>
                <w:lang w:val="en-US" w:eastAsia="zh-CN"/>
                <w:highlight w:val="none"/>
              </w:rPr>
              <w:t>3-1</w:t>
            </w:r>
            <w:r>
              <w:rPr>
                <w:rFonts w:ascii="Times New Roman" w:eastAsia="宋体" w:cs="Times New Roman" w:hAnsi="Times New Roman"/>
                <w:caps w:val="0"/>
                <w:smallCaps w:val="0"/>
                <w:color w:val="auto"/>
                <w:spacing w:val="0"/>
                <w:sz w:val="24"/>
                <w:szCs w:val="20"/>
                <w:highlight w:val="none"/>
              </w:rPr>
              <w:t xml:space="preserve">  </w:t>
            </w:r>
            <w:r>
              <w:rPr>
                <w:rFonts w:ascii="Times New Roman" w:cs="Times New Roman" w:hAnsi="Times New Roman"/>
                <w:caps w:val="0"/>
                <w:smallCaps w:val="0"/>
                <w:color w:val="auto"/>
                <w:spacing w:val="0"/>
                <w:sz w:val="24"/>
                <w:szCs w:val="20"/>
                <w:lang w:val="en-US" w:eastAsia="zh-CN"/>
                <w:highlight w:val="none"/>
              </w:rPr>
              <w:t xml:space="preserve"> 石家庄市</w:t>
            </w:r>
            <w:r>
              <w:rPr>
                <w:rFonts w:ascii="Times New Roman" w:eastAsia="宋体" w:cs="Times New Roman" w:hAnsi="Times New Roman"/>
                <w:caps w:val="0"/>
                <w:smallCaps w:val="0"/>
                <w:color w:val="auto"/>
                <w:spacing w:val="0"/>
                <w:sz w:val="24"/>
                <w:szCs w:val="20"/>
                <w:highlight w:val="none"/>
              </w:rPr>
              <w:t>环境空气质量现状判定表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883"/>
              <w:gridCol w:w="2295"/>
              <w:gridCol w:w="1217"/>
              <w:gridCol w:w="1079"/>
              <w:gridCol w:w="1079"/>
              <w:gridCol w:w="1103"/>
            </w:tblGrid>
            <w:tr>
              <w:trPr>
                <w:trHeight w:val="255"/>
              </w:trPr>
              <w:tc>
                <w:tcPr>
                  <w:tcW w:w="576"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污染物名称</w:t>
                  </w:r>
                </w:p>
              </w:tc>
              <w:tc>
                <w:tcPr>
                  <w:tcW w:w="1498"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年评价指标</w:t>
                  </w:r>
                </w:p>
              </w:tc>
              <w:tc>
                <w:tcPr>
                  <w:tcW w:w="794"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现状浓度</w:t>
                  </w:r>
                </w:p>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（μg/m</w:t>
                  </w:r>
                  <w:r>
                    <w:rPr>
                      <w:rFonts w:ascii="Times New Roman" w:cs="Times New Roman" w:hAnsi="Times New Roman"/>
                      <w:caps w:val="0"/>
                      <w:smallCaps w:val="0"/>
                      <w:color w:val="auto"/>
                      <w:spacing w:val="0"/>
                      <w:kern w:val="0"/>
                      <w:sz w:val="21"/>
                      <w:szCs w:val="18"/>
                      <w:vertAlign w:val="superscript"/>
                      <w:highlight w:val="none"/>
                    </w:rPr>
                    <w:t>3</w:t>
                  </w:r>
                  <w:r>
                    <w:rPr>
                      <w:rFonts w:ascii="Times New Roman" w:cs="Times New Roman" w:hAnsi="Times New Roman"/>
                      <w:caps w:val="0"/>
                      <w:smallCaps w:val="0"/>
                      <w:color w:val="auto"/>
                      <w:spacing w:val="0"/>
                      <w:kern w:val="0"/>
                      <w:sz w:val="21"/>
                      <w:szCs w:val="18"/>
                      <w:highlight w:val="none"/>
                    </w:rPr>
                    <w:t>）</w:t>
                  </w:r>
                </w:p>
              </w:tc>
              <w:tc>
                <w:tcPr>
                  <w:tcW w:w="704"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标准值</w:t>
                  </w:r>
                </w:p>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（μg/m</w:t>
                  </w:r>
                  <w:r>
                    <w:rPr>
                      <w:rFonts w:ascii="Times New Roman" w:cs="Times New Roman" w:hAnsi="Times New Roman"/>
                      <w:caps w:val="0"/>
                      <w:smallCaps w:val="0"/>
                      <w:color w:val="auto"/>
                      <w:spacing w:val="0"/>
                      <w:kern w:val="0"/>
                      <w:sz w:val="21"/>
                      <w:szCs w:val="18"/>
                      <w:vertAlign w:val="superscript"/>
                      <w:highlight w:val="none"/>
                    </w:rPr>
                    <w:t>3</w:t>
                  </w:r>
                  <w:r>
                    <w:rPr>
                      <w:rFonts w:ascii="Times New Roman" w:cs="Times New Roman" w:hAnsi="Times New Roman"/>
                      <w:caps w:val="0"/>
                      <w:smallCaps w:val="0"/>
                      <w:color w:val="auto"/>
                      <w:spacing w:val="0"/>
                      <w:kern w:val="0"/>
                      <w:sz w:val="21"/>
                      <w:szCs w:val="18"/>
                      <w:highlight w:val="none"/>
                    </w:rPr>
                    <w:t>）</w:t>
                  </w:r>
                </w:p>
              </w:tc>
              <w:tc>
                <w:tcPr>
                  <w:tcW w:w="704"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占标率%</w:t>
                  </w:r>
                </w:p>
              </w:tc>
              <w:tc>
                <w:tcPr>
                  <w:tcW w:w="720" w:type="pct"/>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cs="Times New Roman" w:hAnsi="Times New Roman"/>
                      <w:caps w:val="0"/>
                      <w:smallCaps w:val="0"/>
                      <w:color w:val="auto"/>
                      <w:spacing w:val="0"/>
                      <w:kern w:val="0"/>
                      <w:sz w:val="21"/>
                      <w:szCs w:val="18"/>
                      <w:highlight w:val="none"/>
                    </w:rPr>
                  </w:pPr>
                  <w:r>
                    <w:rPr>
                      <w:rFonts w:ascii="Times New Roman" w:cs="Times New Roman" w:hAnsi="Times New Roman"/>
                      <w:caps w:val="0"/>
                      <w:smallCaps w:val="0"/>
                      <w:color w:val="auto"/>
                      <w:spacing w:val="0"/>
                      <w:kern w:val="0"/>
                      <w:sz w:val="21"/>
                      <w:szCs w:val="18"/>
                      <w:highlight w:val="none"/>
                    </w:rPr>
                    <w:t>达标情况</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PM</w:t>
                  </w:r>
                  <w:r>
                    <w:rPr>
                      <w:rFonts w:ascii="Times New Roman" w:cs="Times New Roman" w:hAnsi="Times New Roman"/>
                      <w:caps w:val="0"/>
                      <w:smallCaps w:val="0"/>
                      <w:color w:val="auto"/>
                      <w:spacing w:val="0"/>
                      <w:kern w:val="0"/>
                      <w:sz w:val="21"/>
                      <w:szCs w:val="18"/>
                      <w:vertAlign w:val="subscript"/>
                      <w:highlight w:val="none"/>
                    </w:rPr>
                    <w:t>10</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年平均质量浓度</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78</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70</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111.43</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不达标</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PM</w:t>
                  </w:r>
                  <w:r>
                    <w:rPr>
                      <w:rFonts w:ascii="Times New Roman" w:cs="Times New Roman" w:hAnsi="Times New Roman"/>
                      <w:caps w:val="0"/>
                      <w:smallCaps w:val="0"/>
                      <w:color w:val="auto"/>
                      <w:spacing w:val="0"/>
                      <w:kern w:val="0"/>
                      <w:sz w:val="21"/>
                      <w:szCs w:val="18"/>
                      <w:vertAlign w:val="subscript"/>
                      <w:highlight w:val="none"/>
                    </w:rPr>
                    <w:t>2.5</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年平均质量浓度</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45</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35</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128.57</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不达标</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SO</w:t>
                  </w:r>
                  <w:r>
                    <w:rPr>
                      <w:rFonts w:ascii="Times New Roman" w:cs="Times New Roman" w:hAnsi="Times New Roman"/>
                      <w:caps w:val="0"/>
                      <w:smallCaps w:val="0"/>
                      <w:color w:val="auto"/>
                      <w:spacing w:val="0"/>
                      <w:kern w:val="0"/>
                      <w:sz w:val="21"/>
                      <w:szCs w:val="18"/>
                      <w:vertAlign w:val="subscript"/>
                      <w:highlight w:val="none"/>
                    </w:rPr>
                    <w:t>2</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年平均质量浓度</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5</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60</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8.33</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达标</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NO</w:t>
                  </w:r>
                  <w:r>
                    <w:rPr>
                      <w:rFonts w:ascii="Times New Roman" w:cs="Times New Roman" w:hAnsi="Times New Roman"/>
                      <w:caps w:val="0"/>
                      <w:smallCaps w:val="0"/>
                      <w:color w:val="auto"/>
                      <w:spacing w:val="0"/>
                      <w:kern w:val="0"/>
                      <w:sz w:val="21"/>
                      <w:szCs w:val="18"/>
                      <w:vertAlign w:val="subscript"/>
                      <w:highlight w:val="none"/>
                    </w:rPr>
                    <w:t>2</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年平均质量浓度</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27</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40</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67.50</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达标</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CO</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sz w:val="21"/>
                      <w:szCs w:val="20"/>
                      <w:highlight w:val="none"/>
                    </w:rPr>
                    <w:t>24小时第95位百分位数</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1200</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4000</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30.00</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达标</w:t>
                  </w:r>
                </w:p>
              </w:tc>
            </w:tr>
            <w:tr>
              <w:trPr>
                <w:trHeight w:val="255"/>
              </w:trPr>
              <w:tc>
                <w:tcPr>
                  <w:tcW w:w="576" w:type="pct"/>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O</w:t>
                  </w:r>
                  <w:r>
                    <w:rPr>
                      <w:rFonts w:ascii="Times New Roman" w:cs="Times New Roman" w:hAnsi="Times New Roman"/>
                      <w:caps w:val="0"/>
                      <w:smallCaps w:val="0"/>
                      <w:color w:val="auto"/>
                      <w:spacing w:val="0"/>
                      <w:kern w:val="0"/>
                      <w:sz w:val="21"/>
                      <w:szCs w:val="18"/>
                      <w:vertAlign w:val="subscript"/>
                      <w:highlight w:val="none"/>
                    </w:rPr>
                    <w:t>3</w:t>
                  </w:r>
                </w:p>
              </w:tc>
              <w:tc>
                <w:tcPr>
                  <w:tcW w:w="1498"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sz w:val="21"/>
                      <w:szCs w:val="20"/>
                      <w:highlight w:val="none"/>
                    </w:rPr>
                    <w:t>日最大8小时平均浓度第90百分位数</w:t>
                  </w:r>
                </w:p>
              </w:tc>
              <w:tc>
                <w:tcPr>
                  <w:tcW w:w="79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182</w:t>
                  </w:r>
                </w:p>
              </w:tc>
              <w:tc>
                <w:tcPr>
                  <w:tcW w:w="704"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160</w:t>
                  </w:r>
                </w:p>
              </w:tc>
              <w:tc>
                <w:tcPr>
                  <w:tcW w:w="270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cs="Times New Roman"/>
                      <w:caps w:val="0"/>
                      <w:smallCaps w:val="0"/>
                      <w:snapToGrid w:val="0"/>
                      <w:color w:val="auto"/>
                      <w:spacing w:val="0"/>
                      <w:kern w:val="0"/>
                      <w:sz w:val="21"/>
                      <w:szCs w:val="18"/>
                      <w:lang w:val="en-US" w:eastAsia="zh-CN" w:bidi="ar-SA"/>
                      <w:highlight w:val="none"/>
                    </w:rPr>
                  </w:pPr>
                  <w:r>
                    <w:rPr>
                      <w:rFonts w:ascii="Times New Roman" w:cs="Times New Roman" w:hAnsi="Times New Roman" w:hint="eastAsia"/>
                      <w:caps w:val="0"/>
                      <w:smallCaps w:val="0"/>
                      <w:snapToGrid w:val="0"/>
                      <w:color w:val="auto"/>
                      <w:spacing w:val="0"/>
                      <w:kern w:val="0"/>
                      <w:sz w:val="21"/>
                      <w:szCs w:val="18"/>
                      <w:lang w:val="en-US" w:eastAsia="zh-CN" w:bidi="ar-SA"/>
                      <w:highlight w:val="none"/>
                    </w:rPr>
                    <w:t>113.75</w:t>
                  </w:r>
                </w:p>
              </w:tc>
              <w:tc>
                <w:tcPr>
                  <w:tcW w:w="720" w:type="pct"/>
                  <w:tcBorders>
                    <w:left w:val="single" w:sz="4" w:space="0" w:color="auto"/>
                  </w:tcBorders>
                  <w:shd w:val="clear" w:color="auto" w:fill="auto"/>
                  <w:vAlign w:val="center"/>
                </w:tcPr>
                <w:p>
                  <w:pPr>
                    <w:pStyle w:val="137"/>
                    <w:keepNext w:val="0"/>
                    <w:keepLines w:val="0"/>
                    <w:suppressLineNumbers w:val="0"/>
                    <w:adjustRightInd w:val="0"/>
                    <w:snapToGrid w:val="0"/>
                    <w:spacing w:before="0" w:beforeAutospacing="0" w:after="0" w:afterAutospacing="0" w:line="320" w:lineRule="exact"/>
                    <w:ind w:left="0" w:right="0" w:firstLineChars="0" w:firstLine="0"/>
                    <w:jc w:val="center"/>
                    <w:rPr>
                      <w:rFonts w:ascii="Times New Roman" w:eastAsia="宋体" w:cs="Times New Roman" w:hAnsi="Times New Roman"/>
                      <w:caps w:val="0"/>
                      <w:smallCaps w:val="0"/>
                      <w:snapToGrid w:val="0"/>
                      <w:color w:val="auto"/>
                      <w:spacing w:val="0"/>
                      <w:kern w:val="0"/>
                      <w:sz w:val="21"/>
                      <w:szCs w:val="18"/>
                      <w:lang w:val="en-US" w:eastAsia="zh-CN" w:bidi="ar-SA"/>
                      <w:highlight w:val="none"/>
                    </w:rPr>
                  </w:pPr>
                  <w:r>
                    <w:rPr>
                      <w:rFonts w:ascii="Times New Roman" w:cs="Times New Roman" w:hAnsi="Times New Roman"/>
                      <w:caps w:val="0"/>
                      <w:smallCaps w:val="0"/>
                      <w:color w:val="auto"/>
                      <w:spacing w:val="0"/>
                      <w:kern w:val="0"/>
                      <w:sz w:val="21"/>
                      <w:szCs w:val="18"/>
                      <w:highlight w:val="none"/>
                    </w:rPr>
                    <w:t>不达标</w:t>
                  </w:r>
                </w:p>
              </w:tc>
            </w:tr>
          </w:tbl>
          <w:p>
            <w:pPr>
              <w:pStyle w:val="137"/>
              <w:keepNext w:val="0"/>
              <w:keepLines w:val="0"/>
              <w:suppressLineNumbers w:val="0"/>
              <w:spacing w:before="0" w:beforeAutospacing="0" w:after="0" w:afterAutospacing="0" w:line="460" w:lineRule="exact"/>
              <w:ind w:left="0" w:right="0"/>
              <w:rPr>
                <w:rFonts w:ascii="Times New Roman"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highlight w:val="none"/>
              </w:rPr>
              <w:t>由上表</w:t>
            </w:r>
            <w:r>
              <w:rPr>
                <w:rFonts w:ascii="Times New Roman" w:cs="Times New Roman" w:hAnsi="Times New Roman"/>
                <w:caps w:val="0"/>
                <w:smallCaps w:val="0"/>
                <w:color w:val="auto"/>
                <w:spacing w:val="0"/>
                <w:sz w:val="24"/>
                <w:szCs w:val="24"/>
                <w:highlight w:val="none"/>
              </w:rPr>
              <w:t>可知，</w:t>
            </w:r>
            <w:r>
              <w:rPr>
                <w:rFonts w:ascii="Times New Roman" w:cs="Times New Roman" w:hAnsi="Times New Roman"/>
                <w:caps w:val="0"/>
                <w:smallCaps w:val="0"/>
                <w:color w:val="auto"/>
                <w:spacing w:val="0"/>
                <w:kern w:val="0"/>
                <w:sz w:val="24"/>
                <w:szCs w:val="24"/>
                <w:highlight w:val="none"/>
              </w:rPr>
              <w:t>PM</w:t>
            </w:r>
            <w:r>
              <w:rPr>
                <w:rFonts w:ascii="Times New Roman" w:cs="Times New Roman" w:hAnsi="Times New Roman"/>
                <w:caps w:val="0"/>
                <w:smallCaps w:val="0"/>
                <w:color w:val="auto"/>
                <w:spacing w:val="0"/>
                <w:kern w:val="0"/>
                <w:sz w:val="24"/>
                <w:szCs w:val="24"/>
                <w:vertAlign w:val="subscript"/>
                <w:highlight w:val="none"/>
              </w:rPr>
              <w:t>10</w:t>
            </w:r>
            <w:r>
              <w:rPr>
                <w:rFonts w:ascii="Times New Roman" w:cs="Times New Roman" w:hAnsi="Times New Roman" w:hint="eastAsia"/>
                <w:caps w:val="0"/>
                <w:smallCaps w:val="0"/>
                <w:color w:val="auto"/>
                <w:spacing w:val="0"/>
                <w:kern w:val="0"/>
                <w:sz w:val="24"/>
                <w:szCs w:val="24"/>
                <w:vertAlign w:val="baseline"/>
                <w:lang w:eastAsia="zh-CN"/>
                <w:highlight w:val="none"/>
              </w:rPr>
              <w:t>、</w:t>
            </w:r>
            <w:r>
              <w:rPr>
                <w:rFonts w:ascii="Times New Roman" w:cs="Times New Roman" w:hAnsi="Times New Roman"/>
                <w:caps w:val="0"/>
                <w:smallCaps w:val="0"/>
                <w:color w:val="auto"/>
                <w:spacing w:val="0"/>
                <w:kern w:val="0"/>
                <w:sz w:val="24"/>
                <w:szCs w:val="24"/>
                <w:highlight w:val="none"/>
              </w:rPr>
              <w:t>PM</w:t>
            </w:r>
            <w:r>
              <w:rPr>
                <w:rFonts w:ascii="Times New Roman" w:cs="Times New Roman" w:hAnsi="Times New Roman"/>
                <w:caps w:val="0"/>
                <w:smallCaps w:val="0"/>
                <w:color w:val="auto"/>
                <w:spacing w:val="0"/>
                <w:kern w:val="0"/>
                <w:sz w:val="24"/>
                <w:szCs w:val="24"/>
                <w:vertAlign w:val="subscript"/>
                <w:highlight w:val="none"/>
              </w:rPr>
              <w:t>2.5</w:t>
            </w:r>
            <w:r>
              <w:rPr>
                <w:rFonts w:ascii="Times New Roman" w:cs="Times New Roman" w:hAnsi="Times New Roman" w:hint="eastAsia"/>
                <w:caps w:val="0"/>
                <w:smallCaps w:val="0"/>
                <w:color w:val="auto"/>
                <w:spacing w:val="0"/>
                <w:kern w:val="0"/>
                <w:sz w:val="24"/>
                <w:szCs w:val="24"/>
                <w:vertAlign w:val="baseline"/>
                <w:lang w:eastAsia="zh-CN"/>
                <w:highlight w:val="none"/>
              </w:rPr>
              <w:t>、</w:t>
            </w:r>
            <w:r>
              <w:rPr>
                <w:rFonts w:ascii="Times New Roman" w:cs="Times New Roman" w:hAnsi="Times New Roman"/>
                <w:caps w:val="0"/>
                <w:smallCaps w:val="0"/>
                <w:color w:val="auto"/>
                <w:spacing w:val="0"/>
                <w:kern w:val="0"/>
                <w:sz w:val="24"/>
                <w:szCs w:val="24"/>
                <w:highlight w:val="none"/>
              </w:rPr>
              <w:t>O</w:t>
            </w:r>
            <w:r>
              <w:rPr>
                <w:rFonts w:ascii="Times New Roman" w:cs="Times New Roman" w:hAnsi="Times New Roman"/>
                <w:caps w:val="0"/>
                <w:smallCaps w:val="0"/>
                <w:color w:val="auto"/>
                <w:spacing w:val="0"/>
                <w:kern w:val="0"/>
                <w:sz w:val="24"/>
                <w:szCs w:val="24"/>
                <w:vertAlign w:val="subscript"/>
                <w:highlight w:val="none"/>
              </w:rPr>
              <w:t>3</w:t>
            </w:r>
            <w:r>
              <w:rPr>
                <w:rFonts w:ascii="Times New Roman" w:cs="Times New Roman" w:hAnsi="Times New Roman" w:hint="eastAsia"/>
                <w:caps w:val="0"/>
                <w:smallCaps w:val="0"/>
                <w:color w:val="auto"/>
                <w:spacing w:val="0"/>
                <w:kern w:val="0"/>
                <w:sz w:val="24"/>
                <w:szCs w:val="24"/>
                <w:vertAlign w:val="baseline"/>
                <w:lang w:val="en-US" w:eastAsia="zh-CN"/>
                <w:highlight w:val="none"/>
              </w:rPr>
              <w:t>不满足</w:t>
            </w:r>
            <w:r>
              <w:rPr>
                <w:rFonts w:ascii="Times New Roman" w:eastAsia="宋体" w:cs="Times New Roman" w:hAnsi="Times New Roman"/>
                <w:bCs/>
                <w:color w:val="auto"/>
                <w:kern w:val="2"/>
                <w:sz w:val="24"/>
                <w:szCs w:val="24"/>
                <w:lang w:val="en-US" w:eastAsia="zh-CN"/>
                <w:highlight w:val="none"/>
              </w:rPr>
              <w:t>《环境空气质量标准》（GB3095-2012）二级标准</w:t>
            </w:r>
            <w:r>
              <w:rPr>
                <w:rFonts w:ascii="Times New Roman" w:eastAsia="宋体" w:cs="Times New Roman" w:hAnsi="Times New Roman"/>
                <w:color w:val="auto"/>
                <w:kern w:val="0"/>
                <w:sz w:val="24"/>
                <w:szCs w:val="24"/>
                <w:lang w:val="en-US" w:eastAsia="zh-CN"/>
                <w:highlight w:val="none"/>
              </w:rPr>
              <w:t>及修改单要</w:t>
            </w:r>
            <w:r>
              <w:rPr>
                <w:rFonts w:ascii="Times New Roman" w:eastAsia="宋体" w:cs="Times New Roman" w:hAnsi="Times New Roman"/>
                <w:color w:val="auto"/>
                <w:kern w:val="2"/>
                <w:sz w:val="24"/>
                <w:szCs w:val="24"/>
                <w:lang w:val="en-US" w:eastAsia="zh-CN"/>
                <w:highlight w:val="none"/>
              </w:rPr>
              <w:t>求</w:t>
            </w:r>
            <w:r>
              <w:rPr>
                <w:rFonts w:ascii="Times New Roman" w:cs="Times New Roman" w:hAnsi="Times New Roman" w:hint="eastAsia"/>
                <w:color w:val="auto"/>
                <w:kern w:val="2"/>
                <w:sz w:val="24"/>
                <w:szCs w:val="24"/>
                <w:lang w:val="en-US" w:eastAsia="zh-CN"/>
                <w:highlight w:val="none"/>
              </w:rPr>
              <w:t>，</w:t>
            </w:r>
            <w:r>
              <w:rPr>
                <w:rFonts w:ascii="Times New Roman" w:cs="Times New Roman" w:hAnsi="Times New Roman"/>
                <w:caps w:val="0"/>
                <w:smallCaps w:val="0"/>
                <w:color w:val="auto"/>
                <w:spacing w:val="0"/>
                <w:kern w:val="0"/>
                <w:sz w:val="24"/>
                <w:szCs w:val="24"/>
                <w:highlight w:val="none"/>
              </w:rPr>
              <w:t>SO</w:t>
            </w:r>
            <w:r>
              <w:rPr>
                <w:rFonts w:ascii="Times New Roman" w:cs="Times New Roman" w:hAnsi="Times New Roman"/>
                <w:caps w:val="0"/>
                <w:smallCaps w:val="0"/>
                <w:color w:val="auto"/>
                <w:spacing w:val="0"/>
                <w:kern w:val="0"/>
                <w:sz w:val="24"/>
                <w:szCs w:val="24"/>
                <w:vertAlign w:val="subscript"/>
                <w:highlight w:val="none"/>
              </w:rPr>
              <w:t>2</w:t>
            </w:r>
            <w:r>
              <w:rPr>
                <w:rFonts w:ascii="Times New Roman" w:cs="Times New Roman" w:hAnsi="Times New Roman" w:hint="eastAsia"/>
                <w:caps w:val="0"/>
                <w:smallCaps w:val="0"/>
                <w:color w:val="auto"/>
                <w:spacing w:val="0"/>
                <w:kern w:val="0"/>
                <w:sz w:val="24"/>
                <w:szCs w:val="24"/>
                <w:vertAlign w:val="baseline"/>
                <w:lang w:eastAsia="zh-CN"/>
                <w:highlight w:val="none"/>
              </w:rPr>
              <w:t>、</w:t>
            </w:r>
            <w:r>
              <w:rPr>
                <w:rFonts w:ascii="Times New Roman" w:cs="Times New Roman" w:hAnsi="Times New Roman"/>
                <w:caps w:val="0"/>
                <w:smallCaps w:val="0"/>
                <w:color w:val="auto"/>
                <w:spacing w:val="0"/>
                <w:kern w:val="0"/>
                <w:sz w:val="24"/>
                <w:szCs w:val="24"/>
                <w:highlight w:val="none"/>
              </w:rPr>
              <w:t>NO</w:t>
            </w:r>
            <w:r>
              <w:rPr>
                <w:rFonts w:ascii="Times New Roman" w:cs="Times New Roman" w:hAnsi="Times New Roman"/>
                <w:caps w:val="0"/>
                <w:smallCaps w:val="0"/>
                <w:color w:val="auto"/>
                <w:spacing w:val="0"/>
                <w:kern w:val="0"/>
                <w:sz w:val="24"/>
                <w:szCs w:val="24"/>
                <w:vertAlign w:val="subscript"/>
                <w:highlight w:val="none"/>
              </w:rPr>
              <w:t>2</w:t>
            </w:r>
            <w:r>
              <w:rPr>
                <w:rFonts w:ascii="Times New Roman" w:cs="Times New Roman" w:hAnsi="Times New Roman" w:hint="eastAsia"/>
                <w:caps w:val="0"/>
                <w:smallCaps w:val="0"/>
                <w:color w:val="auto"/>
                <w:spacing w:val="0"/>
                <w:kern w:val="0"/>
                <w:sz w:val="24"/>
                <w:szCs w:val="24"/>
                <w:vertAlign w:val="baseline"/>
                <w:lang w:eastAsia="zh-CN"/>
                <w:highlight w:val="none"/>
              </w:rPr>
              <w:t>、</w:t>
            </w:r>
            <w:r>
              <w:rPr>
                <w:rFonts w:ascii="Times New Roman" w:cs="Times New Roman" w:hAnsi="Times New Roman"/>
                <w:caps w:val="0"/>
                <w:smallCaps w:val="0"/>
                <w:color w:val="auto"/>
                <w:spacing w:val="0"/>
                <w:kern w:val="0"/>
                <w:sz w:val="24"/>
                <w:szCs w:val="24"/>
                <w:highlight w:val="none"/>
              </w:rPr>
              <w:t>CO</w:t>
            </w:r>
            <w:r>
              <w:rPr>
                <w:rFonts w:ascii="Times New Roman" w:cs="Times New Roman" w:hAnsi="Times New Roman" w:hint="eastAsia"/>
                <w:caps w:val="0"/>
                <w:smallCaps w:val="0"/>
                <w:color w:val="auto"/>
                <w:spacing w:val="0"/>
                <w:kern w:val="0"/>
                <w:sz w:val="24"/>
                <w:szCs w:val="24"/>
                <w:vertAlign w:val="baseline"/>
                <w:lang w:val="en-US" w:eastAsia="zh-CN"/>
                <w:highlight w:val="none"/>
              </w:rPr>
              <w:t>满足</w:t>
            </w:r>
            <w:r>
              <w:rPr>
                <w:rFonts w:ascii="Times New Roman" w:eastAsia="宋体" w:cs="Times New Roman" w:hAnsi="Times New Roman"/>
                <w:bCs/>
                <w:color w:val="auto"/>
                <w:kern w:val="2"/>
                <w:sz w:val="24"/>
                <w:szCs w:val="24"/>
                <w:lang w:val="en-US" w:eastAsia="zh-CN"/>
                <w:highlight w:val="none"/>
              </w:rPr>
              <w:t>《环境空气质量标准》（GB3095-2012）二级标准</w:t>
            </w:r>
            <w:r>
              <w:rPr>
                <w:rFonts w:ascii="Times New Roman" w:eastAsia="宋体" w:cs="Times New Roman" w:hAnsi="Times New Roman"/>
                <w:color w:val="auto"/>
                <w:kern w:val="0"/>
                <w:sz w:val="24"/>
                <w:szCs w:val="24"/>
                <w:lang w:val="en-US" w:eastAsia="zh-CN"/>
                <w:highlight w:val="none"/>
              </w:rPr>
              <w:t>及修改单要</w:t>
            </w:r>
            <w:r>
              <w:rPr>
                <w:rFonts w:ascii="Times New Roman" w:eastAsia="宋体" w:cs="Times New Roman" w:hAnsi="Times New Roman"/>
                <w:color w:val="auto"/>
                <w:kern w:val="2"/>
                <w:sz w:val="24"/>
                <w:szCs w:val="24"/>
                <w:lang w:val="en-US" w:eastAsia="zh-CN"/>
                <w:highlight w:val="none"/>
              </w:rPr>
              <w:t>求</w:t>
            </w:r>
            <w:r>
              <w:rPr>
                <w:rFonts w:ascii="Times New Roman" w:cs="Times New Roman" w:hAnsi="Times New Roman" w:hint="eastAsia"/>
                <w:color w:val="auto"/>
                <w:kern w:val="2"/>
                <w:sz w:val="24"/>
                <w:szCs w:val="24"/>
                <w:lang w:val="en-US" w:eastAsia="zh-CN"/>
                <w:highlight w:val="none"/>
              </w:rPr>
              <w:t>，</w:t>
            </w:r>
            <w:r>
              <w:rPr>
                <w:rFonts w:ascii="Times New Roman" w:cs="Times New Roman" w:hAnsi="Times New Roman"/>
                <w:caps w:val="0"/>
                <w:smallCaps w:val="0"/>
                <w:color w:val="auto"/>
                <w:spacing w:val="0"/>
                <w:sz w:val="24"/>
                <w:szCs w:val="24"/>
                <w:lang w:val="en-US" w:eastAsia="zh-CN"/>
                <w:highlight w:val="none"/>
              </w:rPr>
              <w:t>石家庄市</w:t>
            </w:r>
            <w:r>
              <w:rPr>
                <w:rFonts w:ascii="Times New Roman" w:cs="Times New Roman" w:hAnsi="Times New Roman"/>
                <w:caps w:val="0"/>
                <w:smallCaps w:val="0"/>
                <w:color w:val="auto"/>
                <w:spacing w:val="0"/>
                <w:sz w:val="24"/>
                <w:szCs w:val="20"/>
                <w:highlight w:val="none"/>
              </w:rPr>
              <w:t>属于不达标区域</w:t>
            </w:r>
            <w:r>
              <w:rPr>
                <w:rFonts w:ascii="Times New Roman" w:cs="Times New Roman" w:hAnsi="Times New Roman"/>
                <w:caps w:val="0"/>
                <w:smallCaps w:val="0"/>
                <w:color w:val="auto"/>
                <w:spacing w:val="0"/>
                <w:sz w:val="24"/>
                <w:szCs w:val="20"/>
                <w:lang w:eastAsia="zh-CN"/>
                <w:highlight w:val="none"/>
              </w:rPr>
              <w:t>。</w:t>
            </w:r>
          </w:p>
          <w:p>
            <w:pPr>
              <w:keepNext w:val="0"/>
              <w:keepLines w:val="0"/>
              <w:suppressLineNumbers w:val="0"/>
              <w:spacing w:before="0" w:beforeAutospacing="0" w:after="0" w:afterAutospacing="0" w:line="46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2）其它污染物环境空气质量现状监测</w:t>
            </w:r>
          </w:p>
          <w:p>
            <w:pPr>
              <w:keepNext w:val="0"/>
              <w:keepLines w:val="0"/>
              <w:suppressLineNumbers w:val="0"/>
              <w:spacing w:before="0" w:beforeAutospacing="0" w:after="0" w:afterAutospacing="0" w:line="46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根据《建设项目环境影响报告表编制技术指南 污染影响类（试行）》：</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排放国家、地方环境空气质量标准中有标准限值要求的特征污染物时，引用建设项目周边5千米范围内近3年的现有监测数据</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，无相关数据的选择当季主导风向下风向1个点位补充不少于3天的监测数据。</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textAlignment w:val="auto"/>
              <w:rPr>
                <w:color w:val="auto"/>
                <w:sz w:val="24"/>
                <w:szCs w:val="20"/>
                <w:highlight w:val="none"/>
              </w:rPr>
            </w:pPr>
            <w:r>
              <w:rPr>
                <w:rFonts w:ascii="Times New Roman" w:cs="Times New Roman" w:hAnsi="Times New Roman" w:hint="eastAsia"/>
                <w:color w:val="auto"/>
                <w:sz w:val="24"/>
                <w:szCs w:val="20"/>
                <w:highlight w:val="none"/>
              </w:rPr>
              <w:t>本次评价非甲烷总烃</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TSP、氨、臭气浓度</w:t>
            </w:r>
            <w:r>
              <w:rPr>
                <w:rFonts w:ascii="Times New Roman" w:cs="Times New Roman" w:hAnsi="Times New Roman" w:hint="eastAsia"/>
                <w:color w:val="auto"/>
                <w:sz w:val="24"/>
                <w:szCs w:val="20"/>
                <w:highlight w:val="none"/>
              </w:rPr>
              <w:t>环境质量现状数据引用</w:t>
            </w:r>
            <w:r>
              <w:rPr>
                <w:rFonts w:ascii="Times New Roman" w:cs="Times New Roman" w:hAnsi="Times New Roman" w:hint="eastAsia"/>
                <w:color w:val="auto"/>
                <w:sz w:val="24"/>
                <w:szCs w:val="20"/>
                <w:lang w:eastAsia="zh-CN"/>
                <w:highlight w:val="none"/>
              </w:rPr>
              <w:t>河北中寰检测服务有限公司</w:t>
            </w:r>
            <w:r>
              <w:rPr>
                <w:rFonts w:ascii="Times New Roman" w:cs="Times New Roman" w:hAnsi="Times New Roman" w:hint="eastAsia"/>
                <w:color w:val="auto"/>
                <w:sz w:val="24"/>
                <w:szCs w:val="20"/>
                <w:highlight w:val="none"/>
              </w:rPr>
              <w:t>2023年</w:t>
            </w:r>
            <w:r>
              <w:rPr>
                <w:rFonts w:ascii="Times New Roman" w:cs="Times New Roman" w:hAnsi="Times New Roman" w:hint="eastAsia"/>
                <w:color w:val="auto"/>
                <w:sz w:val="24"/>
                <w:szCs w:val="20"/>
                <w:lang w:val="en-US" w:eastAsia="zh-CN"/>
                <w:highlight w:val="none"/>
              </w:rPr>
              <w:t>6</w:t>
            </w:r>
            <w:r>
              <w:rPr>
                <w:rFonts w:ascii="Times New Roman" w:cs="Times New Roman" w:hAnsi="Times New Roman" w:hint="eastAsia"/>
                <w:color w:val="auto"/>
                <w:sz w:val="24"/>
                <w:szCs w:val="20"/>
                <w:highlight w:val="none"/>
              </w:rPr>
              <w:t>月</w:t>
            </w:r>
            <w:r>
              <w:rPr>
                <w:rFonts w:ascii="Times New Roman" w:cs="Times New Roman" w:hAnsi="Times New Roman" w:hint="eastAsia"/>
                <w:color w:val="auto"/>
                <w:sz w:val="24"/>
                <w:szCs w:val="20"/>
                <w:lang w:val="en-US" w:eastAsia="zh-CN"/>
                <w:highlight w:val="none"/>
              </w:rPr>
              <w:t>5</w:t>
            </w:r>
            <w:r>
              <w:rPr>
                <w:rFonts w:ascii="Times New Roman" w:cs="Times New Roman" w:hAnsi="Times New Roman" w:hint="eastAsia"/>
                <w:color w:val="auto"/>
                <w:sz w:val="24"/>
                <w:szCs w:val="20"/>
                <w:highlight w:val="none"/>
              </w:rPr>
              <w:t>日出具的《中集合斯康储氢系统装备生产基地建设项目环境质量现状检测》（报告编号：HBZH-H-20230028），监测点位为段家营村，位于本项目</w:t>
            </w:r>
            <w:r>
              <w:rPr>
                <w:rFonts w:ascii="Times New Roman" w:cs="Times New Roman" w:hAnsi="Times New Roman" w:hint="eastAsia"/>
                <w:color w:val="auto"/>
                <w:sz w:val="24"/>
                <w:szCs w:val="20"/>
                <w:lang w:val="en-US" w:eastAsia="zh-CN"/>
                <w:highlight w:val="none"/>
              </w:rPr>
              <w:t>东北2000</w:t>
            </w:r>
            <w:r>
              <w:rPr>
                <w:rFonts w:ascii="Times New Roman" w:cs="Times New Roman" w:hAnsi="Times New Roman" w:hint="eastAsia"/>
                <w:color w:val="auto"/>
                <w:sz w:val="24"/>
                <w:szCs w:val="20"/>
                <w:highlight w:val="none"/>
              </w:rPr>
              <w:t>m处，监测时间2023年5月23日~2023年5月26日，引用监测点位和时间符合技术指南要求。</w:t>
            </w:r>
          </w:p>
          <w:p>
            <w:pPr>
              <w:keepNext w:val="0"/>
              <w:keepLines w:val="0"/>
              <w:suppressLineNumbers w:val="0"/>
              <w:spacing w:before="0" w:beforeAutospacing="0" w:after="0" w:afterAutospacing="0" w:line="46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①</w:t>
            </w:r>
            <w:r>
              <w:rPr>
                <w:rFonts w:ascii="Times New Roman" w:cs="Times New Roman" w:hAnsi="Times New Roman" w:hint="eastAsia"/>
                <w:color w:val="auto"/>
                <w:sz w:val="24"/>
                <w:szCs w:val="20"/>
                <w:lang w:val="en-US" w:eastAsia="zh-CN"/>
                <w:highlight w:val="none"/>
              </w:rPr>
              <w:t>引用</w:t>
            </w:r>
            <w:r>
              <w:rPr>
                <w:rFonts w:ascii="Times New Roman" w:cs="Times New Roman" w:hAnsi="Times New Roman"/>
                <w:color w:val="auto"/>
                <w:sz w:val="24"/>
                <w:szCs w:val="20"/>
                <w:highlight w:val="none"/>
              </w:rPr>
              <w:t>监测因子：非甲烷总烃</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TSP、氨、臭气浓度</w:t>
            </w:r>
            <w:r>
              <w:rPr>
                <w:rFonts w:ascii="Times New Roman" w:cs="Times New Roman" w:hAnsi="Times New Roman"/>
                <w:color w:val="auto"/>
                <w:sz w:val="24"/>
                <w:szCs w:val="20"/>
                <w:highlight w:val="none"/>
              </w:rPr>
              <w:t>。</w:t>
            </w:r>
          </w:p>
          <w:p>
            <w:pPr>
              <w:keepNext w:val="0"/>
              <w:keepLines w:val="0"/>
              <w:suppressLineNumbers w:val="0"/>
              <w:spacing w:before="0" w:beforeAutospacing="0" w:after="0" w:afterAutospacing="0" w:line="460" w:lineRule="exact"/>
              <w:ind w:left="0" w:right="0" w:firstLineChars="200" w:firstLine="480"/>
              <w:rPr>
                <w:rFonts w:hint="eastAsia"/>
                <w:color w:val="auto"/>
                <w:sz w:val="24"/>
                <w:szCs w:val="20"/>
                <w:highlight w:val="none"/>
              </w:rPr>
            </w:pPr>
            <w:r>
              <w:rPr>
                <w:rFonts w:ascii="Times New Roman" w:cs="Times New Roman" w:hAnsi="Times New Roman"/>
                <w:color w:val="auto"/>
                <w:sz w:val="24"/>
                <w:szCs w:val="20"/>
                <w:highlight w:val="none"/>
              </w:rPr>
              <w:t>②监测布点：引用1个环境空气质量监测点</w:t>
            </w:r>
            <w:r>
              <w:rPr>
                <w:rFonts w:ascii="Times New Roman" w:cs="Times New Roman" w:hAnsi="Times New Roman" w:hint="eastAsia"/>
                <w:color w:val="auto"/>
                <w:sz w:val="24"/>
                <w:szCs w:val="20"/>
                <w:highlight w:val="none"/>
              </w:rPr>
              <w:t>。</w:t>
            </w:r>
          </w:p>
          <w:p>
            <w:pPr>
              <w:keepNext w:val="0"/>
              <w:keepLines w:val="0"/>
              <w:suppressLineNumbers w:val="0"/>
              <w:adjustRightInd w:val="0"/>
              <w:snapToGrid w:val="0"/>
              <w:spacing w:before="0" w:beforeAutospacing="0" w:after="0" w:afterAutospacing="0"/>
              <w:ind w:left="0" w:right="0"/>
              <w:jc w:val="center"/>
              <w:rPr>
                <w:b/>
                <w:color w:val="auto"/>
                <w:sz w:val="24"/>
                <w:szCs w:val="20"/>
                <w:highlight w:val="none"/>
              </w:rPr>
            </w:pPr>
            <w:r>
              <w:rPr>
                <w:rFonts w:ascii="Times New Roman" w:cs="Times New Roman" w:hAnsi="Times New Roman"/>
                <w:b/>
                <w:color w:val="auto"/>
                <w:sz w:val="24"/>
                <w:szCs w:val="20"/>
                <w:highlight w:val="none"/>
              </w:rPr>
              <w:t>表</w:t>
            </w:r>
            <w:r>
              <w:rPr>
                <w:rFonts w:ascii="Times New Roman" w:cs="Times New Roman" w:hAnsi="Times New Roman" w:hint="eastAsia"/>
                <w:b/>
                <w:color w:val="auto"/>
                <w:sz w:val="24"/>
                <w:szCs w:val="20"/>
                <w:highlight w:val="none"/>
              </w:rPr>
              <w:t>3-2</w:t>
            </w:r>
            <w:r>
              <w:rPr>
                <w:rFonts w:ascii="Times New Roman" w:cs="Times New Roman" w:hAnsi="Times New Roman"/>
                <w:b/>
                <w:color w:val="auto"/>
                <w:sz w:val="24"/>
                <w:szCs w:val="20"/>
                <w:highlight w:val="none"/>
              </w:rPr>
              <w:t xml:space="preserve">  特征污染物</w:t>
            </w:r>
            <w:r>
              <w:rPr>
                <w:rFonts w:ascii="Times New Roman" w:cs="Times New Roman" w:hAnsi="Times New Roman" w:hint="eastAsia"/>
                <w:b/>
                <w:color w:val="auto"/>
                <w:sz w:val="24"/>
                <w:szCs w:val="20"/>
                <w:highlight w:val="none"/>
              </w:rPr>
              <w:t>检测点位基本信息</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108" w:type="dxa"/>
                <w:bottom w:w="28" w:type="dxa"/>
                <w:right w:w="108" w:type="dxa"/>
              </w:tblCellMar>
              <w:tblLook w:val="0600" w:firstRow="0" w:lastRow="0" w:firstColumn="0" w:lastColumn="0" w:noHBand="1" w:noVBand="1"/>
            </w:tblPr>
            <w:tblGrid>
              <w:gridCol w:w="1045"/>
              <w:gridCol w:w="1015"/>
              <w:gridCol w:w="1175"/>
              <w:gridCol w:w="898"/>
              <w:gridCol w:w="1781"/>
              <w:gridCol w:w="755"/>
              <w:gridCol w:w="986"/>
            </w:tblGrid>
            <w:tr>
              <w:trPr>
                <w:trHeight w:val="340"/>
              </w:trPr>
              <w:tc>
                <w:tcPr>
                  <w:tcW w:w="682"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检测点名称</w:t>
                  </w:r>
                </w:p>
              </w:tc>
              <w:tc>
                <w:tcPr>
                  <w:tcW w:w="1430" w:type="pct"/>
                  <w:gridSpan w:val="2"/>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监测点坐标</w:t>
                  </w:r>
                </w:p>
              </w:tc>
              <w:tc>
                <w:tcPr>
                  <w:tcW w:w="586"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监测因子</w:t>
                  </w:r>
                </w:p>
              </w:tc>
              <w:tc>
                <w:tcPr>
                  <w:tcW w:w="116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检测时段</w:t>
                  </w:r>
                </w:p>
              </w:tc>
              <w:tc>
                <w:tcPr>
                  <w:tcW w:w="49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相对厂址方位</w:t>
                  </w:r>
                </w:p>
              </w:tc>
              <w:tc>
                <w:tcPr>
                  <w:tcW w:w="644"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相对厂址距离/m</w:t>
                  </w:r>
                </w:p>
              </w:tc>
            </w:tr>
            <w:tr>
              <w:trPr>
                <w:trHeight w:val="340"/>
              </w:trPr>
              <w:tc>
                <w:tcPr>
                  <w:tcW w:w="682" w:type="pct"/>
                  <w:vMerge/>
                  <w:vAlign w:val="center"/>
                </w:tcPr>
                <w:p/>
              </w:tc>
              <w:tc>
                <w:tcPr>
                  <w:tcW w:w="6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经度</w:t>
                  </w:r>
                </w:p>
              </w:tc>
              <w:tc>
                <w:tcPr>
                  <w:tcW w:w="76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纬度</w:t>
                  </w:r>
                </w:p>
              </w:tc>
              <w:tc>
                <w:tcPr>
                  <w:tcW w:w="586" w:type="pct"/>
                  <w:vMerge/>
                  <w:tcBorders>
                    <w:left w:val="single" w:sz="4" w:space="0" w:color="auto"/>
                  </w:tcBorders>
                  <w:vAlign w:val="center"/>
                </w:tcPr>
                <w:p/>
              </w:tc>
              <w:tc>
                <w:tcPr>
                  <w:tcW w:w="1163" w:type="pct"/>
                  <w:vMerge/>
                  <w:tcBorders>
                    <w:left w:val="single" w:sz="4" w:space="0" w:color="auto"/>
                  </w:tcBorders>
                  <w:vAlign w:val="center"/>
                </w:tcPr>
                <w:p/>
              </w:tc>
              <w:tc>
                <w:tcPr>
                  <w:tcW w:w="493" w:type="pct"/>
                  <w:vMerge/>
                  <w:tcBorders>
                    <w:left w:val="single" w:sz="4" w:space="0" w:color="auto"/>
                  </w:tcBorders>
                  <w:vAlign w:val="center"/>
                </w:tcPr>
                <w:p/>
              </w:tc>
              <w:tc>
                <w:tcPr>
                  <w:tcW w:w="644" w:type="pct"/>
                  <w:vMerge/>
                  <w:tcBorders>
                    <w:left w:val="single" w:sz="4" w:space="0" w:color="auto"/>
                  </w:tcBorders>
                  <w:vAlign w:val="center"/>
                </w:tcPr>
                <w:p/>
              </w:tc>
            </w:tr>
            <w:tr>
              <w:trPr>
                <w:trHeight w:val="366"/>
              </w:trPr>
              <w:tc>
                <w:tcPr>
                  <w:tcW w:w="682" w:type="pct"/>
                  <w:vMerge w:val="restart"/>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段家营村</w:t>
                  </w:r>
                </w:p>
              </w:tc>
              <w:tc>
                <w:tcPr>
                  <w:tcW w:w="663" w:type="pct"/>
                  <w:vMerge w:val="restar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color w:val="auto"/>
                      <w:sz w:val="21"/>
                      <w:szCs w:val="21"/>
                      <w:highlight w:val="none"/>
                    </w:rPr>
                    <w:t>114°31′50.808″</w:t>
                  </w:r>
                </w:p>
              </w:tc>
              <w:tc>
                <w:tcPr>
                  <w:tcW w:w="767" w:type="pct"/>
                  <w:vMerge w:val="restar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color w:val="auto"/>
                      <w:sz w:val="21"/>
                      <w:szCs w:val="21"/>
                      <w:highlight w:val="none"/>
                    </w:rPr>
                    <w:t>37°55′11.208″</w:t>
                  </w:r>
                </w:p>
              </w:tc>
              <w:tc>
                <w:tcPr>
                  <w:tcW w:w="58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eastAsia="zh-CN"/>
                      <w:highlight w:val="none"/>
                    </w:rPr>
                  </w:pPr>
                  <w:r>
                    <w:rPr>
                      <w:rFonts w:ascii="Times New Roman" w:cs="Times New Roman" w:hAnsi="Times New Roman" w:hint="eastAsia"/>
                      <w:color w:val="auto"/>
                      <w:sz w:val="21"/>
                      <w:szCs w:val="21"/>
                      <w:lang w:val="en-US" w:eastAsia="zh-CN"/>
                      <w:highlight w:val="none"/>
                    </w:rPr>
                    <w:t>非甲烷总烃</w:t>
                  </w:r>
                </w:p>
              </w:tc>
              <w:tc>
                <w:tcPr>
                  <w:tcW w:w="11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highlight w:val="none"/>
                    </w:rPr>
                    <w:t>2023年5月23日~2023年5月</w:t>
                  </w:r>
                  <w:r>
                    <w:rPr>
                      <w:rFonts w:ascii="Times New Roman" w:cs="Times New Roman" w:hAnsi="Times New Roman" w:hint="eastAsia"/>
                      <w:color w:val="auto"/>
                      <w:sz w:val="21"/>
                      <w:szCs w:val="21"/>
                      <w:lang w:val="en-US" w:eastAsia="zh-CN"/>
                      <w:highlight w:val="none"/>
                    </w:rPr>
                    <w:t>25</w:t>
                  </w:r>
                  <w:r>
                    <w:rPr>
                      <w:rFonts w:ascii="Times New Roman" w:cs="Times New Roman" w:hAnsi="Times New Roman" w:hint="eastAsia"/>
                      <w:color w:val="auto"/>
                      <w:sz w:val="21"/>
                      <w:szCs w:val="21"/>
                      <w:highlight w:val="none"/>
                    </w:rPr>
                    <w:t>日</w:t>
                  </w:r>
                </w:p>
              </w:tc>
              <w:tc>
                <w:tcPr>
                  <w:tcW w:w="493" w:type="pct"/>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东北</w:t>
                  </w:r>
                </w:p>
              </w:tc>
              <w:tc>
                <w:tcPr>
                  <w:tcW w:w="644" w:type="pct"/>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2000</w:t>
                  </w:r>
                </w:p>
              </w:tc>
            </w:tr>
            <w:tr>
              <w:trPr>
                <w:trHeight w:val="366"/>
              </w:trPr>
              <w:tc>
                <w:tcPr>
                  <w:tcW w:w="682" w:type="pct"/>
                  <w:vMerge/>
                  <w:vAlign w:val="center"/>
                </w:tcPr>
                <w:p/>
              </w:tc>
              <w:tc>
                <w:tcPr>
                  <w:tcW w:w="663" w:type="pct"/>
                  <w:vMerge/>
                  <w:tcBorders>
                    <w:left w:val="single" w:sz="4" w:space="0" w:color="auto"/>
                  </w:tcBorders>
                  <w:shd w:val="clear" w:color="auto" w:fill="auto"/>
                  <w:vAlign w:val="center"/>
                </w:tcPr>
                <w:p/>
              </w:tc>
              <w:tc>
                <w:tcPr>
                  <w:tcW w:w="767" w:type="pct"/>
                  <w:vMerge/>
                  <w:tcBorders>
                    <w:left w:val="single" w:sz="4" w:space="0" w:color="auto"/>
                  </w:tcBorders>
                  <w:shd w:val="clear" w:color="auto" w:fill="auto"/>
                  <w:vAlign w:val="center"/>
                </w:tcPr>
                <w:p/>
              </w:tc>
              <w:tc>
                <w:tcPr>
                  <w:tcW w:w="58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TSP</w:t>
                  </w:r>
                </w:p>
              </w:tc>
              <w:tc>
                <w:tcPr>
                  <w:tcW w:w="11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2023年5月23日~2023年5月26日</w:t>
                  </w:r>
                </w:p>
              </w:tc>
              <w:tc>
                <w:tcPr>
                  <w:tcW w:w="493" w:type="pct"/>
                  <w:vMerge/>
                  <w:tcBorders>
                    <w:left w:val="single" w:sz="4" w:space="0" w:color="auto"/>
                  </w:tcBorders>
                  <w:vAlign w:val="center"/>
                </w:tcPr>
                <w:p/>
              </w:tc>
              <w:tc>
                <w:tcPr>
                  <w:tcW w:w="644" w:type="pct"/>
                  <w:vMerge/>
                  <w:tcBorders>
                    <w:left w:val="single" w:sz="4" w:space="0" w:color="auto"/>
                  </w:tcBorders>
                  <w:vAlign w:val="center"/>
                </w:tcPr>
                <w:p/>
              </w:tc>
            </w:tr>
            <w:tr>
              <w:trPr>
                <w:trHeight w:val="366"/>
              </w:trPr>
              <w:tc>
                <w:tcPr>
                  <w:tcW w:w="682" w:type="pct"/>
                  <w:vMerge/>
                  <w:vAlign w:val="center"/>
                </w:tcPr>
                <w:p/>
              </w:tc>
              <w:tc>
                <w:tcPr>
                  <w:tcW w:w="663" w:type="pct"/>
                  <w:vMerge/>
                  <w:tcBorders>
                    <w:left w:val="single" w:sz="4" w:space="0" w:color="auto"/>
                  </w:tcBorders>
                  <w:shd w:val="clear" w:color="auto" w:fill="auto"/>
                  <w:vAlign w:val="center"/>
                </w:tcPr>
                <w:p/>
              </w:tc>
              <w:tc>
                <w:tcPr>
                  <w:tcW w:w="767" w:type="pct"/>
                  <w:vMerge/>
                  <w:tcBorders>
                    <w:left w:val="single" w:sz="4" w:space="0" w:color="auto"/>
                  </w:tcBorders>
                  <w:shd w:val="clear" w:color="auto" w:fill="auto"/>
                  <w:vAlign w:val="center"/>
                </w:tcPr>
                <w:p/>
              </w:tc>
              <w:tc>
                <w:tcPr>
                  <w:tcW w:w="58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氨</w:t>
                  </w:r>
                </w:p>
              </w:tc>
              <w:tc>
                <w:tcPr>
                  <w:tcW w:w="11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2023年5月23日~2023年5月</w:t>
                  </w:r>
                  <w:r>
                    <w:rPr>
                      <w:rFonts w:ascii="Times New Roman" w:cs="Times New Roman" w:hAnsi="Times New Roman" w:hint="eastAsia"/>
                      <w:color w:val="auto"/>
                      <w:sz w:val="21"/>
                      <w:szCs w:val="21"/>
                      <w:lang w:val="en-US" w:eastAsia="zh-CN"/>
                      <w:highlight w:val="none"/>
                    </w:rPr>
                    <w:t>25</w:t>
                  </w:r>
                  <w:r>
                    <w:rPr>
                      <w:rFonts w:ascii="Times New Roman" w:cs="Times New Roman" w:hAnsi="Times New Roman" w:hint="eastAsia"/>
                      <w:color w:val="auto"/>
                      <w:sz w:val="21"/>
                      <w:szCs w:val="21"/>
                      <w:highlight w:val="none"/>
                    </w:rPr>
                    <w:t>日</w:t>
                  </w:r>
                </w:p>
              </w:tc>
              <w:tc>
                <w:tcPr>
                  <w:tcW w:w="493" w:type="pct"/>
                  <w:vMerge/>
                  <w:tcBorders>
                    <w:left w:val="single" w:sz="4" w:space="0" w:color="auto"/>
                  </w:tcBorders>
                  <w:vAlign w:val="center"/>
                </w:tcPr>
                <w:p/>
              </w:tc>
              <w:tc>
                <w:tcPr>
                  <w:tcW w:w="644" w:type="pct"/>
                  <w:vMerge/>
                  <w:tcBorders>
                    <w:left w:val="single" w:sz="4" w:space="0" w:color="auto"/>
                  </w:tcBorders>
                  <w:vAlign w:val="center"/>
                </w:tcPr>
                <w:p/>
              </w:tc>
            </w:tr>
            <w:tr>
              <w:trPr>
                <w:trHeight w:val="366"/>
              </w:trPr>
              <w:tc>
                <w:tcPr>
                  <w:tcW w:w="682" w:type="pct"/>
                  <w:vMerge/>
                  <w:vAlign w:val="center"/>
                </w:tcPr>
                <w:p/>
              </w:tc>
              <w:tc>
                <w:tcPr>
                  <w:tcW w:w="663" w:type="pct"/>
                  <w:vMerge/>
                  <w:tcBorders>
                    <w:left w:val="single" w:sz="4" w:space="0" w:color="auto"/>
                  </w:tcBorders>
                  <w:shd w:val="clear" w:color="auto" w:fill="auto"/>
                  <w:vAlign w:val="center"/>
                </w:tcPr>
                <w:p/>
              </w:tc>
              <w:tc>
                <w:tcPr>
                  <w:tcW w:w="767" w:type="pct"/>
                  <w:vMerge/>
                  <w:tcBorders>
                    <w:left w:val="single" w:sz="4" w:space="0" w:color="auto"/>
                  </w:tcBorders>
                  <w:shd w:val="clear" w:color="auto" w:fill="auto"/>
                  <w:vAlign w:val="center"/>
                </w:tcPr>
                <w:p/>
              </w:tc>
              <w:tc>
                <w:tcPr>
                  <w:tcW w:w="58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臭气浓度</w:t>
                  </w:r>
                </w:p>
              </w:tc>
              <w:tc>
                <w:tcPr>
                  <w:tcW w:w="116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 w:val="21"/>
                      <w:szCs w:val="21"/>
                      <w:highlight w:val="none"/>
                    </w:rPr>
                  </w:pPr>
                  <w:r>
                    <w:rPr>
                      <w:rFonts w:ascii="Times New Roman" w:cs="Times New Roman" w:hAnsi="Times New Roman" w:hint="eastAsia"/>
                      <w:color w:val="auto"/>
                      <w:sz w:val="21"/>
                      <w:szCs w:val="21"/>
                      <w:highlight w:val="none"/>
                    </w:rPr>
                    <w:t>2023年5月23日~2023年5月</w:t>
                  </w:r>
                  <w:r>
                    <w:rPr>
                      <w:rFonts w:ascii="Times New Roman" w:cs="Times New Roman" w:hAnsi="Times New Roman" w:hint="eastAsia"/>
                      <w:color w:val="auto"/>
                      <w:sz w:val="21"/>
                      <w:szCs w:val="21"/>
                      <w:lang w:val="en-US" w:eastAsia="zh-CN"/>
                      <w:highlight w:val="none"/>
                    </w:rPr>
                    <w:t>25</w:t>
                  </w:r>
                  <w:r>
                    <w:rPr>
                      <w:rFonts w:ascii="Times New Roman" w:cs="Times New Roman" w:hAnsi="Times New Roman" w:hint="eastAsia"/>
                      <w:color w:val="auto"/>
                      <w:sz w:val="21"/>
                      <w:szCs w:val="21"/>
                      <w:highlight w:val="none"/>
                    </w:rPr>
                    <w:t>日</w:t>
                  </w:r>
                </w:p>
              </w:tc>
              <w:tc>
                <w:tcPr>
                  <w:tcW w:w="493" w:type="pct"/>
                  <w:vMerge/>
                  <w:tcBorders>
                    <w:left w:val="single" w:sz="4" w:space="0" w:color="auto"/>
                  </w:tcBorders>
                  <w:vAlign w:val="center"/>
                </w:tcPr>
                <w:p/>
              </w:tc>
              <w:tc>
                <w:tcPr>
                  <w:tcW w:w="644" w:type="pct"/>
                  <w:vMerge/>
                  <w:tcBorders>
                    <w:left w:val="single" w:sz="4" w:space="0" w:color="auto"/>
                  </w:tcBorders>
                  <w:vAlign w:val="center"/>
                </w:tcPr>
                <w:p/>
              </w:tc>
            </w:tr>
          </w:tbl>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③监测分析方法</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采样方法按《环境监测技术规范》（大气部分）进行，监测分析方法按《环境空气质量标准》（GB3095-2012）中表2和《空气和废气监测分析方法》（第四版）进行。</w:t>
            </w:r>
          </w:p>
          <w:p>
            <w:pPr>
              <w:keepNext w:val="0"/>
              <w:keepLines w:val="0"/>
              <w:suppressLineNumbers w:val="0"/>
              <w:adjustRightInd w:val="0"/>
              <w:snapToGrid w:val="0"/>
              <w:spacing w:before="0" w:beforeAutospacing="0" w:after="0" w:afterAutospacing="0"/>
              <w:ind w:left="0" w:right="0"/>
              <w:jc w:val="center"/>
              <w:rPr>
                <w:b/>
                <w:color w:val="auto"/>
                <w:sz w:val="24"/>
                <w:szCs w:val="20"/>
                <w:highlight w:val="none"/>
              </w:rPr>
            </w:pPr>
            <w:r>
              <w:rPr>
                <w:rFonts w:ascii="Times New Roman" w:cs="Times New Roman" w:hAnsi="Times New Roman"/>
                <w:b/>
                <w:color w:val="auto"/>
                <w:sz w:val="24"/>
                <w:szCs w:val="20"/>
                <w:highlight w:val="none"/>
              </w:rPr>
              <w:t>表</w:t>
            </w:r>
            <w:r>
              <w:rPr>
                <w:rFonts w:ascii="Times New Roman" w:cs="Times New Roman" w:hAnsi="Times New Roman" w:hint="eastAsia"/>
                <w:b/>
                <w:color w:val="auto"/>
                <w:sz w:val="24"/>
                <w:szCs w:val="20"/>
                <w:highlight w:val="none"/>
              </w:rPr>
              <w:t>3-3</w:t>
            </w:r>
            <w:r>
              <w:rPr>
                <w:rFonts w:ascii="Times New Roman" w:cs="Times New Roman" w:hAnsi="Times New Roman"/>
                <w:b/>
                <w:color w:val="auto"/>
                <w:sz w:val="24"/>
                <w:szCs w:val="20"/>
                <w:highlight w:val="none"/>
              </w:rPr>
              <w:t xml:space="preserve">  检测项目及分析方法</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063"/>
              <w:gridCol w:w="778"/>
              <w:gridCol w:w="1912"/>
              <w:gridCol w:w="3008"/>
              <w:gridCol w:w="896"/>
            </w:tblGrid>
            <w:tr>
              <w:trPr>
                <w:trHeight w:val="340"/>
              </w:trPr>
              <w:tc>
                <w:tcPr>
                  <w:tcW w:w="694" w:type="pc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检测类别</w:t>
                  </w:r>
                </w:p>
              </w:tc>
              <w:tc>
                <w:tcPr>
                  <w:tcW w:w="508" w:type="pct"/>
                  <w:vAlign w:val="center"/>
                </w:tcPr>
                <w:p>
                  <w:pPr>
                    <w:keepNext w:val="0"/>
                    <w:keepLines w:val="0"/>
                    <w:widowControl/>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项目</w:t>
                  </w:r>
                </w:p>
              </w:tc>
              <w:tc>
                <w:tcPr>
                  <w:tcW w:w="1248" w:type="pct"/>
                  <w:vAlign w:val="center"/>
                </w:tcPr>
                <w:p>
                  <w:pPr>
                    <w:keepNext w:val="0"/>
                    <w:keepLines w:val="0"/>
                    <w:widowControl/>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分析方法</w:t>
                  </w:r>
                </w:p>
              </w:tc>
              <w:tc>
                <w:tcPr>
                  <w:tcW w:w="1963" w:type="pct"/>
                  <w:vAlign w:val="center"/>
                </w:tcPr>
                <w:p>
                  <w:pPr>
                    <w:keepNext w:val="0"/>
                    <w:keepLines w:val="0"/>
                    <w:widowControl/>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仪器名称、型号及编号</w:t>
                  </w:r>
                </w:p>
              </w:tc>
              <w:tc>
                <w:tcPr>
                  <w:tcW w:w="585" w:type="pct"/>
                  <w:vAlign w:val="center"/>
                </w:tcPr>
                <w:p>
                  <w:pPr>
                    <w:keepNext w:val="0"/>
                    <w:keepLines w:val="0"/>
                    <w:widowControl/>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检出限</w:t>
                  </w:r>
                </w:p>
              </w:tc>
            </w:tr>
            <w:tr>
              <w:trPr>
                <w:trHeight w:val="340"/>
              </w:trPr>
              <w:tc>
                <w:tcPr>
                  <w:tcW w:w="694" w:type="pct"/>
                  <w:vMerge w:val="restart"/>
                  <w:shd w:val="clear" w:color="auto" w:fill="auto"/>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环境</w:t>
                  </w:r>
                </w:p>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空气</w:t>
                  </w:r>
                </w:p>
              </w:tc>
              <w:tc>
                <w:tcPr>
                  <w:tcW w:w="50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非甲烷总烃</w:t>
                  </w:r>
                </w:p>
              </w:tc>
              <w:tc>
                <w:tcPr>
                  <w:tcW w:w="124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《环境空气总烃、甲烷和非甲烷总经的测定直接进样-气相色谱法》</w:t>
                  </w:r>
                  <w:r>
                    <w:rPr>
                      <w:rFonts w:ascii="Times New Roman" w:cs="Times New Roman" w:hAnsi="Times New Roman"/>
                      <w:color w:val="auto"/>
                      <w:sz w:val="21"/>
                      <w:szCs w:val="21"/>
                      <w:highlight w:val="none"/>
                    </w:rPr>
                    <w:t>HJ604-2017</w:t>
                  </w:r>
                </w:p>
              </w:tc>
              <w:tc>
                <w:tcPr>
                  <w:tcW w:w="196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GX-01型全自动真空箱气袋采样器/YQC211</w:t>
                  </w:r>
                </w:p>
                <w:p>
                  <w:pPr>
                    <w:keepNext w:val="0"/>
                    <w:keepLines w:val="0"/>
                    <w:suppressLineNumbers w:val="0"/>
                    <w:snapToGrid w:val="0"/>
                    <w:spacing w:before="0" w:beforeAutospacing="0" w:after="0" w:afterAutospacing="0" w:line="320" w:lineRule="exact"/>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GC9790气相色谱仪/YQA048</w:t>
                  </w:r>
                </w:p>
              </w:tc>
              <w:tc>
                <w:tcPr>
                  <w:tcW w:w="585"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0.07mg/m</w:t>
                  </w:r>
                  <w:r>
                    <w:rPr>
                      <w:rFonts w:ascii="Times New Roman" w:cs="Times New Roman" w:hAnsi="Times New Roman" w:hint="eastAsia"/>
                      <w:color w:val="auto"/>
                      <w:sz w:val="21"/>
                      <w:szCs w:val="21"/>
                      <w:vertAlign w:val="superscript"/>
                      <w:highlight w:val="none"/>
                    </w:rPr>
                    <w:t>3</w:t>
                  </w:r>
                </w:p>
              </w:tc>
            </w:tr>
            <w:tr>
              <w:trPr>
                <w:trHeight w:val="340"/>
              </w:trPr>
              <w:tc>
                <w:tcPr>
                  <w:tcW w:w="694" w:type="pct"/>
                  <w:vMerge/>
                  <w:shd w:val="clear" w:color="auto" w:fill="auto"/>
                  <w:vAlign w:val="center"/>
                </w:tcPr>
                <w:p/>
              </w:tc>
              <w:tc>
                <w:tcPr>
                  <w:tcW w:w="50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TSP</w:t>
                  </w:r>
                </w:p>
              </w:tc>
              <w:tc>
                <w:tcPr>
                  <w:tcW w:w="124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《环境空气 总悬浮颗粒物的测定重量法》HJ1263-2022</w:t>
                  </w:r>
                </w:p>
              </w:tc>
              <w:tc>
                <w:tcPr>
                  <w:tcW w:w="196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20" w:lineRule="exact"/>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MH1200型全自动大气/颗粒物采样器/YQC034</w:t>
                  </w:r>
                </w:p>
                <w:p>
                  <w:pPr>
                    <w:keepNext w:val="0"/>
                    <w:keepLines w:val="0"/>
                    <w:suppressLineNumbers w:val="0"/>
                    <w:snapToGrid w:val="0"/>
                    <w:spacing w:before="0" w:beforeAutospacing="0" w:after="0" w:afterAutospacing="0" w:line="320" w:lineRule="exact"/>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MEI55DU/02电子天平/YQA021</w:t>
                  </w:r>
                </w:p>
              </w:tc>
              <w:tc>
                <w:tcPr>
                  <w:tcW w:w="585"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color w:val="auto"/>
                      <w:sz w:val="21"/>
                      <w:szCs w:val="21"/>
                      <w:lang w:val="en-US" w:eastAsia="zh-CN"/>
                      <w:highlight w:val="none"/>
                    </w:rPr>
                    <w:t>7μg/m</w:t>
                  </w:r>
                  <w:r>
                    <w:rPr>
                      <w:rFonts w:ascii="Times New Roman" w:cs="Times New Roman" w:hAnsi="Times New Roman"/>
                      <w:color w:val="auto"/>
                      <w:sz w:val="21"/>
                      <w:szCs w:val="21"/>
                      <w:vertAlign w:val="superscript"/>
                      <w:lang w:val="en-US" w:eastAsia="zh-CN"/>
                      <w:highlight w:val="none"/>
                    </w:rPr>
                    <w:t>3</w:t>
                  </w:r>
                  <w:r>
                    <w:rPr>
                      <w:rFonts w:ascii="Times New Roman" w:cs="Times New Roman" w:hAnsi="Times New Roman"/>
                      <w:color w:val="auto"/>
                      <w:sz w:val="21"/>
                      <w:szCs w:val="21"/>
                      <w:lang w:val="en-US" w:eastAsia="zh-CN"/>
                      <w:highlight w:val="none"/>
                    </w:rPr>
                    <w:t>（24小时）</w:t>
                  </w:r>
                </w:p>
              </w:tc>
            </w:tr>
            <w:tr>
              <w:trPr>
                <w:trHeight w:val="340"/>
              </w:trPr>
              <w:tc>
                <w:tcPr>
                  <w:tcW w:w="694" w:type="pct"/>
                  <w:vMerge/>
                  <w:shd w:val="clear" w:color="auto" w:fill="auto"/>
                  <w:vAlign w:val="center"/>
                </w:tcPr>
                <w:p/>
              </w:tc>
              <w:tc>
                <w:tcPr>
                  <w:tcW w:w="50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氨</w:t>
                  </w:r>
                </w:p>
              </w:tc>
              <w:tc>
                <w:tcPr>
                  <w:tcW w:w="124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《环境空气和废气氨的测定纳氏试剂分光光度法》HJ533-2009</w:t>
                  </w:r>
                </w:p>
              </w:tc>
              <w:tc>
                <w:tcPr>
                  <w:tcW w:w="196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MH1200型全自动大气/颗粒物采样器/YQC034</w:t>
                  </w:r>
                </w:p>
                <w:p>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T6新世纪紫外可见分光光度计</w:t>
                  </w:r>
                </w:p>
                <w:p>
                  <w:pPr>
                    <w:keepNext w:val="0"/>
                    <w:keepLines w:val="0"/>
                    <w:suppressLineNumbers w:val="0"/>
                    <w:snapToGrid w:val="0"/>
                    <w:spacing w:before="0" w:beforeAutospacing="0" w:after="0" w:afterAutospacing="0" w:line="320" w:lineRule="exact"/>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YQA012</w:t>
                  </w:r>
                </w:p>
              </w:tc>
              <w:tc>
                <w:tcPr>
                  <w:tcW w:w="585"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0.01</w:t>
                  </w:r>
                  <w:r>
                    <w:rPr>
                      <w:rFonts w:ascii="Times New Roman" w:cs="Times New Roman" w:hAnsi="Times New Roman" w:hint="eastAsia"/>
                      <w:color w:val="auto"/>
                      <w:sz w:val="21"/>
                      <w:szCs w:val="21"/>
                      <w:highlight w:val="none"/>
                    </w:rPr>
                    <w:t>mg/m</w:t>
                  </w:r>
                  <w:r>
                    <w:rPr>
                      <w:rFonts w:ascii="Times New Roman" w:cs="Times New Roman" w:hAnsi="Times New Roman" w:hint="eastAsia"/>
                      <w:color w:val="auto"/>
                      <w:sz w:val="21"/>
                      <w:szCs w:val="21"/>
                      <w:vertAlign w:val="superscript"/>
                      <w:highlight w:val="none"/>
                    </w:rPr>
                    <w:t>3</w:t>
                  </w:r>
                </w:p>
              </w:tc>
            </w:tr>
            <w:tr>
              <w:trPr>
                <w:trHeight w:val="340"/>
              </w:trPr>
              <w:tc>
                <w:tcPr>
                  <w:tcW w:w="694" w:type="pct"/>
                  <w:vMerge/>
                  <w:shd w:val="clear" w:color="auto" w:fill="auto"/>
                  <w:vAlign w:val="center"/>
                </w:tcPr>
                <w:p/>
              </w:tc>
              <w:tc>
                <w:tcPr>
                  <w:tcW w:w="50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臭气浓度</w:t>
                  </w:r>
                </w:p>
              </w:tc>
              <w:tc>
                <w:tcPr>
                  <w:tcW w:w="1248"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highlight w:val="none"/>
                    </w:rPr>
                    <w:t>《空气质量 恶臭的测定 三点比较式臭袋法》HI1262-2022</w:t>
                  </w:r>
                  <w:r>
                    <w:rPr>
                      <w:rFonts w:ascii="Times New Roman" w:cs="Times New Roman" w:hAnsi="Times New Roman" w:hint="eastAsia"/>
                      <w:color w:val="auto"/>
                      <w:sz w:val="21"/>
                      <w:szCs w:val="21"/>
                      <w:lang w:val="en-US" w:eastAsia="zh-CN"/>
                      <w:highlight w:val="none"/>
                    </w:rPr>
                    <w:t xml:space="preserve"> </w:t>
                  </w:r>
                </w:p>
              </w:tc>
              <w:tc>
                <w:tcPr>
                  <w:tcW w:w="196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20" w:lineRule="exact"/>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c>
                <w:tcPr>
                  <w:tcW w:w="585"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r>
          </w:tbl>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④评价方法</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评价方法采用单项标准指数法，计算模式如下：</w:t>
            </w:r>
          </w:p>
          <w:p>
            <w:pPr>
              <w:keepNext w:val="0"/>
              <w:keepLines w:val="0"/>
              <w:suppressLineNumbers w:val="0"/>
              <w:spacing w:before="0" w:beforeAutospacing="0" w:after="0" w:afterAutospacing="0" w:line="500" w:lineRule="exact"/>
              <w:ind w:left="0" w:right="0" w:firstLineChars="200" w:firstLine="480"/>
              <w:jc w:val="center"/>
              <w:rPr>
                <w:color w:val="auto"/>
                <w:sz w:val="24"/>
                <w:szCs w:val="20"/>
                <w:highlight w:val="none"/>
              </w:rPr>
            </w:pPr>
            <w:r>
              <w:rPr>
                <w:rFonts w:ascii="Times New Roman" w:cs="Times New Roman" w:hAnsi="Times New Roman"/>
                <w:color w:val="auto"/>
                <w:sz w:val="24"/>
                <w:szCs w:val="20"/>
                <w:highlight w:val="none"/>
              </w:rPr>
              <w:t>P</w:t>
            </w:r>
            <w:r>
              <w:rPr>
                <w:rFonts w:ascii="Times New Roman" w:cs="Times New Roman" w:hAnsi="Times New Roman"/>
                <w:color w:val="auto"/>
                <w:sz w:val="24"/>
                <w:szCs w:val="20"/>
                <w:vertAlign w:val="subscript"/>
                <w:highlight w:val="none"/>
              </w:rPr>
              <w:t>i</w:t>
            </w:r>
            <w:r>
              <w:rPr>
                <w:rFonts w:ascii="Times New Roman" w:cs="Times New Roman" w:hAnsi="Times New Roman"/>
                <w:color w:val="auto"/>
                <w:sz w:val="24"/>
                <w:szCs w:val="20"/>
                <w:highlight w:val="none"/>
              </w:rPr>
              <w:t>＝C</w:t>
            </w:r>
            <w:r>
              <w:rPr>
                <w:rFonts w:ascii="Times New Roman" w:cs="Times New Roman" w:hAnsi="Times New Roman"/>
                <w:color w:val="auto"/>
                <w:sz w:val="24"/>
                <w:szCs w:val="20"/>
                <w:vertAlign w:val="subscript"/>
                <w:highlight w:val="none"/>
              </w:rPr>
              <w:t>i</w:t>
            </w:r>
            <w:r>
              <w:rPr>
                <w:rFonts w:ascii="Times New Roman" w:cs="Times New Roman" w:hAnsi="Times New Roman"/>
                <w:color w:val="auto"/>
                <w:sz w:val="24"/>
                <w:szCs w:val="20"/>
                <w:highlight w:val="none"/>
              </w:rPr>
              <w:t>/C</w:t>
            </w:r>
            <w:r>
              <w:rPr>
                <w:rFonts w:ascii="Times New Roman" w:cs="Times New Roman" w:hAnsi="Times New Roman"/>
                <w:color w:val="auto"/>
                <w:sz w:val="24"/>
                <w:szCs w:val="20"/>
                <w:vertAlign w:val="subscript"/>
                <w:highlight w:val="none"/>
              </w:rPr>
              <w:t>0i</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式中：P</w:t>
            </w:r>
            <w:r>
              <w:rPr>
                <w:rFonts w:ascii="Times New Roman" w:cs="Times New Roman" w:hAnsi="Times New Roman"/>
                <w:color w:val="auto"/>
                <w:sz w:val="24"/>
                <w:szCs w:val="20"/>
                <w:vertAlign w:val="subscript"/>
                <w:highlight w:val="none"/>
              </w:rPr>
              <w:t>i</w:t>
            </w:r>
            <w:r>
              <w:rPr>
                <w:rFonts w:ascii="Times New Roman" w:cs="Times New Roman" w:hAnsi="Times New Roman"/>
                <w:color w:val="auto"/>
                <w:sz w:val="24"/>
                <w:szCs w:val="20"/>
                <w:highlight w:val="none"/>
              </w:rPr>
              <w:t>--i污染物标准指数；</w:t>
            </w:r>
          </w:p>
          <w:p>
            <w:pPr>
              <w:keepNext w:val="0"/>
              <w:keepLines w:val="0"/>
              <w:suppressLineNumbers w:val="0"/>
              <w:spacing w:before="0" w:beforeAutospacing="0" w:after="0" w:afterAutospacing="0" w:line="500" w:lineRule="exact"/>
              <w:ind w:left="0" w:right="0" w:firstLineChars="500" w:firstLine="1200"/>
              <w:rPr>
                <w:color w:val="auto"/>
                <w:sz w:val="24"/>
                <w:szCs w:val="20"/>
                <w:highlight w:val="none"/>
              </w:rPr>
            </w:pPr>
            <w:r>
              <w:rPr>
                <w:rFonts w:ascii="Times New Roman" w:cs="Times New Roman" w:hAnsi="Times New Roman"/>
                <w:color w:val="auto"/>
                <w:sz w:val="24"/>
                <w:szCs w:val="20"/>
                <w:highlight w:val="none"/>
              </w:rPr>
              <w:t>C</w:t>
            </w:r>
            <w:r>
              <w:rPr>
                <w:rFonts w:ascii="Times New Roman" w:cs="Times New Roman" w:hAnsi="Times New Roman"/>
                <w:color w:val="auto"/>
                <w:sz w:val="24"/>
                <w:szCs w:val="20"/>
                <w:vertAlign w:val="subscript"/>
                <w:highlight w:val="none"/>
              </w:rPr>
              <w:t>i</w:t>
            </w:r>
            <w:r>
              <w:rPr>
                <w:rFonts w:ascii="Times New Roman" w:cs="Times New Roman" w:hAnsi="Times New Roman"/>
                <w:color w:val="auto"/>
                <w:sz w:val="24"/>
                <w:szCs w:val="20"/>
                <w:highlight w:val="none"/>
              </w:rPr>
              <w:t>--i污染物实测浓度，mg/m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p>
          <w:p>
            <w:pPr>
              <w:keepNext w:val="0"/>
              <w:keepLines w:val="0"/>
              <w:suppressLineNumbers w:val="0"/>
              <w:spacing w:before="0" w:beforeAutospacing="0" w:after="0" w:afterAutospacing="0" w:line="500" w:lineRule="exact"/>
              <w:ind w:left="0" w:right="0" w:firstLineChars="500" w:firstLine="1200"/>
              <w:rPr>
                <w:color w:val="auto"/>
                <w:sz w:val="24"/>
                <w:szCs w:val="20"/>
                <w:highlight w:val="none"/>
              </w:rPr>
            </w:pPr>
            <w:r>
              <w:rPr>
                <w:rFonts w:ascii="Times New Roman" w:cs="Times New Roman" w:hAnsi="Times New Roman"/>
                <w:color w:val="auto"/>
                <w:sz w:val="24"/>
                <w:szCs w:val="20"/>
                <w:highlight w:val="none"/>
              </w:rPr>
              <w:t>C</w:t>
            </w:r>
            <w:r>
              <w:rPr>
                <w:rFonts w:ascii="Times New Roman" w:cs="Times New Roman" w:hAnsi="Times New Roman"/>
                <w:color w:val="auto"/>
                <w:sz w:val="24"/>
                <w:szCs w:val="20"/>
                <w:vertAlign w:val="subscript"/>
                <w:highlight w:val="none"/>
              </w:rPr>
              <w:t>0i</w:t>
            </w:r>
            <w:r>
              <w:rPr>
                <w:rFonts w:ascii="Times New Roman" w:cs="Times New Roman" w:hAnsi="Times New Roman"/>
                <w:color w:val="auto"/>
                <w:sz w:val="24"/>
                <w:szCs w:val="20"/>
                <w:highlight w:val="none"/>
              </w:rPr>
              <w:t>--i污染物评价标准值，mg/m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⑤监测及评价结果</w:t>
            </w:r>
          </w:p>
          <w:p>
            <w:pPr>
              <w:keepNext w:val="0"/>
              <w:keepLines w:val="0"/>
              <w:suppressLineNumbers w:val="0"/>
              <w:adjustRightInd w:val="0"/>
              <w:snapToGrid w:val="0"/>
              <w:spacing w:before="0" w:beforeAutospacing="0" w:after="0" w:afterAutospacing="0"/>
              <w:ind w:left="0" w:right="0"/>
              <w:jc w:val="center"/>
              <w:rPr>
                <w:b/>
                <w:color w:val="auto"/>
                <w:sz w:val="24"/>
                <w:szCs w:val="20"/>
                <w:highlight w:val="none"/>
              </w:rPr>
            </w:pPr>
            <w:r>
              <w:rPr>
                <w:rFonts w:ascii="Times New Roman" w:cs="Times New Roman" w:hAnsi="Times New Roman"/>
                <w:b/>
                <w:color w:val="auto"/>
                <w:sz w:val="24"/>
                <w:szCs w:val="20"/>
                <w:highlight w:val="none"/>
              </w:rPr>
              <w:t>表</w:t>
            </w:r>
            <w:r>
              <w:rPr>
                <w:rFonts w:ascii="Times New Roman" w:cs="Times New Roman" w:hAnsi="Times New Roman" w:hint="eastAsia"/>
                <w:b/>
                <w:color w:val="auto"/>
                <w:sz w:val="24"/>
                <w:szCs w:val="20"/>
                <w:highlight w:val="none"/>
              </w:rPr>
              <w:t>3-4</w:t>
            </w:r>
            <w:r>
              <w:rPr>
                <w:rFonts w:ascii="Times New Roman" w:cs="Times New Roman" w:hAnsi="Times New Roman"/>
                <w:b/>
                <w:color w:val="auto"/>
                <w:sz w:val="24"/>
                <w:szCs w:val="20"/>
                <w:highlight w:val="none"/>
              </w:rPr>
              <w:t xml:space="preserve"> 评价结果一览表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865"/>
              <w:gridCol w:w="1005"/>
              <w:gridCol w:w="943"/>
              <w:gridCol w:w="795"/>
              <w:gridCol w:w="685"/>
              <w:gridCol w:w="976"/>
              <w:gridCol w:w="976"/>
              <w:gridCol w:w="551"/>
              <w:gridCol w:w="433"/>
              <w:gridCol w:w="421"/>
            </w:tblGrid>
            <w:tr>
              <w:trPr>
                <w:trHeight w:val="397"/>
              </w:trPr>
              <w:tc>
                <w:tcPr>
                  <w:tcW w:w="565"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监测点位</w:t>
                  </w:r>
                </w:p>
              </w:tc>
              <w:tc>
                <w:tcPr>
                  <w:tcW w:w="1272" w:type="pct"/>
                  <w:gridSpan w:val="2"/>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监测点坐标</w:t>
                  </w:r>
                </w:p>
              </w:tc>
              <w:tc>
                <w:tcPr>
                  <w:tcW w:w="966" w:type="pct"/>
                  <w:gridSpan w:val="2"/>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污染物</w:t>
                  </w:r>
                </w:p>
              </w:tc>
              <w:tc>
                <w:tcPr>
                  <w:tcW w:w="637"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评价标准/（ug/m</w:t>
                  </w:r>
                  <w:r>
                    <w:rPr>
                      <w:rFonts w:ascii="Times New Roman" w:cs="Times New Roman" w:hAnsi="Times New Roman" w:hint="eastAsia"/>
                      <w:color w:val="auto"/>
                      <w:sz w:val="21"/>
                      <w:szCs w:val="21"/>
                      <w:vertAlign w:val="superscript"/>
                      <w:highlight w:val="none"/>
                    </w:rPr>
                    <w:t>3</w:t>
                  </w:r>
                  <w:r>
                    <w:rPr>
                      <w:rFonts w:ascii="Times New Roman" w:cs="Times New Roman" w:hAnsi="Times New Roman" w:hint="eastAsia"/>
                      <w:color w:val="auto"/>
                      <w:sz w:val="21"/>
                      <w:szCs w:val="21"/>
                      <w:highlight w:val="none"/>
                    </w:rPr>
                    <w:t>）</w:t>
                  </w:r>
                </w:p>
              </w:tc>
              <w:tc>
                <w:tcPr>
                  <w:tcW w:w="637"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监测浓度范围/（ug/m</w:t>
                  </w:r>
                  <w:r>
                    <w:rPr>
                      <w:rFonts w:ascii="Times New Roman" w:cs="Times New Roman" w:hAnsi="Times New Roman" w:hint="eastAsia"/>
                      <w:color w:val="auto"/>
                      <w:sz w:val="21"/>
                      <w:szCs w:val="21"/>
                      <w:vertAlign w:val="superscript"/>
                      <w:highlight w:val="none"/>
                    </w:rPr>
                    <w:t>3</w:t>
                  </w:r>
                  <w:r>
                    <w:rPr>
                      <w:rFonts w:ascii="Times New Roman" w:cs="Times New Roman" w:hAnsi="Times New Roman" w:hint="eastAsia"/>
                      <w:color w:val="auto"/>
                      <w:sz w:val="21"/>
                      <w:szCs w:val="21"/>
                      <w:highlight w:val="none"/>
                    </w:rPr>
                    <w:t>）</w:t>
                  </w:r>
                </w:p>
              </w:tc>
              <w:tc>
                <w:tcPr>
                  <w:tcW w:w="360" w:type="pct"/>
                  <w:vMerge w:val="restart"/>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标准指数</w:t>
                  </w:r>
                </w:p>
              </w:tc>
              <w:tc>
                <w:tcPr>
                  <w:tcW w:w="283"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超标率/%</w:t>
                  </w:r>
                </w:p>
              </w:tc>
              <w:tc>
                <w:tcPr>
                  <w:tcW w:w="275"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达标情况</w:t>
                  </w:r>
                </w:p>
              </w:tc>
            </w:tr>
            <w:tr>
              <w:trPr>
                <w:trHeight w:val="397"/>
              </w:trPr>
              <w:tc>
                <w:tcPr>
                  <w:tcW w:w="565" w:type="pct"/>
                  <w:vMerge/>
                  <w:vAlign w:val="center"/>
                </w:tcPr>
                <w:p/>
              </w:tc>
              <w:tc>
                <w:tcPr>
                  <w:tcW w:w="656" w:type="pct"/>
                  <w:tcBorders>
                    <w:left w:val="single" w:sz="4" w:space="0" w:color="auto"/>
                  </w:tcBorders>
                  <w:vAlign w:val="center"/>
                </w:tcPr>
                <w:p>
                  <w:pPr>
                    <w:pStyle w:val="62"/>
                    <w:keepNext w:val="0"/>
                    <w:keepLines w:val="0"/>
                    <w:suppressLineNumbers w:val="0"/>
                    <w:spacing w:before="0" w:beforeAutospacing="0" w:after="0" w:afterAutospacing="0" w:line="240" w:lineRule="auto"/>
                    <w:ind w:left="0" w:right="0" w:firstLine="0"/>
                    <w:rPr>
                      <w:color w:val="auto"/>
                      <w:szCs w:val="21"/>
                      <w:highlight w:val="none"/>
                    </w:rPr>
                  </w:pPr>
                  <w:r>
                    <w:rPr>
                      <w:rFonts w:ascii="Times New Roman" w:cs="Times New Roman" w:hAnsi="Times New Roman" w:hint="eastAsia"/>
                      <w:color w:val="auto"/>
                      <w:sz w:val="24"/>
                      <w:szCs w:val="21"/>
                      <w:highlight w:val="none"/>
                    </w:rPr>
                    <w:t>经度</w:t>
                  </w:r>
                </w:p>
              </w:tc>
              <w:tc>
                <w:tcPr>
                  <w:tcW w:w="616" w:type="pct"/>
                  <w:tcBorders>
                    <w:left w:val="single" w:sz="4" w:space="0" w:color="auto"/>
                  </w:tcBorders>
                  <w:vAlign w:val="center"/>
                </w:tcPr>
                <w:p>
                  <w:pPr>
                    <w:pStyle w:val="62"/>
                    <w:keepNext w:val="0"/>
                    <w:keepLines w:val="0"/>
                    <w:suppressLineNumbers w:val="0"/>
                    <w:spacing w:before="0" w:beforeAutospacing="0" w:after="0" w:afterAutospacing="0" w:line="240" w:lineRule="auto"/>
                    <w:ind w:left="0" w:right="0" w:firstLine="0"/>
                    <w:rPr>
                      <w:color w:val="auto"/>
                      <w:szCs w:val="21"/>
                      <w:highlight w:val="none"/>
                    </w:rPr>
                  </w:pPr>
                  <w:r>
                    <w:rPr>
                      <w:rFonts w:ascii="Times New Roman" w:cs="Times New Roman" w:hAnsi="Times New Roman" w:hint="eastAsia"/>
                      <w:color w:val="auto"/>
                      <w:sz w:val="24"/>
                      <w:szCs w:val="21"/>
                      <w:highlight w:val="none"/>
                    </w:rPr>
                    <w:t>纬度</w:t>
                  </w:r>
                </w:p>
              </w:tc>
              <w:tc>
                <w:tcPr>
                  <w:tcW w:w="966" w:type="pct"/>
                  <w:gridSpan w:val="2"/>
                  <w:vMerge/>
                  <w:tcBorders>
                    <w:left w:val="single" w:sz="4" w:space="0" w:color="auto"/>
                  </w:tcBorders>
                  <w:vAlign w:val="center"/>
                </w:tcPr>
                <w:p/>
              </w:tc>
              <w:tc>
                <w:tcPr>
                  <w:tcW w:w="637" w:type="pct"/>
                  <w:vMerge/>
                  <w:tcBorders>
                    <w:left w:val="single" w:sz="4" w:space="0" w:color="auto"/>
                  </w:tcBorders>
                  <w:vAlign w:val="center"/>
                </w:tcPr>
                <w:p/>
              </w:tc>
              <w:tc>
                <w:tcPr>
                  <w:tcW w:w="637" w:type="pct"/>
                  <w:vMerge/>
                  <w:tcBorders>
                    <w:left w:val="single" w:sz="4" w:space="0" w:color="auto"/>
                  </w:tcBorders>
                  <w:vAlign w:val="center"/>
                </w:tcPr>
                <w:p/>
              </w:tc>
              <w:tc>
                <w:tcPr>
                  <w:tcW w:w="360" w:type="pct"/>
                  <w:vMerge/>
                  <w:tcBorders>
                    <w:left w:val="single" w:sz="4" w:space="0" w:color="auto"/>
                  </w:tcBorders>
                  <w:vAlign w:val="center"/>
                </w:tcPr>
                <w:p/>
              </w:tc>
              <w:tc>
                <w:tcPr>
                  <w:tcW w:w="283" w:type="pct"/>
                  <w:vMerge/>
                  <w:tcBorders>
                    <w:left w:val="single" w:sz="4" w:space="0" w:color="auto"/>
                  </w:tcBorders>
                  <w:vAlign w:val="center"/>
                </w:tcPr>
                <w:p/>
              </w:tc>
              <w:tc>
                <w:tcPr>
                  <w:tcW w:w="275" w:type="pct"/>
                  <w:vMerge/>
                  <w:tcBorders>
                    <w:left w:val="single" w:sz="4" w:space="0" w:color="auto"/>
                  </w:tcBorders>
                  <w:vAlign w:val="center"/>
                </w:tcPr>
                <w:p/>
              </w:tc>
            </w:tr>
            <w:tr>
              <w:trPr>
                <w:trHeight w:val="397"/>
              </w:trPr>
              <w:tc>
                <w:tcPr>
                  <w:tcW w:w="565" w:type="pct"/>
                  <w:vMerge w:val="restart"/>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lang w:val="en-US" w:eastAsia="zh-CN"/>
                      <w:highlight w:val="none"/>
                    </w:rPr>
                    <w:t>段家营村</w:t>
                  </w:r>
                </w:p>
              </w:tc>
              <w:tc>
                <w:tcPr>
                  <w:tcW w:w="656" w:type="pct"/>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114°31′50.808″</w:t>
                  </w:r>
                </w:p>
              </w:tc>
              <w:tc>
                <w:tcPr>
                  <w:tcW w:w="616" w:type="pct"/>
                  <w:vMerge w:val="restar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37°55′11.208″</w:t>
                  </w:r>
                </w:p>
              </w:tc>
              <w:tc>
                <w:tcPr>
                  <w:tcW w:w="519"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highlight w:val="none"/>
                    </w:rPr>
                    <w:t>非甲烷总烃</w:t>
                  </w:r>
                </w:p>
              </w:tc>
              <w:tc>
                <w:tcPr>
                  <w:tcW w:w="446"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1h平均</w:t>
                  </w:r>
                </w:p>
              </w:tc>
              <w:tc>
                <w:tcPr>
                  <w:tcW w:w="637"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2000</w:t>
                  </w:r>
                </w:p>
              </w:tc>
              <w:tc>
                <w:tcPr>
                  <w:tcW w:w="637" w:type="pct"/>
                  <w:tcBorders>
                    <w:left w:val="single" w:sz="4" w:space="0" w:color="auto"/>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710-970</w:t>
                  </w:r>
                </w:p>
              </w:tc>
              <w:tc>
                <w:tcPr>
                  <w:tcW w:w="360"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0.485</w:t>
                  </w:r>
                </w:p>
              </w:tc>
              <w:tc>
                <w:tcPr>
                  <w:tcW w:w="283"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0</w:t>
                  </w:r>
                </w:p>
              </w:tc>
              <w:tc>
                <w:tcPr>
                  <w:tcW w:w="275"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hint="eastAsia"/>
                      <w:color w:val="auto"/>
                      <w:sz w:val="21"/>
                      <w:szCs w:val="21"/>
                      <w:highlight w:val="none"/>
                    </w:rPr>
                    <w:t>达标</w:t>
                  </w:r>
                </w:p>
              </w:tc>
            </w:tr>
            <w:tr>
              <w:trPr>
                <w:trHeight w:val="397"/>
              </w:trPr>
              <w:tc>
                <w:tcPr>
                  <w:tcW w:w="565" w:type="pct"/>
                  <w:vMerge/>
                  <w:vAlign w:val="center"/>
                </w:tcPr>
                <w:p/>
              </w:tc>
              <w:tc>
                <w:tcPr>
                  <w:tcW w:w="656" w:type="pct"/>
                  <w:vMerge/>
                  <w:tcBorders>
                    <w:left w:val="single" w:sz="4" w:space="0" w:color="auto"/>
                  </w:tcBorders>
                  <w:vAlign w:val="center"/>
                </w:tcPr>
                <w:p/>
              </w:tc>
              <w:tc>
                <w:tcPr>
                  <w:tcW w:w="616" w:type="pct"/>
                  <w:vMerge/>
                  <w:tcBorders>
                    <w:left w:val="single" w:sz="4" w:space="0" w:color="auto"/>
                  </w:tcBorders>
                  <w:vAlign w:val="center"/>
                </w:tcPr>
                <w:p/>
              </w:tc>
              <w:tc>
                <w:tcPr>
                  <w:tcW w:w="519"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TSP</w:t>
                  </w:r>
                </w:p>
              </w:tc>
              <w:tc>
                <w:tcPr>
                  <w:tcW w:w="4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日均值</w:t>
                  </w:r>
                </w:p>
              </w:tc>
              <w:tc>
                <w:tcPr>
                  <w:tcW w:w="63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300</w:t>
                  </w:r>
                </w:p>
              </w:tc>
              <w:tc>
                <w:tcPr>
                  <w:tcW w:w="637" w:type="pct"/>
                  <w:tcBorders>
                    <w:left w:val="single" w:sz="4" w:space="0" w:color="auto"/>
                  </w:tcBorders>
                  <w:vAlign w:val="center"/>
                </w:tcPr>
                <w:p>
                  <w:pPr>
                    <w:keepNext w:val="0"/>
                    <w:keepLines w:val="0"/>
                    <w:suppressLineNumbers w:val="0"/>
                    <w:adjustRightInd w:val="0"/>
                    <w:snapToGrid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152-221</w:t>
                  </w:r>
                </w:p>
              </w:tc>
              <w:tc>
                <w:tcPr>
                  <w:tcW w:w="360"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0.737</w:t>
                  </w:r>
                </w:p>
              </w:tc>
              <w:tc>
                <w:tcPr>
                  <w:tcW w:w="28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0</w:t>
                  </w:r>
                </w:p>
              </w:tc>
              <w:tc>
                <w:tcPr>
                  <w:tcW w:w="27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达标</w:t>
                  </w:r>
                </w:p>
              </w:tc>
            </w:tr>
            <w:tr>
              <w:trPr>
                <w:trHeight w:val="397"/>
              </w:trPr>
              <w:tc>
                <w:tcPr>
                  <w:tcW w:w="565" w:type="pct"/>
                  <w:vMerge/>
                  <w:vAlign w:val="center"/>
                </w:tcPr>
                <w:p/>
              </w:tc>
              <w:tc>
                <w:tcPr>
                  <w:tcW w:w="656" w:type="pct"/>
                  <w:vMerge/>
                  <w:tcBorders>
                    <w:left w:val="single" w:sz="4" w:space="0" w:color="auto"/>
                  </w:tcBorders>
                  <w:vAlign w:val="center"/>
                </w:tcPr>
                <w:p/>
              </w:tc>
              <w:tc>
                <w:tcPr>
                  <w:tcW w:w="616" w:type="pct"/>
                  <w:vMerge/>
                  <w:tcBorders>
                    <w:left w:val="single" w:sz="4" w:space="0" w:color="auto"/>
                  </w:tcBorders>
                  <w:vAlign w:val="center"/>
                </w:tcPr>
                <w:p/>
              </w:tc>
              <w:tc>
                <w:tcPr>
                  <w:tcW w:w="519"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氨</w:t>
                  </w:r>
                </w:p>
              </w:tc>
              <w:tc>
                <w:tcPr>
                  <w:tcW w:w="4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1h平均</w:t>
                  </w:r>
                </w:p>
              </w:tc>
              <w:tc>
                <w:tcPr>
                  <w:tcW w:w="63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200</w:t>
                  </w:r>
                </w:p>
              </w:tc>
              <w:tc>
                <w:tcPr>
                  <w:tcW w:w="637" w:type="pct"/>
                  <w:tcBorders>
                    <w:left w:val="single" w:sz="4" w:space="0" w:color="auto"/>
                  </w:tcBorders>
                  <w:vAlign w:val="center"/>
                </w:tcPr>
                <w:p>
                  <w:pPr>
                    <w:keepNext w:val="0"/>
                    <w:keepLines w:val="0"/>
                    <w:suppressLineNumbers w:val="0"/>
                    <w:adjustRightInd w:val="0"/>
                    <w:snapToGrid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0.02-0.06</w:t>
                  </w:r>
                </w:p>
              </w:tc>
              <w:tc>
                <w:tcPr>
                  <w:tcW w:w="360"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0.0003</w:t>
                  </w:r>
                </w:p>
              </w:tc>
              <w:tc>
                <w:tcPr>
                  <w:tcW w:w="28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0</w:t>
                  </w:r>
                </w:p>
              </w:tc>
              <w:tc>
                <w:tcPr>
                  <w:tcW w:w="27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hint="eastAsia"/>
                      <w:color w:val="auto"/>
                      <w:sz w:val="21"/>
                      <w:szCs w:val="21"/>
                      <w:highlight w:val="none"/>
                    </w:rPr>
                    <w:t>达标</w:t>
                  </w:r>
                </w:p>
              </w:tc>
            </w:tr>
            <w:tr>
              <w:trPr>
                <w:trHeight w:val="397"/>
              </w:trPr>
              <w:tc>
                <w:tcPr>
                  <w:tcW w:w="565" w:type="pct"/>
                  <w:vMerge/>
                  <w:vAlign w:val="center"/>
                </w:tcPr>
                <w:p/>
              </w:tc>
              <w:tc>
                <w:tcPr>
                  <w:tcW w:w="656" w:type="pct"/>
                  <w:vMerge/>
                  <w:tcBorders>
                    <w:left w:val="single" w:sz="4" w:space="0" w:color="auto"/>
                  </w:tcBorders>
                  <w:vAlign w:val="center"/>
                </w:tcPr>
                <w:p/>
              </w:tc>
              <w:tc>
                <w:tcPr>
                  <w:tcW w:w="616" w:type="pct"/>
                  <w:vMerge/>
                  <w:tcBorders>
                    <w:left w:val="single" w:sz="4" w:space="0" w:color="auto"/>
                  </w:tcBorders>
                  <w:vAlign w:val="center"/>
                </w:tcPr>
                <w:p/>
              </w:tc>
              <w:tc>
                <w:tcPr>
                  <w:tcW w:w="519"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臭气浓度</w:t>
                  </w:r>
                </w:p>
              </w:tc>
              <w:tc>
                <w:tcPr>
                  <w:tcW w:w="44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1次平均浓度</w:t>
                  </w:r>
                </w:p>
              </w:tc>
              <w:tc>
                <w:tcPr>
                  <w:tcW w:w="63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c>
                <w:tcPr>
                  <w:tcW w:w="637" w:type="pct"/>
                  <w:tcBorders>
                    <w:left w:val="single" w:sz="4" w:space="0" w:color="auto"/>
                  </w:tcBorders>
                  <w:vAlign w:val="center"/>
                </w:tcPr>
                <w:p>
                  <w:pPr>
                    <w:keepNext w:val="0"/>
                    <w:keepLines w:val="0"/>
                    <w:suppressLineNumbers w:val="0"/>
                    <w:adjustRightInd w:val="0"/>
                    <w:snapToGrid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＜10</w:t>
                  </w:r>
                </w:p>
              </w:tc>
              <w:tc>
                <w:tcPr>
                  <w:tcW w:w="360" w:type="pct"/>
                  <w:tcBorders>
                    <w:lef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c>
                <w:tcPr>
                  <w:tcW w:w="283"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c>
                <w:tcPr>
                  <w:tcW w:w="27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r>
          </w:tbl>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color w:val="auto"/>
                <w:sz w:val="24"/>
                <w:szCs w:val="20"/>
                <w:highlight w:val="none"/>
              </w:rPr>
              <w:t>由上表可知，本项目TSP的24小时平均浓度满足《环境空气质量标准》(GB3095-2012)表2二级标准，非甲烷总烃的1小时平均浓度满足《环境空气质量 非甲烷总烃限值》(DB13/1577-2012)表1二级标准</w:t>
            </w:r>
            <w:r>
              <w:rPr>
                <w:rFonts w:ascii="Times New Roman" w:cs="Times New Roman" w:hAnsi="Times New Roman" w:hint="eastAsia"/>
                <w:color w:val="auto"/>
                <w:sz w:val="24"/>
                <w:szCs w:val="20"/>
                <w:lang w:eastAsia="zh-CN"/>
                <w:highlight w:val="none"/>
              </w:rPr>
              <w:t>，</w:t>
            </w:r>
            <w:r>
              <w:rPr>
                <w:rFonts w:ascii="Times New Roman" w:cs="Times New Roman" w:hAnsi="Times New Roman"/>
                <w:color w:val="auto"/>
                <w:sz w:val="24"/>
                <w:szCs w:val="20"/>
                <w:highlight w:val="none"/>
              </w:rPr>
              <w:t>氨的1小时平均浓度满足《环境影响评价技术导则 大气环境》(HJ2.2-2018)附录D表D.1中1h平均值</w:t>
            </w:r>
            <w:r>
              <w:rPr>
                <w:rFonts w:ascii="Times New Roman" w:cs="Times New Roman" w:hAnsi="Times New Roman" w:hint="eastAsia"/>
                <w:bCs/>
                <w:color w:val="auto"/>
                <w:sz w:val="24"/>
                <w:szCs w:val="20"/>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2、水环境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项目</w:t>
            </w:r>
            <w:r>
              <w:rPr>
                <w:rFonts w:ascii="Times New Roman" w:cs="Times New Roman" w:hAnsi="Times New Roman"/>
                <w:caps w:val="0"/>
                <w:smallCaps w:val="0"/>
                <w:color w:val="auto"/>
                <w:spacing w:val="0"/>
                <w:sz w:val="24"/>
                <w:szCs w:val="20"/>
                <w:lang w:val="en-US" w:eastAsia="zh-CN"/>
                <w:highlight w:val="none"/>
              </w:rPr>
              <w:t>所在区域附近无地表水体，项目距离最近的水体为</w:t>
            </w:r>
            <w:r>
              <w:rPr>
                <w:rFonts w:ascii="Times New Roman" w:cs="Times New Roman" w:hAnsi="Times New Roman" w:hint="eastAsia"/>
                <w:caps w:val="0"/>
                <w:smallCaps w:val="0"/>
                <w:color w:val="auto"/>
                <w:spacing w:val="0"/>
                <w:sz w:val="24"/>
                <w:szCs w:val="20"/>
                <w:lang w:val="en-US" w:eastAsia="zh-CN"/>
                <w:highlight w:val="none"/>
              </w:rPr>
              <w:t>西南侧约345m的洨河</w:t>
            </w:r>
            <w:r>
              <w:rPr>
                <w:rFonts w:ascii="Times New Roman" w:cs="Times New Roman" w:hAnsi="Times New Roman"/>
                <w:caps w:val="0"/>
                <w:smallCaps w:val="0"/>
                <w:color w:val="auto"/>
                <w:spacing w:val="0"/>
                <w:sz w:val="24"/>
                <w:szCs w:val="20"/>
                <w:lang w:val="en-US" w:eastAsia="zh-CN"/>
                <w:highlight w:val="none"/>
              </w:rPr>
              <w:t>，根据石家庄市生态环境局</w:t>
            </w:r>
            <w:r>
              <w:rPr>
                <w:rFonts w:ascii="Times New Roman" w:cs="Times New Roman" w:hAnsi="Times New Roman" w:hint="eastAsia"/>
                <w:caps w:val="0"/>
                <w:smallCaps w:val="0"/>
                <w:color w:val="auto"/>
                <w:spacing w:val="0"/>
                <w:sz w:val="24"/>
                <w:szCs w:val="20"/>
                <w:lang w:val="en-US" w:eastAsia="zh-CN"/>
                <w:highlight w:val="none"/>
              </w:rPr>
              <w:t>2025年6月</w:t>
            </w:r>
            <w:r>
              <w:rPr>
                <w:rFonts w:ascii="Times New Roman" w:cs="Times New Roman" w:hAnsi="Times New Roman"/>
                <w:caps w:val="0"/>
                <w:smallCaps w:val="0"/>
                <w:color w:val="auto"/>
                <w:spacing w:val="0"/>
                <w:sz w:val="24"/>
                <w:szCs w:val="20"/>
                <w:lang w:val="en-US" w:eastAsia="zh-CN"/>
                <w:highlight w:val="none"/>
              </w:rPr>
              <w:t>发布的《</w:t>
            </w:r>
            <w:r>
              <w:rPr>
                <w:rFonts w:ascii="Times New Roman" w:cs="Times New Roman" w:hAnsi="Times New Roman" w:hint="eastAsia"/>
                <w:caps w:val="0"/>
                <w:smallCaps w:val="0"/>
                <w:color w:val="auto"/>
                <w:spacing w:val="0"/>
                <w:sz w:val="24"/>
                <w:szCs w:val="20"/>
                <w:lang w:val="en-US" w:eastAsia="zh-CN"/>
                <w:highlight w:val="none"/>
              </w:rPr>
              <w:t>石家庄市生态环境状况公报（2024年）</w:t>
            </w:r>
            <w:r>
              <w:rPr>
                <w:rFonts w:ascii="Times New Roman" w:cs="Times New Roman" w:hAnsi="Times New Roman"/>
                <w:caps w:val="0"/>
                <w:smallCaps w:val="0"/>
                <w:color w:val="auto"/>
                <w:spacing w:val="0"/>
                <w:sz w:val="24"/>
                <w:szCs w:val="20"/>
                <w:lang w:val="en-US" w:eastAsia="zh-CN"/>
                <w:highlight w:val="none"/>
              </w:rPr>
              <w:t>》洨河水质状况</w:t>
            </w:r>
            <w:r>
              <w:rPr>
                <w:rFonts w:ascii="Times New Roman" w:cs="Times New Roman" w:hAnsi="Times New Roman" w:hint="eastAsia"/>
                <w:caps w:val="0"/>
                <w:smallCaps w:val="0"/>
                <w:color w:val="auto"/>
                <w:spacing w:val="0"/>
                <w:sz w:val="24"/>
                <w:szCs w:val="20"/>
                <w:lang w:val="en-US" w:eastAsia="zh-CN"/>
                <w:highlight w:val="none"/>
              </w:rPr>
              <w:t>为</w:t>
            </w:r>
            <w:r>
              <w:rPr>
                <w:rFonts w:ascii="Times New Roman" w:cs="Times New Roman" w:hAnsi="Times New Roman"/>
                <w:caps w:val="0"/>
                <w:smallCaps w:val="0"/>
                <w:color w:val="auto"/>
                <w:spacing w:val="0"/>
                <w:sz w:val="24"/>
                <w:szCs w:val="20"/>
                <w:lang w:val="en-US" w:eastAsia="zh-CN"/>
                <w:highlight w:val="none"/>
              </w:rPr>
              <w:t>轻度污染。</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3、声环境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szCs w:val="20"/>
                <w:highlight w:val="none"/>
              </w:rPr>
            </w:pPr>
            <w:r>
              <w:rPr>
                <w:rFonts w:ascii="Times New Roman" w:cs="Times New Roman" w:hAnsi="Times New Roman"/>
                <w:caps w:val="0"/>
                <w:smallCaps w:val="0"/>
                <w:color w:val="auto"/>
                <w:spacing w:val="0"/>
                <w:sz w:val="24"/>
                <w:szCs w:val="20"/>
                <w:highlight w:val="none"/>
              </w:rPr>
              <w:t>项目厂界外周边50米范围内不存在声环境保护目标。</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4、生态环境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lang w:val="en-US" w:eastAsia="zh-CN"/>
                <w:highlight w:val="none"/>
              </w:rPr>
              <w:t>项目</w:t>
            </w:r>
            <w:r>
              <w:rPr>
                <w:rFonts w:ascii="Times New Roman" w:cs="Times New Roman" w:hAnsi="Times New Roman" w:hint="eastAsia"/>
                <w:caps w:val="0"/>
                <w:smallCaps w:val="0"/>
                <w:color w:val="auto"/>
                <w:spacing w:val="0"/>
                <w:sz w:val="24"/>
                <w:szCs w:val="20"/>
                <w:lang w:val="en-US" w:eastAsia="zh-CN"/>
                <w:highlight w:val="none"/>
              </w:rPr>
              <w:t>租赁现有厂房进行汽车塑料配件生产</w:t>
            </w:r>
            <w:r>
              <w:rPr>
                <w:rFonts w:ascii="Times New Roman" w:cs="Times New Roman" w:hAnsi="Times New Roman"/>
                <w:caps w:val="0"/>
                <w:smallCaps w:val="0"/>
                <w:color w:val="auto"/>
                <w:spacing w:val="0"/>
                <w:sz w:val="24"/>
                <w:szCs w:val="20"/>
                <w:lang w:val="en-US" w:eastAsia="zh-CN"/>
                <w:highlight w:val="none"/>
              </w:rPr>
              <w:t>，用地性质为工业用地，用地范围内不含有生态环境保护目标，无需进行生态现状调查</w:t>
            </w:r>
            <w:r>
              <w:rPr>
                <w:rFonts w:ascii="Times New Roman" w:cs="Times New Roman" w:hAnsi="Times New Roman"/>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5、电磁辐射</w:t>
            </w:r>
          </w:p>
          <w:p>
            <w:pPr>
              <w:keepNext w:val="0"/>
              <w:keepLines w:val="0"/>
              <w:widowControl/>
              <w:suppressLineNumbers w:val="0"/>
              <w:spacing w:before="0" w:beforeAutospacing="0" w:after="0" w:afterAutospacing="0" w:line="500" w:lineRule="exact"/>
              <w:ind w:left="0" w:right="0" w:firstLineChars="200" w:firstLine="480"/>
              <w:rPr>
                <w:rFonts w:ascii="Times New Roman" w:cs="Times New Roman" w:hAnsi="Times New Roman"/>
                <w:caps w:val="0"/>
                <w:smallCaps w:val="0"/>
                <w:color w:val="auto"/>
                <w:spacing w:val="0"/>
                <w:sz w:val="24"/>
                <w:szCs w:val="20"/>
                <w:highlight w:val="none"/>
              </w:rPr>
            </w:pPr>
            <w:r>
              <w:rPr>
                <w:rFonts w:ascii="Times New Roman" w:cs="Times New Roman" w:hAnsi="Times New Roman"/>
                <w:caps w:val="0"/>
                <w:smallCaps w:val="0"/>
                <w:color w:val="auto"/>
                <w:spacing w:val="0"/>
                <w:sz w:val="24"/>
                <w:szCs w:val="20"/>
                <w:highlight w:val="none"/>
              </w:rPr>
              <w:t>不涉及。</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6、地下水、土壤环境质量现状</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建设项目</w:t>
            </w:r>
            <w:r>
              <w:rPr>
                <w:rFonts w:ascii="Times New Roman" w:cs="Times New Roman" w:hAnsi="Times New Roman" w:hint="eastAsia"/>
                <w:caps w:val="0"/>
                <w:smallCaps w:val="0"/>
                <w:color w:val="auto"/>
                <w:spacing w:val="0"/>
                <w:sz w:val="24"/>
                <w:szCs w:val="20"/>
                <w:lang w:val="en-US" w:eastAsia="zh-CN"/>
                <w:highlight w:val="none"/>
              </w:rPr>
              <w:t>在落实好分区防渗措施后可有效切断对</w:t>
            </w:r>
            <w:r>
              <w:rPr>
                <w:rFonts w:ascii="Times New Roman" w:cs="Times New Roman" w:hAnsi="Times New Roman"/>
                <w:caps w:val="0"/>
                <w:smallCaps w:val="0"/>
                <w:color w:val="auto"/>
                <w:spacing w:val="0"/>
                <w:sz w:val="24"/>
                <w:szCs w:val="20"/>
                <w:highlight w:val="none"/>
              </w:rPr>
              <w:t>地下水、土壤环境污染</w:t>
            </w:r>
            <w:r>
              <w:rPr>
                <w:rFonts w:ascii="Times New Roman" w:cs="Times New Roman" w:hAnsi="Times New Roman" w:hint="eastAsia"/>
                <w:caps w:val="0"/>
                <w:smallCaps w:val="0"/>
                <w:color w:val="auto"/>
                <w:spacing w:val="0"/>
                <w:sz w:val="24"/>
                <w:szCs w:val="20"/>
                <w:lang w:val="en-US" w:eastAsia="zh-CN"/>
                <w:highlight w:val="none"/>
              </w:rPr>
              <w:t>途径</w:t>
            </w:r>
            <w:r>
              <w:rPr>
                <w:rFonts w:ascii="Times New Roman" w:cs="Times New Roman" w:hAnsi="Times New Roman"/>
                <w:caps w:val="0"/>
                <w:smallCaps w:val="0"/>
                <w:color w:val="auto"/>
                <w:spacing w:val="0"/>
                <w:sz w:val="24"/>
                <w:szCs w:val="20"/>
                <w:highlight w:val="none"/>
              </w:rPr>
              <w:t>，原则上不开展环境质量现状调查</w:t>
            </w:r>
            <w:r>
              <w:rPr>
                <w:rFonts w:ascii="Times New Roman" w:cs="Times New Roman" w:hAnsi="Times New Roman" w:hint="eastAsia"/>
                <w:caps w:val="0"/>
                <w:smallCaps w:val="0"/>
                <w:color w:val="auto"/>
                <w:spacing w:val="0"/>
                <w:sz w:val="24"/>
                <w:szCs w:val="20"/>
                <w:lang w:eastAsia="zh-CN"/>
                <w:highlight w:val="none"/>
              </w:rPr>
              <w:t>。</w:t>
            </w:r>
          </w:p>
        </w:tc>
      </w:tr>
      <w:tr>
        <w:trPr>
          <w:trHeight w:val="20"/>
        </w:trPr>
        <w:tc>
          <w:tcPr>
            <w:tcW w:w="372" w:type="pct"/>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环境</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保护</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4"/>
                <w:szCs w:val="21"/>
                <w:highlight w:val="none"/>
              </w:rPr>
              <w:t>目标</w:t>
            </w:r>
          </w:p>
        </w:tc>
        <w:tc>
          <w:tcPr>
            <w:tcW w:w="4627" w:type="pct"/>
            <w:tcBorders>
              <w:left w:val="single" w:sz="4" w:space="0" w:color="auto"/>
            </w:tcBorders>
            <w:vAlign w:val="center"/>
          </w:tcPr>
          <w:p>
            <w:pPr>
              <w:pStyle w:val="137"/>
              <w:keepNext w:val="0"/>
              <w:keepLines w:val="0"/>
              <w:suppressLineNumbers w:val="0"/>
              <w:spacing w:before="0" w:beforeAutospacing="0" w:after="0" w:afterAutospacing="0"/>
              <w:ind w:left="0" w:right="0"/>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1、大气环境</w:t>
            </w:r>
          </w:p>
          <w:p>
            <w:pPr>
              <w:pStyle w:val="137"/>
              <w:keepNext w:val="0"/>
              <w:keepLines w:val="0"/>
              <w:suppressLineNumbers w:val="0"/>
              <w:spacing w:before="0" w:beforeAutospacing="0" w:after="0" w:afterAutospacing="0"/>
              <w:ind w:left="0" w:right="0"/>
              <w:rPr>
                <w:rFonts w:eastAsia="宋体" w:cs="Times New Roman" w:hint="eastAsia"/>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厂界外500米范围内</w:t>
            </w:r>
            <w:r>
              <w:rPr>
                <w:rFonts w:ascii="Times New Roman" w:cs="Times New Roman" w:hAnsi="Times New Roman" w:hint="eastAsia"/>
                <w:caps w:val="0"/>
                <w:smallCaps w:val="0"/>
                <w:color w:val="auto"/>
                <w:spacing w:val="0"/>
                <w:sz w:val="24"/>
                <w:szCs w:val="20"/>
                <w:lang w:val="en-US" w:eastAsia="zh-CN"/>
                <w:highlight w:val="none"/>
              </w:rPr>
              <w:t>不存在大气</w:t>
            </w:r>
            <w:r>
              <w:rPr>
                <w:rFonts w:ascii="Times New Roman" w:cs="Times New Roman" w:hAnsi="Times New Roman"/>
                <w:caps w:val="0"/>
                <w:smallCaps w:val="0"/>
                <w:color w:val="auto"/>
                <w:spacing w:val="0"/>
                <w:sz w:val="24"/>
                <w:szCs w:val="20"/>
                <w:highlight w:val="none"/>
              </w:rPr>
              <w:t>环境保护目标</w:t>
            </w:r>
            <w:r>
              <w:rPr>
                <w:rFonts w:ascii="Times New Roman" w:cs="Times New Roman" w:hAnsi="Times New Roman" w:hint="eastAsia"/>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2、声环境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项目厂界外50m范围内</w:t>
            </w:r>
            <w:r>
              <w:rPr>
                <w:rFonts w:ascii="Times New Roman" w:cs="Times New Roman" w:hAnsi="Times New Roman"/>
                <w:caps w:val="0"/>
                <w:smallCaps w:val="0"/>
                <w:color w:val="auto"/>
                <w:spacing w:val="0"/>
                <w:sz w:val="24"/>
                <w:szCs w:val="20"/>
                <w:lang w:val="en-US" w:eastAsia="zh-CN"/>
                <w:highlight w:val="none"/>
              </w:rPr>
              <w:t>不</w:t>
            </w:r>
            <w:r>
              <w:rPr>
                <w:rFonts w:ascii="Times New Roman" w:cs="Times New Roman" w:hAnsi="Times New Roman"/>
                <w:caps w:val="0"/>
                <w:smallCaps w:val="0"/>
                <w:color w:val="auto"/>
                <w:spacing w:val="0"/>
                <w:sz w:val="24"/>
                <w:szCs w:val="20"/>
                <w:highlight w:val="none"/>
              </w:rPr>
              <w:t>存在声环境保护目标。</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3、地下水环境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32"/>
                <w:highlight w:val="none"/>
              </w:rPr>
              <w:t>根据项目性质及周围环境特征</w:t>
            </w:r>
            <w:r>
              <w:rPr>
                <w:rFonts w:ascii="Times New Roman" w:cs="Times New Roman" w:hAnsi="Times New Roman"/>
                <w:caps w:val="0"/>
                <w:smallCaps w:val="0"/>
                <w:color w:val="auto"/>
                <w:spacing w:val="0"/>
                <w:sz w:val="24"/>
                <w:szCs w:val="32"/>
                <w:lang w:eastAsia="zh-CN"/>
                <w:highlight w:val="none"/>
              </w:rPr>
              <w:t>，</w:t>
            </w:r>
            <w:r>
              <w:rPr>
                <w:rFonts w:ascii="Times New Roman" w:cs="Times New Roman" w:hAnsi="Times New Roman"/>
                <w:caps w:val="0"/>
                <w:smallCaps w:val="0"/>
                <w:color w:val="auto"/>
                <w:spacing w:val="0"/>
                <w:sz w:val="24"/>
                <w:szCs w:val="32"/>
                <w:highlight w:val="none"/>
              </w:rPr>
              <w:t>本项目周边500m范围内无地下水集中式饮用水水源和热水、矿泉水、温泉等特殊地下水</w:t>
            </w:r>
            <w:r>
              <w:rPr>
                <w:rFonts w:ascii="Times New Roman" w:cs="Times New Roman" w:hAnsi="Times New Roman" w:hint="eastAsia"/>
                <w:caps w:val="0"/>
                <w:smallCaps w:val="0"/>
                <w:color w:val="auto"/>
                <w:spacing w:val="0"/>
                <w:sz w:val="24"/>
                <w:szCs w:val="32"/>
                <w:lang w:val="en-US" w:eastAsia="zh-CN"/>
                <w:highlight w:val="none"/>
              </w:rPr>
              <w:t>资源</w:t>
            </w:r>
            <w:r>
              <w:rPr>
                <w:rFonts w:ascii="Times New Roman" w:cs="Times New Roman" w:hAnsi="Times New Roman"/>
                <w:caps w:val="0"/>
                <w:smallCaps w:val="0"/>
                <w:color w:val="auto"/>
                <w:spacing w:val="0"/>
                <w:sz w:val="24"/>
                <w:szCs w:val="32"/>
                <w:lang w:eastAsia="zh-CN"/>
                <w:highlight w:val="none"/>
              </w:rPr>
              <w:t>，</w:t>
            </w:r>
            <w:r>
              <w:rPr>
                <w:rFonts w:ascii="Times New Roman" w:cs="Times New Roman" w:hAnsi="Times New Roman"/>
                <w:caps w:val="0"/>
                <w:smallCaps w:val="0"/>
                <w:color w:val="auto"/>
                <w:spacing w:val="0"/>
                <w:sz w:val="24"/>
                <w:szCs w:val="32"/>
                <w:highlight w:val="none"/>
              </w:rPr>
              <w:t>不存在地下水环境保护目标</w:t>
            </w:r>
            <w:r>
              <w:rPr>
                <w:rFonts w:ascii="Times New Roman" w:cs="Times New Roman" w:hAnsi="Times New Roman"/>
                <w:caps w:val="0"/>
                <w:smallCaps w:val="0"/>
                <w:color w:val="auto"/>
                <w:spacing w:val="0"/>
                <w:sz w:val="24"/>
                <w:szCs w:val="20"/>
                <w:highlight w:val="none"/>
              </w:rPr>
              <w:t>。</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4、生态环境</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项目周边无生态环境保护目标。</w:t>
            </w:r>
          </w:p>
        </w:tc>
      </w:tr>
      <w:tr>
        <w:trPr>
          <w:trHeight w:val="1550"/>
        </w:trPr>
        <w:tc>
          <w:tcPr>
            <w:tcW w:w="372" w:type="pct"/>
            <w:tcMar>
              <w:left w:w="28" w:type="dxa"/>
              <w:right w:w="28" w:type="dxa"/>
            </w:tcMar>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污染</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物排</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放控</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制标</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4"/>
                <w:szCs w:val="21"/>
                <w:highlight w:val="none"/>
              </w:rPr>
              <w:t>准</w:t>
            </w:r>
          </w:p>
        </w:tc>
        <w:tc>
          <w:tcPr>
            <w:tcW w:w="4627" w:type="pct"/>
            <w:tcBorders>
              <w:left w:val="single" w:sz="4" w:space="0" w:color="auto"/>
            </w:tcBorders>
            <w:vAlign w:val="center"/>
          </w:tcPr>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hint="eastAsia"/>
                <w:b/>
                <w:caps w:val="0"/>
                <w:smallCaps w:val="0"/>
                <w:color w:val="auto"/>
                <w:spacing w:val="0"/>
                <w:sz w:val="24"/>
                <w:szCs w:val="20"/>
                <w:lang w:val="en-US" w:eastAsia="zh-CN"/>
                <w:highlight w:val="none"/>
              </w:rPr>
              <w:t>1</w:t>
            </w:r>
            <w:r>
              <w:rPr>
                <w:rFonts w:ascii="Times New Roman" w:cs="Times New Roman" w:hAnsi="Times New Roman"/>
                <w:b/>
                <w:caps w:val="0"/>
                <w:smallCaps w:val="0"/>
                <w:color w:val="auto"/>
                <w:spacing w:val="0"/>
                <w:sz w:val="24"/>
                <w:szCs w:val="20"/>
                <w:highlight w:val="none"/>
              </w:rPr>
              <w:t>、</w:t>
            </w:r>
            <w:r>
              <w:rPr>
                <w:rFonts w:ascii="Times New Roman" w:cs="Times New Roman" w:hAnsi="Times New Roman" w:hint="eastAsia"/>
                <w:b/>
                <w:caps w:val="0"/>
                <w:smallCaps w:val="0"/>
                <w:color w:val="auto"/>
                <w:spacing w:val="0"/>
                <w:sz w:val="24"/>
                <w:szCs w:val="20"/>
                <w:lang w:val="en-US" w:eastAsia="zh-CN"/>
                <w:highlight w:val="none"/>
              </w:rPr>
              <w:t>大气</w:t>
            </w:r>
            <w:r>
              <w:rPr>
                <w:rFonts w:ascii="Times New Roman" w:cs="Times New Roman" w:hAnsi="Times New Roman"/>
                <w:b/>
                <w:caps w:val="0"/>
                <w:smallCaps w:val="0"/>
                <w:color w:val="auto"/>
                <w:spacing w:val="0"/>
                <w:sz w:val="24"/>
                <w:szCs w:val="20"/>
                <w:highlight w:val="none"/>
              </w:rPr>
              <w:t>污染执行标准</w:t>
            </w:r>
          </w:p>
          <w:p>
            <w:pPr>
              <w:pStyle w:val="137"/>
              <w:keepNext w:val="0"/>
              <w:keepLines w:val="0"/>
              <w:suppressLineNumbers w:val="0"/>
              <w:spacing w:before="0" w:beforeAutospacing="0" w:after="0" w:afterAutospacing="0"/>
              <w:ind w:left="0" w:right="0"/>
              <w:rPr>
                <w:rFonts w:cs="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运营期：</w:t>
            </w:r>
            <w:r>
              <w:rPr>
                <w:rFonts w:ascii="Times New Roman" w:cs="Times New Roman" w:hAnsi="Times New Roman" w:hint="eastAsia"/>
                <w:caps w:val="0"/>
                <w:smallCaps w:val="0"/>
                <w:color w:val="auto"/>
                <w:spacing w:val="0"/>
                <w:sz w:val="24"/>
                <w:szCs w:val="20"/>
                <w:lang w:val="en-US" w:eastAsia="zh-CN"/>
                <w:highlight w:val="none"/>
              </w:rPr>
              <w:t>拆包、投料、烘干、注塑废气中非甲烷总烃</w:t>
            </w:r>
            <w:r>
              <w:rPr>
                <w:rFonts w:ascii="Times New Roman" w:cs="Times New Roman" w:hAnsi="Times New Roman"/>
                <w:caps w:val="0"/>
                <w:smallCaps w:val="0"/>
                <w:color w:val="auto"/>
                <w:spacing w:val="0"/>
                <w:sz w:val="24"/>
                <w:szCs w:val="20"/>
                <w:highlight w:val="none"/>
              </w:rPr>
              <w:t>执行</w:t>
            </w:r>
            <w:r>
              <w:rPr>
                <w:rFonts w:ascii="Times New Roman" w:cs="Times New Roman" w:hAnsi="Times New Roman" w:hint="eastAsia"/>
                <w:caps w:val="0"/>
                <w:smallCaps w:val="0"/>
                <w:color w:val="auto"/>
                <w:spacing w:val="0"/>
                <w:sz w:val="24"/>
                <w:szCs w:val="20"/>
                <w:lang w:eastAsia="zh-CN"/>
                <w:highlight w:val="none"/>
              </w:rPr>
              <w:t>《工业企业挥发性有机物排放控制标准》（DB13/2322-2025）表1（塑料制品制造）标准；</w:t>
            </w:r>
            <w:r>
              <w:rPr>
                <w:rFonts w:ascii="Times New Roman" w:cs="Times New Roman" w:hAnsi="Times New Roman" w:hint="eastAsia"/>
                <w:caps w:val="0"/>
                <w:smallCaps w:val="0"/>
                <w:color w:val="auto"/>
                <w:spacing w:val="0"/>
                <w:sz w:val="24"/>
                <w:szCs w:val="20"/>
                <w:lang w:val="en-US" w:eastAsia="zh-CN"/>
                <w:highlight w:val="none"/>
              </w:rPr>
              <w:t>氨、颗粒物及单位产品非甲烷总烃排放量执行《合成树脂工业污染物排放标准》（GB31572-2015）（含2024年修改单）表5标准</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臭气浓度执行《恶臭污染物排放标准》（GB14554-93）表2标准；</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厂界无组织非甲烷总烃执行</w:t>
            </w:r>
            <w:r>
              <w:rPr>
                <w:rFonts w:ascii="Times New Roman" w:cs="Times New Roman" w:hAnsi="Times New Roman" w:hint="eastAsia"/>
                <w:caps w:val="0"/>
                <w:smallCaps w:val="0"/>
                <w:color w:val="auto"/>
                <w:spacing w:val="0"/>
                <w:sz w:val="24"/>
                <w:szCs w:val="20"/>
                <w:lang w:eastAsia="zh-CN"/>
                <w:highlight w:val="none"/>
              </w:rPr>
              <w:t>《工业企业挥发性有机物排放控制标准》（DB13/2322-20</w:t>
            </w:r>
            <w:r>
              <w:rPr>
                <w:rFonts w:ascii="Times New Roman" w:cs="Times New Roman" w:hAnsi="Times New Roman" w:hint="eastAsia"/>
                <w:caps w:val="0"/>
                <w:smallCaps w:val="0"/>
                <w:color w:val="auto"/>
                <w:spacing w:val="0"/>
                <w:sz w:val="24"/>
                <w:szCs w:val="20"/>
                <w:lang w:val="en-US" w:eastAsia="zh-CN"/>
                <w:highlight w:val="none"/>
              </w:rPr>
              <w:t>16</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表2标准；无组织颗粒物执行《合成树脂工业污染物排放标准》（GB31572-2015）（含2024年修改单）表9标准；氨、臭气浓度执行《恶臭污染物排放标准》（GB14554-93）表1二级新扩改建标准</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具体见下表。</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表3-</w:t>
            </w:r>
            <w:r>
              <w:rPr>
                <w:rFonts w:ascii="Times New Roman" w:cs="Times New Roman" w:hAnsi="Times New Roman" w:hint="eastAsia"/>
                <w:caps w:val="0"/>
                <w:smallCaps w:val="0"/>
                <w:color w:val="auto"/>
                <w:spacing w:val="0"/>
                <w:sz w:val="24"/>
                <w:szCs w:val="20"/>
                <w:lang w:val="en-US" w:eastAsia="zh-CN"/>
                <w:highlight w:val="none"/>
              </w:rPr>
              <w:t>5</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hint="eastAsia"/>
                <w:caps w:val="0"/>
                <w:smallCaps w:val="0"/>
                <w:color w:val="auto"/>
                <w:spacing w:val="0"/>
                <w:sz w:val="24"/>
                <w:szCs w:val="20"/>
                <w:lang w:val="en-US" w:eastAsia="zh-CN"/>
                <w:highlight w:val="none"/>
              </w:rPr>
              <w:t>大气</w:t>
            </w:r>
            <w:r>
              <w:rPr>
                <w:rFonts w:ascii="Times New Roman" w:cs="Times New Roman" w:hAnsi="Times New Roman"/>
                <w:caps w:val="0"/>
                <w:smallCaps w:val="0"/>
                <w:color w:val="auto"/>
                <w:spacing w:val="0"/>
                <w:sz w:val="24"/>
                <w:szCs w:val="20"/>
                <w:highlight w:val="none"/>
              </w:rPr>
              <w:t>排放标准</w:t>
            </w:r>
          </w:p>
          <w:tbl>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30"/>
              <w:gridCol w:w="866"/>
              <w:gridCol w:w="1717"/>
              <w:gridCol w:w="1592"/>
              <w:gridCol w:w="2858"/>
            </w:tblGrid>
            <w:tr>
              <w:trPr>
                <w:cantSplit/>
                <w:trHeight w:val="340"/>
              </w:trPr>
              <w:tc>
                <w:tcPr>
                  <w:tcW w:w="630"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类别</w:t>
                  </w:r>
                </w:p>
              </w:tc>
              <w:tc>
                <w:tcPr>
                  <w:tcW w:w="866"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szCs w:val="21"/>
                      <w:lang w:eastAsia="zh-CN"/>
                      <w:highlight w:val="none"/>
                    </w:rPr>
                  </w:pPr>
                  <w:r>
                    <w:rPr>
                      <w:rFonts w:ascii="Times New Roman" w:cs="Times New Roman" w:hAnsi="Times New Roman" w:hint="eastAsia"/>
                      <w:b/>
                      <w:bCs/>
                      <w:caps w:val="0"/>
                      <w:smallCaps w:val="0"/>
                      <w:color w:val="auto"/>
                      <w:spacing w:val="0"/>
                      <w:sz w:val="21"/>
                      <w:szCs w:val="21"/>
                      <w:lang w:val="en-US" w:eastAsia="zh-CN"/>
                      <w:highlight w:val="none"/>
                    </w:rPr>
                    <w:t>污染源</w:t>
                  </w:r>
                </w:p>
              </w:tc>
              <w:tc>
                <w:tcPr>
                  <w:tcW w:w="3309" w:type="dxa"/>
                  <w:gridSpan w:val="2"/>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b/>
                      <w:bCs/>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排放标准</w:t>
                  </w:r>
                </w:p>
              </w:tc>
              <w:tc>
                <w:tcPr>
                  <w:tcW w:w="2858"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标准来源</w:t>
                  </w:r>
                </w:p>
              </w:tc>
            </w:tr>
            <w:tr>
              <w:trPr>
                <w:cantSplit/>
                <w:trHeight w:val="986"/>
              </w:trPr>
              <w:tc>
                <w:tcPr>
                  <w:tcW w:w="630" w:type="dxa"/>
                  <w:vMerge w:val="restart"/>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运营期</w:t>
                  </w:r>
                </w:p>
              </w:tc>
              <w:tc>
                <w:tcPr>
                  <w:tcW w:w="866" w:type="dxa"/>
                  <w:vMerge w:val="restart"/>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拆包、投料、烘干、注塑废气</w:t>
                  </w: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30</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r>
            <w:tr>
              <w:trPr>
                <w:cantSplit/>
                <w:trHeight w:val="391"/>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单位产品非甲烷总烃排放量</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0.5kg/t产品</w:t>
                  </w:r>
                </w:p>
              </w:tc>
              <w:tc>
                <w:tcPr>
                  <w:tcW w:w="2858" w:type="dxa"/>
                  <w:vMerge w:val="restart"/>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r>
            <w:tr>
              <w:trPr>
                <w:cantSplit/>
                <w:trHeight w:val="605"/>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1592" w:type="dxa"/>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20</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vMerge/>
                  <w:tcBorders>
                    <w:left w:val="single" w:sz="4" w:space="0" w:color="auto"/>
                    <w:right w:val="single" w:sz="4" w:space="0" w:color="auto"/>
                  </w:tcBorders>
                  <w:vAlign w:val="center"/>
                </w:tcPr>
                <w:p/>
              </w:tc>
            </w:tr>
            <w:tr>
              <w:trPr>
                <w:cantSplit/>
                <w:trHeight w:val="986"/>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hint="eastAsia"/>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20</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vMerge/>
                  <w:tcBorders>
                    <w:left w:val="single" w:sz="4" w:space="0" w:color="auto"/>
                    <w:right w:val="single" w:sz="4" w:space="0" w:color="auto"/>
                  </w:tcBorders>
                  <w:vAlign w:val="center"/>
                </w:tcPr>
                <w:p/>
              </w:tc>
            </w:tr>
            <w:tr>
              <w:trPr>
                <w:cantSplit/>
                <w:trHeight w:val="611"/>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臭气浓度</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2000（无量纲）</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《恶臭污染物排放标准》（GB14554-93）表2标准</w:t>
                  </w:r>
                </w:p>
              </w:tc>
            </w:tr>
            <w:tr>
              <w:trPr>
                <w:cantSplit/>
                <w:trHeight w:val="595"/>
              </w:trPr>
              <w:tc>
                <w:tcPr>
                  <w:tcW w:w="630" w:type="dxa"/>
                  <w:vMerge/>
                  <w:tcBorders>
                    <w:left w:val="single" w:sz="4" w:space="0" w:color="auto"/>
                    <w:right w:val="single" w:sz="4" w:space="0" w:color="auto"/>
                  </w:tcBorders>
                  <w:vAlign w:val="center"/>
                </w:tcPr>
                <w:p/>
              </w:tc>
              <w:tc>
                <w:tcPr>
                  <w:tcW w:w="866" w:type="dxa"/>
                  <w:vMerge w:val="restart"/>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厂界无组织</w:t>
                  </w: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1.0</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w:t>
                  </w:r>
                  <w:r>
                    <w:rPr>
                      <w:rFonts w:ascii="Times New Roman" w:cs="Times New Roman" w:hAnsi="Times New Roman" w:hint="eastAsia"/>
                      <w:caps w:val="0"/>
                      <w:smallCaps w:val="0"/>
                      <w:color w:val="auto"/>
                      <w:spacing w:val="0"/>
                      <w:sz w:val="21"/>
                      <w:szCs w:val="21"/>
                      <w:lang w:val="en-US" w:eastAsia="zh-CN"/>
                      <w:highlight w:val="none"/>
                    </w:rPr>
                    <w:t>9</w:t>
                  </w:r>
                  <w:r>
                    <w:rPr>
                      <w:rFonts w:ascii="Times New Roman" w:cs="Times New Roman" w:hAnsi="Times New Roman" w:hint="eastAsia"/>
                      <w:caps w:val="0"/>
                      <w:smallCaps w:val="0"/>
                      <w:color w:val="auto"/>
                      <w:spacing w:val="0"/>
                      <w:sz w:val="21"/>
                      <w:szCs w:val="21"/>
                      <w:lang w:eastAsia="zh-CN"/>
                      <w:highlight w:val="none"/>
                    </w:rPr>
                    <w:t>标准</w:t>
                  </w:r>
                </w:p>
              </w:tc>
            </w:tr>
            <w:tr>
              <w:trPr>
                <w:cantSplit/>
                <w:trHeight w:val="504"/>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1.5</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cantSplit/>
                <w:trHeight w:val="504"/>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臭气浓度</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20（无量纲）</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cantSplit/>
                <w:trHeight w:val="504"/>
              </w:trPr>
              <w:tc>
                <w:tcPr>
                  <w:tcW w:w="630" w:type="dxa"/>
                  <w:vMerge/>
                  <w:tcBorders>
                    <w:left w:val="single" w:sz="4" w:space="0" w:color="auto"/>
                    <w:right w:val="single" w:sz="4" w:space="0" w:color="auto"/>
                  </w:tcBorders>
                  <w:vAlign w:val="center"/>
                </w:tcPr>
                <w:p/>
              </w:tc>
              <w:tc>
                <w:tcPr>
                  <w:tcW w:w="866" w:type="dxa"/>
                  <w:vMerge/>
                  <w:tcBorders>
                    <w:left w:val="single" w:sz="4" w:space="0" w:color="auto"/>
                    <w:right w:val="single" w:sz="4" w:space="0" w:color="auto"/>
                  </w:tcBorders>
                  <w:vAlign w:val="center"/>
                </w:tcPr>
                <w:p/>
              </w:tc>
              <w:tc>
                <w:tcPr>
                  <w:tcW w:w="1717"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159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2.0</w:t>
                  </w:r>
                  <w:r>
                    <w:rPr>
                      <w:rFonts w:ascii="Times New Roman" w:cs="Times New Roman" w:hAnsi="Times New Roman"/>
                      <w:caps w:val="0"/>
                      <w:smallCaps w:val="0"/>
                      <w:color w:val="auto"/>
                      <w:spacing w:val="0"/>
                      <w:sz w:val="21"/>
                      <w:szCs w:val="21"/>
                      <w:lang w:val="en-US" w:eastAsia="zh-CN"/>
                      <w:highlight w:val="none"/>
                    </w:rPr>
                    <w:t>mg/m</w:t>
                  </w:r>
                  <w:r>
                    <w:rPr>
                      <w:rFonts w:ascii="Times New Roman" w:cs="Times New Roman" w:hAnsi="Times New Roman"/>
                      <w:caps w:val="0"/>
                      <w:smallCaps w:val="0"/>
                      <w:color w:val="auto"/>
                      <w:spacing w:val="0"/>
                      <w:sz w:val="21"/>
                      <w:szCs w:val="21"/>
                      <w:vertAlign w:val="superscript"/>
                      <w:lang w:val="en-US" w:eastAsia="zh-CN"/>
                      <w:highlight w:val="none"/>
                    </w:rPr>
                    <w:t>3</w:t>
                  </w:r>
                </w:p>
              </w:tc>
              <w:tc>
                <w:tcPr>
                  <w:tcW w:w="2858" w:type="dxa"/>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《工业企业挥发性有机物排放控制标准》（DB13/2322-20</w:t>
                  </w:r>
                  <w:r>
                    <w:rPr>
                      <w:rFonts w:ascii="Times New Roman" w:cs="Times New Roman" w:hAnsi="Times New Roman" w:hint="eastAsia"/>
                      <w:caps w:val="0"/>
                      <w:smallCaps w:val="0"/>
                      <w:color w:val="auto"/>
                      <w:spacing w:val="0"/>
                      <w:sz w:val="21"/>
                      <w:szCs w:val="21"/>
                      <w:lang w:val="en-US" w:eastAsia="zh-CN"/>
                      <w:highlight w:val="none"/>
                    </w:rPr>
                    <w:t>16</w:t>
                  </w:r>
                  <w:r>
                    <w:rPr>
                      <w:rFonts w:ascii="Times New Roman" w:cs="Times New Roman" w:hAnsi="Times New Roman" w:hint="eastAsia"/>
                      <w:caps w:val="0"/>
                      <w:smallCaps w:val="0"/>
                      <w:color w:val="auto"/>
                      <w:spacing w:val="0"/>
                      <w:sz w:val="21"/>
                      <w:szCs w:val="21"/>
                      <w:lang w:eastAsia="zh-CN"/>
                      <w:highlight w:val="none"/>
                    </w:rPr>
                    <w:t>）表2标准</w:t>
                  </w:r>
                </w:p>
              </w:tc>
            </w:tr>
          </w:tbl>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textAlignment w:val="auto"/>
              <w:rPr>
                <w:rFonts w:cs="Times New Roman"/>
                <w:b w:val="0"/>
                <w:bCs/>
                <w:caps w:val="0"/>
                <w:smallCaps w:val="0"/>
                <w:color w:val="auto"/>
                <w:spacing w:val="0"/>
                <w:sz w:val="21"/>
                <w:szCs w:val="21"/>
                <w:lang w:val="en-US" w:eastAsia="zh-CN"/>
                <w:highlight w:val="none"/>
              </w:rPr>
            </w:pPr>
            <w:r>
              <w:rPr>
                <w:rFonts w:ascii="Times New Roman" w:cs="Times New Roman" w:hAnsi="Times New Roman" w:hint="eastAsia"/>
                <w:b w:val="0"/>
                <w:bCs/>
                <w:caps w:val="0"/>
                <w:smallCaps w:val="0"/>
                <w:color w:val="auto"/>
                <w:spacing w:val="0"/>
                <w:sz w:val="21"/>
                <w:szCs w:val="21"/>
                <w:lang w:val="en-US" w:eastAsia="zh-CN"/>
                <w:highlight w:val="none"/>
              </w:rPr>
              <w:t>注：因项目为租赁厂房，厂房外即厂界，则不执行《工业企业挥发性有机物排放控制标准》（DB13/2322-2025）表2标准厂房外非甲烷总烃。项目为现有企业应于2026年10月1日起执行《工业企业挥发性有机物排放控制标准》（DB13/2322-2025），本次环评按照取严执行。因项目收集的废气中非甲烷总烃初始排放速率＜2kg/h，故无需制定非甲烷总烃处理效率要求。</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hint="eastAsia"/>
                <w:b/>
                <w:caps w:val="0"/>
                <w:smallCaps w:val="0"/>
                <w:color w:val="auto"/>
                <w:spacing w:val="0"/>
                <w:sz w:val="24"/>
                <w:szCs w:val="20"/>
                <w:lang w:val="en-US" w:eastAsia="zh-CN"/>
                <w:highlight w:val="none"/>
              </w:rPr>
              <w:t>2</w:t>
            </w:r>
            <w:r>
              <w:rPr>
                <w:rFonts w:ascii="Times New Roman" w:cs="Times New Roman" w:hAnsi="Times New Roman"/>
                <w:b/>
                <w:caps w:val="0"/>
                <w:smallCaps w:val="0"/>
                <w:color w:val="auto"/>
                <w:spacing w:val="0"/>
                <w:sz w:val="24"/>
                <w:szCs w:val="20"/>
                <w:highlight w:val="none"/>
              </w:rPr>
              <w:t>、</w:t>
            </w:r>
            <w:r>
              <w:rPr>
                <w:rFonts w:ascii="Times New Roman" w:cs="Times New Roman" w:hAnsi="Times New Roman" w:hint="eastAsia"/>
                <w:b/>
                <w:caps w:val="0"/>
                <w:smallCaps w:val="0"/>
                <w:color w:val="auto"/>
                <w:spacing w:val="0"/>
                <w:sz w:val="24"/>
                <w:szCs w:val="20"/>
                <w:lang w:val="en-US" w:eastAsia="zh-CN"/>
                <w:highlight w:val="none"/>
              </w:rPr>
              <w:t>废水</w:t>
            </w:r>
            <w:r>
              <w:rPr>
                <w:rFonts w:ascii="Times New Roman" w:cs="Times New Roman" w:hAnsi="Times New Roman"/>
                <w:b/>
                <w:caps w:val="0"/>
                <w:smallCaps w:val="0"/>
                <w:color w:val="auto"/>
                <w:spacing w:val="0"/>
                <w:sz w:val="24"/>
                <w:szCs w:val="20"/>
                <w:highlight w:val="none"/>
              </w:rPr>
              <w:t>污染执行标准</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运营期：</w:t>
            </w:r>
            <w:r>
              <w:rPr>
                <w:rFonts w:ascii="Times New Roman" w:cs="Times New Roman" w:hAnsi="Times New Roman" w:hint="eastAsia"/>
                <w:caps w:val="0"/>
                <w:smallCaps w:val="0"/>
                <w:color w:val="auto"/>
                <w:spacing w:val="0"/>
                <w:sz w:val="24"/>
                <w:szCs w:val="20"/>
                <w:lang w:val="en-US" w:eastAsia="zh-CN"/>
                <w:highlight w:val="none"/>
              </w:rPr>
              <w:t>废水排放执行《合成树脂工业污染物排放标准》（GB31572-2015）表2间接排放标准，同时满足石家庄市栾城区污水处理中心（绿源污水处理厂）进水水质要求</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具体见下表。</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表3-</w:t>
            </w:r>
            <w:r>
              <w:rPr>
                <w:rFonts w:ascii="Times New Roman" w:cs="Times New Roman" w:hAnsi="Times New Roman" w:hint="eastAsia"/>
                <w:caps w:val="0"/>
                <w:smallCaps w:val="0"/>
                <w:color w:val="auto"/>
                <w:spacing w:val="0"/>
                <w:sz w:val="24"/>
                <w:szCs w:val="20"/>
                <w:lang w:val="en-US" w:eastAsia="zh-CN"/>
                <w:highlight w:val="none"/>
              </w:rPr>
              <w:t>6</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hint="eastAsia"/>
                <w:caps w:val="0"/>
                <w:smallCaps w:val="0"/>
                <w:color w:val="auto"/>
                <w:spacing w:val="0"/>
                <w:sz w:val="24"/>
                <w:szCs w:val="20"/>
                <w:lang w:val="en-US" w:eastAsia="zh-CN"/>
                <w:highlight w:val="none"/>
              </w:rPr>
              <w:t>废水</w:t>
            </w:r>
            <w:r>
              <w:rPr>
                <w:rFonts w:ascii="Times New Roman" w:cs="Times New Roman" w:hAnsi="Times New Roman"/>
                <w:caps w:val="0"/>
                <w:smallCaps w:val="0"/>
                <w:color w:val="auto"/>
                <w:spacing w:val="0"/>
                <w:sz w:val="24"/>
                <w:szCs w:val="20"/>
                <w:highlight w:val="none"/>
              </w:rPr>
              <w:t>排放标准</w:t>
            </w:r>
          </w:p>
          <w:tbl>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30"/>
              <w:gridCol w:w="1026"/>
              <w:gridCol w:w="2002"/>
              <w:gridCol w:w="2002"/>
              <w:gridCol w:w="2003"/>
            </w:tblGrid>
            <w:tr>
              <w:trPr>
                <w:cantSplit/>
                <w:trHeight w:val="425"/>
              </w:trPr>
              <w:tc>
                <w:tcPr>
                  <w:tcW w:w="630" w:type="dxa"/>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szCs w:val="21"/>
                      <w:lang w:eastAsia="zh-CN"/>
                      <w:highlight w:val="none"/>
                    </w:rPr>
                  </w:pPr>
                  <w:r>
                    <w:rPr>
                      <w:rFonts w:ascii="Times New Roman" w:cs="Times New Roman" w:hAnsi="Times New Roman" w:hint="eastAsia"/>
                      <w:b/>
                      <w:bCs/>
                      <w:caps w:val="0"/>
                      <w:smallCaps w:val="0"/>
                      <w:color w:val="auto"/>
                      <w:spacing w:val="0"/>
                      <w:sz w:val="21"/>
                      <w:szCs w:val="21"/>
                      <w:lang w:val="en-US" w:eastAsia="zh-CN"/>
                      <w:highlight w:val="none"/>
                    </w:rPr>
                    <w:t>类型</w:t>
                  </w:r>
                </w:p>
              </w:tc>
              <w:tc>
                <w:tcPr>
                  <w:tcW w:w="1026" w:type="dxa"/>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污染物</w:t>
                  </w:r>
                </w:p>
              </w:tc>
              <w:tc>
                <w:tcPr>
                  <w:tcW w:w="6007" w:type="dxa"/>
                  <w:gridSpan w:val="3"/>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hint="eastAsia"/>
                      <w:b/>
                      <w:bCs/>
                      <w:caps w:val="0"/>
                      <w:smallCaps w:val="0"/>
                      <w:color w:val="auto"/>
                      <w:spacing w:val="0"/>
                      <w:sz w:val="21"/>
                      <w:szCs w:val="21"/>
                      <w:lang w:val="en-US" w:eastAsia="zh-CN"/>
                      <w:highlight w:val="none"/>
                    </w:rPr>
                    <w:t>标准值</w:t>
                  </w:r>
                </w:p>
              </w:tc>
            </w:tr>
            <w:tr>
              <w:trPr>
                <w:cantSplit/>
                <w:trHeight w:val="425"/>
              </w:trPr>
              <w:tc>
                <w:tcPr>
                  <w:tcW w:w="630" w:type="dxa"/>
                  <w:vMerge/>
                  <w:tcBorders>
                    <w:left w:val="single" w:sz="4" w:space="0" w:color="auto"/>
                    <w:right w:val="single" w:sz="4" w:space="0" w:color="auto"/>
                  </w:tcBorders>
                  <w:vAlign w:val="center"/>
                </w:tcPr>
                <w:p/>
              </w:tc>
              <w:tc>
                <w:tcPr>
                  <w:tcW w:w="1026" w:type="dxa"/>
                  <w:vMerge/>
                  <w:tcBorders>
                    <w:left w:val="single" w:sz="4" w:space="0" w:color="auto"/>
                    <w:right w:val="single" w:sz="4" w:space="0" w:color="auto"/>
                  </w:tcBorders>
                  <w:vAlign w:val="center"/>
                </w:tcP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b/>
                      <w:bCs/>
                      <w:caps w:val="0"/>
                      <w:smallCaps w:val="0"/>
                      <w:color w:val="auto"/>
                      <w:spacing w:val="0"/>
                      <w:szCs w:val="21"/>
                      <w:lang w:val="en-US" w:eastAsia="zh-CN"/>
                      <w:highlight w:val="none"/>
                    </w:rPr>
                  </w:pPr>
                  <w:r>
                    <w:rPr>
                      <w:rFonts w:ascii="Times New Roman" w:cs="Times New Roman" w:hAnsi="Times New Roman" w:hint="eastAsia"/>
                      <w:b/>
                      <w:bCs/>
                      <w:caps w:val="0"/>
                      <w:smallCaps w:val="0"/>
                      <w:color w:val="auto"/>
                      <w:spacing w:val="0"/>
                      <w:sz w:val="21"/>
                      <w:szCs w:val="21"/>
                      <w:lang w:val="en-US" w:eastAsia="zh-CN"/>
                      <w:highlight w:val="none"/>
                    </w:rPr>
                    <w:t>《合成树脂工业污染物排放标准》（GB31572-2015）表2间接排放标准</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b/>
                      <w:bCs/>
                      <w:caps w:val="0"/>
                      <w:smallCaps w:val="0"/>
                      <w:color w:val="auto"/>
                      <w:spacing w:val="0"/>
                      <w:szCs w:val="21"/>
                      <w:lang w:val="en-US" w:eastAsia="zh-CN"/>
                      <w:highlight w:val="none"/>
                    </w:rPr>
                  </w:pPr>
                  <w:r>
                    <w:rPr>
                      <w:rFonts w:ascii="Times New Roman" w:cs="Times New Roman" w:hAnsi="Times New Roman" w:hint="eastAsia"/>
                      <w:b/>
                      <w:bCs/>
                      <w:caps w:val="0"/>
                      <w:smallCaps w:val="0"/>
                      <w:color w:val="auto"/>
                      <w:spacing w:val="0"/>
                      <w:sz w:val="21"/>
                      <w:szCs w:val="21"/>
                      <w:lang w:val="en-US" w:eastAsia="zh-CN"/>
                      <w:highlight w:val="none"/>
                    </w:rPr>
                    <w:t>石家庄市栾城区污水处理中心（绿源污水处理厂）进水水质要求</w:t>
                  </w:r>
                </w:p>
              </w:tc>
              <w:tc>
                <w:tcPr>
                  <w:tcW w:w="2003"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
                      <w:bCs/>
                      <w:caps w:val="0"/>
                      <w:smallCaps w:val="0"/>
                      <w:color w:val="auto"/>
                      <w:spacing w:val="0"/>
                      <w:szCs w:val="21"/>
                      <w:lang w:val="en-US" w:eastAsia="zh-CN"/>
                      <w:highlight w:val="none"/>
                    </w:rPr>
                  </w:pPr>
                  <w:r>
                    <w:rPr>
                      <w:rFonts w:ascii="Times New Roman" w:cs="Times New Roman" w:hAnsi="Times New Roman" w:hint="eastAsia"/>
                      <w:b/>
                      <w:bCs/>
                      <w:caps w:val="0"/>
                      <w:smallCaps w:val="0"/>
                      <w:color w:val="auto"/>
                      <w:spacing w:val="0"/>
                      <w:sz w:val="21"/>
                      <w:szCs w:val="21"/>
                      <w:lang w:val="en-US" w:eastAsia="zh-CN"/>
                      <w:highlight w:val="none"/>
                    </w:rPr>
                    <w:t>本项目执行标准</w:t>
                  </w:r>
                </w:p>
              </w:tc>
            </w:tr>
            <w:tr>
              <w:trPr>
                <w:cantSplit/>
                <w:trHeight w:val="425"/>
              </w:trPr>
              <w:tc>
                <w:tcPr>
                  <w:tcW w:w="630" w:type="dxa"/>
                  <w:vMerge w:val="restart"/>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val="en-US" w:eastAsia="zh-CN"/>
                      <w:highlight w:val="none"/>
                    </w:rPr>
                    <w:t>废水</w:t>
                  </w: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pH</w:t>
                  </w:r>
                </w:p>
              </w:tc>
              <w:tc>
                <w:tcPr>
                  <w:tcW w:w="2002" w:type="dxa"/>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6~9</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szCs w:val="21"/>
                      <w:lang w:val="en-US" w:eastAsia="zh-CN"/>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6~9</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6~9</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COD</w:t>
                  </w:r>
                </w:p>
              </w:tc>
              <w:tc>
                <w:tcPr>
                  <w:tcW w:w="2002"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450</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450</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450</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BOD</w:t>
                  </w:r>
                  <w:r>
                    <w:rPr>
                      <w:rFonts w:ascii="Times New Roman" w:cs="Times New Roman" w:hAnsi="Times New Roman" w:hint="eastAsia"/>
                      <w:caps w:val="0"/>
                      <w:smallCaps w:val="0"/>
                      <w:color w:val="auto"/>
                      <w:spacing w:val="0"/>
                      <w:sz w:val="21"/>
                      <w:szCs w:val="21"/>
                      <w:vertAlign w:val="subscript"/>
                      <w:lang w:val="en-US" w:eastAsia="zh-CN"/>
                      <w:highlight w:val="none"/>
                    </w:rPr>
                    <w:t>5</w:t>
                  </w:r>
                </w:p>
              </w:tc>
              <w:tc>
                <w:tcPr>
                  <w:tcW w:w="2002"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160</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160</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160</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SS</w:t>
                  </w:r>
                </w:p>
              </w:tc>
              <w:tc>
                <w:tcPr>
                  <w:tcW w:w="2002"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200</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200</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200</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氨氮</w:t>
                  </w:r>
                </w:p>
              </w:tc>
              <w:tc>
                <w:tcPr>
                  <w:tcW w:w="2002"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45</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总氮</w:t>
                  </w:r>
                </w:p>
              </w:tc>
              <w:tc>
                <w:tcPr>
                  <w:tcW w:w="2002"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60</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60</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60</w:t>
                  </w:r>
                </w:p>
              </w:tc>
            </w:tr>
            <w:tr>
              <w:trPr>
                <w:cantSplit/>
                <w:trHeight w:val="425"/>
              </w:trPr>
              <w:tc>
                <w:tcPr>
                  <w:tcW w:w="630" w:type="dxa"/>
                  <w:vMerge/>
                  <w:tcBorders>
                    <w:left w:val="single" w:sz="4" w:space="0" w:color="auto"/>
                    <w:right w:val="single" w:sz="4" w:space="0" w:color="auto"/>
                  </w:tcBorders>
                  <w:vAlign w:val="center"/>
                </w:tcPr>
                <w:p/>
              </w:tc>
              <w:tc>
                <w:tcPr>
                  <w:tcW w:w="1026" w:type="dxa"/>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总磷</w:t>
                  </w:r>
                </w:p>
              </w:tc>
              <w:tc>
                <w:tcPr>
                  <w:tcW w:w="2002" w:type="dxa"/>
                  <w:tcBorders>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5</w:t>
                  </w:r>
                </w:p>
              </w:tc>
              <w:tc>
                <w:tcPr>
                  <w:tcW w:w="2002"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5</w:t>
                  </w:r>
                </w:p>
              </w:tc>
              <w:tc>
                <w:tcPr>
                  <w:tcW w:w="2003" w:type="dxa"/>
                  <w:tcBorders>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5</w:t>
                  </w:r>
                </w:p>
              </w:tc>
            </w:tr>
          </w:tbl>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textAlignment w:val="auto"/>
              <w:rPr>
                <w:rFonts w:cs="Times New Roman"/>
                <w:b w:val="0"/>
                <w:bCs/>
                <w:caps w:val="0"/>
                <w:smallCaps w:val="0"/>
                <w:color w:val="auto"/>
                <w:spacing w:val="0"/>
                <w:sz w:val="21"/>
                <w:szCs w:val="21"/>
                <w:lang w:val="en-US" w:eastAsia="zh-CN"/>
                <w:highlight w:val="none"/>
              </w:rPr>
            </w:pPr>
            <w:r>
              <w:rPr>
                <w:rFonts w:ascii="Times New Roman" w:cs="Times New Roman" w:hAnsi="Times New Roman" w:hint="eastAsia"/>
                <w:b w:val="0"/>
                <w:bCs/>
                <w:caps w:val="0"/>
                <w:smallCaps w:val="0"/>
                <w:color w:val="auto"/>
                <w:spacing w:val="0"/>
                <w:sz w:val="21"/>
                <w:szCs w:val="21"/>
                <w:lang w:val="en-US" w:eastAsia="zh-CN"/>
                <w:highlight w:val="none"/>
              </w:rPr>
              <w:t>注：项目废水排入污水管网至石家庄市栾城区污水处理中心（绿源污水处理厂）处理，属于间接排放，除pH有标准，其余因子均按照污水处理厂进水水质要求执行。</w:t>
            </w:r>
          </w:p>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hint="eastAsia"/>
                <w:b/>
                <w:caps w:val="0"/>
                <w:smallCaps w:val="0"/>
                <w:color w:val="auto"/>
                <w:spacing w:val="0"/>
                <w:sz w:val="24"/>
                <w:szCs w:val="20"/>
                <w:lang w:val="en-US" w:eastAsia="zh-CN"/>
                <w:highlight w:val="none"/>
              </w:rPr>
              <w:t>3</w:t>
            </w:r>
            <w:r>
              <w:rPr>
                <w:rFonts w:ascii="Times New Roman" w:cs="Times New Roman" w:hAnsi="Times New Roman"/>
                <w:b/>
                <w:caps w:val="0"/>
                <w:smallCaps w:val="0"/>
                <w:color w:val="auto"/>
                <w:spacing w:val="0"/>
                <w:sz w:val="24"/>
                <w:szCs w:val="20"/>
                <w:highlight w:val="none"/>
              </w:rPr>
              <w:t>、噪声污染执行标准</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施工期：噪声排放执行《建筑施工场界环境噪声排放标准》(GB12523-2011)标准的要求。</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运营期：厂界噪声排放执行《工业企业厂界环境噪声排放标准》（GB12348-2008）</w:t>
            </w:r>
            <w:r>
              <w:rPr>
                <w:rFonts w:ascii="Times New Roman" w:cs="Times New Roman" w:hAnsi="Times New Roman" w:hint="eastAsia"/>
                <w:caps w:val="0"/>
                <w:smallCaps w:val="0"/>
                <w:color w:val="auto"/>
                <w:spacing w:val="0"/>
                <w:sz w:val="24"/>
                <w:szCs w:val="20"/>
                <w:lang w:val="en-US" w:eastAsia="zh-CN"/>
                <w:highlight w:val="none"/>
              </w:rPr>
              <w:t>3类</w:t>
            </w:r>
            <w:r>
              <w:rPr>
                <w:rFonts w:ascii="Times New Roman" w:cs="Times New Roman" w:hAnsi="Times New Roman"/>
                <w:caps w:val="0"/>
                <w:smallCaps w:val="0"/>
                <w:color w:val="auto"/>
                <w:spacing w:val="0"/>
                <w:sz w:val="24"/>
                <w:szCs w:val="20"/>
                <w:highlight w:val="none"/>
              </w:rPr>
              <w:t>标准</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具体见下表。</w:t>
            </w:r>
          </w:p>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表3-</w:t>
            </w:r>
            <w:r>
              <w:rPr>
                <w:rFonts w:ascii="Times New Roman" w:cs="Times New Roman" w:hAnsi="Times New Roman" w:hint="eastAsia"/>
                <w:caps w:val="0"/>
                <w:smallCaps w:val="0"/>
                <w:color w:val="auto"/>
                <w:spacing w:val="0"/>
                <w:sz w:val="24"/>
                <w:szCs w:val="20"/>
                <w:lang w:val="en-US" w:eastAsia="zh-CN"/>
                <w:highlight w:val="none"/>
              </w:rPr>
              <w:t>7</w:t>
            </w:r>
            <w:r>
              <w:rPr>
                <w:rFonts w:ascii="Times New Roman" w:cs="Times New Roman" w:hAnsi="Times New Roman"/>
                <w:caps w:val="0"/>
                <w:smallCaps w:val="0"/>
                <w:color w:val="auto"/>
                <w:spacing w:val="0"/>
                <w:sz w:val="24"/>
                <w:szCs w:val="20"/>
                <w:highlight w:val="none"/>
              </w:rPr>
              <w:t xml:space="preserve">     噪声排放标准</w:t>
            </w:r>
          </w:p>
          <w:tbl>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90"/>
              <w:gridCol w:w="1654"/>
              <w:gridCol w:w="2350"/>
              <w:gridCol w:w="2869"/>
            </w:tblGrid>
            <w:tr>
              <w:trPr>
                <w:cantSplit/>
                <w:trHeight w:val="340"/>
              </w:trPr>
              <w:tc>
                <w:tcPr>
                  <w:tcW w:w="790"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类别</w:t>
                  </w:r>
                </w:p>
              </w:tc>
              <w:tc>
                <w:tcPr>
                  <w:tcW w:w="1654"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方位</w:t>
                  </w:r>
                </w:p>
              </w:tc>
              <w:tc>
                <w:tcPr>
                  <w:tcW w:w="2350"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b/>
                      <w:bCs/>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排放标准</w:t>
                  </w:r>
                </w:p>
              </w:tc>
              <w:tc>
                <w:tcPr>
                  <w:tcW w:w="2869" w:type="dxa"/>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b/>
                      <w:bCs/>
                      <w:caps w:val="0"/>
                      <w:smallCaps w:val="0"/>
                      <w:color w:val="auto"/>
                      <w:spacing w:val="0"/>
                      <w:sz w:val="21"/>
                      <w:szCs w:val="21"/>
                      <w:highlight w:val="none"/>
                    </w:rPr>
                    <w:t>标准来源</w:t>
                  </w:r>
                </w:p>
              </w:tc>
            </w:tr>
            <w:tr>
              <w:trPr>
                <w:cantSplit/>
                <w:trHeight w:val="265"/>
              </w:trPr>
              <w:tc>
                <w:tcPr>
                  <w:tcW w:w="790" w:type="dxa"/>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施工期</w:t>
                  </w:r>
                </w:p>
              </w:tc>
              <w:tc>
                <w:tcPr>
                  <w:tcW w:w="1654" w:type="dxa"/>
                  <w:vMerge w:val="restar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场界</w:t>
                  </w:r>
                </w:p>
              </w:tc>
              <w:tc>
                <w:tcPr>
                  <w:tcW w:w="2350"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昼间：70dB(A)</w:t>
                  </w:r>
                </w:p>
              </w:tc>
              <w:tc>
                <w:tcPr>
                  <w:tcW w:w="2869" w:type="dxa"/>
                  <w:vMerge w:val="restart"/>
                  <w:tcBorders>
                    <w:top w:val="single" w:sz="4" w:space="0" w:color="auto"/>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《建筑施工场界环境噪声排放标准》(GB12523-2011)</w:t>
                  </w:r>
                </w:p>
              </w:tc>
            </w:tr>
            <w:tr>
              <w:trPr>
                <w:cantSplit/>
                <w:trHeight w:val="275"/>
              </w:trPr>
              <w:tc>
                <w:tcPr>
                  <w:tcW w:w="790" w:type="dxa"/>
                  <w:vMerge/>
                  <w:tcBorders>
                    <w:left w:val="single" w:sz="4" w:space="0" w:color="auto"/>
                    <w:right w:val="single" w:sz="4" w:space="0" w:color="auto"/>
                  </w:tcBorders>
                  <w:vAlign w:val="center"/>
                </w:tcPr>
                <w:p/>
              </w:tc>
              <w:tc>
                <w:tcPr>
                  <w:tcW w:w="1654" w:type="dxa"/>
                  <w:vMerge/>
                  <w:tcBorders>
                    <w:left w:val="single" w:sz="4" w:space="0" w:color="auto"/>
                    <w:right w:val="single" w:sz="4" w:space="0" w:color="auto"/>
                  </w:tcBorders>
                  <w:vAlign w:val="center"/>
                </w:tcPr>
                <w:p/>
              </w:tc>
              <w:tc>
                <w:tcPr>
                  <w:tcW w:w="2350"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夜间：55dB(A)</w:t>
                  </w:r>
                </w:p>
              </w:tc>
              <w:tc>
                <w:tcPr>
                  <w:tcW w:w="2869" w:type="dxa"/>
                  <w:vMerge/>
                  <w:tcBorders>
                    <w:left w:val="single" w:sz="4" w:space="0" w:color="auto"/>
                    <w:right w:val="single" w:sz="4" w:space="0" w:color="auto"/>
                  </w:tcBorders>
                  <w:vAlign w:val="center"/>
                </w:tcPr>
                <w:p/>
              </w:tc>
            </w:tr>
            <w:tr>
              <w:trPr>
                <w:cantSplit/>
                <w:trHeight w:val="275"/>
              </w:trPr>
              <w:tc>
                <w:tcPr>
                  <w:tcW w:w="790" w:type="dxa"/>
                  <w:vMerge w:val="restart"/>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运营期</w:t>
                  </w:r>
                </w:p>
              </w:tc>
              <w:tc>
                <w:tcPr>
                  <w:tcW w:w="1654" w:type="dxa"/>
                  <w:vMerge w:val="restart"/>
                  <w:tcBorders>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厂界</w:t>
                  </w:r>
                </w:p>
              </w:tc>
              <w:tc>
                <w:tcPr>
                  <w:tcW w:w="2350"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昼间：</w:t>
                  </w:r>
                  <w:r>
                    <w:rPr>
                      <w:rFonts w:ascii="Times New Roman" w:cs="Times New Roman" w:hAnsi="Times New Roman" w:hint="eastAsia"/>
                      <w:caps w:val="0"/>
                      <w:smallCaps w:val="0"/>
                      <w:color w:val="auto"/>
                      <w:spacing w:val="0"/>
                      <w:sz w:val="21"/>
                      <w:szCs w:val="21"/>
                      <w:lang w:val="en-US" w:eastAsia="zh-CN"/>
                      <w:highlight w:val="none"/>
                    </w:rPr>
                    <w:t>65</w:t>
                  </w:r>
                  <w:r>
                    <w:rPr>
                      <w:rFonts w:ascii="Times New Roman" w:cs="Times New Roman" w:hAnsi="Times New Roman"/>
                      <w:caps w:val="0"/>
                      <w:smallCaps w:val="0"/>
                      <w:color w:val="auto"/>
                      <w:spacing w:val="0"/>
                      <w:sz w:val="21"/>
                      <w:szCs w:val="21"/>
                      <w:highlight w:val="none"/>
                    </w:rPr>
                    <w:t>dB(A)</w:t>
                  </w:r>
                </w:p>
              </w:tc>
              <w:tc>
                <w:tcPr>
                  <w:tcW w:w="2869" w:type="dxa"/>
                  <w:vMerge w:val="restart"/>
                  <w:tcBorders>
                    <w:left w:val="single" w:sz="4" w:space="0" w:color="auto"/>
                    <w:right w:val="single" w:sz="4" w:space="0" w:color="auto"/>
                  </w:tcBorders>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0"/>
                      <w:highlight w:val="none"/>
                    </w:rPr>
                    <w:t>《工业企业厂界环境噪声排放标准》（GB12348-2008）</w:t>
                  </w:r>
                  <w:r>
                    <w:rPr>
                      <w:rFonts w:ascii="Times New Roman" w:cs="Times New Roman" w:hAnsi="Times New Roman" w:hint="eastAsia"/>
                      <w:caps w:val="0"/>
                      <w:smallCaps w:val="0"/>
                      <w:color w:val="auto"/>
                      <w:spacing w:val="0"/>
                      <w:sz w:val="21"/>
                      <w:szCs w:val="20"/>
                      <w:lang w:val="en-US" w:eastAsia="zh-CN"/>
                      <w:highlight w:val="none"/>
                    </w:rPr>
                    <w:t>3类</w:t>
                  </w:r>
                  <w:r>
                    <w:rPr>
                      <w:rFonts w:ascii="Times New Roman" w:cs="Times New Roman" w:hAnsi="Times New Roman"/>
                      <w:caps w:val="0"/>
                      <w:smallCaps w:val="0"/>
                      <w:color w:val="auto"/>
                      <w:spacing w:val="0"/>
                      <w:sz w:val="21"/>
                      <w:szCs w:val="20"/>
                      <w:highlight w:val="none"/>
                    </w:rPr>
                    <w:t>标准</w:t>
                  </w:r>
                </w:p>
              </w:tc>
            </w:tr>
            <w:tr>
              <w:trPr>
                <w:cantSplit/>
                <w:trHeight w:val="275"/>
              </w:trPr>
              <w:tc>
                <w:tcPr>
                  <w:tcW w:w="790" w:type="dxa"/>
                  <w:vMerge/>
                  <w:tcBorders>
                    <w:left w:val="single" w:sz="4" w:space="0" w:color="auto"/>
                    <w:right w:val="single" w:sz="4" w:space="0" w:color="auto"/>
                  </w:tcBorders>
                  <w:vAlign w:val="center"/>
                </w:tcPr>
                <w:p/>
              </w:tc>
              <w:tc>
                <w:tcPr>
                  <w:tcW w:w="1654" w:type="dxa"/>
                  <w:vMerge/>
                  <w:tcBorders>
                    <w:left w:val="single" w:sz="4" w:space="0" w:color="auto"/>
                    <w:right w:val="single" w:sz="4" w:space="0" w:color="auto"/>
                  </w:tcBorders>
                  <w:vAlign w:val="center"/>
                </w:tcPr>
                <w:p/>
              </w:tc>
              <w:tc>
                <w:tcPr>
                  <w:tcW w:w="2350"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aps w:val="0"/>
                      <w:smallCaps w:val="0"/>
                      <w:color w:val="auto"/>
                      <w:spacing w:val="0"/>
                      <w:szCs w:val="21"/>
                      <w:highlight w:val="none"/>
                    </w:rPr>
                  </w:pPr>
                  <w:r>
                    <w:rPr>
                      <w:rFonts w:ascii="Times New Roman" w:cs="Times New Roman" w:hAnsi="Times New Roman"/>
                      <w:caps w:val="0"/>
                      <w:smallCaps w:val="0"/>
                      <w:color w:val="auto"/>
                      <w:spacing w:val="0"/>
                      <w:sz w:val="21"/>
                      <w:szCs w:val="21"/>
                      <w:highlight w:val="none"/>
                    </w:rPr>
                    <w:t>夜间：</w:t>
                  </w:r>
                  <w:r>
                    <w:rPr>
                      <w:rFonts w:ascii="Times New Roman" w:cs="Times New Roman" w:hAnsi="Times New Roman" w:hint="eastAsia"/>
                      <w:caps w:val="0"/>
                      <w:smallCaps w:val="0"/>
                      <w:color w:val="auto"/>
                      <w:spacing w:val="0"/>
                      <w:sz w:val="21"/>
                      <w:szCs w:val="21"/>
                      <w:lang w:val="en-US" w:eastAsia="zh-CN"/>
                      <w:highlight w:val="none"/>
                    </w:rPr>
                    <w:t>55</w:t>
                  </w:r>
                  <w:r>
                    <w:rPr>
                      <w:rFonts w:ascii="Times New Roman" w:cs="Times New Roman" w:hAnsi="Times New Roman"/>
                      <w:caps w:val="0"/>
                      <w:smallCaps w:val="0"/>
                      <w:color w:val="auto"/>
                      <w:spacing w:val="0"/>
                      <w:sz w:val="21"/>
                      <w:szCs w:val="21"/>
                      <w:highlight w:val="none"/>
                    </w:rPr>
                    <w:t>dB(A)</w:t>
                  </w:r>
                </w:p>
              </w:tc>
              <w:tc>
                <w:tcPr>
                  <w:tcW w:w="2869" w:type="dxa"/>
                  <w:vMerge/>
                  <w:tcBorders>
                    <w:left w:val="single" w:sz="4" w:space="0" w:color="auto"/>
                    <w:right w:val="single" w:sz="4" w:space="0" w:color="auto"/>
                  </w:tcBorders>
                  <w:vAlign w:val="center"/>
                </w:tcPr>
                <w:p/>
              </w:tc>
            </w:tr>
          </w:tbl>
          <w:p>
            <w:pPr>
              <w:pStyle w:val="137"/>
              <w:keepNext w:val="0"/>
              <w:keepLines w:val="0"/>
              <w:suppressLineNumbers w:val="0"/>
              <w:spacing w:before="0" w:beforeAutospacing="0" w:after="0" w:afterAutospacing="0"/>
              <w:ind w:left="0" w:right="0"/>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lang w:val="en-US" w:eastAsia="zh-CN"/>
                <w:highlight w:val="none"/>
              </w:rPr>
              <w:t>4</w:t>
            </w:r>
            <w:r>
              <w:rPr>
                <w:rFonts w:ascii="Times New Roman" w:cs="Times New Roman" w:hAnsi="Times New Roman"/>
                <w:b/>
                <w:caps w:val="0"/>
                <w:smallCaps w:val="0"/>
                <w:color w:val="auto"/>
                <w:spacing w:val="0"/>
                <w:sz w:val="24"/>
                <w:szCs w:val="20"/>
                <w:highlight w:val="none"/>
              </w:rPr>
              <w:t>、固体废物排放标准</w:t>
            </w:r>
          </w:p>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一般固体废弃物执行《一般工业固体废物贮存和填埋污染控制标准》（GB18599-2020）</w:t>
            </w:r>
            <w:r>
              <w:rPr>
                <w:rFonts w:ascii="Times New Roman" w:cs="Times New Roman" w:hAnsi="Times New Roman" w:hint="eastAsia"/>
                <w:caps w:val="0"/>
                <w:smallCaps w:val="0"/>
                <w:color w:val="auto"/>
                <w:spacing w:val="0"/>
                <w:sz w:val="24"/>
                <w:szCs w:val="20"/>
                <w:lang w:eastAsia="zh-CN"/>
                <w:highlight w:val="none"/>
              </w:rPr>
              <w:t>；危险废物执行《危险废物贮存污染控制标准》（GB18597-2023）；生活垃圾处置参照《中华人民共和国固体废物污染环境防治法》（2020年修订版）中第四章“生活垃圾”的规定</w:t>
            </w:r>
            <w:r>
              <w:rPr>
                <w:rFonts w:ascii="Times New Roman" w:cs="Times New Roman" w:hAnsi="Times New Roman"/>
                <w:caps w:val="0"/>
                <w:smallCaps w:val="0"/>
                <w:color w:val="auto"/>
                <w:spacing w:val="0"/>
                <w:sz w:val="24"/>
                <w:szCs w:val="20"/>
                <w:lang w:val="zh-CN"/>
                <w:highlight w:val="none"/>
              </w:rPr>
              <w:t>。</w:t>
            </w:r>
          </w:p>
        </w:tc>
      </w:tr>
      <w:tr>
        <w:trPr>
          <w:trHeight w:val="3330"/>
        </w:trPr>
        <w:tc>
          <w:tcPr>
            <w:tcW w:w="372" w:type="pct"/>
            <w:vAlign w:val="center"/>
          </w:tcPr>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总量</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 w:val="24"/>
                <w:szCs w:val="21"/>
                <w:highlight w:val="none"/>
              </w:rPr>
            </w:pPr>
            <w:r>
              <w:rPr>
                <w:rFonts w:ascii="Times New Roman" w:cs="Times New Roman" w:hAnsi="Times New Roman"/>
                <w:caps w:val="0"/>
                <w:smallCaps w:val="0"/>
                <w:color w:val="auto"/>
                <w:spacing w:val="0"/>
                <w:kern w:val="0"/>
                <w:sz w:val="24"/>
                <w:szCs w:val="21"/>
                <w:highlight w:val="none"/>
              </w:rPr>
              <w:t>控制</w:t>
            </w:r>
          </w:p>
          <w:p>
            <w:pPr>
              <w:keepNext w:val="0"/>
              <w:keepLines w:val="0"/>
              <w:suppressLineNumbers w:val="0"/>
              <w:adjustRightInd w:val="0"/>
              <w:snapToGrid w:val="0"/>
              <w:spacing w:before="0" w:beforeAutospacing="0" w:after="0" w:afterAutospacing="0"/>
              <w:ind w:left="0" w:right="0"/>
              <w:jc w:val="center"/>
              <w:rPr>
                <w:rFonts w:ascii="Times New Roman" w:cs="Times New Roman" w:hAnsi="Times New Roman"/>
                <w:caps w:val="0"/>
                <w:smallCaps w:val="0"/>
                <w:color w:val="auto"/>
                <w:spacing w:val="0"/>
                <w:kern w:val="0"/>
                <w:szCs w:val="21"/>
                <w:highlight w:val="none"/>
              </w:rPr>
            </w:pPr>
            <w:r>
              <w:rPr>
                <w:rFonts w:ascii="Times New Roman" w:cs="Times New Roman" w:hAnsi="Times New Roman"/>
                <w:caps w:val="0"/>
                <w:smallCaps w:val="0"/>
                <w:color w:val="auto"/>
                <w:spacing w:val="0"/>
                <w:kern w:val="0"/>
                <w:sz w:val="24"/>
                <w:szCs w:val="21"/>
                <w:highlight w:val="none"/>
              </w:rPr>
              <w:t>指标</w:t>
            </w:r>
          </w:p>
        </w:tc>
        <w:tc>
          <w:tcPr>
            <w:tcW w:w="4627" w:type="pct"/>
            <w:tcBorders>
              <w:left w:val="single" w:sz="4" w:space="0" w:color="auto"/>
            </w:tcBorders>
            <w:vAlign w:val="center"/>
          </w:tcPr>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highlight w:val="none"/>
              </w:rPr>
              <w:t>根据《“十四五”主要污染物总量减排潜力测算工作指南》</w:t>
            </w:r>
            <w:r>
              <w:rPr>
                <w:rFonts w:ascii="Times New Roman" w:cs="Times New Roman" w:hAnsi="Times New Roman" w:hint="eastAsia"/>
                <w:caps w:val="0"/>
                <w:smallCaps w:val="0"/>
                <w:color w:val="auto"/>
                <w:spacing w:val="0"/>
                <w:sz w:val="24"/>
                <w:szCs w:val="20"/>
                <w:lang w:eastAsia="zh-CN"/>
                <w:highlight w:val="none"/>
              </w:rPr>
              <w:t>、《河北省主要污染物排污权确权管理暂行办法》（冀环办字函〔2024〕256号）</w:t>
            </w:r>
            <w:r>
              <w:rPr>
                <w:rFonts w:ascii="Times New Roman" w:cs="Times New Roman" w:hAnsi="Times New Roman" w:hint="eastAsia"/>
                <w:caps w:val="0"/>
                <w:smallCaps w:val="0"/>
                <w:color w:val="auto"/>
                <w:spacing w:val="0"/>
                <w:sz w:val="24"/>
                <w:szCs w:val="20"/>
                <w:highlight w:val="none"/>
              </w:rPr>
              <w:t>相关规定，项目污染物排放总量控制指标为COD、氨氮、SO</w:t>
            </w:r>
            <w:r>
              <w:rPr>
                <w:rFonts w:ascii="Times New Roman" w:cs="Times New Roman" w:hAnsi="Times New Roman" w:hint="eastAsia"/>
                <w:caps w:val="0"/>
                <w:smallCaps w:val="0"/>
                <w:color w:val="auto"/>
                <w:spacing w:val="0"/>
                <w:sz w:val="24"/>
                <w:szCs w:val="20"/>
                <w:vertAlign w:val="subscript"/>
                <w:highlight w:val="none"/>
              </w:rPr>
              <w:t>2</w:t>
            </w:r>
            <w:r>
              <w:rPr>
                <w:rFonts w:ascii="Times New Roman" w:cs="Times New Roman" w:hAnsi="Times New Roman" w:hint="eastAsia"/>
                <w:caps w:val="0"/>
                <w:smallCaps w:val="0"/>
                <w:color w:val="auto"/>
                <w:spacing w:val="0"/>
                <w:sz w:val="24"/>
                <w:szCs w:val="20"/>
                <w:highlight w:val="none"/>
              </w:rPr>
              <w:t>、氮氧化物、挥发性有机物、颗粒物</w:t>
            </w:r>
            <w:r>
              <w:rPr>
                <w:rFonts w:ascii="Times New Roman" w:cs="Times New Roman" w:hAnsi="Times New Roman"/>
                <w:caps w:val="0"/>
                <w:smallCaps w:val="0"/>
                <w:color w:val="auto"/>
                <w:spacing w:val="0"/>
                <w:sz w:val="24"/>
                <w:szCs w:val="20"/>
                <w:highlight w:val="none"/>
              </w:rPr>
              <w:t>。</w:t>
            </w:r>
          </w:p>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color w:val="auto"/>
                <w:sz w:val="24"/>
                <w:szCs w:val="24"/>
                <w:lang w:val="en-US" w:eastAsia="zh-CN"/>
                <w:highlight w:val="none"/>
              </w:rPr>
            </w:pPr>
            <w:r>
              <w:rPr>
                <w:rFonts w:ascii="Times New Roman" w:eastAsia="宋体" w:cs="Times New Roman" w:hAnsi="Times New Roman"/>
                <w:color w:val="auto"/>
                <w:sz w:val="24"/>
                <w:szCs w:val="24"/>
                <w:lang w:val="zh-CN"/>
                <w:highlight w:val="none"/>
              </w:rPr>
              <w:t>（</w:t>
            </w:r>
            <w:r>
              <w:rPr>
                <w:rFonts w:ascii="Times New Roman" w:cs="Times New Roman" w:hAnsi="Times New Roman" w:hint="eastAsia"/>
                <w:color w:val="auto"/>
                <w:sz w:val="24"/>
                <w:szCs w:val="24"/>
                <w:lang w:val="en-US" w:eastAsia="zh-CN"/>
                <w:highlight w:val="none"/>
              </w:rPr>
              <w:t>1</w:t>
            </w:r>
            <w:r>
              <w:rPr>
                <w:rFonts w:ascii="Times New Roman" w:eastAsia="宋体" w:cs="Times New Roman" w:hAnsi="Times New Roman"/>
                <w:color w:val="auto"/>
                <w:sz w:val="24"/>
                <w:szCs w:val="24"/>
                <w:lang w:val="zh-CN"/>
                <w:highlight w:val="none"/>
              </w:rPr>
              <w:t>）</w:t>
            </w:r>
            <w:r>
              <w:rPr>
                <w:rFonts w:ascii="Times New Roman" w:eastAsia="宋体" w:cs="Times New Roman" w:hAnsi="Times New Roman"/>
                <w:color w:val="auto"/>
                <w:sz w:val="24"/>
                <w:szCs w:val="24"/>
                <w:lang w:val="en-US" w:eastAsia="zh-CN"/>
                <w:highlight w:val="none"/>
              </w:rPr>
              <w:t>废水污染物</w:t>
            </w:r>
          </w:p>
          <w:p>
            <w:pPr>
              <w:pStyle w:val="137"/>
              <w:keepNext w:val="0"/>
              <w:keepLines w:val="0"/>
              <w:suppressLineNumbers w:val="0"/>
              <w:spacing w:before="0" w:beforeAutospacing="0" w:after="0" w:afterAutospacing="0"/>
              <w:ind w:left="0" w:right="0"/>
              <w:rPr>
                <w:color w:val="auto"/>
                <w:sz w:val="24"/>
                <w:highlight w:val="none"/>
              </w:rPr>
            </w:pPr>
            <w:r>
              <w:rPr>
                <w:rFonts w:ascii="Times New Roman" w:cs="Times New Roman" w:hAnsi="Times New Roman" w:hint="eastAsia"/>
                <w:color w:val="auto"/>
                <w:sz w:val="24"/>
                <w:szCs w:val="20"/>
                <w:lang w:eastAsia="zh-CN"/>
                <w:highlight w:val="none"/>
              </w:rPr>
              <w:t>项目废水主要为职工生活污水，生活污水经集成式生物化粪池处理后经园区污水管网排入绿源污水处理有限公司进一步处理，</w:t>
            </w:r>
            <w:r>
              <w:rPr>
                <w:rFonts w:ascii="Times New Roman" w:cs="Times New Roman" w:hAnsi="Times New Roman" w:hint="eastAsia"/>
                <w:color w:val="auto"/>
                <w:sz w:val="24"/>
                <w:szCs w:val="20"/>
                <w:lang w:val="en-US" w:eastAsia="zh-CN"/>
                <w:highlight w:val="none"/>
              </w:rPr>
              <w:t>处理后的部分回用于厂区内部使用，其余排入洨河，出水执行《子牙河流域水污染物排放标准》（DB13/2796-2018）表1标准中的“重点控制区排放限值”，</w:t>
            </w:r>
            <w:r>
              <w:rPr>
                <w:rFonts w:ascii="Times New Roman" w:cs="Times New Roman" w:hAnsi="Times New Roman"/>
                <w:color w:val="auto"/>
                <w:sz w:val="24"/>
                <w:szCs w:val="20"/>
                <w:lang w:val="en-US" w:eastAsia="zh-CN"/>
                <w:highlight w:val="none"/>
              </w:rPr>
              <w:t>即</w:t>
            </w:r>
            <w:r>
              <w:rPr>
                <w:rFonts w:ascii="Times New Roman" w:cs="Times New Roman" w:hAnsi="Times New Roman"/>
                <w:color w:val="auto"/>
                <w:sz w:val="24"/>
                <w:szCs w:val="20"/>
                <w:lang w:val="zh-CN"/>
                <w:highlight w:val="none"/>
              </w:rPr>
              <w:t>COD</w:t>
            </w:r>
            <w:r>
              <w:rPr>
                <w:rFonts w:ascii="Times New Roman" w:cs="Times New Roman" w:hAnsi="Times New Roman"/>
                <w:color w:val="auto"/>
                <w:sz w:val="24"/>
                <w:szCs w:val="20"/>
                <w:lang w:val="en-US" w:eastAsia="zh-CN"/>
                <w:highlight w:val="none"/>
              </w:rPr>
              <w:t>≤40mg/L</w:t>
            </w:r>
            <w:r>
              <w:rPr>
                <w:rFonts w:ascii="Times New Roman" w:cs="Times New Roman" w:hAnsi="Times New Roman"/>
                <w:color w:val="auto"/>
                <w:sz w:val="24"/>
                <w:szCs w:val="20"/>
                <w:highlight w:val="none"/>
              </w:rPr>
              <w:t>、</w:t>
            </w:r>
            <w:r>
              <w:rPr>
                <w:rFonts w:ascii="Times New Roman" w:cs="Times New Roman" w:hAnsi="Times New Roman"/>
                <w:color w:val="auto"/>
                <w:sz w:val="24"/>
                <w:szCs w:val="20"/>
                <w:lang w:val="zh-CN"/>
                <w:highlight w:val="none"/>
              </w:rPr>
              <w:t>NH</w:t>
            </w:r>
            <w:r>
              <w:rPr>
                <w:rFonts w:ascii="Times New Roman" w:cs="Times New Roman" w:hAnsi="Times New Roman"/>
                <w:color w:val="auto"/>
                <w:sz w:val="24"/>
                <w:szCs w:val="20"/>
                <w:vertAlign w:val="subscript"/>
                <w:lang w:val="zh-CN"/>
                <w:highlight w:val="none"/>
              </w:rPr>
              <w:t>3</w:t>
            </w:r>
            <w:r>
              <w:rPr>
                <w:rFonts w:ascii="Times New Roman" w:cs="Times New Roman" w:hAnsi="Times New Roman"/>
                <w:color w:val="auto"/>
                <w:sz w:val="24"/>
                <w:szCs w:val="20"/>
                <w:lang w:val="zh-CN"/>
                <w:highlight w:val="none"/>
              </w:rPr>
              <w:t>-N</w:t>
            </w:r>
            <w:r>
              <w:rPr>
                <w:rFonts w:ascii="Times New Roman" w:cs="Times New Roman" w:hAnsi="Times New Roman"/>
                <w:color w:val="auto"/>
                <w:sz w:val="24"/>
                <w:szCs w:val="20"/>
                <w:lang w:val="en-US" w:eastAsia="zh-CN"/>
                <w:highlight w:val="none"/>
              </w:rPr>
              <w:t>≤2.0mg/L</w:t>
            </w:r>
            <w:r>
              <w:rPr>
                <w:rFonts w:ascii="Times New Roman" w:cs="Times New Roman" w:hAnsi="Times New Roman"/>
                <w:color w:val="auto"/>
                <w:sz w:val="24"/>
                <w:szCs w:val="22"/>
                <w:lang w:val="zh-CN"/>
                <w:highlight w:val="none"/>
              </w:rPr>
              <w:t>，</w:t>
            </w:r>
            <w:r>
              <w:rPr>
                <w:rFonts w:ascii="Times New Roman" w:cs="Times New Roman" w:hAnsi="Times New Roman"/>
                <w:color w:val="auto"/>
                <w:sz w:val="24"/>
                <w:szCs w:val="22"/>
                <w:highlight w:val="none"/>
              </w:rPr>
              <w:t>故</w:t>
            </w:r>
            <w:r>
              <w:rPr>
                <w:rFonts w:ascii="Times New Roman" w:cs="Times New Roman" w:hAnsi="Times New Roman"/>
                <w:color w:val="auto"/>
                <w:sz w:val="24"/>
                <w:szCs w:val="20"/>
                <w:highlight w:val="none"/>
              </w:rPr>
              <w:t>涉及废水污染物</w:t>
            </w:r>
            <w:r>
              <w:rPr>
                <w:rFonts w:ascii="Times New Roman" w:cs="Times New Roman" w:hAnsi="Times New Roman"/>
                <w:color w:val="auto"/>
                <w:sz w:val="24"/>
                <w:szCs w:val="20"/>
                <w:lang w:val="zh-CN"/>
                <w:highlight w:val="none"/>
              </w:rPr>
              <w:t>COD</w:t>
            </w:r>
            <w:r>
              <w:rPr>
                <w:rFonts w:ascii="Times New Roman" w:cs="Times New Roman" w:hAnsi="Times New Roman"/>
                <w:color w:val="auto"/>
                <w:sz w:val="24"/>
                <w:szCs w:val="20"/>
                <w:highlight w:val="none"/>
              </w:rPr>
              <w:t>、</w:t>
            </w:r>
            <w:r>
              <w:rPr>
                <w:rFonts w:ascii="Times New Roman" w:cs="Times New Roman" w:hAnsi="Times New Roman"/>
                <w:color w:val="auto"/>
                <w:sz w:val="24"/>
                <w:szCs w:val="20"/>
                <w:lang w:val="zh-CN"/>
                <w:highlight w:val="none"/>
              </w:rPr>
              <w:t>NH</w:t>
            </w:r>
            <w:r>
              <w:rPr>
                <w:rFonts w:ascii="Times New Roman" w:cs="Times New Roman" w:hAnsi="Times New Roman"/>
                <w:color w:val="auto"/>
                <w:sz w:val="24"/>
                <w:szCs w:val="20"/>
                <w:vertAlign w:val="subscript"/>
                <w:lang w:val="zh-CN"/>
                <w:highlight w:val="none"/>
              </w:rPr>
              <w:t>3</w:t>
            </w:r>
            <w:r>
              <w:rPr>
                <w:rFonts w:ascii="Times New Roman" w:cs="Times New Roman" w:hAnsi="Times New Roman"/>
                <w:color w:val="auto"/>
                <w:sz w:val="24"/>
                <w:szCs w:val="20"/>
                <w:lang w:val="zh-CN"/>
                <w:highlight w:val="none"/>
              </w:rPr>
              <w:t>-N</w:t>
            </w:r>
            <w:r>
              <w:rPr>
                <w:rFonts w:ascii="Times New Roman" w:cs="Times New Roman" w:hAnsi="Times New Roman"/>
                <w:color w:val="auto"/>
                <w:sz w:val="24"/>
                <w:szCs w:val="20"/>
                <w:highlight w:val="none"/>
              </w:rPr>
              <w:t>的排放。</w:t>
            </w:r>
          </w:p>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60" w:lineRule="exact"/>
              <w:ind w:left="0" w:right="0" w:firstLineChars="200" w:firstLine="480"/>
              <w:jc w:val="both"/>
              <w:textAlignment w:val="auto"/>
              <w:rPr>
                <w:rFonts w:ascii="Times New Roman" w:eastAsia="宋体" w:cs="Times New Roman" w:hAnsi="Times New Roman"/>
                <w:color w:val="auto"/>
                <w:sz w:val="24"/>
                <w:szCs w:val="24"/>
                <w:lang w:val="en-US" w:eastAsia="zh-CN"/>
                <w:highlight w:val="none"/>
              </w:rPr>
            </w:pPr>
            <w:r>
              <w:rPr>
                <w:rFonts w:ascii="Times New Roman" w:eastAsia="宋体" w:cs="Times New Roman" w:hAnsi="Times New Roman"/>
                <w:color w:val="auto"/>
                <w:sz w:val="24"/>
                <w:szCs w:val="24"/>
                <w:lang w:val="zh-CN"/>
                <w:highlight w:val="none"/>
              </w:rPr>
              <w:t>（</w:t>
            </w:r>
            <w:r>
              <w:rPr>
                <w:rFonts w:ascii="Times New Roman" w:cs="Times New Roman" w:hAnsi="Times New Roman" w:hint="eastAsia"/>
                <w:color w:val="auto"/>
                <w:sz w:val="24"/>
                <w:szCs w:val="24"/>
                <w:lang w:val="en-US" w:eastAsia="zh-CN"/>
                <w:highlight w:val="none"/>
              </w:rPr>
              <w:t>2</w:t>
            </w:r>
            <w:r>
              <w:rPr>
                <w:rFonts w:ascii="Times New Roman" w:eastAsia="宋体" w:cs="Times New Roman" w:hAnsi="Times New Roman"/>
                <w:color w:val="auto"/>
                <w:sz w:val="24"/>
                <w:szCs w:val="24"/>
                <w:lang w:val="zh-CN"/>
                <w:highlight w:val="none"/>
              </w:rPr>
              <w:t>）</w:t>
            </w:r>
            <w:r>
              <w:rPr>
                <w:rFonts w:ascii="Times New Roman" w:eastAsia="宋体" w:cs="Times New Roman" w:hAnsi="Times New Roman"/>
                <w:color w:val="auto"/>
                <w:sz w:val="24"/>
                <w:szCs w:val="24"/>
                <w:lang w:val="en-US" w:eastAsia="zh-CN"/>
                <w:highlight w:val="none"/>
              </w:rPr>
              <w:t>废气污染物</w:t>
            </w:r>
          </w:p>
          <w:p>
            <w:pPr>
              <w:keepNext w:val="0"/>
              <w:keepLines w:val="0"/>
              <w:suppressLineNumbers w:val="0"/>
              <w:autoSpaceDE w:val="0"/>
              <w:autoSpaceDN w:val="0"/>
              <w:adjustRightInd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hint="eastAsia"/>
                <w:color w:val="auto"/>
                <w:sz w:val="24"/>
                <w:szCs w:val="20"/>
                <w:lang w:eastAsia="zh-CN"/>
                <w:highlight w:val="none"/>
              </w:rPr>
              <w:t>项目生产采用电加热</w:t>
            </w:r>
            <w:r>
              <w:rPr>
                <w:rFonts w:ascii="Times New Roman" w:cs="Times New Roman" w:hAnsi="Times New Roman" w:hint="eastAsia"/>
                <w:color w:val="auto"/>
                <w:sz w:val="24"/>
                <w:szCs w:val="20"/>
                <w:highlight w:val="none"/>
              </w:rPr>
              <w:t>，职工日常办公供暖由空调提供，</w:t>
            </w:r>
            <w:r>
              <w:rPr>
                <w:rFonts w:ascii="Times New Roman" w:cs="Times New Roman" w:hAnsi="Times New Roman" w:hint="eastAsia"/>
                <w:color w:val="auto"/>
                <w:sz w:val="24"/>
                <w:szCs w:val="20"/>
                <w:lang w:val="zh-CN"/>
                <w:highlight w:val="none"/>
              </w:rPr>
              <w:t>不设燃煤燃气等供热设施，</w:t>
            </w:r>
            <w:r>
              <w:rPr>
                <w:rFonts w:ascii="Times New Roman" w:cs="Times New Roman" w:hAnsi="Times New Roman"/>
                <w:color w:val="auto"/>
                <w:sz w:val="24"/>
                <w:szCs w:val="20"/>
                <w:highlight w:val="none"/>
              </w:rPr>
              <w:t>故不涉及废气污染物SO</w:t>
            </w:r>
            <w:r>
              <w:rPr>
                <w:rFonts w:ascii="Times New Roman" w:cs="Times New Roman" w:hAnsi="Times New Roman"/>
                <w:color w:val="auto"/>
                <w:sz w:val="24"/>
                <w:szCs w:val="20"/>
                <w:vertAlign w:val="subscript"/>
                <w:highlight w:val="none"/>
              </w:rPr>
              <w:t>2</w:t>
            </w:r>
            <w:r>
              <w:rPr>
                <w:rFonts w:ascii="Times New Roman" w:cs="Times New Roman" w:hAnsi="Times New Roman"/>
                <w:color w:val="auto"/>
                <w:sz w:val="24"/>
                <w:szCs w:val="20"/>
                <w:highlight w:val="none"/>
              </w:rPr>
              <w:t>、NO</w:t>
            </w:r>
            <w:r>
              <w:rPr>
                <w:rFonts w:ascii="Times New Roman" w:cs="Times New Roman" w:hAnsi="Times New Roman"/>
                <w:color w:val="auto"/>
                <w:sz w:val="24"/>
                <w:szCs w:val="20"/>
                <w:vertAlign w:val="subscript"/>
                <w:highlight w:val="none"/>
              </w:rPr>
              <w:t>X</w:t>
            </w:r>
            <w:r>
              <w:rPr>
                <w:rFonts w:ascii="Times New Roman" w:cs="Times New Roman" w:hAnsi="Times New Roman"/>
                <w:color w:val="auto"/>
                <w:sz w:val="24"/>
                <w:szCs w:val="20"/>
                <w:highlight w:val="none"/>
              </w:rPr>
              <w:t>的排放。因此，项目废气污染物SO</w:t>
            </w:r>
            <w:r>
              <w:rPr>
                <w:rFonts w:ascii="Times New Roman" w:cs="Times New Roman" w:hAnsi="Times New Roman"/>
                <w:color w:val="auto"/>
                <w:sz w:val="24"/>
                <w:szCs w:val="20"/>
                <w:vertAlign w:val="subscript"/>
                <w:highlight w:val="none"/>
              </w:rPr>
              <w:t>2</w:t>
            </w:r>
            <w:r>
              <w:rPr>
                <w:rFonts w:ascii="Times New Roman" w:cs="Times New Roman" w:hAnsi="Times New Roman"/>
                <w:color w:val="auto"/>
                <w:sz w:val="24"/>
                <w:szCs w:val="20"/>
                <w:highlight w:val="none"/>
              </w:rPr>
              <w:t>、NO</w:t>
            </w:r>
            <w:r>
              <w:rPr>
                <w:rFonts w:ascii="Times New Roman" w:cs="Times New Roman" w:hAnsi="Times New Roman"/>
                <w:color w:val="auto"/>
                <w:sz w:val="24"/>
                <w:szCs w:val="20"/>
                <w:vertAlign w:val="subscript"/>
                <w:highlight w:val="none"/>
              </w:rPr>
              <w:t>X</w:t>
            </w:r>
            <w:r>
              <w:rPr>
                <w:rFonts w:ascii="Times New Roman" w:cs="Times New Roman" w:hAnsi="Times New Roman"/>
                <w:color w:val="auto"/>
                <w:sz w:val="24"/>
                <w:szCs w:val="20"/>
                <w:highlight w:val="none"/>
              </w:rPr>
              <w:t>核算排放量均为0t/a。</w:t>
            </w:r>
          </w:p>
          <w:p>
            <w:pPr>
              <w:keepNext w:val="0"/>
              <w:keepLines w:val="0"/>
              <w:suppressLineNumbers w:val="0"/>
              <w:autoSpaceDE w:val="0"/>
              <w:autoSpaceDN w:val="0"/>
              <w:adjustRightInd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hint="eastAsia"/>
                <w:color w:val="auto"/>
                <w:sz w:val="24"/>
                <w:szCs w:val="20"/>
                <w:highlight w:val="none"/>
              </w:rPr>
              <w:t>项目涉及</w:t>
            </w:r>
            <w:r>
              <w:rPr>
                <w:rFonts w:ascii="Times New Roman" w:cs="Times New Roman" w:hAnsi="Times New Roman" w:hint="eastAsia"/>
                <w:color w:val="auto"/>
                <w:sz w:val="24"/>
                <w:szCs w:val="20"/>
                <w:lang w:val="en-US" w:eastAsia="zh-CN"/>
                <w:highlight w:val="none"/>
              </w:rPr>
              <w:t>挥发性有机物、颗粒物、</w:t>
            </w:r>
            <w:r>
              <w:rPr>
                <w:rFonts w:ascii="Times New Roman" w:cs="Times New Roman" w:hAnsi="Times New Roman"/>
                <w:color w:val="auto"/>
                <w:sz w:val="24"/>
                <w:szCs w:val="20"/>
                <w:lang w:val="zh-CN"/>
                <w:highlight w:val="none"/>
              </w:rPr>
              <w:t>COD</w:t>
            </w:r>
            <w:r>
              <w:rPr>
                <w:rFonts w:ascii="Times New Roman" w:cs="Times New Roman" w:hAnsi="Times New Roman"/>
                <w:color w:val="auto"/>
                <w:sz w:val="24"/>
                <w:szCs w:val="20"/>
                <w:highlight w:val="none"/>
              </w:rPr>
              <w:t>、</w:t>
            </w:r>
            <w:r>
              <w:rPr>
                <w:rFonts w:ascii="Times New Roman" w:cs="Times New Roman" w:hAnsi="Times New Roman"/>
                <w:color w:val="auto"/>
                <w:sz w:val="24"/>
                <w:szCs w:val="20"/>
                <w:lang w:val="zh-CN"/>
                <w:highlight w:val="none"/>
              </w:rPr>
              <w:t>NH</w:t>
            </w:r>
            <w:r>
              <w:rPr>
                <w:rFonts w:ascii="Times New Roman" w:cs="Times New Roman" w:hAnsi="Times New Roman"/>
                <w:color w:val="auto"/>
                <w:sz w:val="24"/>
                <w:szCs w:val="20"/>
                <w:vertAlign w:val="subscript"/>
                <w:lang w:val="zh-CN"/>
                <w:highlight w:val="none"/>
              </w:rPr>
              <w:t>3</w:t>
            </w:r>
            <w:r>
              <w:rPr>
                <w:rFonts w:ascii="Times New Roman" w:cs="Times New Roman" w:hAnsi="Times New Roman"/>
                <w:color w:val="auto"/>
                <w:sz w:val="24"/>
                <w:szCs w:val="20"/>
                <w:lang w:val="zh-CN"/>
                <w:highlight w:val="none"/>
              </w:rPr>
              <w:t>-N</w:t>
            </w:r>
            <w:r>
              <w:rPr>
                <w:rFonts w:ascii="Times New Roman" w:cs="Times New Roman" w:hAnsi="Times New Roman" w:hint="eastAsia"/>
                <w:color w:val="auto"/>
                <w:sz w:val="24"/>
                <w:szCs w:val="20"/>
                <w:highlight w:val="none"/>
              </w:rPr>
              <w:t>排放。核算见下：</w:t>
            </w:r>
          </w:p>
          <w:p>
            <w:pPr>
              <w:keepNext w:val="0"/>
              <w:keepLines w:val="0"/>
              <w:suppressLineNumbers w:val="0"/>
              <w:adjustRightInd w:val="0"/>
              <w:snapToGrid w:val="0"/>
              <w:spacing w:before="0" w:beforeAutospacing="0" w:after="0" w:afterAutospacing="0"/>
              <w:ind w:left="0" w:right="0"/>
              <w:jc w:val="center"/>
              <w:rPr>
                <w:b/>
                <w:color w:val="auto"/>
                <w:sz w:val="24"/>
                <w:szCs w:val="20"/>
                <w:lang w:val="zh-CN"/>
                <w:highlight w:val="none"/>
              </w:rPr>
            </w:pPr>
            <w:r>
              <w:rPr>
                <w:rFonts w:ascii="Times New Roman" w:cs="Times New Roman" w:hAnsi="Times New Roman"/>
                <w:b/>
                <w:color w:val="auto"/>
                <w:sz w:val="24"/>
                <w:szCs w:val="20"/>
                <w:lang w:val="zh-CN"/>
                <w:highlight w:val="none"/>
              </w:rPr>
              <w:t>表</w:t>
            </w:r>
            <w:r>
              <w:rPr>
                <w:rFonts w:ascii="Times New Roman" w:cs="Times New Roman" w:hAnsi="Times New Roman"/>
                <w:b/>
                <w:color w:val="auto"/>
                <w:sz w:val="24"/>
                <w:szCs w:val="20"/>
                <w:highlight w:val="none"/>
              </w:rPr>
              <w:t>3</w:t>
            </w:r>
            <w:r>
              <w:rPr>
                <w:rFonts w:ascii="Times New Roman" w:cs="Times New Roman" w:hAnsi="Times New Roman" w:hint="eastAsia"/>
                <w:b/>
                <w:color w:val="auto"/>
                <w:sz w:val="24"/>
                <w:szCs w:val="20"/>
                <w:highlight w:val="none"/>
              </w:rPr>
              <w:t>-8</w:t>
            </w:r>
            <w:r>
              <w:rPr>
                <w:rFonts w:ascii="Times New Roman" w:cs="Times New Roman" w:hAnsi="Times New Roman"/>
                <w:b/>
                <w:color w:val="auto"/>
                <w:sz w:val="24"/>
                <w:szCs w:val="20"/>
                <w:lang w:val="zh-CN"/>
                <w:highlight w:val="none"/>
              </w:rPr>
              <w:t xml:space="preserve"> </w:t>
            </w:r>
            <w:r>
              <w:rPr>
                <w:rFonts w:ascii="Times New Roman" w:cs="Times New Roman" w:hAnsi="Times New Roman"/>
                <w:b/>
                <w:color w:val="auto"/>
                <w:sz w:val="24"/>
                <w:szCs w:val="20"/>
                <w:highlight w:val="none"/>
              </w:rPr>
              <w:t xml:space="preserve"> </w:t>
            </w:r>
            <w:r>
              <w:rPr>
                <w:rFonts w:ascii="Times New Roman" w:cs="Times New Roman" w:hAnsi="Times New Roman"/>
                <w:b/>
                <w:color w:val="auto"/>
                <w:sz w:val="24"/>
                <w:szCs w:val="20"/>
                <w:lang w:val="zh-CN"/>
                <w:highlight w:val="none"/>
              </w:rPr>
              <w:t>污染物总量控制指标计算</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952"/>
              <w:gridCol w:w="1015"/>
              <w:gridCol w:w="2582"/>
              <w:gridCol w:w="1282"/>
              <w:gridCol w:w="950"/>
              <w:gridCol w:w="875"/>
            </w:tblGrid>
            <w:tr>
              <w:trPr>
                <w:trHeight w:val="340"/>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b/>
                      <w:bCs/>
                      <w:color w:val="auto"/>
                      <w:szCs w:val="21"/>
                      <w:highlight w:val="none"/>
                    </w:rPr>
                  </w:pPr>
                  <w:r>
                    <w:rPr>
                      <w:rFonts w:ascii="Times New Roman" w:cs="Times New Roman" w:hAnsi="Times New Roman"/>
                      <w:b/>
                      <w:bCs/>
                      <w:color w:val="auto"/>
                      <w:sz w:val="21"/>
                      <w:szCs w:val="21"/>
                      <w:highlight w:val="none"/>
                    </w:rPr>
                    <w:t>项目</w:t>
                  </w:r>
                </w:p>
              </w:tc>
              <w:tc>
                <w:tcPr>
                  <w:tcW w:w="662"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b/>
                      <w:bCs/>
                      <w:color w:val="auto"/>
                      <w:szCs w:val="21"/>
                      <w:highlight w:val="none"/>
                    </w:rPr>
                  </w:pPr>
                  <w:r>
                    <w:rPr>
                      <w:rFonts w:ascii="Times New Roman" w:cs="Times New Roman" w:hAnsi="Times New Roman" w:hint="eastAsia"/>
                      <w:b/>
                      <w:bCs/>
                      <w:color w:val="auto"/>
                      <w:sz w:val="21"/>
                      <w:szCs w:val="21"/>
                      <w:lang w:val="en-US" w:eastAsia="zh-CN"/>
                      <w:highlight w:val="none"/>
                    </w:rPr>
                    <w:t>排放标准/</w:t>
                  </w:r>
                  <w:r>
                    <w:rPr>
                      <w:rFonts w:ascii="Times New Roman" w:cs="Times New Roman" w:hAnsi="Times New Roman"/>
                      <w:b/>
                      <w:bCs/>
                      <w:color w:val="auto"/>
                      <w:sz w:val="21"/>
                      <w:szCs w:val="21"/>
                      <w:highlight w:val="none"/>
                    </w:rPr>
                    <w:t>浓度</w:t>
                  </w:r>
                  <w:r>
                    <w:rPr>
                      <w:rFonts w:ascii="Times New Roman" w:cs="Times New Roman" w:hAnsi="Times New Roman" w:hint="eastAsia"/>
                      <w:b/>
                      <w:bCs/>
                      <w:color w:val="auto"/>
                      <w:sz w:val="21"/>
                      <w:szCs w:val="21"/>
                      <w:lang w:eastAsia="zh-CN"/>
                      <w:highlight w:val="none"/>
                    </w:rPr>
                    <w:t>（</w:t>
                  </w:r>
                  <w:r>
                    <w:rPr>
                      <w:rFonts w:ascii="Times New Roman" w:cs="Times New Roman" w:hAnsi="Times New Roman" w:hint="eastAsia"/>
                      <w:b/>
                      <w:bCs/>
                      <w:color w:val="auto"/>
                      <w:sz w:val="21"/>
                      <w:szCs w:val="21"/>
                      <w:lang w:val="en-US" w:eastAsia="zh-CN"/>
                      <w:highlight w:val="none"/>
                    </w:rPr>
                    <w:t>mg/L</w:t>
                  </w:r>
                  <w:r>
                    <w:rPr>
                      <w:rFonts w:ascii="Times New Roman" w:cs="Times New Roman" w:hAnsi="Times New Roman" w:hint="eastAsia"/>
                      <w:b/>
                      <w:bCs/>
                      <w:color w:val="auto"/>
                      <w:sz w:val="21"/>
                      <w:szCs w:val="21"/>
                      <w:lang w:eastAsia="zh-CN"/>
                      <w:highlight w:val="none"/>
                    </w:rPr>
                    <w:t>）</w:t>
                  </w:r>
                  <w:r>
                    <w:rPr>
                      <w:rFonts w:ascii="Times New Roman" w:cs="Times New Roman" w:hAnsi="Times New Roman" w:hint="eastAsia"/>
                      <w:b/>
                      <w:bCs/>
                      <w:color w:val="auto"/>
                      <w:sz w:val="21"/>
                      <w:szCs w:val="21"/>
                      <w:lang w:val="en-US" w:eastAsia="zh-CN"/>
                      <w:highlight w:val="none"/>
                    </w:rPr>
                    <w:t>/</w:t>
                  </w:r>
                  <w:r>
                    <w:rPr>
                      <w:rFonts w:ascii="Times New Roman" w:cs="Times New Roman" w:hAnsi="Times New Roman"/>
                      <w:b/>
                      <w:bCs/>
                      <w:color w:val="auto"/>
                      <w:sz w:val="21"/>
                      <w:szCs w:val="21"/>
                      <w:highlight w:val="none"/>
                    </w:rPr>
                    <w:t>（mg/m</w:t>
                  </w:r>
                  <w:r>
                    <w:rPr>
                      <w:rFonts w:ascii="Times New Roman" w:cs="Times New Roman" w:hAnsi="Times New Roman"/>
                      <w:b/>
                      <w:bCs/>
                      <w:color w:val="auto"/>
                      <w:sz w:val="21"/>
                      <w:szCs w:val="21"/>
                      <w:vertAlign w:val="superscript"/>
                      <w:highlight w:val="none"/>
                    </w:rPr>
                    <w:t>3</w:t>
                  </w:r>
                  <w:r>
                    <w:rPr>
                      <w:rFonts w:ascii="Times New Roman" w:cs="Times New Roman" w:hAnsi="Times New Roman"/>
                      <w:b/>
                      <w:bCs/>
                      <w:color w:val="auto"/>
                      <w:sz w:val="21"/>
                      <w:szCs w:val="21"/>
                      <w:highlight w:val="none"/>
                    </w:rPr>
                    <w:t>）</w:t>
                  </w:r>
                </w:p>
              </w:tc>
              <w:tc>
                <w:tcPr>
                  <w:tcW w:w="1686"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b/>
                      <w:bCs/>
                      <w:color w:val="auto"/>
                      <w:szCs w:val="21"/>
                      <w:highlight w:val="none"/>
                    </w:rPr>
                  </w:pPr>
                  <w:r>
                    <w:rPr>
                      <w:rFonts w:ascii="Times New Roman" w:cs="Times New Roman" w:hAnsi="Times New Roman" w:hint="eastAsia"/>
                      <w:b/>
                      <w:bCs/>
                      <w:color w:val="auto"/>
                      <w:sz w:val="21"/>
                      <w:szCs w:val="21"/>
                      <w:highlight w:val="none"/>
                    </w:rPr>
                    <w:t>标准来源</w:t>
                  </w:r>
                </w:p>
              </w:tc>
              <w:tc>
                <w:tcPr>
                  <w:tcW w:w="83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b/>
                      <w:bCs/>
                      <w:color w:val="auto"/>
                      <w:szCs w:val="21"/>
                      <w:lang w:val="en-US" w:eastAsia="zh-CN"/>
                      <w:highlight w:val="none"/>
                    </w:rPr>
                  </w:pPr>
                  <w:r>
                    <w:rPr>
                      <w:rFonts w:ascii="Times New Roman" w:cs="Times New Roman" w:hAnsi="Times New Roman" w:hint="eastAsia"/>
                      <w:b/>
                      <w:bCs/>
                      <w:color w:val="auto"/>
                      <w:sz w:val="21"/>
                      <w:szCs w:val="21"/>
                      <w:lang w:val="en-US" w:eastAsia="zh-CN"/>
                      <w:highlight w:val="none"/>
                    </w:rPr>
                    <w:t>废水量（m</w:t>
                  </w:r>
                  <w:r>
                    <w:rPr>
                      <w:rFonts w:ascii="Times New Roman" w:cs="Times New Roman" w:hAnsi="Times New Roman" w:hint="eastAsia"/>
                      <w:b/>
                      <w:bCs/>
                      <w:color w:val="auto"/>
                      <w:sz w:val="21"/>
                      <w:szCs w:val="21"/>
                      <w:vertAlign w:val="superscript"/>
                      <w:lang w:val="en-US" w:eastAsia="zh-CN"/>
                      <w:highlight w:val="none"/>
                    </w:rPr>
                    <w:t>3</w:t>
                  </w:r>
                  <w:r>
                    <w:rPr>
                      <w:rFonts w:ascii="Times New Roman" w:cs="Times New Roman" w:hAnsi="Times New Roman" w:hint="eastAsia"/>
                      <w:b/>
                      <w:bCs/>
                      <w:color w:val="auto"/>
                      <w:sz w:val="21"/>
                      <w:szCs w:val="21"/>
                      <w:lang w:val="en-US" w:eastAsia="zh-CN"/>
                      <w:highlight w:val="none"/>
                    </w:rPr>
                    <w:t>/d）/</w:t>
                  </w:r>
                  <w:r>
                    <w:rPr>
                      <w:rFonts w:ascii="Times New Roman" w:cs="Times New Roman" w:hAnsi="Times New Roman"/>
                      <w:b/>
                      <w:bCs/>
                      <w:color w:val="auto"/>
                      <w:sz w:val="21"/>
                      <w:szCs w:val="21"/>
                      <w:highlight w:val="none"/>
                    </w:rPr>
                    <w:t>废气量（m</w:t>
                  </w:r>
                  <w:r>
                    <w:rPr>
                      <w:rFonts w:ascii="Times New Roman" w:cs="Times New Roman" w:hAnsi="Times New Roman"/>
                      <w:b/>
                      <w:bCs/>
                      <w:color w:val="auto"/>
                      <w:sz w:val="21"/>
                      <w:szCs w:val="21"/>
                      <w:vertAlign w:val="superscript"/>
                      <w:highlight w:val="none"/>
                    </w:rPr>
                    <w:t>3</w:t>
                  </w:r>
                  <w:r>
                    <w:rPr>
                      <w:rFonts w:ascii="Times New Roman" w:cs="Times New Roman" w:hAnsi="Times New Roman"/>
                      <w:b/>
                      <w:bCs/>
                      <w:color w:val="auto"/>
                      <w:sz w:val="21"/>
                      <w:szCs w:val="21"/>
                      <w:highlight w:val="none"/>
                    </w:rPr>
                    <w:t>/h）</w:t>
                  </w:r>
                </w:p>
              </w:tc>
              <w:tc>
                <w:tcPr>
                  <w:tcW w:w="62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b/>
                      <w:bCs/>
                      <w:color w:val="auto"/>
                      <w:szCs w:val="21"/>
                      <w:lang w:val="en-US" w:eastAsia="zh-CN"/>
                      <w:highlight w:val="none"/>
                    </w:rPr>
                  </w:pPr>
                  <w:r>
                    <w:rPr>
                      <w:rFonts w:ascii="Times New Roman" w:cs="Times New Roman" w:hAnsi="Times New Roman"/>
                      <w:b/>
                      <w:bCs/>
                      <w:color w:val="auto"/>
                      <w:sz w:val="21"/>
                      <w:szCs w:val="21"/>
                      <w:highlight w:val="none"/>
                    </w:rPr>
                    <w:t>运行时间</w:t>
                  </w:r>
                  <w:r>
                    <w:rPr>
                      <w:rFonts w:ascii="Times New Roman" w:cs="Times New Roman" w:hAnsi="Times New Roman" w:hint="eastAsia"/>
                      <w:b/>
                      <w:bCs/>
                      <w:color w:val="auto"/>
                      <w:sz w:val="21"/>
                      <w:szCs w:val="21"/>
                      <w:lang w:val="en-US" w:eastAsia="zh-CN"/>
                      <w:highlight w:val="none"/>
                    </w:rPr>
                    <w:t>（d/a）/</w:t>
                  </w:r>
                  <w:r>
                    <w:rPr>
                      <w:rFonts w:ascii="Times New Roman" w:cs="Times New Roman" w:hAnsi="Times New Roman"/>
                      <w:b/>
                      <w:bCs/>
                      <w:color w:val="auto"/>
                      <w:sz w:val="21"/>
                      <w:szCs w:val="21"/>
                      <w:highlight w:val="none"/>
                    </w:rPr>
                    <w:t>（h/a）</w:t>
                  </w:r>
                </w:p>
              </w:tc>
              <w:tc>
                <w:tcPr>
                  <w:tcW w:w="57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hint="eastAsia"/>
                      <w:b/>
                      <w:bCs/>
                      <w:color w:val="auto"/>
                      <w:szCs w:val="21"/>
                      <w:highlight w:val="none"/>
                    </w:rPr>
                  </w:pPr>
                  <w:r>
                    <w:rPr>
                      <w:rFonts w:ascii="Times New Roman" w:cs="Times New Roman" w:hAnsi="Times New Roman"/>
                      <w:b/>
                      <w:bCs/>
                      <w:color w:val="auto"/>
                      <w:sz w:val="21"/>
                      <w:szCs w:val="21"/>
                      <w:highlight w:val="none"/>
                    </w:rPr>
                    <w:t>污染物年排放量（t/a）</w:t>
                  </w:r>
                </w:p>
              </w:tc>
            </w:tr>
            <w:tr>
              <w:trPr>
                <w:trHeight w:val="340"/>
              </w:trPr>
              <w:tc>
                <w:tcPr>
                  <w:tcW w:w="621"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COD</w:t>
                  </w:r>
                </w:p>
              </w:tc>
              <w:tc>
                <w:tcPr>
                  <w:tcW w:w="662"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40</w:t>
                  </w:r>
                </w:p>
              </w:tc>
              <w:tc>
                <w:tcPr>
                  <w:tcW w:w="1686" w:type="pct"/>
                  <w:vMerge w:val="restar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lang w:eastAsia="zh-CN"/>
                      <w:highlight w:val="none"/>
                    </w:rPr>
                  </w:pPr>
                  <w:r>
                    <w:rPr>
                      <w:rFonts w:ascii="Times New Roman" w:eastAsia="宋体" w:cs="Times New Roman" w:hAnsi="Times New Roman" w:hint="eastAsia"/>
                      <w:color w:val="auto"/>
                      <w:sz w:val="21"/>
                      <w:szCs w:val="21"/>
                      <w:lang w:eastAsia="zh-CN"/>
                      <w:highlight w:val="none"/>
                    </w:rPr>
                    <w:t>《子牙河流域水污染物排放标准》（DB13/2796-2018）表1标准中的“重点控制区排放限值”</w:t>
                  </w:r>
                </w:p>
              </w:tc>
              <w:tc>
                <w:tcPr>
                  <w:tcW w:w="83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0.64</w:t>
                  </w:r>
                </w:p>
              </w:tc>
              <w:tc>
                <w:tcPr>
                  <w:tcW w:w="62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300</w:t>
                  </w:r>
                </w:p>
              </w:tc>
              <w:tc>
                <w:tcPr>
                  <w:tcW w:w="57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0.00768≈0.008</w:t>
                  </w:r>
                </w:p>
              </w:tc>
            </w:tr>
            <w:tr>
              <w:trPr>
                <w:trHeight w:val="340"/>
              </w:trPr>
              <w:tc>
                <w:tcPr>
                  <w:tcW w:w="621"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氨氮</w:t>
                  </w:r>
                </w:p>
              </w:tc>
              <w:tc>
                <w:tcPr>
                  <w:tcW w:w="662" w:type="pc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2.0</w:t>
                  </w:r>
                </w:p>
              </w:tc>
              <w:tc>
                <w:tcPr>
                  <w:tcW w:w="1686" w:type="pct"/>
                  <w:vMerge/>
                  <w:tcBorders>
                    <w:left w:val="single" w:sz="4" w:space="0" w:color="auto"/>
                    <w:right w:val="single" w:sz="4" w:space="0" w:color="auto"/>
                  </w:tcBorders>
                  <w:vAlign w:val="center"/>
                </w:tcPr>
                <w:p/>
              </w:tc>
              <w:tc>
                <w:tcPr>
                  <w:tcW w:w="837"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0.64</w:t>
                  </w:r>
                </w:p>
              </w:tc>
              <w:tc>
                <w:tcPr>
                  <w:tcW w:w="620"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300</w:t>
                  </w:r>
                </w:p>
              </w:tc>
              <w:tc>
                <w:tcPr>
                  <w:tcW w:w="57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0.000384≈0</w:t>
                  </w:r>
                </w:p>
              </w:tc>
            </w:tr>
            <w:tr>
              <w:trPr>
                <w:trHeight w:val="340"/>
              </w:trPr>
              <w:tc>
                <w:tcPr>
                  <w:tcW w:w="621"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非甲烷总烃</w:t>
                  </w:r>
                </w:p>
              </w:tc>
              <w:tc>
                <w:tcPr>
                  <w:tcW w:w="662"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2.377</w:t>
                  </w:r>
                </w:p>
              </w:tc>
              <w:tc>
                <w:tcPr>
                  <w:tcW w:w="5000"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10000</w:t>
                  </w:r>
                </w:p>
              </w:tc>
              <w:tc>
                <w:tcPr>
                  <w:tcW w:w="62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4800</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0.114096</w:t>
                  </w:r>
                  <w:r>
                    <w:rPr>
                      <w:rFonts w:ascii="Times New Roman" w:cs="Times New Roman" w:hAnsi="Times New Roman" w:hint="eastAsia"/>
                      <w:color w:val="auto"/>
                      <w:sz w:val="21"/>
                      <w:szCs w:val="21"/>
                      <w:lang w:val="en-US" w:eastAsia="zh-CN"/>
                      <w:highlight w:val="none"/>
                    </w:rPr>
                    <w:t>≈</w:t>
                  </w:r>
                  <w:r>
                    <w:rPr>
                      <w:rFonts w:ascii="Times New Roman" w:cs="Times New Roman" w:hAnsi="Times New Roman" w:hint="eastAsia"/>
                      <w:color w:val="auto"/>
                      <w:kern w:val="2"/>
                      <w:sz w:val="21"/>
                      <w:szCs w:val="21"/>
                      <w:lang w:val="en-US" w:eastAsia="zh-CN" w:bidi="ar-SA"/>
                      <w:highlight w:val="none"/>
                    </w:rPr>
                    <w:t>0.114</w:t>
                  </w:r>
                </w:p>
              </w:tc>
            </w:tr>
            <w:tr>
              <w:trPr>
                <w:trHeight w:val="340"/>
              </w:trPr>
              <w:tc>
                <w:tcPr>
                  <w:tcW w:w="621"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颗粒物</w:t>
                  </w:r>
                </w:p>
              </w:tc>
              <w:tc>
                <w:tcPr>
                  <w:tcW w:w="662"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4.688</w:t>
                  </w:r>
                </w:p>
              </w:tc>
              <w:tc>
                <w:tcPr>
                  <w:tcW w:w="5000" w:type="pct"/>
                  <w:tcBorders>
                    <w:top w:val="single" w:sz="4" w:space="0" w:color="auto"/>
                    <w:left w:val="single" w:sz="4" w:space="0" w:color="auto"/>
                    <w:righ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10000</w:t>
                  </w:r>
                </w:p>
              </w:tc>
              <w:tc>
                <w:tcPr>
                  <w:tcW w:w="620"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4800</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0.225024</w:t>
                  </w:r>
                  <w:r>
                    <w:rPr>
                      <w:rFonts w:ascii="Times New Roman" w:cs="Times New Roman" w:hAnsi="Times New Roman" w:hint="eastAsia"/>
                      <w:color w:val="auto"/>
                      <w:sz w:val="21"/>
                      <w:szCs w:val="21"/>
                      <w:lang w:val="en-US" w:eastAsia="zh-CN"/>
                      <w:highlight w:val="none"/>
                    </w:rPr>
                    <w:t>≈</w:t>
                  </w:r>
                  <w:r>
                    <w:rPr>
                      <w:rFonts w:ascii="Times New Roman" w:cs="Times New Roman" w:hAnsi="Times New Roman" w:hint="eastAsia"/>
                      <w:color w:val="auto"/>
                      <w:kern w:val="2"/>
                      <w:sz w:val="21"/>
                      <w:szCs w:val="21"/>
                      <w:lang w:val="en-US" w:eastAsia="zh-CN" w:bidi="ar-SA"/>
                      <w:highlight w:val="none"/>
                    </w:rPr>
                    <w:t>0.225</w:t>
                  </w:r>
                </w:p>
              </w:tc>
            </w:tr>
            <w:tr>
              <w:trPr>
                <w:trHeight w:val="340"/>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核算公式</w:t>
                  </w:r>
                </w:p>
              </w:tc>
              <w:tc>
                <w:tcPr>
                  <w:tcW w:w="4378" w:type="pct"/>
                  <w:gridSpan w:val="5"/>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eastAsia="宋体" w:hint="eastAsia"/>
                      <w:color w:val="auto"/>
                      <w:szCs w:val="21"/>
                      <w:vertAlign w:val="superscript"/>
                      <w:lang w:eastAsia="zh-CN"/>
                      <w:highlight w:val="none"/>
                    </w:rPr>
                  </w:pPr>
                  <w:r>
                    <w:rPr>
                      <w:rFonts w:ascii="Times New Roman" w:cs="Times New Roman" w:hAnsi="Times New Roman"/>
                      <w:color w:val="auto"/>
                      <w:sz w:val="21"/>
                      <w:szCs w:val="21"/>
                      <w:highlight w:val="none"/>
                    </w:rPr>
                    <w:t>污染物排放量（t/a）=污染物浓度（mg/</w:t>
                  </w:r>
                  <w:r>
                    <w:rPr>
                      <w:rFonts w:ascii="Times New Roman" w:cs="Times New Roman" w:hAnsi="Times New Roman" w:hint="eastAsia"/>
                      <w:color w:val="auto"/>
                      <w:sz w:val="21"/>
                      <w:szCs w:val="21"/>
                      <w:lang w:val="en-US" w:eastAsia="zh-CN"/>
                      <w:highlight w:val="none"/>
                    </w:rPr>
                    <w:t>L</w:t>
                  </w:r>
                  <w:r>
                    <w:rPr>
                      <w:rFonts w:ascii="Times New Roman" w:cs="Times New Roman" w:hAnsi="Times New Roman"/>
                      <w:color w:val="auto"/>
                      <w:sz w:val="21"/>
                      <w:szCs w:val="21"/>
                      <w:highlight w:val="none"/>
                    </w:rPr>
                    <w:t>）×废</w:t>
                  </w:r>
                  <w:r>
                    <w:rPr>
                      <w:rFonts w:ascii="Times New Roman" w:cs="Times New Roman" w:hAnsi="Times New Roman" w:hint="eastAsia"/>
                      <w:color w:val="auto"/>
                      <w:sz w:val="21"/>
                      <w:szCs w:val="21"/>
                      <w:lang w:val="en-US" w:eastAsia="zh-CN"/>
                      <w:highlight w:val="none"/>
                    </w:rPr>
                    <w:t>水</w:t>
                  </w:r>
                  <w:r>
                    <w:rPr>
                      <w:rFonts w:ascii="Times New Roman" w:cs="Times New Roman" w:hAnsi="Times New Roman"/>
                      <w:color w:val="auto"/>
                      <w:sz w:val="21"/>
                      <w:szCs w:val="21"/>
                      <w:highlight w:val="none"/>
                    </w:rPr>
                    <w:t>量（m</w:t>
                  </w:r>
                  <w:r>
                    <w:rPr>
                      <w:rFonts w:ascii="Times New Roman" w:cs="Times New Roman" w:hAnsi="Times New Roman"/>
                      <w:color w:val="auto"/>
                      <w:sz w:val="21"/>
                      <w:szCs w:val="21"/>
                      <w:vertAlign w:val="superscript"/>
                      <w:highlight w:val="none"/>
                    </w:rPr>
                    <w:t>3</w:t>
                  </w:r>
                  <w:r>
                    <w:rPr>
                      <w:rFonts w:ascii="Times New Roman" w:cs="Times New Roman" w:hAnsi="Times New Roman"/>
                      <w:color w:val="auto"/>
                      <w:sz w:val="21"/>
                      <w:szCs w:val="21"/>
                      <w:highlight w:val="none"/>
                    </w:rPr>
                    <w:t>/</w:t>
                  </w:r>
                  <w:r>
                    <w:rPr>
                      <w:rFonts w:ascii="Times New Roman" w:cs="Times New Roman" w:hAnsi="Times New Roman" w:hint="eastAsia"/>
                      <w:color w:val="auto"/>
                      <w:sz w:val="21"/>
                      <w:szCs w:val="21"/>
                      <w:lang w:val="en-US" w:eastAsia="zh-CN"/>
                      <w:highlight w:val="none"/>
                    </w:rPr>
                    <w:t>d</w:t>
                  </w:r>
                  <w:r>
                    <w:rPr>
                      <w:rFonts w:ascii="Times New Roman" w:cs="Times New Roman" w:hAnsi="Times New Roman"/>
                      <w:color w:val="auto"/>
                      <w:sz w:val="21"/>
                      <w:szCs w:val="21"/>
                      <w:highlight w:val="none"/>
                    </w:rPr>
                    <w:t>）×运行时间（</w:t>
                  </w:r>
                  <w:r>
                    <w:rPr>
                      <w:rFonts w:ascii="Times New Roman" w:cs="Times New Roman" w:hAnsi="Times New Roman" w:hint="eastAsia"/>
                      <w:color w:val="auto"/>
                      <w:sz w:val="21"/>
                      <w:szCs w:val="21"/>
                      <w:lang w:val="en-US" w:eastAsia="zh-CN"/>
                      <w:highlight w:val="none"/>
                    </w:rPr>
                    <w:t>d</w:t>
                  </w:r>
                  <w:r>
                    <w:rPr>
                      <w:rFonts w:ascii="Times New Roman" w:cs="Times New Roman" w:hAnsi="Times New Roman"/>
                      <w:color w:val="auto"/>
                      <w:sz w:val="21"/>
                      <w:szCs w:val="21"/>
                      <w:highlight w:val="none"/>
                    </w:rPr>
                    <w:t>/a）/10</w:t>
                  </w:r>
                  <w:r>
                    <w:rPr>
                      <w:rFonts w:ascii="Times New Roman" w:cs="Times New Roman" w:hAnsi="Times New Roman" w:hint="eastAsia"/>
                      <w:color w:val="auto"/>
                      <w:sz w:val="21"/>
                      <w:szCs w:val="21"/>
                      <w:vertAlign w:val="superscript"/>
                      <w:lang w:val="en-US" w:eastAsia="zh-CN"/>
                      <w:highlight w:val="none"/>
                    </w:rPr>
                    <w:t>6</w:t>
                  </w:r>
                </w:p>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污染物排放量（t/a）=污染物浓度（mg/m</w:t>
                  </w:r>
                  <w:r>
                    <w:rPr>
                      <w:rFonts w:ascii="Times New Roman" w:cs="Times New Roman" w:hAnsi="Times New Roman"/>
                      <w:color w:val="auto"/>
                      <w:sz w:val="21"/>
                      <w:szCs w:val="21"/>
                      <w:vertAlign w:val="superscript"/>
                      <w:highlight w:val="none"/>
                    </w:rPr>
                    <w:t>3</w:t>
                  </w:r>
                  <w:r>
                    <w:rPr>
                      <w:rFonts w:ascii="Times New Roman" w:cs="Times New Roman" w:hAnsi="Times New Roman"/>
                      <w:color w:val="auto"/>
                      <w:sz w:val="21"/>
                      <w:szCs w:val="21"/>
                      <w:highlight w:val="none"/>
                    </w:rPr>
                    <w:t>）×废气量（m</w:t>
                  </w:r>
                  <w:r>
                    <w:rPr>
                      <w:rFonts w:ascii="Times New Roman" w:cs="Times New Roman" w:hAnsi="Times New Roman"/>
                      <w:color w:val="auto"/>
                      <w:sz w:val="21"/>
                      <w:szCs w:val="21"/>
                      <w:vertAlign w:val="superscript"/>
                      <w:highlight w:val="none"/>
                    </w:rPr>
                    <w:t>3</w:t>
                  </w:r>
                  <w:r>
                    <w:rPr>
                      <w:rFonts w:ascii="Times New Roman" w:cs="Times New Roman" w:hAnsi="Times New Roman"/>
                      <w:color w:val="auto"/>
                      <w:sz w:val="21"/>
                      <w:szCs w:val="21"/>
                      <w:highlight w:val="none"/>
                    </w:rPr>
                    <w:t>/h）×运行时间（h/a）/10</w:t>
                  </w:r>
                  <w:r>
                    <w:rPr>
                      <w:rFonts w:ascii="Times New Roman" w:cs="Times New Roman" w:hAnsi="Times New Roman"/>
                      <w:color w:val="auto"/>
                      <w:sz w:val="21"/>
                      <w:szCs w:val="21"/>
                      <w:vertAlign w:val="superscript"/>
                      <w:highlight w:val="none"/>
                    </w:rPr>
                    <w:t>9</w:t>
                  </w:r>
                </w:p>
              </w:tc>
            </w:tr>
            <w:tr>
              <w:trPr>
                <w:trHeight w:val="340"/>
              </w:trPr>
              <w:tc>
                <w:tcPr>
                  <w:tcW w:w="621" w:type="pct"/>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color w:val="auto"/>
                      <w:szCs w:val="21"/>
                      <w:highlight w:val="none"/>
                    </w:rPr>
                  </w:pPr>
                  <w:r>
                    <w:rPr>
                      <w:rFonts w:ascii="Times New Roman" w:cs="Times New Roman" w:hAnsi="Times New Roman"/>
                      <w:color w:val="auto"/>
                      <w:sz w:val="21"/>
                      <w:szCs w:val="21"/>
                      <w:highlight w:val="none"/>
                    </w:rPr>
                    <w:t>核算结果</w:t>
                  </w:r>
                </w:p>
              </w:tc>
              <w:tc>
                <w:tcPr>
                  <w:tcW w:w="4378" w:type="pct"/>
                  <w:gridSpan w:val="5"/>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ind w:left="0" w:right="0"/>
                    <w:jc w:val="center"/>
                    <w:rPr>
                      <w:rFonts w:hint="eastAsia"/>
                      <w:color w:val="auto"/>
                      <w:szCs w:val="21"/>
                      <w:highlight w:val="none"/>
                    </w:rPr>
                  </w:pPr>
                  <w:r>
                    <w:rPr>
                      <w:rFonts w:ascii="Times New Roman" w:cs="Times New Roman" w:hAnsi="Times New Roman"/>
                      <w:color w:val="auto"/>
                      <w:sz w:val="21"/>
                      <w:szCs w:val="21"/>
                      <w:highlight w:val="none"/>
                    </w:rPr>
                    <w:t>由公式核算可知，污染物总量指标为：COD：</w:t>
                  </w:r>
                  <w:r>
                    <w:rPr>
                      <w:rFonts w:ascii="Times New Roman" w:cs="Times New Roman" w:hAnsi="Times New Roman" w:hint="eastAsia"/>
                      <w:color w:val="auto"/>
                      <w:sz w:val="21"/>
                      <w:szCs w:val="21"/>
                      <w:lang w:val="en-US" w:eastAsia="zh-CN"/>
                      <w:highlight w:val="none"/>
                    </w:rPr>
                    <w:t>0.008</w:t>
                  </w:r>
                  <w:r>
                    <w:rPr>
                      <w:rFonts w:ascii="Times New Roman" w:cs="Times New Roman" w:hAnsi="Times New Roman"/>
                      <w:color w:val="auto"/>
                      <w:sz w:val="21"/>
                      <w:szCs w:val="21"/>
                      <w:highlight w:val="none"/>
                    </w:rPr>
                    <w:t>t/a、氨氮：</w:t>
                  </w:r>
                  <w:r>
                    <w:rPr>
                      <w:rFonts w:ascii="Times New Roman" w:cs="Times New Roman" w:hAnsi="Times New Roman" w:hint="eastAsia"/>
                      <w:color w:val="auto"/>
                      <w:sz w:val="21"/>
                      <w:szCs w:val="21"/>
                      <w:lang w:val="en-US" w:eastAsia="zh-CN"/>
                      <w:highlight w:val="none"/>
                    </w:rPr>
                    <w:t>0.000</w:t>
                  </w:r>
                  <w:r>
                    <w:rPr>
                      <w:rFonts w:ascii="Times New Roman" w:cs="Times New Roman" w:hAnsi="Times New Roman"/>
                      <w:color w:val="auto"/>
                      <w:sz w:val="21"/>
                      <w:szCs w:val="21"/>
                      <w:highlight w:val="none"/>
                    </w:rPr>
                    <w:t>t/a</w:t>
                  </w:r>
                  <w:r>
                    <w:rPr>
                      <w:rFonts w:ascii="Times New Roman" w:cs="Times New Roman" w:hAnsi="Times New Roman" w:hint="eastAsia"/>
                      <w:color w:val="auto"/>
                      <w:sz w:val="21"/>
                      <w:szCs w:val="21"/>
                      <w:highlight w:val="none"/>
                    </w:rPr>
                    <w:t>、</w:t>
                  </w:r>
                  <w:r>
                    <w:rPr>
                      <w:rFonts w:ascii="Times New Roman" w:cs="Times New Roman" w:hAnsi="Times New Roman"/>
                      <w:color w:val="auto"/>
                      <w:sz w:val="21"/>
                      <w:szCs w:val="21"/>
                      <w:highlight w:val="none"/>
                    </w:rPr>
                    <w:t>SO</w:t>
                  </w:r>
                  <w:r>
                    <w:rPr>
                      <w:rFonts w:ascii="Times New Roman" w:cs="Times New Roman" w:hAnsi="Times New Roman"/>
                      <w:color w:val="auto"/>
                      <w:sz w:val="21"/>
                      <w:szCs w:val="21"/>
                      <w:vertAlign w:val="subscript"/>
                      <w:highlight w:val="none"/>
                    </w:rPr>
                    <w:t>2</w:t>
                  </w:r>
                  <w:r>
                    <w:rPr>
                      <w:rFonts w:ascii="Times New Roman" w:cs="Times New Roman" w:hAnsi="Times New Roman"/>
                      <w:color w:val="auto"/>
                      <w:sz w:val="21"/>
                      <w:szCs w:val="21"/>
                      <w:highlight w:val="none"/>
                    </w:rPr>
                    <w:t>：0t/a、NOx：0t/a</w:t>
                  </w:r>
                  <w:r>
                    <w:rPr>
                      <w:rFonts w:ascii="Times New Roman" w:cs="Times New Roman" w:hAnsi="Times New Roman" w:hint="eastAsia"/>
                      <w:color w:val="auto"/>
                      <w:sz w:val="21"/>
                      <w:szCs w:val="21"/>
                      <w:lang w:eastAsia="zh-CN"/>
                      <w:highlight w:val="none"/>
                    </w:rPr>
                    <w:t>、</w:t>
                  </w:r>
                  <w:r>
                    <w:rPr>
                      <w:rFonts w:ascii="Times New Roman" w:cs="Times New Roman" w:hAnsi="Times New Roman" w:hint="eastAsia"/>
                      <w:color w:val="auto"/>
                      <w:sz w:val="21"/>
                      <w:szCs w:val="21"/>
                      <w:lang w:val="en-US" w:eastAsia="zh-CN"/>
                      <w:highlight w:val="none"/>
                    </w:rPr>
                    <w:t>挥发性有机物：0.114t/a</w:t>
                  </w:r>
                  <w:r>
                    <w:rPr>
                      <w:rFonts w:ascii="Times New Roman" w:cs="Times New Roman" w:hAnsi="Times New Roman" w:hint="eastAsia"/>
                      <w:color w:val="auto"/>
                      <w:sz w:val="21"/>
                      <w:szCs w:val="21"/>
                      <w:highlight w:val="none"/>
                    </w:rPr>
                    <w:t>、颗粒物：</w:t>
                  </w:r>
                  <w:r>
                    <w:rPr>
                      <w:rFonts w:ascii="Times New Roman" w:cs="Times New Roman" w:hAnsi="Times New Roman" w:hint="eastAsia"/>
                      <w:color w:val="auto"/>
                      <w:sz w:val="21"/>
                      <w:szCs w:val="21"/>
                      <w:lang w:val="en-US" w:eastAsia="zh-CN"/>
                      <w:highlight w:val="none"/>
                    </w:rPr>
                    <w:t>0.225</w:t>
                  </w:r>
                  <w:r>
                    <w:rPr>
                      <w:rFonts w:ascii="Times New Roman" w:cs="Times New Roman" w:hAnsi="Times New Roman"/>
                      <w:color w:val="auto"/>
                      <w:sz w:val="21"/>
                      <w:szCs w:val="21"/>
                      <w:highlight w:val="none"/>
                    </w:rPr>
                    <w:t>t/a</w:t>
                  </w:r>
                  <w:r>
                    <w:rPr>
                      <w:rFonts w:ascii="Times New Roman" w:cs="Times New Roman" w:hAnsi="Times New Roman" w:hint="eastAsia"/>
                      <w:color w:val="auto"/>
                      <w:sz w:val="21"/>
                      <w:szCs w:val="21"/>
                      <w:highlight w:val="none"/>
                    </w:rPr>
                    <w:t>。</w:t>
                  </w:r>
                </w:p>
              </w:tc>
            </w:tr>
          </w:tbl>
          <w:p>
            <w:pPr>
              <w:keepNext w:val="0"/>
              <w:keepLines w:val="0"/>
              <w:suppressLineNumbers w:val="0"/>
              <w:spacing w:before="0" w:beforeAutospacing="0" w:after="0" w:afterAutospacing="0" w:line="500" w:lineRule="exact"/>
              <w:ind w:left="0" w:right="0" w:firstLineChars="200" w:firstLine="480"/>
              <w:rPr>
                <w:bCs/>
                <w:color w:val="auto"/>
                <w:kern w:val="0"/>
                <w:sz w:val="24"/>
                <w:szCs w:val="20"/>
                <w:highlight w:val="none"/>
              </w:rPr>
            </w:pPr>
            <w:r>
              <w:rPr>
                <w:rFonts w:ascii="Times New Roman" w:cs="Times New Roman" w:hAnsi="Times New Roman"/>
                <w:bCs/>
                <w:color w:val="auto"/>
                <w:kern w:val="0"/>
                <w:sz w:val="24"/>
                <w:szCs w:val="20"/>
                <w:highlight w:val="none"/>
              </w:rPr>
              <w:t>根据分析结果，项目实施后上述各污染因子的总量控制值为：COD：</w:t>
            </w:r>
            <w:r>
              <w:rPr>
                <w:rFonts w:ascii="Times New Roman" w:cs="Times New Roman" w:hAnsi="Times New Roman" w:hint="eastAsia"/>
                <w:bCs/>
                <w:color w:val="auto"/>
                <w:kern w:val="0"/>
                <w:sz w:val="24"/>
                <w:szCs w:val="20"/>
                <w:lang w:val="en-US" w:eastAsia="zh-CN"/>
                <w:highlight w:val="none"/>
              </w:rPr>
              <w:t>0.008</w:t>
            </w:r>
            <w:r>
              <w:rPr>
                <w:rFonts w:ascii="Times New Roman" w:cs="Times New Roman" w:hAnsi="Times New Roman"/>
                <w:bCs/>
                <w:color w:val="auto"/>
                <w:kern w:val="0"/>
                <w:sz w:val="24"/>
                <w:szCs w:val="20"/>
                <w:highlight w:val="none"/>
              </w:rPr>
              <w:t>t/a、氨氮：0t/a</w:t>
            </w:r>
            <w:r>
              <w:rPr>
                <w:rFonts w:ascii="Times New Roman" w:cs="Times New Roman" w:hAnsi="Times New Roman" w:hint="eastAsia"/>
                <w:color w:val="auto"/>
                <w:sz w:val="24"/>
                <w:szCs w:val="20"/>
                <w:highlight w:val="none"/>
              </w:rPr>
              <w:t>、</w:t>
            </w:r>
            <w:r>
              <w:rPr>
                <w:rFonts w:ascii="Times New Roman" w:cs="Times New Roman" w:hAnsi="Times New Roman"/>
                <w:bCs/>
                <w:color w:val="auto"/>
                <w:kern w:val="0"/>
                <w:sz w:val="24"/>
                <w:szCs w:val="20"/>
                <w:highlight w:val="none"/>
              </w:rPr>
              <w:t>SO</w:t>
            </w:r>
            <w:r>
              <w:rPr>
                <w:rFonts w:ascii="Times New Roman" w:cs="Times New Roman" w:hAnsi="Times New Roman"/>
                <w:bCs/>
                <w:color w:val="auto"/>
                <w:kern w:val="0"/>
                <w:sz w:val="24"/>
                <w:szCs w:val="20"/>
                <w:vertAlign w:val="subscript"/>
                <w:highlight w:val="none"/>
              </w:rPr>
              <w:t>2</w:t>
            </w:r>
            <w:r>
              <w:rPr>
                <w:rFonts w:ascii="Times New Roman" w:cs="Times New Roman" w:hAnsi="Times New Roman"/>
                <w:bCs/>
                <w:color w:val="auto"/>
                <w:kern w:val="0"/>
                <w:sz w:val="24"/>
                <w:szCs w:val="20"/>
                <w:highlight w:val="none"/>
              </w:rPr>
              <w:t>：0t/a、NOx：0t/a</w:t>
            </w:r>
            <w:r>
              <w:rPr>
                <w:rFonts w:ascii="Times New Roman" w:cs="Times New Roman" w:hAnsi="Times New Roman" w:hint="eastAsia"/>
                <w:bCs/>
                <w:color w:val="auto"/>
                <w:kern w:val="0"/>
                <w:sz w:val="24"/>
                <w:szCs w:val="20"/>
                <w:highlight w:val="none"/>
              </w:rPr>
              <w:t>、挥发性有机物：</w:t>
            </w:r>
            <w:r>
              <w:rPr>
                <w:rFonts w:ascii="Times New Roman" w:cs="Times New Roman" w:hAnsi="Times New Roman" w:hint="eastAsia"/>
                <w:bCs/>
                <w:color w:val="auto"/>
                <w:kern w:val="0"/>
                <w:sz w:val="24"/>
                <w:szCs w:val="20"/>
                <w:lang w:val="en-US" w:eastAsia="zh-CN"/>
                <w:highlight w:val="none"/>
              </w:rPr>
              <w:t>0.114</w:t>
            </w:r>
            <w:r>
              <w:rPr>
                <w:rFonts w:ascii="Times New Roman" w:cs="Times New Roman" w:hAnsi="Times New Roman" w:hint="eastAsia"/>
                <w:bCs/>
                <w:color w:val="auto"/>
                <w:kern w:val="0"/>
                <w:sz w:val="24"/>
                <w:szCs w:val="20"/>
                <w:highlight w:val="none"/>
              </w:rPr>
              <w:t>t/a</w:t>
            </w:r>
            <w:r>
              <w:rPr>
                <w:rFonts w:ascii="Times New Roman" w:cs="Times New Roman" w:hAnsi="Times New Roman" w:hint="eastAsia"/>
                <w:color w:val="auto"/>
                <w:sz w:val="24"/>
                <w:szCs w:val="20"/>
                <w:highlight w:val="none"/>
              </w:rPr>
              <w:t>、颗粒物：</w:t>
            </w:r>
            <w:r>
              <w:rPr>
                <w:rFonts w:ascii="Times New Roman" w:cs="Times New Roman" w:hAnsi="Times New Roman" w:hint="eastAsia"/>
                <w:color w:val="auto"/>
                <w:sz w:val="24"/>
                <w:szCs w:val="20"/>
                <w:lang w:val="en-US" w:eastAsia="zh-CN"/>
                <w:highlight w:val="none"/>
              </w:rPr>
              <w:t>0.225</w:t>
            </w:r>
            <w:r>
              <w:rPr>
                <w:rFonts w:ascii="Times New Roman" w:cs="Times New Roman" w:hAnsi="Times New Roman"/>
                <w:color w:val="auto"/>
                <w:sz w:val="24"/>
                <w:szCs w:val="20"/>
                <w:highlight w:val="none"/>
              </w:rPr>
              <w:t>t/a</w:t>
            </w:r>
            <w:r>
              <w:rPr>
                <w:rFonts w:ascii="Times New Roman" w:cs="Times New Roman" w:hAnsi="Times New Roman" w:hint="eastAsia"/>
                <w:color w:val="auto"/>
                <w:sz w:val="24"/>
                <w:szCs w:val="20"/>
                <w:highlight w:val="none"/>
              </w:rPr>
              <w:t>。</w:t>
            </w:r>
          </w:p>
          <w:p>
            <w:pPr>
              <w:keepNext w:val="0"/>
              <w:keepLines w:val="0"/>
              <w:suppressLineNumbers w:val="0"/>
              <w:spacing w:before="0" w:beforeAutospacing="0" w:after="0" w:afterAutospacing="0" w:line="500" w:lineRule="exact"/>
              <w:ind w:left="0" w:right="0" w:firstLineChars="200" w:firstLine="480"/>
              <w:rPr>
                <w:color w:val="auto"/>
                <w:sz w:val="24"/>
                <w:szCs w:val="20"/>
                <w:highlight w:val="none"/>
              </w:rPr>
            </w:pPr>
            <w:r>
              <w:rPr>
                <w:rFonts w:ascii="Times New Roman" w:cs="Times New Roman" w:hAnsi="Times New Roman" w:hint="eastAsia"/>
                <w:bCs/>
                <w:color w:val="auto"/>
                <w:kern w:val="0"/>
                <w:sz w:val="24"/>
                <w:szCs w:val="20"/>
                <w:highlight w:val="none"/>
              </w:rPr>
              <w:t>（3）</w:t>
            </w:r>
            <w:r>
              <w:rPr>
                <w:rFonts w:ascii="Times New Roman" w:cs="Times New Roman" w:hAnsi="Times New Roman" w:hint="eastAsia"/>
                <w:color w:val="auto"/>
                <w:sz w:val="24"/>
                <w:szCs w:val="20"/>
                <w:highlight w:val="none"/>
              </w:rPr>
              <w:t>小结</w:t>
            </w:r>
          </w:p>
          <w:p>
            <w:pPr>
              <w:keepNext w:val="0"/>
              <w:keepLines w:val="0"/>
              <w:suppressLineNumbers w:val="0"/>
              <w:spacing w:before="0" w:beforeAutospacing="0" w:after="0" w:afterAutospacing="0" w:line="500" w:lineRule="exact"/>
              <w:ind w:left="0" w:right="0" w:firstLineChars="200" w:firstLine="480"/>
              <w:rPr>
                <w:rFonts w:hint="eastAsia"/>
                <w:color w:val="auto"/>
                <w:sz w:val="24"/>
                <w:szCs w:val="20"/>
                <w:highlight w:val="none"/>
              </w:rPr>
            </w:pPr>
            <w:r>
              <w:rPr>
                <w:rFonts w:ascii="Times New Roman" w:cs="Times New Roman" w:hAnsi="Times New Roman"/>
                <w:color w:val="auto"/>
                <w:sz w:val="24"/>
                <w:szCs w:val="20"/>
                <w:lang w:val="zh-CN"/>
                <w:highlight w:val="none"/>
              </w:rPr>
              <w:t>因此</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highlight w:val="none"/>
              </w:rPr>
              <w:t>项目完成后，</w:t>
            </w:r>
            <w:r>
              <w:rPr>
                <w:rFonts w:ascii="Times New Roman" w:cs="Times New Roman" w:hAnsi="Times New Roman"/>
                <w:color w:val="auto"/>
                <w:sz w:val="24"/>
                <w:szCs w:val="20"/>
                <w:lang w:val="zh-CN"/>
                <w:highlight w:val="none"/>
              </w:rPr>
              <w:t>项目</w:t>
            </w:r>
            <w:r>
              <w:rPr>
                <w:rFonts w:ascii="Times New Roman" w:cs="Times New Roman" w:hAnsi="Times New Roman" w:hint="eastAsia"/>
                <w:color w:val="auto"/>
                <w:sz w:val="24"/>
                <w:szCs w:val="20"/>
                <w:lang w:val="en-US" w:eastAsia="zh-CN"/>
                <w:highlight w:val="none"/>
              </w:rPr>
              <w:t>全厂</w:t>
            </w:r>
            <w:r>
              <w:rPr>
                <w:rFonts w:ascii="Times New Roman" w:cs="Times New Roman" w:hAnsi="Times New Roman"/>
                <w:color w:val="auto"/>
                <w:sz w:val="24"/>
                <w:szCs w:val="20"/>
                <w:lang w:val="zh-CN"/>
                <w:highlight w:val="none"/>
              </w:rPr>
              <w:t>污染物排放总量控制指标为</w:t>
            </w:r>
            <w:r>
              <w:rPr>
                <w:rFonts w:ascii="Times New Roman" w:cs="Times New Roman" w:hAnsi="Times New Roman"/>
                <w:color w:val="auto"/>
                <w:sz w:val="24"/>
                <w:szCs w:val="20"/>
                <w:highlight w:val="none"/>
              </w:rPr>
              <w:t>：</w:t>
            </w:r>
            <w:r>
              <w:rPr>
                <w:rFonts w:ascii="Times New Roman" w:cs="Times New Roman" w:hAnsi="Times New Roman"/>
                <w:bCs/>
                <w:color w:val="auto"/>
                <w:kern w:val="0"/>
                <w:sz w:val="24"/>
                <w:szCs w:val="20"/>
                <w:highlight w:val="none"/>
              </w:rPr>
              <w:t>COD：</w:t>
            </w:r>
            <w:r>
              <w:rPr>
                <w:rFonts w:ascii="Times New Roman" w:cs="Times New Roman" w:hAnsi="Times New Roman" w:hint="eastAsia"/>
                <w:bCs/>
                <w:color w:val="auto"/>
                <w:kern w:val="0"/>
                <w:sz w:val="24"/>
                <w:szCs w:val="20"/>
                <w:lang w:val="en-US" w:eastAsia="zh-CN"/>
                <w:highlight w:val="none"/>
              </w:rPr>
              <w:t>0.008</w:t>
            </w:r>
            <w:r>
              <w:rPr>
                <w:rFonts w:ascii="Times New Roman" w:cs="Times New Roman" w:hAnsi="Times New Roman"/>
                <w:bCs/>
                <w:color w:val="auto"/>
                <w:kern w:val="0"/>
                <w:sz w:val="24"/>
                <w:szCs w:val="20"/>
                <w:highlight w:val="none"/>
              </w:rPr>
              <w:t>t/a、氨氮：0t/a</w:t>
            </w:r>
            <w:r>
              <w:rPr>
                <w:rFonts w:ascii="Times New Roman" w:cs="Times New Roman" w:hAnsi="Times New Roman" w:hint="eastAsia"/>
                <w:color w:val="auto"/>
                <w:sz w:val="24"/>
                <w:szCs w:val="20"/>
                <w:highlight w:val="none"/>
              </w:rPr>
              <w:t>、</w:t>
            </w:r>
            <w:r>
              <w:rPr>
                <w:rFonts w:ascii="Times New Roman" w:cs="Times New Roman" w:hAnsi="Times New Roman"/>
                <w:bCs/>
                <w:color w:val="auto"/>
                <w:kern w:val="0"/>
                <w:sz w:val="24"/>
                <w:szCs w:val="20"/>
                <w:highlight w:val="none"/>
              </w:rPr>
              <w:t>SO</w:t>
            </w:r>
            <w:r>
              <w:rPr>
                <w:rFonts w:ascii="Times New Roman" w:cs="Times New Roman" w:hAnsi="Times New Roman"/>
                <w:bCs/>
                <w:color w:val="auto"/>
                <w:kern w:val="0"/>
                <w:sz w:val="24"/>
                <w:szCs w:val="20"/>
                <w:vertAlign w:val="subscript"/>
                <w:highlight w:val="none"/>
              </w:rPr>
              <w:t>2</w:t>
            </w:r>
            <w:r>
              <w:rPr>
                <w:rFonts w:ascii="Times New Roman" w:cs="Times New Roman" w:hAnsi="Times New Roman"/>
                <w:bCs/>
                <w:color w:val="auto"/>
                <w:kern w:val="0"/>
                <w:sz w:val="24"/>
                <w:szCs w:val="20"/>
                <w:highlight w:val="none"/>
              </w:rPr>
              <w:t>：0t/a、NOx：0t/a</w:t>
            </w:r>
            <w:r>
              <w:rPr>
                <w:rFonts w:ascii="Times New Roman" w:cs="Times New Roman" w:hAnsi="Times New Roman" w:hint="eastAsia"/>
                <w:bCs/>
                <w:color w:val="auto"/>
                <w:kern w:val="0"/>
                <w:sz w:val="24"/>
                <w:szCs w:val="20"/>
                <w:highlight w:val="none"/>
              </w:rPr>
              <w:t>、挥发性有机物：</w:t>
            </w:r>
            <w:r>
              <w:rPr>
                <w:rFonts w:ascii="Times New Roman" w:cs="Times New Roman" w:hAnsi="Times New Roman" w:hint="eastAsia"/>
                <w:bCs/>
                <w:color w:val="auto"/>
                <w:kern w:val="0"/>
                <w:sz w:val="24"/>
                <w:szCs w:val="20"/>
                <w:lang w:val="en-US" w:eastAsia="zh-CN"/>
                <w:highlight w:val="none"/>
              </w:rPr>
              <w:t>0.114</w:t>
            </w:r>
            <w:r>
              <w:rPr>
                <w:rFonts w:ascii="Times New Roman" w:cs="Times New Roman" w:hAnsi="Times New Roman" w:hint="eastAsia"/>
                <w:bCs/>
                <w:color w:val="auto"/>
                <w:kern w:val="0"/>
                <w:sz w:val="24"/>
                <w:szCs w:val="20"/>
                <w:highlight w:val="none"/>
              </w:rPr>
              <w:t>t/a</w:t>
            </w:r>
            <w:r>
              <w:rPr>
                <w:rFonts w:ascii="Times New Roman" w:cs="Times New Roman" w:hAnsi="Times New Roman" w:hint="eastAsia"/>
                <w:color w:val="auto"/>
                <w:sz w:val="24"/>
                <w:szCs w:val="20"/>
                <w:highlight w:val="none"/>
              </w:rPr>
              <w:t>、颗粒物：</w:t>
            </w:r>
            <w:r>
              <w:rPr>
                <w:rFonts w:ascii="Times New Roman" w:cs="Times New Roman" w:hAnsi="Times New Roman" w:hint="eastAsia"/>
                <w:color w:val="auto"/>
                <w:sz w:val="24"/>
                <w:szCs w:val="20"/>
                <w:lang w:val="en-US" w:eastAsia="zh-CN"/>
                <w:highlight w:val="none"/>
              </w:rPr>
              <w:t>0.225</w:t>
            </w:r>
            <w:r>
              <w:rPr>
                <w:rFonts w:ascii="Times New Roman" w:cs="Times New Roman" w:hAnsi="Times New Roman"/>
                <w:color w:val="auto"/>
                <w:sz w:val="24"/>
                <w:szCs w:val="20"/>
                <w:highlight w:val="none"/>
              </w:rPr>
              <w:t>t/a</w:t>
            </w:r>
            <w:r>
              <w:rPr>
                <w:rFonts w:ascii="Times New Roman" w:cs="Times New Roman" w:hAnsi="Times New Roman" w:hint="eastAsia"/>
                <w:color w:val="auto"/>
                <w:sz w:val="24"/>
                <w:szCs w:val="20"/>
                <w:highlight w:val="none"/>
              </w:rPr>
              <w:t>。</w:t>
            </w:r>
          </w:p>
          <w:p>
            <w:pPr>
              <w:keepNext w:val="0"/>
              <w:keepLines w:val="0"/>
              <w:suppressLineNumbers w:val="0"/>
              <w:adjustRightInd w:val="0"/>
              <w:snapToGrid w:val="0"/>
              <w:spacing w:before="0" w:beforeAutospacing="0" w:after="0" w:afterAutospacing="0"/>
              <w:ind w:left="0" w:right="0"/>
              <w:jc w:val="center"/>
              <w:rPr>
                <w:rFonts w:eastAsia="宋体"/>
                <w:b/>
                <w:color w:val="auto"/>
                <w:sz w:val="24"/>
                <w:szCs w:val="20"/>
                <w:lang w:val="en-US" w:eastAsia="zh-CN"/>
                <w:highlight w:val="none"/>
              </w:rPr>
            </w:pPr>
            <w:r>
              <w:rPr>
                <w:rFonts w:ascii="Times New Roman" w:cs="Times New Roman" w:hAnsi="Times New Roman"/>
                <w:b/>
                <w:color w:val="auto"/>
                <w:sz w:val="24"/>
                <w:szCs w:val="20"/>
                <w:lang w:val="zh-CN"/>
                <w:highlight w:val="none"/>
              </w:rPr>
              <w:t>表</w:t>
            </w:r>
            <w:r>
              <w:rPr>
                <w:rFonts w:ascii="Times New Roman" w:cs="Times New Roman" w:hAnsi="Times New Roman"/>
                <w:b/>
                <w:color w:val="auto"/>
                <w:sz w:val="24"/>
                <w:szCs w:val="20"/>
                <w:highlight w:val="none"/>
              </w:rPr>
              <w:t>3</w:t>
            </w:r>
            <w:r>
              <w:rPr>
                <w:rFonts w:ascii="Times New Roman" w:cs="Times New Roman" w:hAnsi="Times New Roman" w:hint="eastAsia"/>
                <w:b/>
                <w:color w:val="auto"/>
                <w:sz w:val="24"/>
                <w:szCs w:val="20"/>
                <w:highlight w:val="none"/>
              </w:rPr>
              <w:t>-</w:t>
            </w:r>
            <w:r>
              <w:rPr>
                <w:rFonts w:ascii="Times New Roman" w:cs="Times New Roman" w:hAnsi="Times New Roman" w:hint="eastAsia"/>
                <w:b/>
                <w:color w:val="auto"/>
                <w:sz w:val="24"/>
                <w:szCs w:val="20"/>
                <w:lang w:val="en-US" w:eastAsia="zh-CN"/>
                <w:highlight w:val="none"/>
              </w:rPr>
              <w:t>9</w:t>
            </w:r>
            <w:r>
              <w:rPr>
                <w:rFonts w:ascii="Times New Roman" w:cs="Times New Roman" w:hAnsi="Times New Roman"/>
                <w:b/>
                <w:color w:val="auto"/>
                <w:sz w:val="24"/>
                <w:szCs w:val="20"/>
                <w:lang w:val="zh-CN"/>
                <w:highlight w:val="none"/>
              </w:rPr>
              <w:t xml:space="preserve"> </w:t>
            </w:r>
            <w:r>
              <w:rPr>
                <w:rFonts w:ascii="Times New Roman" w:cs="Times New Roman" w:hAnsi="Times New Roman"/>
                <w:b/>
                <w:color w:val="auto"/>
                <w:sz w:val="24"/>
                <w:szCs w:val="20"/>
                <w:highlight w:val="none"/>
              </w:rPr>
              <w:t xml:space="preserve"> </w:t>
            </w:r>
            <w:r>
              <w:rPr>
                <w:rFonts w:ascii="Times New Roman" w:cs="Times New Roman" w:hAnsi="Times New Roman"/>
                <w:b/>
                <w:color w:val="auto"/>
                <w:sz w:val="24"/>
                <w:szCs w:val="20"/>
                <w:lang w:val="zh-CN"/>
                <w:highlight w:val="none"/>
              </w:rPr>
              <w:t>总量控制指</w:t>
            </w:r>
            <w:r>
              <w:rPr>
                <w:rFonts w:ascii="Times New Roman" w:cs="Times New Roman" w:hAnsi="Times New Roman" w:hint="eastAsia"/>
                <w:b/>
                <w:color w:val="auto"/>
                <w:sz w:val="24"/>
                <w:szCs w:val="20"/>
                <w:lang w:val="en-US" w:eastAsia="zh-CN"/>
                <w:highlight w:val="none"/>
              </w:rPr>
              <w:t>变化一览表 单位t/a</w:t>
            </w:r>
          </w:p>
          <w:tbl>
            <w:tblPr>
              <w:jc w:val="cente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83"/>
              <w:gridCol w:w="884"/>
              <w:gridCol w:w="1085"/>
              <w:gridCol w:w="886"/>
              <w:gridCol w:w="984"/>
              <w:gridCol w:w="1085"/>
              <w:gridCol w:w="858"/>
              <w:gridCol w:w="979"/>
            </w:tblGrid>
            <w:tr>
              <w:trPr>
                <w:trHeight w:val="369"/>
              </w:trPr>
              <w:tc>
                <w:tcPr>
                  <w:tcW w:w="577"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污染源</w:t>
                  </w:r>
                </w:p>
              </w:tc>
              <w:tc>
                <w:tcPr>
                  <w:tcW w:w="578"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污染物</w:t>
                  </w:r>
                </w:p>
              </w:tc>
              <w:tc>
                <w:tcPr>
                  <w:tcW w:w="709"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现有工程总量控制指标</w:t>
                  </w:r>
                </w:p>
              </w:tc>
              <w:tc>
                <w:tcPr>
                  <w:tcW w:w="579"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现有工程总量确认</w:t>
                  </w:r>
                </w:p>
              </w:tc>
              <w:tc>
                <w:tcPr>
                  <w:tcW w:w="643"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本项目总量控制指标</w:t>
                  </w:r>
                </w:p>
              </w:tc>
              <w:tc>
                <w:tcPr>
                  <w:tcW w:w="709"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以新带老总量</w:t>
                  </w:r>
                </w:p>
              </w:tc>
              <w:tc>
                <w:tcPr>
                  <w:tcW w:w="561"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本项目建成后总量控制指标</w:t>
                  </w:r>
                </w:p>
              </w:tc>
              <w:tc>
                <w:tcPr>
                  <w:tcW w:w="640"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变化量</w:t>
                  </w:r>
                </w:p>
              </w:tc>
            </w:tr>
            <w:tr>
              <w:trPr>
                <w:trHeight w:val="369"/>
              </w:trPr>
              <w:tc>
                <w:tcPr>
                  <w:tcW w:w="577" w:type="pct"/>
                  <w:vMerge w:val="restart"/>
                  <w:shd w:val="clear" w:color="auto" w:fill="auto"/>
                  <w:tcMar>
                    <w:left w:w="28" w:type="dxa"/>
                    <w:right w:w="28" w:type="dxa"/>
                  </w:tcMar>
                  <w:vAlign w:val="center"/>
                </w:tcPr>
                <w:p>
                  <w:pPr>
                    <w:pStyle w:val="101"/>
                    <w:keepNext w:val="0"/>
                    <w:keepLines w:val="0"/>
                    <w:suppressLineNumbers w:val="0"/>
                    <w:spacing w:before="0" w:beforeAutospacing="0" w:after="0" w:afterAutospacing="0" w:line="320" w:lineRule="exact"/>
                    <w:ind w:left="0" w:right="0" w:firstLineChars="0" w:firstLine="0"/>
                    <w:jc w:val="center"/>
                    <w:rPr>
                      <w:rFonts w:ascii="Times New Roman" w:eastAsia="宋体" w:cs="Times New Roman" w:hAnsi="Calibri" w:hint="eastAsia"/>
                      <w:snapToGrid w:val="0"/>
                      <w:color w:val="auto"/>
                      <w:kern w:val="21"/>
                      <w:sz w:val="21"/>
                      <w:szCs w:val="21"/>
                      <w:lang w:val="en-US" w:eastAsia="zh-CN" w:bidi="ar-SA"/>
                      <w:highlight w:val="none"/>
                    </w:rPr>
                  </w:pPr>
                  <w:r>
                    <w:rPr>
                      <w:rFonts w:ascii="Times New Roman" w:cs="Times New Roman" w:hAnsi="Calibri"/>
                      <w:snapToGrid w:val="0"/>
                      <w:color w:val="auto"/>
                      <w:kern w:val="21"/>
                      <w:sz w:val="21"/>
                      <w:szCs w:val="21"/>
                      <w:lang w:val="en-US" w:eastAsia="zh-CN"/>
                      <w:highlight w:val="none"/>
                    </w:rPr>
                    <w:t>废气</w:t>
                  </w:r>
                </w:p>
              </w:tc>
              <w:tc>
                <w:tcPr>
                  <w:tcW w:w="578" w:type="pct"/>
                  <w:tcBorders>
                    <w:left w:val="single" w:sz="4" w:space="0" w:color="auto"/>
                  </w:tcBorders>
                  <w:shd w:val="clear" w:color="auto" w:fill="auto"/>
                  <w:tcMar>
                    <w:left w:w="28" w:type="dxa"/>
                    <w:right w:w="28" w:type="dxa"/>
                  </w:tcMar>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aps w:val="0"/>
                      <w:smallCaps w:val="0"/>
                      <w:color w:val="auto"/>
                      <w:spacing w:val="0"/>
                      <w:kern w:val="0"/>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颗粒物</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w:t>
                  </w:r>
                </w:p>
              </w:tc>
              <w:tc>
                <w:tcPr>
                  <w:tcW w:w="57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w:t>
                  </w:r>
                </w:p>
              </w:tc>
              <w:tc>
                <w:tcPr>
                  <w:tcW w:w="64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0.225</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w:t>
                  </w:r>
                </w:p>
              </w:tc>
              <w:tc>
                <w:tcPr>
                  <w:tcW w:w="561"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0.225</w:t>
                  </w:r>
                </w:p>
              </w:tc>
              <w:tc>
                <w:tcPr>
                  <w:tcW w:w="640"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+0.225</w:t>
                  </w:r>
                </w:p>
              </w:tc>
            </w:tr>
            <w:tr>
              <w:trPr>
                <w:trHeight w:val="90"/>
              </w:trPr>
              <w:tc>
                <w:tcPr>
                  <w:tcW w:w="577" w:type="pct"/>
                  <w:vMerge/>
                  <w:tcMar>
                    <w:left w:w="28" w:type="dxa"/>
                    <w:right w:w="28" w:type="dxa"/>
                  </w:tcMar>
                  <w:vAlign w:val="center"/>
                </w:tcPr>
                <w:p/>
              </w:tc>
              <w:tc>
                <w:tcPr>
                  <w:tcW w:w="578" w:type="pct"/>
                  <w:tcBorders>
                    <w:left w:val="single" w:sz="4" w:space="0" w:color="auto"/>
                  </w:tcBorders>
                  <w:shd w:val="clear" w:color="auto" w:fill="auto"/>
                  <w:tcMar>
                    <w:left w:w="28" w:type="dxa"/>
                    <w:right w:w="28" w:type="dxa"/>
                  </w:tcMar>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非甲烷总烃</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w:t>
                  </w:r>
                </w:p>
              </w:tc>
              <w:tc>
                <w:tcPr>
                  <w:tcW w:w="57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w:t>
                  </w:r>
                </w:p>
              </w:tc>
              <w:tc>
                <w:tcPr>
                  <w:tcW w:w="64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0.114</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w:t>
                  </w:r>
                </w:p>
              </w:tc>
              <w:tc>
                <w:tcPr>
                  <w:tcW w:w="561"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0.114</w:t>
                  </w:r>
                </w:p>
              </w:tc>
              <w:tc>
                <w:tcPr>
                  <w:tcW w:w="640"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+0.114</w:t>
                  </w:r>
                </w:p>
              </w:tc>
            </w:tr>
            <w:tr>
              <w:trPr>
                <w:trHeight w:val="369"/>
              </w:trPr>
              <w:tc>
                <w:tcPr>
                  <w:tcW w:w="577" w:type="pct"/>
                  <w:vMerge w:val="restart"/>
                  <w:shd w:val="clear" w:color="auto" w:fill="auto"/>
                  <w:tcMar>
                    <w:left w:w="28" w:type="dxa"/>
                    <w:right w:w="28" w:type="dxa"/>
                  </w:tcMar>
                  <w:vAlign w:val="center"/>
                </w:tcPr>
                <w:p>
                  <w:pPr>
                    <w:pStyle w:val="101"/>
                    <w:keepNext w:val="0"/>
                    <w:keepLines w:val="0"/>
                    <w:suppressLineNumbers w:val="0"/>
                    <w:spacing w:before="0" w:beforeAutospacing="0" w:after="0" w:afterAutospacing="0" w:line="320" w:lineRule="exact"/>
                    <w:ind w:left="0" w:right="0" w:firstLineChars="0" w:firstLine="0"/>
                    <w:jc w:val="center"/>
                    <w:rPr>
                      <w:rFonts w:ascii="Times New Roman" w:eastAsia="宋体" w:cs="Times New Roman" w:hAnsi="Calibri" w:hint="eastAsia"/>
                      <w:snapToGrid w:val="0"/>
                      <w:color w:val="auto"/>
                      <w:kern w:val="21"/>
                      <w:sz w:val="21"/>
                      <w:szCs w:val="21"/>
                      <w:lang w:val="en-US" w:eastAsia="zh-CN" w:bidi="ar-SA"/>
                      <w:highlight w:val="none"/>
                    </w:rPr>
                  </w:pPr>
                  <w:r>
                    <w:rPr>
                      <w:rFonts w:ascii="Times New Roman" w:cs="Times New Roman" w:hAnsi="Calibri" w:hint="eastAsia"/>
                      <w:snapToGrid w:val="0"/>
                      <w:color w:val="auto"/>
                      <w:kern w:val="21"/>
                      <w:sz w:val="21"/>
                      <w:szCs w:val="21"/>
                      <w:lang w:val="en-US" w:eastAsia="zh-CN"/>
                      <w:highlight w:val="none"/>
                    </w:rPr>
                    <w:t>废水</w:t>
                  </w:r>
                </w:p>
              </w:tc>
              <w:tc>
                <w:tcPr>
                  <w:tcW w:w="578"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化学需氧量</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0.046</w:t>
                  </w:r>
                </w:p>
              </w:tc>
              <w:tc>
                <w:tcPr>
                  <w:tcW w:w="57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0.046</w:t>
                  </w:r>
                </w:p>
              </w:tc>
              <w:tc>
                <w:tcPr>
                  <w:tcW w:w="643"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kern w:val="2"/>
                      <w:sz w:val="21"/>
                      <w:szCs w:val="24"/>
                      <w:lang w:val="en-US" w:eastAsia="zh-CN" w:bidi="ar-SA"/>
                      <w:highlight w:val="none"/>
                    </w:rPr>
                    <w:t>0.008</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0.046</w:t>
                  </w:r>
                </w:p>
              </w:tc>
              <w:tc>
                <w:tcPr>
                  <w:tcW w:w="561"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kern w:val="2"/>
                      <w:sz w:val="21"/>
                      <w:szCs w:val="24"/>
                      <w:lang w:val="en-US" w:eastAsia="zh-CN" w:bidi="ar-SA"/>
                      <w:highlight w:val="none"/>
                    </w:rPr>
                    <w:t>0.008</w:t>
                  </w:r>
                </w:p>
              </w:tc>
              <w:tc>
                <w:tcPr>
                  <w:tcW w:w="640"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-0.038</w:t>
                  </w:r>
                </w:p>
              </w:tc>
            </w:tr>
            <w:tr>
              <w:trPr>
                <w:trHeight w:val="369"/>
              </w:trPr>
              <w:tc>
                <w:tcPr>
                  <w:tcW w:w="577" w:type="pct"/>
                  <w:vMerge/>
                  <w:tcMar>
                    <w:left w:w="28" w:type="dxa"/>
                    <w:right w:w="28" w:type="dxa"/>
                  </w:tcMar>
                  <w:vAlign w:val="center"/>
                </w:tcPr>
                <w:p/>
              </w:tc>
              <w:tc>
                <w:tcPr>
                  <w:tcW w:w="578"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氨氮</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0.005</w:t>
                  </w:r>
                </w:p>
              </w:tc>
              <w:tc>
                <w:tcPr>
                  <w:tcW w:w="57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0.005</w:t>
                  </w:r>
                </w:p>
              </w:tc>
              <w:tc>
                <w:tcPr>
                  <w:tcW w:w="643"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kern w:val="2"/>
                      <w:sz w:val="21"/>
                      <w:szCs w:val="24"/>
                      <w:lang w:val="en-US" w:eastAsia="zh-CN" w:bidi="ar-SA"/>
                      <w:highlight w:val="none"/>
                    </w:rPr>
                    <w:t>0</w:t>
                  </w:r>
                </w:p>
              </w:tc>
              <w:tc>
                <w:tcPr>
                  <w:tcW w:w="70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0.005</w:t>
                  </w:r>
                </w:p>
              </w:tc>
              <w:tc>
                <w:tcPr>
                  <w:tcW w:w="561"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kern w:val="2"/>
                      <w:sz w:val="21"/>
                      <w:szCs w:val="24"/>
                      <w:lang w:val="en-US" w:eastAsia="zh-CN" w:bidi="ar-SA"/>
                      <w:highlight w:val="none"/>
                    </w:rPr>
                    <w:t>0</w:t>
                  </w:r>
                </w:p>
              </w:tc>
              <w:tc>
                <w:tcPr>
                  <w:tcW w:w="640"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kern w:val="2"/>
                      <w:sz w:val="21"/>
                      <w:szCs w:val="21"/>
                      <w:lang w:val="en-US" w:eastAsia="zh-CN" w:bidi="ar-SA"/>
                      <w:highlight w:val="none"/>
                    </w:rPr>
                    <w:t>-0.005</w:t>
                  </w:r>
                </w:p>
              </w:tc>
            </w:tr>
          </w:tbl>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firstLineChars="200" w:firstLine="420"/>
              <w:rPr>
                <w:rFonts w:cs="Times New Roman" w:hint="eastAsia"/>
                <w:caps w:val="0"/>
                <w:smallCaps w:val="0"/>
                <w:color w:val="auto"/>
                <w:spacing w:val="0"/>
                <w:szCs w:val="20"/>
                <w:lang w:val="en-US" w:eastAsia="zh-CN"/>
                <w:highlight w:val="none"/>
              </w:rPr>
            </w:pPr>
          </w:p>
          <w:p>
            <w:pPr>
              <w:keepNext w:val="0"/>
              <w:keepLines w:val="0"/>
              <w:suppressLineNumbers w:val="0"/>
              <w:spacing w:before="0" w:beforeAutospacing="0" w:after="0" w:afterAutospacing="0" w:line="500" w:lineRule="exact"/>
              <w:ind w:left="0" w:right="0"/>
              <w:rPr>
                <w:rFonts w:ascii="Times New Roman" w:eastAsia="宋体" w:cs="Times New Roman" w:hAnsi="Times New Roman" w:hint="eastAsia"/>
                <w:caps w:val="0"/>
                <w:smallCaps w:val="0"/>
                <w:color w:val="auto"/>
                <w:spacing w:val="0"/>
                <w:szCs w:val="20"/>
                <w:lang w:val="en-US" w:eastAsia="zh-CN"/>
                <w:highlight w:val="none"/>
              </w:rPr>
            </w:pPr>
          </w:p>
        </w:tc>
      </w:tr>
    </w:tbl>
    <w:p>
      <w:pPr>
        <w:pStyle w:val="45"/>
        <w:pageBreakBefore/>
        <w:widowControl/>
        <w:jc w:val="center"/>
        <w:outlineLvl w:val="0"/>
        <w:rPr>
          <w:rFonts w:ascii="Times New Roman" w:eastAsia="黑体" w:cs="Times New Roman" w:hAnsi="Times New Roman"/>
          <w:caps w:val="0"/>
          <w:smallCaps w:val="0"/>
          <w:snapToGrid w:val="0"/>
          <w:color w:val="auto"/>
          <w:spacing w:val="0"/>
          <w:sz w:val="30"/>
          <w:szCs w:val="30"/>
          <w:highlight w:val="none"/>
        </w:rPr>
      </w:pPr>
      <w:bookmarkStart w:id="9" w:name="_Toc10441"/>
      <w:r>
        <w:rPr>
          <w:rFonts w:ascii="Times New Roman" w:eastAsia="黑体" w:cs="Times New Roman" w:hAnsi="Times New Roman"/>
          <w:caps w:val="0"/>
          <w:smallCaps w:val="0"/>
          <w:snapToGrid w:val="0"/>
          <w:color w:val="auto"/>
          <w:spacing w:val="0"/>
          <w:sz w:val="30"/>
          <w:szCs w:val="30"/>
          <w:highlight w:val="none"/>
        </w:rPr>
        <w:t>四、主要环境影响和保护措施</w:t>
      </w:r>
      <w:bookmarkEnd w:id="9"/>
    </w:p>
    <w:tbl>
      <w:tblPr>
        <w:jc w:val="left"/>
        <w:tblInd w:w="0" w:type="dx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56"/>
        <w:gridCol w:w="8066"/>
      </w:tblGrid>
      <w:tr>
        <w:tc>
          <w:tcPr>
            <w:tcW w:w="267" w:type="pct"/>
            <w:vAlign w:val="center"/>
          </w:tcPr>
          <w:p>
            <w:pPr>
              <w:pStyle w:val="45"/>
              <w:keepNext w:val="0"/>
              <w:keepLines w:val="0"/>
              <w:suppressLineNumbers w:val="0"/>
              <w:adjustRightInd w:val="0"/>
              <w:snapToGrid w:val="0"/>
              <w:spacing w:before="0" w:beforeAutospacing="0" w:after="0" w:afterAutospacing="0"/>
              <w:ind w:left="0" w:right="0"/>
              <w:jc w:val="both"/>
              <w:rPr>
                <w:rFonts w:ascii="Times New Roman" w:eastAsia="宋体" w:cs="Times New Roman" w:hAnsi="Times New Roman"/>
                <w:caps w:val="0"/>
                <w:smallCaps w:val="0"/>
                <w:color w:val="auto"/>
                <w:spacing w:val="0"/>
                <w:kern w:val="2"/>
                <w:szCs w:val="21"/>
                <w:highlight w:val="none"/>
              </w:rPr>
            </w:pPr>
            <w:r>
              <w:rPr>
                <w:rFonts w:ascii="Times New Roman" w:eastAsia="宋体" w:cs="Times New Roman" w:hAnsi="Times New Roman"/>
                <w:caps w:val="0"/>
                <w:smallCaps w:val="0"/>
                <w:color w:val="auto"/>
                <w:spacing w:val="0"/>
                <w:kern w:val="2"/>
                <w:sz w:val="24"/>
                <w:szCs w:val="21"/>
                <w:highlight w:val="none"/>
              </w:rPr>
              <w:t>施工</w:t>
            </w:r>
          </w:p>
          <w:p>
            <w:pPr>
              <w:pStyle w:val="45"/>
              <w:keepNext w:val="0"/>
              <w:keepLines w:val="0"/>
              <w:suppressLineNumbers w:val="0"/>
              <w:adjustRightInd w:val="0"/>
              <w:snapToGrid w:val="0"/>
              <w:spacing w:before="0" w:beforeAutospacing="0" w:after="0" w:afterAutospacing="0"/>
              <w:ind w:left="0" w:right="0"/>
              <w:jc w:val="both"/>
              <w:rPr>
                <w:rFonts w:ascii="Times New Roman" w:eastAsia="宋体" w:cs="Times New Roman" w:hAnsi="Times New Roman"/>
                <w:caps w:val="0"/>
                <w:smallCaps w:val="0"/>
                <w:color w:val="auto"/>
                <w:spacing w:val="0"/>
                <w:kern w:val="2"/>
                <w:szCs w:val="21"/>
                <w:highlight w:val="none"/>
              </w:rPr>
            </w:pPr>
            <w:r>
              <w:rPr>
                <w:rFonts w:ascii="Times New Roman" w:eastAsia="宋体" w:cs="Times New Roman" w:hAnsi="Times New Roman"/>
                <w:caps w:val="0"/>
                <w:smallCaps w:val="0"/>
                <w:color w:val="auto"/>
                <w:spacing w:val="0"/>
                <w:kern w:val="2"/>
                <w:sz w:val="24"/>
                <w:szCs w:val="21"/>
                <w:highlight w:val="none"/>
              </w:rPr>
              <w:t>期环</w:t>
            </w:r>
          </w:p>
          <w:p>
            <w:pPr>
              <w:pStyle w:val="45"/>
              <w:keepNext w:val="0"/>
              <w:keepLines w:val="0"/>
              <w:suppressLineNumbers w:val="0"/>
              <w:adjustRightInd w:val="0"/>
              <w:snapToGrid w:val="0"/>
              <w:spacing w:before="0" w:beforeAutospacing="0" w:after="0" w:afterAutospacing="0"/>
              <w:ind w:left="0" w:right="0"/>
              <w:jc w:val="both"/>
              <w:rPr>
                <w:rFonts w:ascii="Times New Roman" w:eastAsia="宋体" w:cs="Times New Roman" w:hAnsi="Times New Roman"/>
                <w:caps w:val="0"/>
                <w:smallCaps w:val="0"/>
                <w:color w:val="auto"/>
                <w:spacing w:val="0"/>
                <w:kern w:val="2"/>
                <w:szCs w:val="21"/>
                <w:highlight w:val="none"/>
              </w:rPr>
            </w:pPr>
            <w:r>
              <w:rPr>
                <w:rFonts w:ascii="Times New Roman" w:eastAsia="宋体" w:cs="Times New Roman" w:hAnsi="Times New Roman"/>
                <w:caps w:val="0"/>
                <w:smallCaps w:val="0"/>
                <w:color w:val="auto"/>
                <w:spacing w:val="0"/>
                <w:kern w:val="2"/>
                <w:sz w:val="24"/>
                <w:szCs w:val="21"/>
                <w:highlight w:val="none"/>
              </w:rPr>
              <w:t>境保</w:t>
            </w:r>
          </w:p>
          <w:p>
            <w:pPr>
              <w:pStyle w:val="45"/>
              <w:keepNext w:val="0"/>
              <w:keepLines w:val="0"/>
              <w:suppressLineNumbers w:val="0"/>
              <w:adjustRightInd w:val="0"/>
              <w:snapToGrid w:val="0"/>
              <w:spacing w:before="0" w:beforeAutospacing="0" w:after="0" w:afterAutospacing="0"/>
              <w:ind w:left="0" w:right="0"/>
              <w:jc w:val="both"/>
              <w:rPr>
                <w:rFonts w:ascii="Times New Roman" w:eastAsia="宋体" w:cs="Times New Roman" w:hAnsi="Times New Roman"/>
                <w:caps w:val="0"/>
                <w:smallCaps w:val="0"/>
                <w:color w:val="auto"/>
                <w:spacing w:val="0"/>
                <w:kern w:val="2"/>
                <w:szCs w:val="21"/>
                <w:highlight w:val="none"/>
              </w:rPr>
            </w:pPr>
            <w:r>
              <w:rPr>
                <w:rFonts w:ascii="Times New Roman" w:eastAsia="宋体" w:cs="Times New Roman" w:hAnsi="Times New Roman"/>
                <w:caps w:val="0"/>
                <w:smallCaps w:val="0"/>
                <w:color w:val="auto"/>
                <w:spacing w:val="0"/>
                <w:kern w:val="2"/>
                <w:sz w:val="24"/>
                <w:szCs w:val="21"/>
                <w:highlight w:val="none"/>
              </w:rPr>
              <w:t>护措施</w:t>
            </w:r>
          </w:p>
        </w:tc>
        <w:tc>
          <w:tcPr>
            <w:tcW w:w="4732" w:type="pct"/>
          </w:tcPr>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1、施工期大气环境影响和保护措施</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lang w:val="en-US" w:eastAsia="zh-CN"/>
                <w:highlight w:val="none"/>
              </w:rPr>
              <w:t>项目利用现有厂房，施工期主要为</w:t>
            </w:r>
            <w:r>
              <w:rPr>
                <w:rFonts w:ascii="Times New Roman" w:cs="Times New Roman" w:hAnsi="Times New Roman" w:hint="eastAsia"/>
                <w:caps w:val="0"/>
                <w:smallCaps w:val="0"/>
                <w:color w:val="auto"/>
                <w:spacing w:val="0"/>
                <w:sz w:val="24"/>
                <w:szCs w:val="20"/>
                <w:lang w:val="en-US" w:eastAsia="zh-CN"/>
                <w:highlight w:val="none"/>
              </w:rPr>
              <w:t>厂房装修及</w:t>
            </w:r>
            <w:r>
              <w:rPr>
                <w:rFonts w:ascii="Times New Roman" w:eastAsia="宋体" w:cs="Times New Roman" w:hAnsi="Times New Roman"/>
                <w:caps w:val="0"/>
                <w:smallCaps w:val="0"/>
                <w:color w:val="auto"/>
                <w:spacing w:val="0"/>
                <w:sz w:val="24"/>
                <w:szCs w:val="20"/>
                <w:lang w:val="en-US" w:eastAsia="zh-CN"/>
                <w:highlight w:val="none"/>
              </w:rPr>
              <w:t>设备安装</w:t>
            </w:r>
            <w:r>
              <w:rPr>
                <w:rFonts w:ascii="Times New Roman" w:cs="Times New Roman" w:hAnsi="Times New Roman" w:hint="eastAsia"/>
                <w:caps w:val="0"/>
                <w:smallCaps w:val="0"/>
                <w:color w:val="auto"/>
                <w:spacing w:val="0"/>
                <w:sz w:val="24"/>
                <w:szCs w:val="20"/>
                <w:lang w:val="en-US" w:eastAsia="zh-CN"/>
                <w:highlight w:val="none"/>
              </w:rPr>
              <w:t>、拆除，无废气产生</w:t>
            </w:r>
            <w:r>
              <w:rPr>
                <w:rFonts w:ascii="Times New Roman" w:eastAsia="宋体" w:cs="Times New Roman" w:hAnsi="Times New Roman"/>
                <w:caps w:val="0"/>
                <w:smallCaps w:val="0"/>
                <w:color w:val="auto"/>
                <w:spacing w:val="0"/>
                <w:sz w:val="24"/>
                <w:szCs w:val="20"/>
                <w:highlight w:val="none"/>
              </w:rPr>
              <w:t>。</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2、施工期噪声环境影响和保护措施</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施工期产生的噪声源主要为</w:t>
            </w:r>
            <w:r>
              <w:rPr>
                <w:rFonts w:ascii="Times New Roman" w:cs="Times New Roman" w:hAnsi="Times New Roman"/>
                <w:caps w:val="0"/>
                <w:smallCaps w:val="0"/>
                <w:color w:val="auto"/>
                <w:spacing w:val="0"/>
                <w:sz w:val="24"/>
                <w:szCs w:val="20"/>
                <w:lang w:val="en-US" w:eastAsia="zh-CN"/>
                <w:highlight w:val="none"/>
              </w:rPr>
              <w:t>设备</w:t>
            </w:r>
            <w:r>
              <w:rPr>
                <w:rFonts w:ascii="Times New Roman" w:eastAsia="宋体" w:cs="Times New Roman" w:hAnsi="Times New Roman"/>
                <w:caps w:val="0"/>
                <w:smallCaps w:val="0"/>
                <w:color w:val="auto"/>
                <w:spacing w:val="0"/>
                <w:sz w:val="24"/>
                <w:szCs w:val="20"/>
                <w:highlight w:val="none"/>
              </w:rPr>
              <w:t>运输车辆等机械产生的噪声，其特点是间歇或阵发性的，并具备流动性的特征。为减少施工噪声对敏感点的影响，结合施工进展，采取如下防治措施：</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（1）施工单位应合理安排施工时间，做到文明施工，除工程必需外，严禁在中午12</w:t>
            </w:r>
            <w:r>
              <w:rPr>
                <w:rFonts w:ascii="Times New Roman" w:cs="Times New Roman" w:hAnsi="Times New Roman" w:hint="eastAsia"/>
                <w:caps w:val="0"/>
                <w:smallCaps w:val="0"/>
                <w:color w:val="auto"/>
                <w:spacing w:val="0"/>
                <w:sz w:val="24"/>
                <w:szCs w:val="20"/>
                <w:lang w:eastAsia="zh-CN"/>
                <w:highlight w:val="none"/>
              </w:rPr>
              <w:t>：</w:t>
            </w:r>
            <w:r>
              <w:rPr>
                <w:rFonts w:ascii="Times New Roman" w:eastAsia="宋体" w:cs="Times New Roman" w:hAnsi="Times New Roman"/>
                <w:caps w:val="0"/>
                <w:smallCaps w:val="0"/>
                <w:color w:val="auto"/>
                <w:spacing w:val="0"/>
                <w:sz w:val="24"/>
                <w:szCs w:val="20"/>
                <w:highlight w:val="none"/>
              </w:rPr>
              <w:t>00~14</w:t>
            </w:r>
            <w:r>
              <w:rPr>
                <w:rFonts w:ascii="Times New Roman" w:cs="Times New Roman" w:hAnsi="Times New Roman" w:hint="eastAsia"/>
                <w:caps w:val="0"/>
                <w:smallCaps w:val="0"/>
                <w:color w:val="auto"/>
                <w:spacing w:val="0"/>
                <w:sz w:val="24"/>
                <w:szCs w:val="20"/>
                <w:lang w:eastAsia="zh-CN"/>
                <w:highlight w:val="none"/>
              </w:rPr>
              <w:t>：</w:t>
            </w:r>
            <w:r>
              <w:rPr>
                <w:rFonts w:ascii="Times New Roman" w:eastAsia="宋体" w:cs="Times New Roman" w:hAnsi="Times New Roman"/>
                <w:caps w:val="0"/>
                <w:smallCaps w:val="0"/>
                <w:color w:val="auto"/>
                <w:spacing w:val="0"/>
                <w:sz w:val="24"/>
                <w:szCs w:val="20"/>
                <w:highlight w:val="none"/>
              </w:rPr>
              <w:t>00、夜间22</w:t>
            </w:r>
            <w:r>
              <w:rPr>
                <w:rFonts w:ascii="Times New Roman" w:cs="Times New Roman" w:hAnsi="Times New Roman" w:hint="eastAsia"/>
                <w:caps w:val="0"/>
                <w:smallCaps w:val="0"/>
                <w:color w:val="auto"/>
                <w:spacing w:val="0"/>
                <w:sz w:val="24"/>
                <w:szCs w:val="20"/>
                <w:lang w:eastAsia="zh-CN"/>
                <w:highlight w:val="none"/>
              </w:rPr>
              <w:t>：</w:t>
            </w:r>
            <w:r>
              <w:rPr>
                <w:rFonts w:ascii="Times New Roman" w:eastAsia="宋体" w:cs="Times New Roman" w:hAnsi="Times New Roman"/>
                <w:caps w:val="0"/>
                <w:smallCaps w:val="0"/>
                <w:color w:val="auto"/>
                <w:spacing w:val="0"/>
                <w:sz w:val="24"/>
                <w:szCs w:val="20"/>
                <w:highlight w:val="none"/>
              </w:rPr>
              <w:t>00~6</w:t>
            </w:r>
            <w:r>
              <w:rPr>
                <w:rFonts w:ascii="Times New Roman" w:cs="Times New Roman" w:hAnsi="Times New Roman" w:hint="eastAsia"/>
                <w:caps w:val="0"/>
                <w:smallCaps w:val="0"/>
                <w:color w:val="auto"/>
                <w:spacing w:val="0"/>
                <w:sz w:val="24"/>
                <w:szCs w:val="20"/>
                <w:lang w:eastAsia="zh-CN"/>
                <w:highlight w:val="none"/>
              </w:rPr>
              <w:t>：</w:t>
            </w:r>
            <w:r>
              <w:rPr>
                <w:rFonts w:ascii="Times New Roman" w:eastAsia="宋体" w:cs="Times New Roman" w:hAnsi="Times New Roman"/>
                <w:caps w:val="0"/>
                <w:smallCaps w:val="0"/>
                <w:color w:val="auto"/>
                <w:spacing w:val="0"/>
                <w:sz w:val="24"/>
                <w:szCs w:val="20"/>
                <w:highlight w:val="none"/>
              </w:rPr>
              <w:t>00期间进行施工；</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（2）项目施工布置时将噪声源强较高的施工设备远离周边敏感点；</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（3）运输车辆要选择合适的时间及路线进行运输，尽量避开居民点和环境敏感点，车辆进出现场时应减速、禁鸣；</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（4）</w:t>
            </w:r>
            <w:r>
              <w:rPr>
                <w:rFonts w:ascii="Times New Roman" w:eastAsia="宋体" w:cs="Times New Roman" w:hAnsi="Times New Roman"/>
                <w:caps w:val="0"/>
                <w:smallCaps w:val="0"/>
                <w:color w:val="auto"/>
                <w:spacing w:val="0"/>
                <w:sz w:val="24"/>
                <w:szCs w:val="20"/>
                <w:lang w:val="en-US" w:eastAsia="zh-CN"/>
                <w:highlight w:val="none"/>
              </w:rPr>
              <w:t>项目在现有厂区内建设，厂区设有围墙，符合围挡的要求</w:t>
            </w:r>
            <w:r>
              <w:rPr>
                <w:rFonts w:ascii="Times New Roman" w:eastAsia="宋体" w:cs="Times New Roman" w:hAnsi="Times New Roman"/>
                <w:caps w:val="0"/>
                <w:smallCaps w:val="0"/>
                <w:color w:val="auto"/>
                <w:spacing w:val="0"/>
                <w:sz w:val="24"/>
                <w:szCs w:val="20"/>
                <w:highlight w:val="none"/>
              </w:rPr>
              <w:t>。</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通过采取以上措施，施工噪声对周边敏感点影响程度较小</w:t>
            </w:r>
            <w:r>
              <w:rPr>
                <w:rFonts w:ascii="Times New Roman" w:eastAsia="宋体" w:cs="Times New Roman" w:hAnsi="Times New Roman"/>
                <w:caps w:val="0"/>
                <w:smallCaps w:val="0"/>
                <w:color w:val="auto"/>
                <w:spacing w:val="0"/>
                <w:sz w:val="24"/>
                <w:szCs w:val="20"/>
                <w:lang w:eastAsia="zh-CN"/>
                <w:highlight w:val="none"/>
              </w:rPr>
              <w:t>，</w:t>
            </w:r>
            <w:r>
              <w:rPr>
                <w:rFonts w:ascii="Times New Roman" w:eastAsia="宋体" w:cs="Times New Roman" w:hAnsi="Times New Roman"/>
                <w:caps w:val="0"/>
                <w:smallCaps w:val="0"/>
                <w:color w:val="auto"/>
                <w:spacing w:val="0"/>
                <w:sz w:val="24"/>
                <w:szCs w:val="20"/>
                <w:lang w:val="en-US" w:eastAsia="zh-CN"/>
                <w:highlight w:val="none"/>
              </w:rPr>
              <w:t>满足《建筑施工场界环境噪声排放标准》(GB12523-2011)标准的要求</w:t>
            </w:r>
            <w:r>
              <w:rPr>
                <w:rFonts w:ascii="Times New Roman" w:eastAsia="宋体" w:cs="Times New Roman" w:hAnsi="Times New Roman"/>
                <w:caps w:val="0"/>
                <w:smallCaps w:val="0"/>
                <w:color w:val="auto"/>
                <w:spacing w:val="0"/>
                <w:sz w:val="24"/>
                <w:szCs w:val="20"/>
                <w:highlight w:val="none"/>
              </w:rPr>
              <w:t>。</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3、施工期水环境影响分析</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4"/>
                <w:szCs w:val="20"/>
                <w:highlight w:val="none"/>
              </w:rPr>
              <w:t>项目施工期废水主要为施工人员生活污水和施工废水。施工废水经临时沉淀池沉淀后全部用于厂区泼洒抑尘，施工人员生活污水</w:t>
            </w:r>
            <w:r>
              <w:rPr>
                <w:rFonts w:ascii="Times New Roman" w:cs="Times New Roman" w:hAnsi="Times New Roman" w:hint="eastAsia"/>
                <w:caps w:val="0"/>
                <w:smallCaps w:val="0"/>
                <w:color w:val="auto"/>
                <w:spacing w:val="0"/>
                <w:sz w:val="24"/>
                <w:szCs w:val="20"/>
                <w:lang w:val="en-US" w:eastAsia="zh-CN"/>
                <w:highlight w:val="none"/>
              </w:rPr>
              <w:t>依托现有</w:t>
            </w:r>
            <w:r>
              <w:rPr>
                <w:rFonts w:ascii="Times New Roman" w:cs="Times New Roman" w:hAnsi="Times New Roman" w:hint="eastAsia"/>
                <w:caps w:val="0"/>
                <w:smallCaps w:val="0"/>
                <w:color w:val="auto"/>
                <w:spacing w:val="0"/>
                <w:sz w:val="24"/>
                <w:szCs w:val="20"/>
                <w:lang w:eastAsia="zh-CN"/>
                <w:highlight w:val="none"/>
              </w:rPr>
              <w:t>集成式生物化粪池处理后经园区污水管网排入绿源污水处理有限公司进一步处理</w:t>
            </w:r>
            <w:r>
              <w:rPr>
                <w:rFonts w:ascii="Times New Roman" w:eastAsia="宋体" w:cs="Times New Roman" w:hAnsi="Times New Roman"/>
                <w:caps w:val="0"/>
                <w:smallCaps w:val="0"/>
                <w:color w:val="auto"/>
                <w:spacing w:val="0"/>
                <w:sz w:val="24"/>
                <w:szCs w:val="20"/>
                <w:highlight w:val="none"/>
              </w:rPr>
              <w:t>，不会对当地水环境产生影响。</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4、施工期固废环境影响和保护措施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ascii="Times New Roman" w:eastAsia="宋体" w:cs="Times New Roman" w:hAnsi="Times New Roman"/>
                <w:caps w:val="0"/>
                <w:smallCaps w:val="0"/>
                <w:color w:val="auto"/>
                <w:spacing w:val="0"/>
                <w:sz w:val="24"/>
                <w:szCs w:val="24"/>
                <w:highlight w:val="none"/>
              </w:rPr>
            </w:pPr>
            <w:r>
              <w:rPr>
                <w:rFonts w:ascii="Times New Roman" w:eastAsia="宋体" w:cs="Times New Roman" w:hAnsi="Times New Roman"/>
                <w:caps w:val="0"/>
                <w:smallCaps w:val="0"/>
                <w:color w:val="auto"/>
                <w:spacing w:val="0"/>
                <w:sz w:val="24"/>
                <w:szCs w:val="24"/>
                <w:highlight w:val="none"/>
              </w:rPr>
              <w:t>施工期固体废弃物主要是设备安装过程中产生的设备包装物</w:t>
            </w:r>
            <w:r>
              <w:rPr>
                <w:rFonts w:ascii="Times New Roman" w:eastAsia="宋体" w:cs="Times New Roman" w:hAnsi="Times New Roman"/>
                <w:caps w:val="0"/>
                <w:smallCaps w:val="0"/>
                <w:color w:val="auto"/>
                <w:spacing w:val="0"/>
                <w:sz w:val="24"/>
                <w:szCs w:val="24"/>
                <w:lang w:eastAsia="zh-CN"/>
                <w:highlight w:val="none"/>
              </w:rPr>
              <w:t>、</w:t>
            </w:r>
            <w:r>
              <w:rPr>
                <w:rFonts w:ascii="Times New Roman" w:eastAsia="宋体" w:cs="Times New Roman" w:hAnsi="Times New Roman"/>
                <w:caps w:val="0"/>
                <w:smallCaps w:val="0"/>
                <w:color w:val="auto"/>
                <w:spacing w:val="0"/>
                <w:sz w:val="24"/>
                <w:szCs w:val="24"/>
                <w:highlight w:val="none"/>
              </w:rPr>
              <w:t>施工人员的生活垃圾，均属一般固体废物。</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ascii="Times New Roman" w:eastAsia="宋体" w:cs="Times New Roman" w:hAnsi="Times New Roman"/>
                <w:caps w:val="0"/>
                <w:smallCaps w:val="0"/>
                <w:color w:val="auto"/>
                <w:spacing w:val="0"/>
                <w:sz w:val="24"/>
                <w:szCs w:val="24"/>
                <w:highlight w:val="none"/>
              </w:rPr>
            </w:pPr>
            <w:r>
              <w:rPr>
                <w:rFonts w:ascii="Times New Roman" w:eastAsia="宋体" w:cs="Times New Roman" w:hAnsi="Times New Roman"/>
                <w:caps w:val="0"/>
                <w:smallCaps w:val="0"/>
                <w:color w:val="auto"/>
                <w:spacing w:val="0"/>
                <w:sz w:val="24"/>
                <w:szCs w:val="24"/>
                <w:highlight w:val="none"/>
              </w:rPr>
              <w:t>上述固体废物应及时收集，不能随意抛弃、转移和扩散，设备安装过程中产生的设备包装物；</w:t>
            </w:r>
            <w:r>
              <w:rPr>
                <w:rFonts w:ascii="Times New Roman" w:eastAsia="宋体" w:cs="Times New Roman" w:hAnsi="Times New Roman"/>
                <w:caps w:val="0"/>
                <w:smallCaps w:val="0"/>
                <w:color w:val="auto"/>
                <w:spacing w:val="0"/>
                <w:sz w:val="24"/>
                <w:szCs w:val="24"/>
                <w:lang w:eastAsia="zh-CN"/>
                <w:highlight w:val="none"/>
              </w:rPr>
              <w:t>生活垃圾由环卫部门统一处理</w:t>
            </w:r>
            <w:r>
              <w:rPr>
                <w:rFonts w:ascii="Times New Roman" w:eastAsia="宋体" w:cs="Times New Roman" w:hAnsi="Times New Roman"/>
                <w:caps w:val="0"/>
                <w:smallCaps w:val="0"/>
                <w:color w:val="auto"/>
                <w:spacing w:val="0"/>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480"/>
              <w:jc w:val="left"/>
              <w:textAlignment w:val="auto"/>
              <w:rPr>
                <w:rFonts w:ascii="Times New Roman" w:eastAsia="宋体" w:cs="Times New Roman" w:hAnsi="Times New Roman"/>
                <w:caps w:val="0"/>
                <w:smallCaps w:val="0"/>
                <w:snapToGrid w:val="0"/>
                <w:color w:val="auto"/>
                <w:spacing w:val="0"/>
                <w:kern w:val="2"/>
                <w:sz w:val="24"/>
                <w:szCs w:val="24"/>
                <w:lang w:val="en-US" w:eastAsia="zh-CN" w:bidi="ar-SA"/>
                <w:highlight w:val="none"/>
              </w:rPr>
            </w:pPr>
            <w:r>
              <w:rPr>
                <w:rFonts w:ascii="Times New Roman" w:eastAsia="宋体" w:cs="Times New Roman" w:hAnsi="Times New Roman"/>
                <w:caps w:val="0"/>
                <w:smallCaps w:val="0"/>
                <w:color w:val="auto"/>
                <w:spacing w:val="0"/>
                <w:sz w:val="24"/>
                <w:szCs w:val="24"/>
                <w:highlight w:val="none"/>
              </w:rPr>
              <w:t>采取以上措施后，施工期固废可得到妥善处置，对周围环境影响较小</w:t>
            </w:r>
            <w:r>
              <w:rPr>
                <w:rFonts w:ascii="Times New Roman" w:eastAsia="宋体" w:cs="Times New Roman" w:hAnsi="Times New Roman"/>
                <w:caps w:val="0"/>
                <w:smallCaps w:val="0"/>
                <w:snapToGrid w:val="0"/>
                <w:color w:val="auto"/>
                <w:spacing w:val="0"/>
                <w:kern w:val="2"/>
                <w:sz w:val="24"/>
                <w:szCs w:val="24"/>
                <w:lang w:val="en-US" w:eastAsia="zh-CN" w:bidi="ar-SA"/>
                <w:highlight w:val="none"/>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20" w:lineRule="exact"/>
              <w:ind w:left="0" w:right="0" w:firstLineChars="200" w:firstLine="480"/>
              <w:jc w:val="left"/>
              <w:textAlignment w:val="auto"/>
              <w:rPr>
                <w:rFonts w:ascii="Times New Roman" w:eastAsia="宋体" w:cs="Times New Roman" w:hAnsi="Times New Roman"/>
                <w:b/>
                <w:bCs/>
                <w:caps w:val="0"/>
                <w:smallCaps w:val="0"/>
                <w:color w:val="auto"/>
                <w:spacing w:val="0"/>
                <w:kern w:val="0"/>
                <w:sz w:val="24"/>
                <w:szCs w:val="20"/>
                <w:highlight w:val="none"/>
              </w:rPr>
            </w:pPr>
            <w:r>
              <w:rPr>
                <w:rFonts w:ascii="Times New Roman" w:eastAsia="宋体" w:cs="Times New Roman" w:hAnsi="Times New Roman"/>
                <w:b/>
                <w:bCs/>
                <w:caps w:val="0"/>
                <w:smallCaps w:val="0"/>
                <w:color w:val="auto"/>
                <w:spacing w:val="0"/>
                <w:kern w:val="0"/>
                <w:sz w:val="24"/>
                <w:szCs w:val="20"/>
                <w:highlight w:val="none"/>
              </w:rPr>
              <w:t>5、生态影响防治措施</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firstLineChars="200" w:firstLine="480"/>
              <w:jc w:val="left"/>
              <w:textAlignment w:val="auto"/>
              <w:rPr>
                <w:rFonts w:ascii="Times New Roman" w:eastAsia="宋体" w:cs="Times New Roman" w:hAnsi="Times New Roman"/>
                <w:caps w:val="0"/>
                <w:smallCaps w:val="0"/>
                <w:color w:val="auto"/>
                <w:spacing w:val="0"/>
                <w:sz w:val="24"/>
                <w:szCs w:val="20"/>
                <w:highlight w:val="none"/>
              </w:rPr>
            </w:pPr>
            <w:r>
              <w:rPr>
                <w:rFonts w:ascii="Times New Roman" w:eastAsia="宋体" w:cs="Times New Roman" w:hAnsi="Times New Roman"/>
                <w:caps w:val="0"/>
                <w:smallCaps w:val="0"/>
                <w:color w:val="auto"/>
                <w:spacing w:val="0"/>
                <w:sz w:val="24"/>
                <w:szCs w:val="20"/>
                <w:lang w:val="en-US" w:eastAsia="zh-CN"/>
                <w:highlight w:val="none"/>
              </w:rPr>
              <w:t>本项目位于</w:t>
            </w:r>
            <w:r>
              <w:rPr>
                <w:rFonts w:ascii="Times New Roman" w:cs="Times New Roman" w:hAnsi="Times New Roman" w:hint="eastAsia"/>
                <w:caps w:val="0"/>
                <w:smallCaps w:val="0"/>
                <w:color w:val="auto"/>
                <w:spacing w:val="0"/>
                <w:sz w:val="24"/>
                <w:szCs w:val="20"/>
                <w:lang w:val="en-US" w:eastAsia="zh-CN"/>
                <w:highlight w:val="none"/>
              </w:rPr>
              <w:t>河北省石家庄市栾城区窦妪村装备制造产业园区奥翔街6-1号（院内3号房）</w:t>
            </w:r>
            <w:r>
              <w:rPr>
                <w:rFonts w:ascii="Times New Roman" w:eastAsia="宋体" w:cs="Times New Roman" w:hAnsi="Times New Roman"/>
                <w:caps w:val="0"/>
                <w:smallCaps w:val="0"/>
                <w:color w:val="auto"/>
                <w:spacing w:val="0"/>
                <w:sz w:val="24"/>
                <w:szCs w:val="20"/>
                <w:lang w:val="en-US" w:eastAsia="zh-CN"/>
                <w:highlight w:val="none"/>
              </w:rPr>
              <w:t>，周围无生态保护目标</w:t>
            </w:r>
            <w:r>
              <w:rPr>
                <w:rFonts w:ascii="Times New Roman" w:eastAsia="宋体" w:cs="Times New Roman" w:hAnsi="Times New Roman"/>
                <w:caps w:val="0"/>
                <w:smallCaps w:val="0"/>
                <w:color w:val="auto"/>
                <w:spacing w:val="0"/>
                <w:sz w:val="24"/>
                <w:szCs w:val="20"/>
                <w:highlight w:val="none"/>
              </w:rPr>
              <w:t>。</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20" w:lineRule="exact"/>
              <w:ind w:left="0" w:right="0"/>
              <w:jc w:val="both"/>
              <w:textAlignment w:val="auto"/>
              <w:rPr>
                <w:rFonts w:ascii="Times New Roman" w:eastAsia="宋体" w:cs="Times New Roman" w:hAnsi="Times New Roman" w:hint="eastAsia"/>
                <w:caps w:val="0"/>
                <w:smallCaps w:val="0"/>
                <w:color w:val="auto"/>
                <w:spacing w:val="0"/>
                <w:lang w:eastAsia="zh-CN"/>
                <w:highlight w:val="none"/>
              </w:rPr>
            </w:pPr>
            <w:r>
              <w:rPr>
                <w:rFonts w:ascii="Times New Roman" w:eastAsia="宋体" w:cs="Times New Roman" w:hAnsi="Times New Roman"/>
                <w:caps w:val="0"/>
                <w:smallCaps w:val="0"/>
                <w:color w:val="auto"/>
                <w:spacing w:val="0"/>
                <w:sz w:val="24"/>
                <w:szCs w:val="20"/>
                <w:lang w:val="en-US" w:eastAsia="zh-CN"/>
                <w:highlight w:val="none"/>
              </w:rPr>
              <w:t>综上所述，</w:t>
            </w:r>
            <w:r>
              <w:rPr>
                <w:rFonts w:ascii="Times New Roman" w:eastAsia="宋体" w:cs="Times New Roman" w:hAnsi="Times New Roman"/>
                <w:caps w:val="0"/>
                <w:smallCaps w:val="0"/>
                <w:color w:val="auto"/>
                <w:spacing w:val="0"/>
                <w:sz w:val="24"/>
                <w:szCs w:val="20"/>
                <w:highlight w:val="none"/>
              </w:rPr>
              <w:t>施工期对周围环境的影响是局部的、暂时的，随着工程施工结束而消失</w:t>
            </w:r>
            <w:r>
              <w:rPr>
                <w:rFonts w:ascii="Times New Roman" w:cs="Times New Roman" w:hAnsi="Times New Roman"/>
                <w:caps w:val="0"/>
                <w:smallCaps w:val="0"/>
                <w:color w:val="auto"/>
                <w:spacing w:val="0"/>
                <w:sz w:val="24"/>
                <w:szCs w:val="20"/>
                <w:lang w:eastAsia="zh-CN"/>
                <w:highlight w:val="none"/>
              </w:rPr>
              <w:t>。</w:t>
            </w:r>
          </w:p>
        </w:tc>
      </w:tr>
      <w:tr>
        <w:tc>
          <w:tcPr>
            <w:tcW w:w="267" w:type="pct"/>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pPr>
            <w:r>
              <w:rPr>
                <w:rFonts w:ascii="Times New Roman" w:eastAsia="宋体" w:cs="Times New Roman" w:hAnsi="Times New Roman"/>
                <w:bCs/>
                <w:caps w:val="0"/>
                <w:smallCaps w:val="0"/>
                <w:color w:val="auto"/>
                <w:spacing w:val="0"/>
                <w:sz w:val="24"/>
                <w:szCs w:val="21"/>
                <w:highlight w:val="none"/>
              </w:rPr>
              <w:t>运营</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pPr>
            <w:r>
              <w:rPr>
                <w:rFonts w:ascii="Times New Roman" w:eastAsia="宋体" w:cs="Times New Roman" w:hAnsi="Times New Roman"/>
                <w:bCs/>
                <w:caps w:val="0"/>
                <w:smallCaps w:val="0"/>
                <w:color w:val="auto"/>
                <w:spacing w:val="0"/>
                <w:sz w:val="24"/>
                <w:szCs w:val="21"/>
                <w:highlight w:val="none"/>
              </w:rPr>
              <w:t>期环</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pPr>
            <w:r>
              <w:rPr>
                <w:rFonts w:ascii="Times New Roman" w:eastAsia="宋体" w:cs="Times New Roman" w:hAnsi="Times New Roman"/>
                <w:bCs/>
                <w:caps w:val="0"/>
                <w:smallCaps w:val="0"/>
                <w:color w:val="auto"/>
                <w:spacing w:val="0"/>
                <w:sz w:val="24"/>
                <w:szCs w:val="21"/>
                <w:highlight w:val="none"/>
              </w:rPr>
              <w:t>境影</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pPr>
            <w:r>
              <w:rPr>
                <w:rFonts w:ascii="Times New Roman" w:eastAsia="宋体" w:cs="Times New Roman" w:hAnsi="Times New Roman"/>
                <w:bCs/>
                <w:caps w:val="0"/>
                <w:smallCaps w:val="0"/>
                <w:color w:val="auto"/>
                <w:spacing w:val="0"/>
                <w:sz w:val="24"/>
                <w:szCs w:val="21"/>
                <w:highlight w:val="none"/>
              </w:rPr>
              <w:t>响和</w:t>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kern w:val="2"/>
                <w:sz w:val="24"/>
                <w:szCs w:val="21"/>
                <w:lang w:val="en-US" w:eastAsia="zh-CN" w:bidi="ar-SA"/>
                <w:highlight w:val="none"/>
              </w:rPr>
            </w:pPr>
            <w:r>
              <w:rPr>
                <w:rFonts w:ascii="Times New Roman" w:eastAsia="宋体" w:cs="Times New Roman" w:hAnsi="Times New Roman"/>
                <w:bCs/>
                <w:caps w:val="0"/>
                <w:smallCaps w:val="0"/>
                <w:color w:val="auto"/>
                <w:spacing w:val="0"/>
                <w:sz w:val="24"/>
                <w:szCs w:val="21"/>
                <w:highlight w:val="none"/>
              </w:rPr>
              <w:t>保护措施</w:t>
            </w:r>
          </w:p>
        </w:tc>
        <w:tc>
          <w:tcPr>
            <w:tcW w:w="4732" w:type="pct"/>
            <w:tcBorders>
              <w:left w:val="single" w:sz="4" w:space="0" w:color="auto"/>
            </w:tcBorders>
            <w:shd w:val="clear" w:color="auto" w:fill="auto"/>
          </w:tcPr>
          <w:p>
            <w:pPr>
              <w:pStyle w:val="137"/>
              <w:keepNext w:val="0"/>
              <w:keepLines w:val="0"/>
              <w:suppressLineNumbers w:val="0"/>
              <w:spacing w:before="0" w:beforeAutospacing="0" w:after="0" w:afterAutospacing="0"/>
              <w:ind w:left="0" w:right="0"/>
              <w:jc w:val="both"/>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1、废气</w:t>
            </w:r>
          </w:p>
          <w:p>
            <w:pPr>
              <w:keepNext w:val="0"/>
              <w:keepLines w:val="0"/>
              <w:suppressLineNumbers w:val="0"/>
              <w:adjustRightInd w:val="0"/>
              <w:spacing w:before="0" w:beforeAutospacing="0" w:after="0" w:afterAutospacing="0" w:line="440" w:lineRule="exact"/>
              <w:ind w:left="0" w:right="0" w:firstLineChars="200" w:firstLine="480"/>
              <w:jc w:val="both"/>
              <w:rPr>
                <w:color w:val="auto"/>
                <w:sz w:val="24"/>
                <w:szCs w:val="20"/>
                <w:lang w:val="zh-CN"/>
                <w:highlight w:val="none"/>
              </w:rPr>
            </w:pPr>
            <w:r>
              <w:rPr>
                <w:rFonts w:ascii="Times New Roman" w:cs="Times New Roman" w:hAnsi="Times New Roman"/>
                <w:color w:val="auto"/>
                <w:sz w:val="24"/>
                <w:szCs w:val="20"/>
                <w:lang w:val="zh-CN"/>
                <w:highlight w:val="none"/>
              </w:rPr>
              <w:t>（</w:t>
            </w:r>
            <w:r>
              <w:rPr>
                <w:rFonts w:ascii="Times New Roman" w:cs="Times New Roman" w:hAnsi="Times New Roman"/>
                <w:color w:val="auto"/>
                <w:sz w:val="24"/>
                <w:szCs w:val="20"/>
                <w:highlight w:val="none"/>
              </w:rPr>
              <w:t>1</w:t>
            </w:r>
            <w:r>
              <w:rPr>
                <w:rFonts w:ascii="Times New Roman" w:cs="Times New Roman" w:hAnsi="Times New Roman"/>
                <w:color w:val="auto"/>
                <w:sz w:val="24"/>
                <w:szCs w:val="20"/>
                <w:lang w:val="zh-CN"/>
                <w:highlight w:val="none"/>
              </w:rPr>
              <w:t>）废气污染源及治理措施</w:t>
            </w:r>
          </w:p>
          <w:p>
            <w:pPr>
              <w:pStyle w:val="15"/>
              <w:keepNext w:val="0"/>
              <w:keepLines w:val="0"/>
              <w:suppressLineNumbers w:val="0"/>
              <w:adjustRightInd w:val="0"/>
              <w:spacing w:before="0" w:beforeAutospacing="0" w:after="0" w:afterAutospacing="0" w:line="440" w:lineRule="exact"/>
              <w:ind w:left="0" w:right="0"/>
              <w:jc w:val="both"/>
              <w:rPr>
                <w:rFonts w:eastAsia="宋体"/>
                <w:color w:val="auto"/>
                <w:sz w:val="24"/>
                <w:szCs w:val="20"/>
                <w:lang w:val="en-US" w:eastAsia="zh-CN"/>
                <w:highlight w:val="none"/>
              </w:rPr>
            </w:pPr>
            <w:r>
              <w:rPr>
                <w:rFonts w:ascii="Times New Roman" w:cs="Times New Roman" w:hAnsi="Times New Roman" w:hint="eastAsia"/>
                <w:color w:val="auto"/>
                <w:sz w:val="24"/>
                <w:szCs w:val="20"/>
                <w:lang w:val="en-US" w:eastAsia="zh-CN"/>
                <w:highlight w:val="none"/>
              </w:rPr>
              <w:t>项目废气主要为拆包、投料、烘干、注塑废气及未被收集废气。拆包、投料、烘干、注塑废气经集气罩收集后由布袋除尘器+两级活性炭吸附装置TA002处理，通过1根15m高排气筒（DA002）排放。</w:t>
            </w:r>
          </w:p>
          <w:p>
            <w:pPr>
              <w:pStyle w:val="15"/>
              <w:keepNext w:val="0"/>
              <w:keepLines w:val="0"/>
              <w:suppressLineNumbers w:val="0"/>
              <w:adjustRightInd w:val="0"/>
              <w:snapToGrid w:val="0"/>
              <w:spacing w:before="0" w:beforeAutospacing="0" w:after="0" w:afterAutospacing="0" w:line="440" w:lineRule="exact"/>
              <w:ind w:left="0" w:right="0" w:firstLine="480"/>
              <w:jc w:val="both"/>
              <w:rPr>
                <w:rFonts w:eastAsia="宋体" w:hint="eastAsia"/>
                <w:color w:val="auto"/>
                <w:kern w:val="21"/>
                <w:sz w:val="24"/>
                <w:szCs w:val="20"/>
                <w:lang w:eastAsia="zh-CN"/>
                <w:highlight w:val="none"/>
              </w:rPr>
            </w:pPr>
            <w:r>
              <w:rPr>
                <w:rFonts w:ascii="Times New Roman" w:cs="Times New Roman" w:hAnsi="Times New Roman" w:hint="eastAsia"/>
                <w:color w:val="auto"/>
                <w:kern w:val="21"/>
                <w:sz w:val="24"/>
                <w:szCs w:val="20"/>
                <w:lang w:val="en-US" w:eastAsia="zh-CN"/>
                <w:highlight w:val="none"/>
              </w:rPr>
              <w:t>①</w:t>
            </w:r>
            <w:r>
              <w:rPr>
                <w:rFonts w:ascii="Times New Roman" w:cs="Times New Roman" w:hAnsi="Times New Roman" w:hint="eastAsia"/>
                <w:color w:val="auto"/>
                <w:sz w:val="24"/>
                <w:szCs w:val="20"/>
                <w:lang w:val="en-US" w:eastAsia="zh-CN"/>
                <w:highlight w:val="none"/>
              </w:rPr>
              <w:t>拆包、投料、烘干、注塑废气</w:t>
            </w:r>
            <w:r>
              <w:rPr>
                <w:rFonts w:ascii="Times New Roman" w:cs="Times New Roman" w:hAnsi="Times New Roman" w:hint="eastAsia"/>
                <w:color w:val="auto"/>
                <w:kern w:val="21"/>
                <w:sz w:val="24"/>
                <w:szCs w:val="21"/>
                <w:lang w:eastAsia="zh-CN"/>
                <w:highlight w:val="none"/>
              </w:rPr>
              <w:t>。</w:t>
            </w:r>
          </w:p>
          <w:p>
            <w:pPr>
              <w:pStyle w:val="15"/>
              <w:keepNext w:val="0"/>
              <w:keepLines w:val="0"/>
              <w:suppressLineNumbers w:val="0"/>
              <w:adjustRightInd w:val="0"/>
              <w:snapToGrid w:val="0"/>
              <w:spacing w:before="0" w:beforeAutospacing="0" w:after="0" w:afterAutospacing="0" w:line="440" w:lineRule="exact"/>
              <w:ind w:left="0" w:right="0" w:firstLine="480"/>
              <w:jc w:val="both"/>
              <w:rPr>
                <w:color w:val="auto"/>
                <w:sz w:val="24"/>
                <w:szCs w:val="20"/>
                <w:lang w:val="en-US" w:eastAsia="zh-CN"/>
                <w:highlight w:val="none"/>
              </w:rPr>
            </w:pPr>
            <w:r>
              <w:rPr>
                <w:rFonts w:ascii="Times New Roman" w:cs="Times New Roman" w:hAnsi="Times New Roman" w:hint="eastAsia"/>
                <w:color w:val="auto"/>
                <w:sz w:val="24"/>
                <w:szCs w:val="20"/>
                <w:lang w:val="en-US" w:eastAsia="zh-CN"/>
                <w:highlight w:val="none"/>
              </w:rPr>
              <w:t>拆包、投料、注塑废气参照《排放源统计调查产排污核算方法和系数手册》（环境部公告 2021年 第24号）中292塑料制品行业系数手册，树脂、助剂混料-混合-挤出颗粒物产生量为6.00千克/吨-产品，项目汽车塑料配件160万件（约100t），则颗粒物产生量为0.6t/a。</w:t>
            </w:r>
          </w:p>
          <w:p>
            <w:pPr>
              <w:pStyle w:val="15"/>
              <w:keepNext w:val="0"/>
              <w:keepLines w:val="0"/>
              <w:suppressLineNumbers w:val="0"/>
              <w:adjustRightInd w:val="0"/>
              <w:snapToGrid w:val="0"/>
              <w:spacing w:before="0" w:beforeAutospacing="0" w:after="0" w:afterAutospacing="0" w:line="440" w:lineRule="exact"/>
              <w:ind w:left="0" w:right="0" w:firstLine="480"/>
              <w:jc w:val="both"/>
              <w:rPr>
                <w:color w:val="auto"/>
                <w:sz w:val="24"/>
                <w:szCs w:val="20"/>
                <w:lang w:val="en-US" w:eastAsia="zh-CN"/>
                <w:highlight w:val="none"/>
              </w:rPr>
            </w:pPr>
            <w:r>
              <w:rPr>
                <w:rFonts w:ascii="Times New Roman" w:cs="Times New Roman" w:hAnsi="Times New Roman" w:hint="eastAsia"/>
                <w:color w:val="auto"/>
                <w:sz w:val="24"/>
                <w:szCs w:val="20"/>
                <w:lang w:val="en-US" w:eastAsia="zh-CN"/>
                <w:highlight w:val="none"/>
              </w:rPr>
              <w:t>烘干、注塑废气类比现有工程检测报告可知，现有原辅材料消耗量热塑性聚氨酯为80t/a、尼龙粒子为55t/a、色母粒子为2t/a，合计树脂消耗量为137t/a，氨产生量为0.81t/a，非甲烷总烃产生量为0.984t/a，由此可知氨产污系数为5.912kg/t-原料，非甲烷总烃产污系数为7.182kg/t-原料，本项目尼龙粒子消耗量为70.613t/a，则氨排放量为0.417t/a，非甲烷总烃排放量为0.507t/a。</w:t>
            </w:r>
          </w:p>
          <w:p>
            <w:pPr>
              <w:pStyle w:val="15"/>
              <w:keepNext w:val="0"/>
              <w:keepLines w:val="0"/>
              <w:suppressLineNumbers w:val="0"/>
              <w:adjustRightInd w:val="0"/>
              <w:snapToGrid w:val="0"/>
              <w:spacing w:before="0" w:beforeAutospacing="0" w:after="0" w:afterAutospacing="0" w:line="440" w:lineRule="exact"/>
              <w:ind w:left="0" w:right="0" w:firstLine="480"/>
              <w:jc w:val="both"/>
              <w:rPr>
                <w:color w:val="auto"/>
                <w:sz w:val="24"/>
                <w:szCs w:val="20"/>
                <w:lang w:val="en-US" w:eastAsia="zh-CN"/>
                <w:highlight w:val="none"/>
              </w:rPr>
            </w:pPr>
            <w:r>
              <w:rPr>
                <w:rFonts w:ascii="Times New Roman" w:cs="Times New Roman" w:hAnsi="Times New Roman" w:hint="eastAsia"/>
                <w:color w:val="auto"/>
                <w:sz w:val="24"/>
                <w:szCs w:val="20"/>
                <w:lang w:val="en-US" w:eastAsia="zh-CN"/>
                <w:highlight w:val="none"/>
              </w:rPr>
              <w:t>综上所述，拆包、投料、烘干、注塑废气中颗粒物产生量为0.6t/a，非甲烷总烃产生量为0.507t/a，氨产生量为0.417t/a。</w:t>
            </w:r>
          </w:p>
          <w:p>
            <w:pPr>
              <w:pStyle w:val="15"/>
              <w:keepNext w:val="0"/>
              <w:keepLines w:val="0"/>
              <w:suppressLineNumbers w:val="0"/>
              <w:adjustRightInd w:val="0"/>
              <w:snapToGrid w:val="0"/>
              <w:spacing w:before="0" w:beforeAutospacing="0" w:after="0" w:afterAutospacing="0" w:line="440" w:lineRule="exact"/>
              <w:ind w:left="0" w:right="0" w:firstLine="480"/>
              <w:jc w:val="both"/>
              <w:rPr>
                <w:rFonts w:eastAsia="宋体"/>
                <w:color w:val="auto"/>
                <w:sz w:val="24"/>
                <w:szCs w:val="20"/>
                <w:lang w:val="en-US" w:eastAsia="zh-CN"/>
                <w:highlight w:val="none"/>
              </w:rPr>
            </w:pPr>
            <w:r>
              <w:rPr>
                <w:rFonts w:ascii="Times New Roman" w:cs="Times New Roman" w:hAnsi="Times New Roman" w:hint="eastAsia"/>
                <w:color w:val="auto"/>
                <w:sz w:val="24"/>
                <w:szCs w:val="20"/>
                <w:lang w:val="en-US" w:eastAsia="zh-CN"/>
                <w:highlight w:val="none"/>
              </w:rPr>
              <w:t>参照《广东省石油化工行业VOCs排放量计算方法》（试行）表2.4-1不同情况下污染物治理设施的捕集效率中负压排放捕集效率为75%，则本项目集气罩的收集效率为75%，项目拆包、投料、烘干、注塑废气采用集气罩。根据《吸附法工业有机废气治理工程技术规范》，吸附装置的净化效率不得低于90%，项目购置的两级活性炭去除效率可满足90%，因本项目进口浓度较低，非甲烷总烃去除效率按80%计，氨去除效率为60%。布袋除尘器设计去除效率为99.5%，因项目进口浓度低，去除效率按50%计算。</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依据《局部排风设施控制风速检测与评估技术规范》（AQ/T4274-2016）、《排风罩的分类及技术条件》（GB/T16758-2008），项目风量确定如下：</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Q=Fv</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式中：</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Q-排风罩的排风量，单位为m³/s；</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F-排风罩罩口面积，单位为㎡；</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color w:val="auto"/>
                <w:sz w:val="24"/>
                <w:szCs w:val="20"/>
                <w:highlight w:val="none"/>
              </w:rPr>
              <w:t>V-排风罩罩口风速，单位为m/s；</w:t>
            </w:r>
          </w:p>
          <w:p>
            <w:pPr>
              <w:pStyle w:val="15"/>
              <w:keepNext w:val="0"/>
              <w:keepLines w:val="0"/>
              <w:suppressLineNumbers w:val="0"/>
              <w:adjustRightInd w:val="0"/>
              <w:spacing w:before="0" w:beforeAutospacing="0" w:after="0" w:afterAutospacing="0" w:line="440" w:lineRule="exact"/>
              <w:ind w:left="0" w:right="0"/>
              <w:jc w:val="both"/>
              <w:rPr>
                <w:color w:val="auto"/>
                <w:sz w:val="24"/>
                <w:szCs w:val="20"/>
                <w:highlight w:val="none"/>
              </w:rPr>
            </w:pPr>
            <w:r>
              <w:rPr>
                <w:rFonts w:ascii="Times New Roman" w:cs="Times New Roman" w:hAnsi="Times New Roman" w:hint="eastAsia"/>
                <w:color w:val="auto"/>
                <w:sz w:val="24"/>
                <w:szCs w:val="20"/>
                <w:lang w:val="en-US" w:eastAsia="zh-CN"/>
                <w:highlight w:val="none"/>
              </w:rPr>
              <w:t>项目均采用集气罩，拆包、投料废气与烘干废气使用同一个集气罩，项目拆包、投料、烘干设置2个集气罩，注塑机设置4个集气罩，集气罩长宽为0.6×0.6m</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根据规范要求，风速按1.2m/s设计，经计算，项目</w:t>
            </w:r>
            <w:r>
              <w:rPr>
                <w:rFonts w:ascii="Times New Roman" w:cs="Times New Roman" w:hAnsi="Times New Roman" w:hint="eastAsia"/>
                <w:color w:val="auto"/>
                <w:sz w:val="24"/>
                <w:szCs w:val="20"/>
                <w:lang w:val="en-US" w:eastAsia="zh-CN"/>
                <w:highlight w:val="none"/>
              </w:rPr>
              <w:t>废气量</w:t>
            </w:r>
            <w:r>
              <w:rPr>
                <w:rFonts w:ascii="Times New Roman" w:cs="Times New Roman" w:hAnsi="Times New Roman"/>
                <w:color w:val="auto"/>
                <w:sz w:val="24"/>
                <w:szCs w:val="20"/>
                <w:highlight w:val="none"/>
              </w:rPr>
              <w:t>约</w:t>
            </w:r>
            <w:r>
              <w:rPr>
                <w:rFonts w:ascii="Times New Roman" w:cs="Times New Roman" w:hAnsi="Times New Roman" w:hint="eastAsia"/>
                <w:color w:val="auto"/>
                <w:sz w:val="24"/>
                <w:szCs w:val="20"/>
                <w:lang w:val="en-US" w:eastAsia="zh-CN"/>
                <w:highlight w:val="none"/>
              </w:rPr>
              <w:t>为10000</w:t>
            </w:r>
            <w:r>
              <w:rPr>
                <w:rFonts w:ascii="Times New Roman" w:cs="Times New Roman" w:hAnsi="Times New Roman"/>
                <w:color w:val="auto"/>
                <w:sz w:val="24"/>
                <w:szCs w:val="20"/>
                <w:highlight w:val="none"/>
              </w:rPr>
              <w:t>m³/h，可满足废气收集需求。</w:t>
            </w:r>
          </w:p>
          <w:p>
            <w:pPr>
              <w:pStyle w:val="15"/>
              <w:keepNext w:val="0"/>
              <w:keepLines w:val="0"/>
              <w:suppressLineNumbers w:val="0"/>
              <w:adjustRightInd w:val="0"/>
              <w:spacing w:before="0" w:beforeAutospacing="0" w:after="0" w:afterAutospacing="0" w:line="440" w:lineRule="exact"/>
              <w:ind w:left="0" w:right="0"/>
              <w:jc w:val="both"/>
              <w:rPr>
                <w:color w:val="auto"/>
                <w:kern w:val="21"/>
                <w:sz w:val="24"/>
                <w:szCs w:val="20"/>
                <w:lang w:val="en-US" w:eastAsia="zh-CN"/>
                <w:highlight w:val="none"/>
              </w:rPr>
            </w:pPr>
            <w:r>
              <w:rPr>
                <w:rFonts w:ascii="Times New Roman" w:cs="Times New Roman" w:hAnsi="Times New Roman" w:hint="eastAsia"/>
                <w:color w:val="auto"/>
                <w:sz w:val="24"/>
                <w:szCs w:val="20"/>
                <w:highlight w:val="none"/>
              </w:rPr>
              <w:t>综上所述，</w:t>
            </w:r>
            <w:r>
              <w:rPr>
                <w:rFonts w:ascii="Times New Roman" w:cs="Times New Roman" w:hAnsi="Times New Roman" w:hint="eastAsia"/>
                <w:color w:val="auto"/>
                <w:sz w:val="24"/>
                <w:szCs w:val="20"/>
                <w:lang w:val="en-US" w:eastAsia="zh-CN"/>
                <w:highlight w:val="none"/>
              </w:rPr>
              <w:t>拆包、投料、烘干、注塑废气</w:t>
            </w:r>
            <w:r>
              <w:rPr>
                <w:rFonts w:ascii="Times New Roman" w:cs="Times New Roman" w:hAnsi="Times New Roman" w:hint="eastAsia"/>
                <w:color w:val="auto"/>
                <w:sz w:val="24"/>
                <w:szCs w:val="20"/>
                <w:highlight w:val="none"/>
              </w:rPr>
              <w:t>中</w:t>
            </w:r>
            <w:r>
              <w:rPr>
                <w:rFonts w:ascii="Times New Roman" w:cs="Times New Roman" w:hAnsi="Times New Roman" w:hint="eastAsia"/>
                <w:color w:val="auto"/>
                <w:sz w:val="24"/>
                <w:szCs w:val="20"/>
                <w:lang w:val="en-US" w:eastAsia="zh-CN"/>
                <w:highlight w:val="none"/>
              </w:rPr>
              <w:t>颗粒物</w:t>
            </w:r>
            <w:r>
              <w:rPr>
                <w:rFonts w:ascii="Times New Roman" w:cs="Times New Roman" w:hAnsi="Times New Roman" w:hint="eastAsia"/>
                <w:color w:val="auto"/>
                <w:sz w:val="24"/>
                <w:szCs w:val="20"/>
                <w:highlight w:val="none"/>
              </w:rPr>
              <w:t>产生量为</w:t>
            </w:r>
            <w:r>
              <w:rPr>
                <w:rFonts w:ascii="Times New Roman" w:cs="Times New Roman" w:hAnsi="Times New Roman" w:hint="eastAsia"/>
                <w:color w:val="auto"/>
                <w:sz w:val="24"/>
                <w:szCs w:val="20"/>
                <w:lang w:val="en-US" w:eastAsia="zh-CN"/>
                <w:highlight w:val="none"/>
              </w:rPr>
              <w:t>0.6</w:t>
            </w:r>
            <w:r>
              <w:rPr>
                <w:rFonts w:ascii="Times New Roman" w:cs="Times New Roman" w:hAnsi="Times New Roman" w:hint="eastAsia"/>
                <w:color w:val="auto"/>
                <w:sz w:val="24"/>
                <w:szCs w:val="20"/>
                <w:highlight w:val="none"/>
              </w:rPr>
              <w:t>t/a，收集量为</w:t>
            </w:r>
            <w:r>
              <w:rPr>
                <w:rFonts w:ascii="Times New Roman" w:cs="Times New Roman" w:hAnsi="Times New Roman" w:hint="eastAsia"/>
                <w:color w:val="auto"/>
                <w:sz w:val="24"/>
                <w:szCs w:val="20"/>
                <w:lang w:val="en-US" w:eastAsia="zh-CN"/>
                <w:highlight w:val="none"/>
              </w:rPr>
              <w:t>0.45</w:t>
            </w:r>
            <w:r>
              <w:rPr>
                <w:rFonts w:ascii="Times New Roman" w:cs="Times New Roman" w:hAnsi="Times New Roman" w:hint="eastAsia"/>
                <w:color w:val="auto"/>
                <w:sz w:val="24"/>
                <w:szCs w:val="20"/>
                <w:highlight w:val="none"/>
              </w:rPr>
              <w:t>t/a，收集速率为</w:t>
            </w:r>
            <w:r>
              <w:rPr>
                <w:rFonts w:ascii="Times New Roman" w:cs="Times New Roman" w:hAnsi="Times New Roman" w:hint="eastAsia"/>
                <w:color w:val="auto"/>
                <w:sz w:val="24"/>
                <w:szCs w:val="20"/>
                <w:lang w:val="en-US" w:eastAsia="zh-CN"/>
                <w:highlight w:val="none"/>
              </w:rPr>
              <w:t>0.094</w:t>
            </w:r>
            <w:r>
              <w:rPr>
                <w:rFonts w:ascii="Times New Roman" w:cs="Times New Roman" w:hAnsi="Times New Roman" w:hint="eastAsia"/>
                <w:color w:val="auto"/>
                <w:sz w:val="24"/>
                <w:szCs w:val="20"/>
                <w:highlight w:val="none"/>
              </w:rPr>
              <w:t>kg/h，收集浓度为</w:t>
            </w:r>
            <w:r>
              <w:rPr>
                <w:rFonts w:ascii="Times New Roman" w:cs="Times New Roman" w:hAnsi="Times New Roman" w:hint="eastAsia"/>
                <w:color w:val="auto"/>
                <w:sz w:val="24"/>
                <w:szCs w:val="20"/>
                <w:lang w:val="en-US" w:eastAsia="zh-CN"/>
                <w:highlight w:val="none"/>
              </w:rPr>
              <w:t>9.375</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highlight w:val="none"/>
              </w:rPr>
              <w:t>排放量为</w:t>
            </w:r>
            <w:r>
              <w:rPr>
                <w:rFonts w:ascii="Times New Roman" w:cs="Times New Roman" w:hAnsi="Times New Roman" w:hint="eastAsia"/>
                <w:color w:val="auto"/>
                <w:sz w:val="24"/>
                <w:szCs w:val="20"/>
                <w:lang w:val="en-US" w:eastAsia="zh-CN"/>
                <w:highlight w:val="none"/>
              </w:rPr>
              <w:t>0.225</w:t>
            </w:r>
            <w:r>
              <w:rPr>
                <w:rFonts w:ascii="Times New Roman" w:cs="Times New Roman" w:hAnsi="Times New Roman" w:hint="eastAsia"/>
                <w:color w:val="auto"/>
                <w:sz w:val="24"/>
                <w:szCs w:val="20"/>
                <w:highlight w:val="none"/>
              </w:rPr>
              <w:t>t/a，</w:t>
            </w:r>
            <w:r>
              <w:rPr>
                <w:rFonts w:ascii="Times New Roman" w:cs="Times New Roman" w:hAnsi="Times New Roman"/>
                <w:color w:val="auto"/>
                <w:sz w:val="24"/>
                <w:szCs w:val="20"/>
                <w:highlight w:val="none"/>
              </w:rPr>
              <w:t>排放速率为</w:t>
            </w:r>
            <w:r>
              <w:rPr>
                <w:rFonts w:ascii="Times New Roman" w:cs="Times New Roman" w:hAnsi="Times New Roman" w:hint="eastAsia"/>
                <w:color w:val="auto"/>
                <w:sz w:val="24"/>
                <w:szCs w:val="20"/>
                <w:lang w:val="en-US" w:eastAsia="zh-CN"/>
                <w:highlight w:val="none"/>
              </w:rPr>
              <w:t>0.047</w:t>
            </w:r>
            <w:r>
              <w:rPr>
                <w:rFonts w:ascii="Times New Roman" w:cs="Times New Roman" w:hAnsi="Times New Roman"/>
                <w:color w:val="auto"/>
                <w:sz w:val="24"/>
                <w:szCs w:val="20"/>
                <w:highlight w:val="none"/>
              </w:rPr>
              <w:t>kg/h</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排放浓度为</w:t>
            </w:r>
            <w:r>
              <w:rPr>
                <w:rFonts w:ascii="Times New Roman" w:cs="Times New Roman" w:hAnsi="Times New Roman" w:hint="eastAsia"/>
                <w:color w:val="auto"/>
                <w:sz w:val="24"/>
                <w:szCs w:val="20"/>
                <w:lang w:val="en-US" w:eastAsia="zh-CN"/>
                <w:highlight w:val="none"/>
              </w:rPr>
              <w:t>4.688</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氨</w:t>
            </w:r>
            <w:r>
              <w:rPr>
                <w:rFonts w:ascii="Times New Roman" w:cs="Times New Roman" w:hAnsi="Times New Roman" w:hint="eastAsia"/>
                <w:color w:val="auto"/>
                <w:sz w:val="24"/>
                <w:szCs w:val="20"/>
                <w:highlight w:val="none"/>
              </w:rPr>
              <w:t>产生量为</w:t>
            </w:r>
            <w:r>
              <w:rPr>
                <w:rFonts w:ascii="Times New Roman" w:cs="Times New Roman" w:hAnsi="Times New Roman" w:hint="eastAsia"/>
                <w:color w:val="auto"/>
                <w:sz w:val="24"/>
                <w:szCs w:val="20"/>
                <w:lang w:val="en-US" w:eastAsia="zh-CN"/>
                <w:highlight w:val="none"/>
              </w:rPr>
              <w:t>0.417</w:t>
            </w:r>
            <w:r>
              <w:rPr>
                <w:rFonts w:ascii="Times New Roman" w:cs="Times New Roman" w:hAnsi="Times New Roman" w:hint="eastAsia"/>
                <w:color w:val="auto"/>
                <w:sz w:val="24"/>
                <w:szCs w:val="20"/>
                <w:highlight w:val="none"/>
              </w:rPr>
              <w:t>t/a，收集量为</w:t>
            </w:r>
            <w:r>
              <w:rPr>
                <w:rFonts w:ascii="Times New Roman" w:cs="Times New Roman" w:hAnsi="Times New Roman" w:hint="eastAsia"/>
                <w:color w:val="auto"/>
                <w:sz w:val="24"/>
                <w:szCs w:val="20"/>
                <w:lang w:val="en-US" w:eastAsia="zh-CN"/>
                <w:highlight w:val="none"/>
              </w:rPr>
              <w:t>0.313</w:t>
            </w:r>
            <w:r>
              <w:rPr>
                <w:rFonts w:ascii="Times New Roman" w:cs="Times New Roman" w:hAnsi="Times New Roman" w:hint="eastAsia"/>
                <w:color w:val="auto"/>
                <w:sz w:val="24"/>
                <w:szCs w:val="20"/>
                <w:highlight w:val="none"/>
              </w:rPr>
              <w:t>t/a，收集速率为</w:t>
            </w:r>
            <w:r>
              <w:rPr>
                <w:rFonts w:ascii="Times New Roman" w:cs="Times New Roman" w:hAnsi="Times New Roman" w:hint="eastAsia"/>
                <w:color w:val="auto"/>
                <w:sz w:val="24"/>
                <w:szCs w:val="20"/>
                <w:lang w:val="en-US" w:eastAsia="zh-CN"/>
                <w:highlight w:val="none"/>
              </w:rPr>
              <w:t>0.065</w:t>
            </w:r>
            <w:r>
              <w:rPr>
                <w:rFonts w:ascii="Times New Roman" w:cs="Times New Roman" w:hAnsi="Times New Roman" w:hint="eastAsia"/>
                <w:color w:val="auto"/>
                <w:sz w:val="24"/>
                <w:szCs w:val="20"/>
                <w:highlight w:val="none"/>
              </w:rPr>
              <w:t>kg/h，收集浓度为</w:t>
            </w:r>
            <w:r>
              <w:rPr>
                <w:rFonts w:ascii="Times New Roman" w:cs="Times New Roman" w:hAnsi="Times New Roman" w:hint="eastAsia"/>
                <w:color w:val="auto"/>
                <w:sz w:val="24"/>
                <w:szCs w:val="20"/>
                <w:lang w:val="en-US" w:eastAsia="zh-CN"/>
                <w:highlight w:val="none"/>
              </w:rPr>
              <w:t>6.516</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highlight w:val="none"/>
              </w:rPr>
              <w:t>排放量为</w:t>
            </w:r>
            <w:r>
              <w:rPr>
                <w:rFonts w:ascii="Times New Roman" w:cs="Times New Roman" w:hAnsi="Times New Roman" w:hint="eastAsia"/>
                <w:color w:val="auto"/>
                <w:sz w:val="24"/>
                <w:szCs w:val="20"/>
                <w:lang w:val="en-US" w:eastAsia="zh-CN"/>
                <w:highlight w:val="none"/>
              </w:rPr>
              <w:t>0.125</w:t>
            </w:r>
            <w:r>
              <w:rPr>
                <w:rFonts w:ascii="Times New Roman" w:cs="Times New Roman" w:hAnsi="Times New Roman" w:hint="eastAsia"/>
                <w:color w:val="auto"/>
                <w:sz w:val="24"/>
                <w:szCs w:val="20"/>
                <w:highlight w:val="none"/>
              </w:rPr>
              <w:t>t/a，</w:t>
            </w:r>
            <w:r>
              <w:rPr>
                <w:rFonts w:ascii="Times New Roman" w:cs="Times New Roman" w:hAnsi="Times New Roman"/>
                <w:color w:val="auto"/>
                <w:sz w:val="24"/>
                <w:szCs w:val="20"/>
                <w:highlight w:val="none"/>
              </w:rPr>
              <w:t>排放速率为</w:t>
            </w:r>
            <w:r>
              <w:rPr>
                <w:rFonts w:ascii="Times New Roman" w:cs="Times New Roman" w:hAnsi="Times New Roman" w:hint="eastAsia"/>
                <w:color w:val="auto"/>
                <w:sz w:val="24"/>
                <w:szCs w:val="20"/>
                <w:lang w:val="en-US" w:eastAsia="zh-CN"/>
                <w:highlight w:val="none"/>
              </w:rPr>
              <w:t>0.026</w:t>
            </w:r>
            <w:r>
              <w:rPr>
                <w:rFonts w:ascii="Times New Roman" w:cs="Times New Roman" w:hAnsi="Times New Roman"/>
                <w:color w:val="auto"/>
                <w:sz w:val="24"/>
                <w:szCs w:val="20"/>
                <w:highlight w:val="none"/>
              </w:rPr>
              <w:t>kg/h</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排放浓度为</w:t>
            </w:r>
            <w:r>
              <w:rPr>
                <w:rFonts w:ascii="Times New Roman" w:cs="Times New Roman" w:hAnsi="Times New Roman" w:hint="eastAsia"/>
                <w:color w:val="auto"/>
                <w:sz w:val="24"/>
                <w:szCs w:val="20"/>
                <w:lang w:val="en-US" w:eastAsia="zh-CN"/>
                <w:highlight w:val="none"/>
              </w:rPr>
              <w:t>2.606</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单位产品非甲烷总烃排放量为0.76kg/吨产品，满足</w:t>
            </w:r>
            <w:r>
              <w:rPr>
                <w:rFonts w:ascii="Times New Roman" w:cs="Times New Roman" w:hAnsi="Times New Roman"/>
                <w:color w:val="auto"/>
                <w:sz w:val="24"/>
                <w:szCs w:val="20"/>
                <w:highlight w:val="none"/>
              </w:rPr>
              <w:t>《合成树脂工业污染物排放标准》（GB31572-2015）（含2024年修改单）表5标准</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非甲烷总烃</w:t>
            </w:r>
            <w:r>
              <w:rPr>
                <w:rFonts w:ascii="Times New Roman" w:cs="Times New Roman" w:hAnsi="Times New Roman" w:hint="eastAsia"/>
                <w:color w:val="auto"/>
                <w:sz w:val="24"/>
                <w:szCs w:val="20"/>
                <w:highlight w:val="none"/>
              </w:rPr>
              <w:t>产生量为</w:t>
            </w:r>
            <w:r>
              <w:rPr>
                <w:rFonts w:ascii="Times New Roman" w:cs="Times New Roman" w:hAnsi="Times New Roman" w:hint="eastAsia"/>
                <w:color w:val="auto"/>
                <w:sz w:val="24"/>
                <w:szCs w:val="20"/>
                <w:lang w:val="en-US" w:eastAsia="zh-CN"/>
                <w:highlight w:val="none"/>
              </w:rPr>
              <w:t>0.507</w:t>
            </w:r>
            <w:r>
              <w:rPr>
                <w:rFonts w:ascii="Times New Roman" w:cs="Times New Roman" w:hAnsi="Times New Roman" w:hint="eastAsia"/>
                <w:color w:val="auto"/>
                <w:sz w:val="24"/>
                <w:szCs w:val="20"/>
                <w:highlight w:val="none"/>
              </w:rPr>
              <w:t>t/a，收集量为</w:t>
            </w:r>
            <w:r>
              <w:rPr>
                <w:rFonts w:ascii="Times New Roman" w:cs="Times New Roman" w:hAnsi="Times New Roman" w:hint="eastAsia"/>
                <w:color w:val="auto"/>
                <w:sz w:val="24"/>
                <w:szCs w:val="20"/>
                <w:lang w:val="en-US" w:eastAsia="zh-CN"/>
                <w:highlight w:val="none"/>
              </w:rPr>
              <w:t>0.380</w:t>
            </w:r>
            <w:r>
              <w:rPr>
                <w:rFonts w:ascii="Times New Roman" w:cs="Times New Roman" w:hAnsi="Times New Roman" w:hint="eastAsia"/>
                <w:color w:val="auto"/>
                <w:sz w:val="24"/>
                <w:szCs w:val="20"/>
                <w:highlight w:val="none"/>
              </w:rPr>
              <w:t>t/a，收集速率为</w:t>
            </w:r>
            <w:r>
              <w:rPr>
                <w:rFonts w:ascii="Times New Roman" w:cs="Times New Roman" w:hAnsi="Times New Roman" w:hint="eastAsia"/>
                <w:color w:val="auto"/>
                <w:sz w:val="24"/>
                <w:szCs w:val="20"/>
                <w:lang w:val="en-US" w:eastAsia="zh-CN"/>
                <w:highlight w:val="none"/>
              </w:rPr>
              <w:t>0.079</w:t>
            </w:r>
            <w:r>
              <w:rPr>
                <w:rFonts w:ascii="Times New Roman" w:cs="Times New Roman" w:hAnsi="Times New Roman" w:hint="eastAsia"/>
                <w:color w:val="auto"/>
                <w:sz w:val="24"/>
                <w:szCs w:val="20"/>
                <w:highlight w:val="none"/>
              </w:rPr>
              <w:t>kg/h，收集浓度为</w:t>
            </w:r>
            <w:r>
              <w:rPr>
                <w:rFonts w:ascii="Times New Roman" w:cs="Times New Roman" w:hAnsi="Times New Roman" w:hint="eastAsia"/>
                <w:color w:val="auto"/>
                <w:sz w:val="24"/>
                <w:szCs w:val="20"/>
                <w:lang w:val="en-US" w:eastAsia="zh-CN"/>
                <w:highlight w:val="none"/>
              </w:rPr>
              <w:t>7.922</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highlight w:val="none"/>
              </w:rPr>
              <w:t>排放量为</w:t>
            </w:r>
            <w:r>
              <w:rPr>
                <w:rFonts w:ascii="Times New Roman" w:cs="Times New Roman" w:hAnsi="Times New Roman" w:hint="eastAsia"/>
                <w:color w:val="auto"/>
                <w:sz w:val="24"/>
                <w:szCs w:val="20"/>
                <w:lang w:val="en-US" w:eastAsia="zh-CN"/>
                <w:highlight w:val="none"/>
              </w:rPr>
              <w:t>0.076</w:t>
            </w:r>
            <w:r>
              <w:rPr>
                <w:rFonts w:ascii="Times New Roman" w:cs="Times New Roman" w:hAnsi="Times New Roman" w:hint="eastAsia"/>
                <w:color w:val="auto"/>
                <w:sz w:val="24"/>
                <w:szCs w:val="20"/>
                <w:highlight w:val="none"/>
              </w:rPr>
              <w:t>t/a，</w:t>
            </w:r>
            <w:r>
              <w:rPr>
                <w:rFonts w:ascii="Times New Roman" w:cs="Times New Roman" w:hAnsi="Times New Roman"/>
                <w:color w:val="auto"/>
                <w:sz w:val="24"/>
                <w:szCs w:val="20"/>
                <w:highlight w:val="none"/>
              </w:rPr>
              <w:t>排放速率为</w:t>
            </w:r>
            <w:r>
              <w:rPr>
                <w:rFonts w:ascii="Times New Roman" w:cs="Times New Roman" w:hAnsi="Times New Roman" w:hint="eastAsia"/>
                <w:color w:val="auto"/>
                <w:sz w:val="24"/>
                <w:szCs w:val="20"/>
                <w:lang w:val="en-US" w:eastAsia="zh-CN"/>
                <w:highlight w:val="none"/>
              </w:rPr>
              <w:t>0.016</w:t>
            </w:r>
            <w:r>
              <w:rPr>
                <w:rFonts w:ascii="Times New Roman" w:cs="Times New Roman" w:hAnsi="Times New Roman"/>
                <w:color w:val="auto"/>
                <w:sz w:val="24"/>
                <w:szCs w:val="20"/>
                <w:highlight w:val="none"/>
              </w:rPr>
              <w:t>kg/h</w:t>
            </w:r>
            <w:r>
              <w:rPr>
                <w:rFonts w:ascii="Times New Roman" w:cs="Times New Roman" w:hAnsi="Times New Roman" w:hint="eastAsia"/>
                <w:color w:val="auto"/>
                <w:sz w:val="24"/>
                <w:szCs w:val="20"/>
                <w:highlight w:val="none"/>
              </w:rPr>
              <w:t>，</w:t>
            </w:r>
            <w:r>
              <w:rPr>
                <w:rFonts w:ascii="Times New Roman" w:cs="Times New Roman" w:hAnsi="Times New Roman"/>
                <w:color w:val="auto"/>
                <w:sz w:val="24"/>
                <w:szCs w:val="20"/>
                <w:highlight w:val="none"/>
              </w:rPr>
              <w:t>排放浓度为</w:t>
            </w:r>
            <w:r>
              <w:rPr>
                <w:rFonts w:ascii="Times New Roman" w:cs="Times New Roman" w:hAnsi="Times New Roman" w:hint="eastAsia"/>
                <w:color w:val="auto"/>
                <w:sz w:val="24"/>
                <w:szCs w:val="20"/>
                <w:lang w:val="en-US" w:eastAsia="zh-CN"/>
                <w:highlight w:val="none"/>
              </w:rPr>
              <w:t>1.584</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排放满足《工业企业挥发性有机物排放控制标准》（DB13/2322-2025）表1（塑料制品制造）标准；</w:t>
            </w:r>
            <w:r>
              <w:rPr>
                <w:rFonts w:ascii="Times New Roman" w:cs="Times New Roman" w:hAnsi="Times New Roman" w:hint="eastAsia"/>
                <w:color w:val="auto"/>
                <w:kern w:val="21"/>
                <w:sz w:val="24"/>
                <w:szCs w:val="20"/>
                <w:lang w:val="en-US" w:eastAsia="zh-CN"/>
                <w:highlight w:val="none"/>
              </w:rPr>
              <w:t>项目臭气浓度类比《大名县泽田节水管道有限公司年产8000吨供水管材管件项目竣工环境保护验收报告》监测数据（检测报告：NO.KZHJ字2024第02063号），类比项目采用注塑工艺，且产品大于本项目，类比可行，有组织臭气浓度为977（无量纲），满足《恶臭污染物排放标准》（GB14554-93）表2标准。</w:t>
            </w:r>
          </w:p>
          <w:p>
            <w:pPr>
              <w:pStyle w:val="50"/>
              <w:keepNext w:val="0"/>
              <w:keepLines w:val="0"/>
              <w:suppressLineNumbers w:val="0"/>
              <w:spacing w:before="0" w:beforeAutospacing="0" w:after="0" w:afterAutospacing="0"/>
              <w:ind w:left="0" w:right="0" w:firstLineChars="0" w:firstLine="0"/>
              <w:jc w:val="center"/>
              <w:rPr>
                <w:rFonts w:ascii="Times New Roman" w:eastAsia="宋体" w:cs="Times New Roman" w:hAnsi="Times New Roman"/>
                <w:b/>
                <w:caps w:val="0"/>
                <w:smallCaps w:val="0"/>
                <w:color w:val="auto"/>
                <w:kern w:val="2"/>
                <w:sz w:val="24"/>
                <w:szCs w:val="24"/>
                <w:lang w:val="en-US" w:eastAsia="zh-CN" w:bidi="ar-SA"/>
                <w:highlight w:val="none"/>
              </w:rPr>
            </w:pPr>
            <w:r>
              <w:rPr>
                <w:rFonts w:ascii="Times New Roman" w:eastAsia="宋体" w:cs="Times New Roman" w:hAnsi="Times New Roman"/>
                <w:b/>
                <w:caps w:val="0"/>
                <w:smallCaps w:val="0"/>
                <w:color w:val="auto"/>
                <w:kern w:val="2"/>
                <w:sz w:val="24"/>
                <w:szCs w:val="24"/>
                <w:lang w:val="en-US" w:eastAsia="zh-CN" w:bidi="ar-SA"/>
                <w:highlight w:val="none"/>
              </w:rPr>
              <w:t>表</w:t>
            </w:r>
            <w:r>
              <w:rPr>
                <w:rFonts w:ascii="Times New Roman" w:eastAsia="宋体" w:cs="Times New Roman" w:hAnsi="Times New Roman" w:hint="eastAsia"/>
                <w:b/>
                <w:caps w:val="0"/>
                <w:smallCaps w:val="0"/>
                <w:color w:val="auto"/>
                <w:kern w:val="2"/>
                <w:sz w:val="24"/>
                <w:szCs w:val="24"/>
                <w:lang w:val="en-US" w:eastAsia="zh-CN" w:bidi="ar-SA"/>
                <w:highlight w:val="none"/>
              </w:rPr>
              <w:t>4-1</w:t>
            </w:r>
            <w:r>
              <w:rPr>
                <w:rFonts w:ascii="Times New Roman" w:eastAsia="宋体" w:cs="Times New Roman" w:hAnsi="Times New Roman"/>
                <w:b/>
                <w:caps w:val="0"/>
                <w:smallCaps w:val="0"/>
                <w:color w:val="auto"/>
                <w:kern w:val="2"/>
                <w:sz w:val="24"/>
                <w:szCs w:val="24"/>
                <w:lang w:val="en-US" w:eastAsia="zh-CN" w:bidi="ar-SA"/>
                <w:highlight w:val="none"/>
              </w:rPr>
              <w:t xml:space="preserve">   </w:t>
            </w:r>
            <w:r>
              <w:rPr>
                <w:rFonts w:ascii="Times New Roman" w:eastAsia="宋体" w:cs="Times New Roman" w:hAnsi="Times New Roman" w:hint="eastAsia"/>
                <w:b/>
                <w:caps w:val="0"/>
                <w:smallCaps w:val="0"/>
                <w:color w:val="auto"/>
                <w:kern w:val="2"/>
                <w:sz w:val="24"/>
                <w:szCs w:val="24"/>
                <w:lang w:val="en-US" w:eastAsia="zh-CN" w:bidi="ar-SA"/>
                <w:highlight w:val="none"/>
              </w:rPr>
              <w:t>类比项目与本项目对比表</w:t>
            </w:r>
          </w:p>
          <w:tbl>
            <w:tblPr>
              <w:jc w:val="center"/>
              <w:tblW w:w="499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28" w:type="dxa"/>
                <w:bottom w:w="0" w:type="dxa"/>
                <w:right w:w="28" w:type="dxa"/>
              </w:tblCellMar>
              <w:tblLook w:val="0600" w:firstRow="0" w:lastRow="0" w:firstColumn="0" w:lastColumn="0" w:noHBand="1" w:noVBand="1"/>
            </w:tblPr>
            <w:tblGrid>
              <w:gridCol w:w="1812"/>
              <w:gridCol w:w="2542"/>
              <w:gridCol w:w="2316"/>
              <w:gridCol w:w="1168"/>
            </w:tblGrid>
            <w:tr>
              <w:trPr>
                <w:trHeight w:val="397"/>
              </w:trPr>
              <w:tc>
                <w:tcPr>
                  <w:tcW w:w="1812" w:type="dxa"/>
                  <w:vAlign w:val="center"/>
                </w:tcPr>
                <w:p>
                  <w:pPr>
                    <w:keepNext w:val="0"/>
                    <w:keepLines w:val="0"/>
                    <w:suppressLineNumbers w:val="0"/>
                    <w:spacing w:before="0" w:beforeAutospacing="0" w:after="0" w:afterAutospacing="0"/>
                    <w:ind w:left="0" w:right="0"/>
                    <w:jc w:val="center"/>
                    <w:rPr>
                      <w:rFonts w:hint="eastAsia"/>
                      <w:bCs/>
                      <w:caps w:val="0"/>
                      <w:smallCaps w:val="0"/>
                      <w:color w:val="auto"/>
                      <w:szCs w:val="20"/>
                      <w:highlight w:val="none"/>
                    </w:rPr>
                  </w:pPr>
                  <w:r>
                    <w:rPr>
                      <w:rFonts w:ascii="Times New Roman" w:cs="Times New Roman" w:hAnsi="Times New Roman" w:hint="eastAsia"/>
                      <w:bCs/>
                      <w:caps w:val="0"/>
                      <w:smallCaps w:val="0"/>
                      <w:color w:val="auto"/>
                      <w:sz w:val="21"/>
                      <w:szCs w:val="20"/>
                      <w:highlight w:val="none"/>
                    </w:rPr>
                    <w:t>项目</w:t>
                  </w:r>
                </w:p>
              </w:tc>
              <w:tc>
                <w:tcPr>
                  <w:tcW w:w="2542" w:type="dxa"/>
                  <w:vAlign w:val="center"/>
                </w:tcPr>
                <w:p>
                  <w:pPr>
                    <w:keepNext w:val="0"/>
                    <w:keepLines w:val="0"/>
                    <w:suppressLineNumbers w:val="0"/>
                    <w:spacing w:before="0" w:beforeAutospacing="0" w:after="0" w:afterAutospacing="0"/>
                    <w:ind w:left="0" w:right="0"/>
                    <w:jc w:val="center"/>
                    <w:rPr>
                      <w:rFonts w:hint="eastAsia"/>
                      <w:bCs/>
                      <w:caps w:val="0"/>
                      <w:smallCaps w:val="0"/>
                      <w:color w:val="auto"/>
                      <w:szCs w:val="20"/>
                      <w:highlight w:val="none"/>
                    </w:rPr>
                  </w:pPr>
                  <w:r>
                    <w:rPr>
                      <w:rFonts w:ascii="Times New Roman" w:cs="Times New Roman" w:hAnsi="Times New Roman" w:hint="eastAsia"/>
                      <w:bCs/>
                      <w:caps w:val="0"/>
                      <w:smallCaps w:val="0"/>
                      <w:color w:val="auto"/>
                      <w:sz w:val="21"/>
                      <w:szCs w:val="20"/>
                      <w:lang w:eastAsia="zh-CN"/>
                      <w:highlight w:val="none"/>
                    </w:rPr>
                    <w:t>大名县泽田节水管道有限公司年产8000吨供水管材管件项目</w:t>
                  </w:r>
                </w:p>
              </w:tc>
              <w:tc>
                <w:tcPr>
                  <w:tcW w:w="2316" w:type="dxa"/>
                  <w:vAlign w:val="center"/>
                </w:tcPr>
                <w:p>
                  <w:pPr>
                    <w:keepNext w:val="0"/>
                    <w:keepLines w:val="0"/>
                    <w:suppressLineNumbers w:val="0"/>
                    <w:spacing w:before="0" w:beforeAutospacing="0" w:after="0" w:afterAutospacing="0"/>
                    <w:ind w:left="0" w:right="0"/>
                    <w:jc w:val="center"/>
                    <w:rPr>
                      <w:rFonts w:hint="eastAsia"/>
                      <w:bCs/>
                      <w:caps w:val="0"/>
                      <w:smallCaps w:val="0"/>
                      <w:color w:val="auto"/>
                      <w:szCs w:val="20"/>
                      <w:highlight w:val="none"/>
                    </w:rPr>
                  </w:pPr>
                  <w:r>
                    <w:rPr>
                      <w:rFonts w:ascii="Times New Roman" w:cs="Times New Roman" w:hAnsi="Times New Roman" w:hint="eastAsia"/>
                      <w:bCs/>
                      <w:caps w:val="0"/>
                      <w:smallCaps w:val="0"/>
                      <w:color w:val="auto"/>
                      <w:sz w:val="21"/>
                      <w:szCs w:val="20"/>
                      <w:highlight w:val="none"/>
                    </w:rPr>
                    <w:t>本项目</w:t>
                  </w:r>
                </w:p>
              </w:tc>
              <w:tc>
                <w:tcPr>
                  <w:tcW w:w="1168" w:type="dxa"/>
                  <w:vAlign w:val="center"/>
                </w:tcPr>
                <w:p>
                  <w:pPr>
                    <w:keepNext w:val="0"/>
                    <w:keepLines w:val="0"/>
                    <w:suppressLineNumbers w:val="0"/>
                    <w:spacing w:before="0" w:beforeAutospacing="0" w:after="0" w:afterAutospacing="0"/>
                    <w:ind w:left="0" w:right="0"/>
                    <w:jc w:val="center"/>
                    <w:rPr>
                      <w:rFonts w:hint="eastAsia"/>
                      <w:bCs/>
                      <w:caps w:val="0"/>
                      <w:smallCaps w:val="0"/>
                      <w:color w:val="auto"/>
                      <w:szCs w:val="20"/>
                      <w:highlight w:val="none"/>
                    </w:rPr>
                  </w:pPr>
                  <w:r>
                    <w:rPr>
                      <w:rFonts w:ascii="Times New Roman" w:cs="Times New Roman" w:hAnsi="Times New Roman" w:hint="eastAsia"/>
                      <w:bCs/>
                      <w:caps w:val="0"/>
                      <w:smallCaps w:val="0"/>
                      <w:color w:val="auto"/>
                      <w:sz w:val="21"/>
                      <w:szCs w:val="20"/>
                      <w:highlight w:val="none"/>
                    </w:rPr>
                    <w:t>可比性</w:t>
                  </w:r>
                </w:p>
              </w:tc>
            </w:tr>
            <w:tr>
              <w:trPr>
                <w:trHeight w:val="321"/>
              </w:trPr>
              <w:tc>
                <w:tcPr>
                  <w:tcW w:w="1812" w:type="dxa"/>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产品产量</w:t>
                  </w:r>
                </w:p>
              </w:tc>
              <w:tc>
                <w:tcPr>
                  <w:tcW w:w="2542"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8000吨供水管材管件</w:t>
                  </w:r>
                </w:p>
              </w:tc>
              <w:tc>
                <w:tcPr>
                  <w:tcW w:w="2316"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汽车塑料配件160万件（约100t）</w:t>
                  </w:r>
                </w:p>
              </w:tc>
              <w:tc>
                <w:tcPr>
                  <w:tcW w:w="1168" w:type="dxa"/>
                  <w:tcBorders>
                    <w:left w:val="single" w:sz="4" w:space="0" w:color="000000"/>
                  </w:tcBorders>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lang w:val="en-US" w:eastAsia="zh-CN"/>
                      <w:highlight w:val="none"/>
                    </w:rPr>
                    <w:t>少于类比对象</w:t>
                  </w:r>
                </w:p>
              </w:tc>
            </w:tr>
            <w:tr>
              <w:trPr>
                <w:trHeight w:val="321"/>
              </w:trPr>
              <w:tc>
                <w:tcPr>
                  <w:tcW w:w="1812" w:type="dxa"/>
                  <w:vAlign w:val="center"/>
                </w:tcPr>
                <w:p>
                  <w:pPr>
                    <w:keepNext w:val="0"/>
                    <w:keepLines w:val="0"/>
                    <w:suppressLineNumbers w:val="0"/>
                    <w:spacing w:before="0" w:beforeAutospacing="0" w:after="0" w:afterAutospacing="0"/>
                    <w:ind w:left="0" w:right="0"/>
                    <w:jc w:val="center"/>
                    <w:rPr>
                      <w:rFonts w:eastAsia="宋体" w:hint="eastAsia"/>
                      <w:caps w:val="0"/>
                      <w:smallCaps w:val="0"/>
                      <w:color w:val="auto"/>
                      <w:szCs w:val="20"/>
                      <w:lang w:eastAsia="zh-CN"/>
                      <w:highlight w:val="none"/>
                    </w:rPr>
                  </w:pPr>
                  <w:r>
                    <w:rPr>
                      <w:rFonts w:ascii="Times New Roman" w:cs="Times New Roman" w:hAnsi="Times New Roman" w:hint="eastAsia"/>
                      <w:caps w:val="0"/>
                      <w:smallCaps w:val="0"/>
                      <w:color w:val="auto"/>
                      <w:sz w:val="21"/>
                      <w:szCs w:val="20"/>
                      <w:lang w:val="en-US" w:eastAsia="zh-CN"/>
                      <w:highlight w:val="none"/>
                    </w:rPr>
                    <w:t>工艺</w:t>
                  </w:r>
                </w:p>
              </w:tc>
              <w:tc>
                <w:tcPr>
                  <w:tcW w:w="2542"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挤出、注塑、激光打码、造粒</w:t>
                  </w:r>
                </w:p>
              </w:tc>
              <w:tc>
                <w:tcPr>
                  <w:tcW w:w="2316"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eastAsia="宋体" w:cs="Times New Roman" w:hAnsi="Times New Roman" w:hint="eastAsia"/>
                      <w:caps w:val="0"/>
                      <w:smallCaps w:val="0"/>
                      <w:color w:val="auto"/>
                      <w:sz w:val="21"/>
                      <w:szCs w:val="20"/>
                      <w:lang w:val="en-US" w:eastAsia="zh-CN"/>
                      <w:highlight w:val="none"/>
                    </w:rPr>
                    <w:t>投料、烘干、注塑</w:t>
                  </w:r>
                </w:p>
              </w:tc>
              <w:tc>
                <w:tcPr>
                  <w:tcW w:w="1168"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hint="eastAsia"/>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少于类比对象</w:t>
                  </w:r>
                </w:p>
              </w:tc>
            </w:tr>
            <w:tr>
              <w:trPr>
                <w:trHeight w:val="321"/>
              </w:trPr>
              <w:tc>
                <w:tcPr>
                  <w:tcW w:w="1812" w:type="dxa"/>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highlight w:val="none"/>
                    </w:rPr>
                    <w:t>废气治理方式</w:t>
                  </w:r>
                </w:p>
              </w:tc>
              <w:tc>
                <w:tcPr>
                  <w:tcW w:w="2542" w:type="dxa"/>
                  <w:tcBorders>
                    <w:left w:val="single" w:sz="4" w:space="0" w:color="000000"/>
                  </w:tcBorders>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lang w:val="en-US" w:eastAsia="zh-CN"/>
                      <w:highlight w:val="none"/>
                    </w:rPr>
                    <w:t>活性炭吸附+催化燃烧设备</w:t>
                  </w:r>
                </w:p>
              </w:tc>
              <w:tc>
                <w:tcPr>
                  <w:tcW w:w="2316"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hint="eastAsia"/>
                      <w:caps w:val="0"/>
                      <w:smallCaps w:val="0"/>
                      <w:color w:val="auto"/>
                      <w:szCs w:val="20"/>
                      <w:lang w:val="en-US" w:eastAsia="zh-CN"/>
                      <w:highlight w:val="none"/>
                    </w:rPr>
                  </w:pPr>
                  <w:r>
                    <w:rPr>
                      <w:rFonts w:ascii="Times New Roman" w:cs="Times New Roman" w:hAnsi="Times New Roman" w:hint="eastAsia"/>
                      <w:caps w:val="0"/>
                      <w:smallCaps w:val="0"/>
                      <w:color w:val="auto"/>
                      <w:sz w:val="21"/>
                      <w:szCs w:val="20"/>
                      <w:lang w:val="en-US" w:eastAsia="zh-CN"/>
                      <w:highlight w:val="none"/>
                    </w:rPr>
                    <w:t>两级活性炭</w:t>
                  </w:r>
                </w:p>
              </w:tc>
              <w:tc>
                <w:tcPr>
                  <w:tcW w:w="1168" w:type="dxa"/>
                  <w:tcBorders>
                    <w:left w:val="single" w:sz="4" w:space="0" w:color="000000"/>
                  </w:tcBorders>
                  <w:vAlign w:val="center"/>
                </w:tcPr>
                <w:p>
                  <w:pPr>
                    <w:keepNext w:val="0"/>
                    <w:keepLines w:val="0"/>
                    <w:suppressLineNumbers w:val="0"/>
                    <w:spacing w:before="0" w:beforeAutospacing="0" w:after="0" w:afterAutospacing="0"/>
                    <w:ind w:left="0" w:right="0"/>
                    <w:jc w:val="center"/>
                    <w:rPr>
                      <w:rFonts w:eastAsia="宋体"/>
                      <w:caps w:val="0"/>
                      <w:smallCaps w:val="0"/>
                      <w:color w:val="auto"/>
                      <w:szCs w:val="20"/>
                      <w:lang w:val="en-US" w:eastAsia="zh-CN"/>
                      <w:highlight w:val="none"/>
                    </w:rPr>
                  </w:pPr>
                  <w:r>
                    <w:rPr>
                      <w:rFonts w:ascii="Times New Roman" w:eastAsia="宋体" w:cs="Times New Roman" w:hAnsi="Times New Roman" w:hint="eastAsia"/>
                      <w:caps w:val="0"/>
                      <w:smallCaps w:val="0"/>
                      <w:color w:val="auto"/>
                      <w:sz w:val="21"/>
                      <w:szCs w:val="20"/>
                      <w:lang w:val="en-US" w:eastAsia="zh-CN"/>
                      <w:highlight w:val="none"/>
                    </w:rPr>
                    <w:t>劣于类比净化设施，但由于原料量为本项目80倍，故类比可行</w:t>
                  </w:r>
                </w:p>
              </w:tc>
            </w:tr>
            <w:tr>
              <w:trPr>
                <w:trHeight w:val="321"/>
              </w:trPr>
              <w:tc>
                <w:tcPr>
                  <w:tcW w:w="1812" w:type="dxa"/>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highlight w:val="none"/>
                    </w:rPr>
                    <w:t>废气排放方式</w:t>
                  </w:r>
                </w:p>
              </w:tc>
              <w:tc>
                <w:tcPr>
                  <w:tcW w:w="2542" w:type="dxa"/>
                  <w:tcBorders>
                    <w:left w:val="single" w:sz="4" w:space="0" w:color="000000"/>
                  </w:tcBorders>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lang w:val="en-US" w:eastAsia="zh-CN"/>
                      <w:highlight w:val="none"/>
                    </w:rPr>
                    <w:t>有</w:t>
                  </w:r>
                  <w:r>
                    <w:rPr>
                      <w:rFonts w:ascii="Times New Roman" w:cs="Times New Roman" w:hAnsi="Times New Roman" w:hint="eastAsia"/>
                      <w:caps w:val="0"/>
                      <w:smallCaps w:val="0"/>
                      <w:color w:val="auto"/>
                      <w:sz w:val="21"/>
                      <w:szCs w:val="20"/>
                      <w:highlight w:val="none"/>
                    </w:rPr>
                    <w:t>组织排放</w:t>
                  </w:r>
                </w:p>
              </w:tc>
              <w:tc>
                <w:tcPr>
                  <w:tcW w:w="2316" w:type="dxa"/>
                  <w:tcBorders>
                    <w:left w:val="single" w:sz="4" w:space="0" w:color="000000"/>
                  </w:tcBorders>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lang w:val="en-US" w:eastAsia="zh-CN"/>
                      <w:highlight w:val="none"/>
                    </w:rPr>
                    <w:t>有</w:t>
                  </w:r>
                  <w:r>
                    <w:rPr>
                      <w:rFonts w:ascii="Times New Roman" w:cs="Times New Roman" w:hAnsi="Times New Roman" w:hint="eastAsia"/>
                      <w:caps w:val="0"/>
                      <w:smallCaps w:val="0"/>
                      <w:color w:val="auto"/>
                      <w:sz w:val="21"/>
                      <w:szCs w:val="20"/>
                      <w:highlight w:val="none"/>
                    </w:rPr>
                    <w:t>组织排放</w:t>
                  </w:r>
                </w:p>
              </w:tc>
              <w:tc>
                <w:tcPr>
                  <w:tcW w:w="1168" w:type="dxa"/>
                  <w:tcBorders>
                    <w:left w:val="single" w:sz="4" w:space="0" w:color="000000"/>
                  </w:tcBorders>
                  <w:vAlign w:val="center"/>
                </w:tcPr>
                <w:p>
                  <w:pPr>
                    <w:keepNext w:val="0"/>
                    <w:keepLines w:val="0"/>
                    <w:suppressLineNumbers w:val="0"/>
                    <w:spacing w:before="0" w:beforeAutospacing="0" w:after="0" w:afterAutospacing="0"/>
                    <w:ind w:left="0" w:right="0"/>
                    <w:jc w:val="center"/>
                    <w:rPr>
                      <w:caps w:val="0"/>
                      <w:smallCaps w:val="0"/>
                      <w:color w:val="auto"/>
                      <w:szCs w:val="20"/>
                      <w:highlight w:val="none"/>
                    </w:rPr>
                  </w:pPr>
                  <w:r>
                    <w:rPr>
                      <w:rFonts w:ascii="Times New Roman" w:cs="Times New Roman" w:hAnsi="Times New Roman" w:hint="eastAsia"/>
                      <w:caps w:val="0"/>
                      <w:smallCaps w:val="0"/>
                      <w:color w:val="auto"/>
                      <w:sz w:val="21"/>
                      <w:szCs w:val="20"/>
                      <w:highlight w:val="none"/>
                    </w:rPr>
                    <w:t>相同</w:t>
                  </w:r>
                </w:p>
              </w:tc>
            </w:tr>
          </w:tbl>
          <w:p>
            <w:pPr>
              <w:pStyle w:val="15"/>
              <w:keepNext w:val="0"/>
              <w:keepLines w:val="0"/>
              <w:suppressLineNumbers w:val="0"/>
              <w:adjustRightInd w:val="0"/>
              <w:snapToGrid w:val="0"/>
              <w:spacing w:before="0" w:beforeAutospacing="0" w:after="0" w:afterAutospacing="0" w:line="440" w:lineRule="exact"/>
              <w:ind w:left="0" w:right="0"/>
              <w:jc w:val="both"/>
              <w:rPr>
                <w:rFonts w:hint="eastAsia"/>
                <w:color w:val="auto"/>
                <w:kern w:val="21"/>
                <w:sz w:val="24"/>
                <w:szCs w:val="20"/>
                <w:lang w:val="en-US" w:eastAsia="zh-CN"/>
                <w:highlight w:val="none"/>
              </w:rPr>
            </w:pPr>
            <w:r>
              <w:rPr>
                <w:rFonts w:ascii="Times New Roman" w:cs="Times New Roman" w:hAnsi="Times New Roman" w:hint="eastAsia"/>
                <w:color w:val="auto"/>
                <w:kern w:val="21"/>
                <w:sz w:val="24"/>
                <w:szCs w:val="20"/>
                <w:lang w:val="en-US" w:eastAsia="zh-CN"/>
                <w:highlight w:val="none"/>
              </w:rPr>
              <w:t>②无组织废气</w:t>
            </w:r>
          </w:p>
          <w:p>
            <w:pPr>
              <w:pStyle w:val="15"/>
              <w:keepNext w:val="0"/>
              <w:keepLines w:val="0"/>
              <w:suppressLineNumbers w:val="0"/>
              <w:adjustRightInd w:val="0"/>
              <w:snapToGrid w:val="0"/>
              <w:spacing w:before="0" w:beforeAutospacing="0" w:after="0" w:afterAutospacing="0" w:line="440" w:lineRule="exact"/>
              <w:ind w:left="0" w:right="0"/>
              <w:jc w:val="both"/>
              <w:rPr>
                <w:rFonts w:hint="eastAsia"/>
                <w:color w:val="auto"/>
                <w:kern w:val="21"/>
                <w:sz w:val="24"/>
                <w:szCs w:val="20"/>
                <w:lang w:val="en-US" w:eastAsia="zh-CN"/>
                <w:highlight w:val="none"/>
              </w:rPr>
            </w:pPr>
            <w:r>
              <w:rPr>
                <w:rFonts w:ascii="Times New Roman" w:cs="Times New Roman" w:hAnsi="Times New Roman" w:hint="eastAsia"/>
                <w:color w:val="auto"/>
                <w:kern w:val="21"/>
                <w:sz w:val="24"/>
                <w:szCs w:val="20"/>
                <w:lang w:val="en-US" w:eastAsia="zh-CN"/>
                <w:highlight w:val="none"/>
              </w:rPr>
              <w:t>项目无组织废气主要为未被收集的废气。本项目原辅材料均在密闭库房内暂存，在贮存、输送、使用过程中保持密闭。本项目原料非即用状态袋装密封。加强拆包、投料、烘干、注塑废气集气罩收集。项目尼龙粒子采用原包料，采用密闭的包装袋进行转移；项目在开停工、检维修时，在退料阶段将残存物料退净，并用相应的密闭容器盛装，项目退料时两级活性炭吸附装置需开启。</w:t>
            </w:r>
          </w:p>
          <w:p>
            <w:pPr>
              <w:pStyle w:val="15"/>
              <w:keepNext w:val="0"/>
              <w:keepLines w:val="0"/>
              <w:suppressLineNumbers w:val="0"/>
              <w:adjustRightInd w:val="0"/>
              <w:snapToGrid w:val="0"/>
              <w:spacing w:before="0" w:beforeAutospacing="0" w:after="0" w:afterAutospacing="0" w:line="440" w:lineRule="exact"/>
              <w:ind w:left="0" w:right="0"/>
              <w:jc w:val="both"/>
              <w:rPr>
                <w:rFonts w:eastAsia="宋体" w:hint="eastAsia"/>
                <w:color w:val="auto"/>
                <w:kern w:val="21"/>
                <w:sz w:val="24"/>
                <w:szCs w:val="20"/>
                <w:lang w:val="en-US" w:eastAsia="zh-CN"/>
                <w:highlight w:val="none"/>
              </w:rPr>
            </w:pPr>
            <w:r>
              <w:rPr>
                <w:rFonts w:ascii="Times New Roman" w:cs="Times New Roman" w:hAnsi="Times New Roman" w:hint="eastAsia"/>
                <w:color w:val="auto"/>
                <w:kern w:val="21"/>
                <w:sz w:val="24"/>
                <w:szCs w:val="20"/>
                <w:lang w:val="en-US" w:eastAsia="zh-CN"/>
                <w:highlight w:val="none"/>
              </w:rPr>
              <w:t>项目未被收集的颗粒物为0.15t/a，根据《排放源统计调查产排污核算方法和系数手册》中“工业源固体物料堆场颗粒物核算系数手册”中产排污系数，经车间密闭(车间有门窗按照半敞开式计)后降尘60%，无组织颗粒物排放量为0.09t/a，排放速率为0.012kg/h，根据AERSCREEN模式预测结果，颗粒物排放浓度为0.031</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东厂界排放浓度为0.023</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南厂界排放浓度为0.031</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西厂界排放浓度为0.029</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北厂界排放浓度为0.029</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，排放满足《合成树脂工业污染物排放标准》（GB31572-2015）（含2024年修改单）表9标准</w:t>
            </w:r>
            <w:r>
              <w:rPr>
                <w:rFonts w:ascii="Times New Roman" w:cs="Times New Roman" w:hAnsi="Times New Roman" w:hint="eastAsia"/>
                <w:color w:val="auto"/>
                <w:sz w:val="24"/>
                <w:szCs w:val="20"/>
                <w:lang w:eastAsia="zh-CN"/>
                <w:highlight w:val="none"/>
              </w:rPr>
              <w:t>；</w:t>
            </w:r>
          </w:p>
          <w:p>
            <w:pPr>
              <w:pStyle w:val="15"/>
              <w:keepNext w:val="0"/>
              <w:keepLines w:val="0"/>
              <w:suppressLineNumbers w:val="0"/>
              <w:adjustRightInd w:val="0"/>
              <w:snapToGrid w:val="0"/>
              <w:spacing w:before="0" w:beforeAutospacing="0" w:after="0" w:afterAutospacing="0" w:line="440" w:lineRule="exact"/>
              <w:ind w:left="0" w:right="0"/>
              <w:jc w:val="both"/>
              <w:rPr>
                <w:rFonts w:hint="eastAsia"/>
                <w:color w:val="auto"/>
                <w:sz w:val="24"/>
                <w:szCs w:val="20"/>
                <w:lang w:eastAsia="zh-CN"/>
                <w:highlight w:val="none"/>
              </w:rPr>
            </w:pPr>
            <w:r>
              <w:rPr>
                <w:rFonts w:ascii="Times New Roman" w:cs="Times New Roman" w:hAnsi="Times New Roman" w:hint="eastAsia"/>
                <w:color w:val="auto"/>
                <w:kern w:val="21"/>
                <w:sz w:val="24"/>
                <w:szCs w:val="20"/>
                <w:lang w:val="en-US" w:eastAsia="zh-CN"/>
                <w:highlight w:val="none"/>
              </w:rPr>
              <w:t>项目未被收集的非甲烷总烃为0.127t/a。无组织非甲烷总烃排放量为0.127/a，排放速率为0.026kg/h，根据AERSCREEN模式预测结果，非甲烷总烃排放浓度为0.043</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东厂界排放浓度为0.032</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南厂界排放浓度为0.042</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西厂界排放浓度为0.039</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北厂界排放浓度为0.040</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，排放满足《工业企业挥发性有机物排放控制标准》</w:t>
            </w:r>
            <w:r>
              <w:rPr>
                <w:rFonts w:ascii="Times New Roman" w:cs="Times New Roman" w:hAnsi="Times New Roman" w:hint="eastAsia"/>
                <w:color w:val="auto"/>
                <w:sz w:val="24"/>
                <w:szCs w:val="20"/>
                <w:lang w:eastAsia="zh-CN"/>
                <w:highlight w:val="none"/>
              </w:rPr>
              <w:t>（DB13/2322-2016）表2标准；</w:t>
            </w:r>
          </w:p>
          <w:p>
            <w:pPr>
              <w:pStyle w:val="15"/>
              <w:keepNext w:val="0"/>
              <w:keepLines w:val="0"/>
              <w:suppressLineNumbers w:val="0"/>
              <w:adjustRightInd w:val="0"/>
              <w:snapToGrid w:val="0"/>
              <w:spacing w:before="0" w:beforeAutospacing="0" w:after="0" w:afterAutospacing="0" w:line="440" w:lineRule="exact"/>
              <w:ind w:left="0" w:right="0"/>
              <w:jc w:val="both"/>
              <w:rPr>
                <w:rFonts w:hint="eastAsia"/>
                <w:color w:val="auto"/>
                <w:sz w:val="24"/>
                <w:szCs w:val="20"/>
                <w:lang w:eastAsia="zh-CN"/>
                <w:highlight w:val="none"/>
              </w:rPr>
            </w:pPr>
            <w:r>
              <w:rPr>
                <w:rFonts w:ascii="Times New Roman" w:cs="Times New Roman" w:hAnsi="Times New Roman" w:hint="eastAsia"/>
                <w:color w:val="auto"/>
                <w:sz w:val="24"/>
                <w:szCs w:val="20"/>
                <w:lang w:val="en-US" w:eastAsia="zh-CN"/>
                <w:highlight w:val="none"/>
              </w:rPr>
              <w:t>项目未被收集的氨为0.104t/a。无组织氨排放量为0.104t/a，排放速率为0.022kg/h，</w:t>
            </w:r>
            <w:r>
              <w:rPr>
                <w:rFonts w:ascii="Times New Roman" w:cs="Times New Roman" w:hAnsi="Times New Roman" w:hint="eastAsia"/>
                <w:color w:val="auto"/>
                <w:kern w:val="21"/>
                <w:sz w:val="24"/>
                <w:szCs w:val="20"/>
                <w:lang w:val="en-US" w:eastAsia="zh-CN"/>
                <w:highlight w:val="none"/>
              </w:rPr>
              <w:t>根据AERSCREEN模式预测结果，</w:t>
            </w:r>
            <w:r>
              <w:rPr>
                <w:rFonts w:ascii="Times New Roman" w:cs="Times New Roman" w:hAnsi="Times New Roman" w:hint="eastAsia"/>
                <w:color w:val="auto"/>
                <w:sz w:val="24"/>
                <w:szCs w:val="20"/>
                <w:lang w:val="en-US" w:eastAsia="zh-CN"/>
                <w:highlight w:val="none"/>
              </w:rPr>
              <w:t>氨</w:t>
            </w:r>
            <w:r>
              <w:rPr>
                <w:rFonts w:ascii="Times New Roman" w:cs="Times New Roman" w:hAnsi="Times New Roman" w:hint="eastAsia"/>
                <w:color w:val="auto"/>
                <w:kern w:val="21"/>
                <w:sz w:val="24"/>
                <w:szCs w:val="20"/>
                <w:lang w:val="en-US" w:eastAsia="zh-CN"/>
                <w:highlight w:val="none"/>
              </w:rPr>
              <w:t>排放浓度为0.036</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东厂界排放浓度为0.027</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南厂界排放浓度为0.036</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西厂界排放浓度为0.033</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北厂界排放浓度为0.034</w:t>
            </w:r>
            <w:r>
              <w:rPr>
                <w:rFonts w:ascii="Times New Roman" w:cs="Times New Roman" w:hAnsi="Times New Roman"/>
                <w:color w:val="auto"/>
                <w:sz w:val="24"/>
                <w:szCs w:val="20"/>
                <w:highlight w:val="none"/>
              </w:rPr>
              <w:t>mg/m</w:t>
            </w:r>
            <w:r>
              <w:rPr>
                <w:rFonts w:ascii="Times New Roman" w:cs="Times New Roman" w:hAnsi="Times New Roman"/>
                <w:color w:val="auto"/>
                <w:sz w:val="24"/>
                <w:szCs w:val="20"/>
                <w:vertAlign w:val="superscript"/>
                <w:highlight w:val="none"/>
              </w:rPr>
              <w:t>3</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排放满足</w:t>
            </w:r>
            <w:r>
              <w:rPr>
                <w:rFonts w:ascii="Times New Roman" w:cs="Times New Roman" w:hAnsi="Times New Roman" w:hint="eastAsia"/>
                <w:color w:val="auto"/>
                <w:sz w:val="24"/>
                <w:szCs w:val="20"/>
                <w:lang w:eastAsia="zh-CN"/>
                <w:highlight w:val="none"/>
              </w:rPr>
              <w:t>《恶臭污染物排放标准》（GB14554-93）表1二级新扩改建标准；</w:t>
            </w:r>
          </w:p>
          <w:p>
            <w:pPr>
              <w:pStyle w:val="15"/>
              <w:keepNext w:val="0"/>
              <w:keepLines w:val="0"/>
              <w:suppressLineNumbers w:val="0"/>
              <w:adjustRightInd w:val="0"/>
              <w:snapToGrid w:val="0"/>
              <w:spacing w:before="0" w:beforeAutospacing="0" w:after="0" w:afterAutospacing="0" w:line="440" w:lineRule="exact"/>
              <w:ind w:left="0" w:right="0"/>
              <w:jc w:val="both"/>
              <w:rPr>
                <w:rFonts w:eastAsia="宋体"/>
                <w:color w:val="auto"/>
                <w:kern w:val="21"/>
                <w:sz w:val="24"/>
                <w:szCs w:val="20"/>
                <w:lang w:val="en-US" w:eastAsia="zh-CN"/>
                <w:highlight w:val="none"/>
              </w:rPr>
            </w:pPr>
            <w:r>
              <w:rPr>
                <w:rFonts w:ascii="Times New Roman" w:cs="Times New Roman" w:hAnsi="Times New Roman" w:hint="eastAsia"/>
                <w:color w:val="auto"/>
                <w:sz w:val="24"/>
                <w:szCs w:val="20"/>
                <w:lang w:val="en-US" w:eastAsia="zh-CN"/>
                <w:highlight w:val="none"/>
              </w:rPr>
              <w:t>项目类比</w:t>
            </w:r>
            <w:r>
              <w:rPr>
                <w:rFonts w:ascii="Times New Roman" w:cs="Times New Roman" w:hAnsi="Times New Roman" w:hint="eastAsia"/>
                <w:color w:val="auto"/>
                <w:kern w:val="21"/>
                <w:sz w:val="24"/>
                <w:szCs w:val="20"/>
                <w:lang w:val="en-US" w:eastAsia="zh-CN"/>
                <w:highlight w:val="none"/>
              </w:rPr>
              <w:t>《大名县泽田节水管道有限公司年产8000吨供水管材管件项目竣工环境保护验收报告》监测数据（检测报告：NO.KZHJ字2024第02063号）</w:t>
            </w:r>
            <w:r>
              <w:rPr>
                <w:rFonts w:ascii="Times New Roman" w:cs="Times New Roman" w:hAnsi="Times New Roman" w:hint="eastAsia"/>
                <w:color w:val="auto"/>
                <w:sz w:val="24"/>
                <w:szCs w:val="20"/>
                <w:lang w:val="en-US" w:eastAsia="zh-CN"/>
                <w:highlight w:val="none"/>
              </w:rPr>
              <w:t>，厂界臭气浓度最大为15（无量纲），排放满足《恶臭污染物排放标准》（GB14554-93）表1二级新扩改建标准。</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color w:val="auto"/>
                <w:sz w:val="24"/>
                <w:szCs w:val="20"/>
                <w:highlight w:val="none"/>
              </w:rPr>
            </w:pPr>
            <w:r>
              <w:rPr>
                <w:rFonts w:ascii="Times New Roman" w:cs="Times New Roman" w:hAnsi="Times New Roman"/>
                <w:color w:val="auto"/>
                <w:sz w:val="24"/>
                <w:szCs w:val="20"/>
                <w:highlight w:val="none"/>
              </w:rPr>
              <w:t>（2）废气产排污情况</w:t>
            </w:r>
          </w:p>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color w:val="auto"/>
                <w:sz w:val="24"/>
                <w:szCs w:val="20"/>
                <w:highlight w:val="none"/>
              </w:rPr>
              <w:t>废气产排污情况汇总见表4-</w:t>
            </w:r>
            <w:r>
              <w:rPr>
                <w:rFonts w:ascii="Times New Roman" w:cs="Times New Roman" w:hAnsi="Times New Roman" w:hint="eastAsia"/>
                <w:color w:val="auto"/>
                <w:sz w:val="24"/>
                <w:szCs w:val="20"/>
                <w:lang w:val="en-US" w:eastAsia="zh-CN"/>
                <w:highlight w:val="none"/>
              </w:rPr>
              <w:t>1</w:t>
            </w:r>
            <w:r>
              <w:rPr>
                <w:rFonts w:ascii="Times New Roman" w:cs="Times New Roman" w:hAnsi="Times New Roman" w:hint="eastAsia"/>
                <w:color w:val="auto"/>
                <w:sz w:val="24"/>
                <w:szCs w:val="20"/>
                <w:highlight w:val="none"/>
              </w:rPr>
              <w:t>。</w:t>
            </w:r>
          </w:p>
          <w:p>
            <w:pPr>
              <w:keepNext w:val="0"/>
              <w:keepLines w:val="0"/>
              <w:suppressLineNumbers w:val="0"/>
              <w:bidi w:val="0"/>
              <w:spacing w:before="0" w:beforeAutospacing="0" w:after="0" w:afterAutospacing="0"/>
              <w:ind w:left="0" w:right="0"/>
              <w:jc w:val="left"/>
              <w:rPr>
                <w:rFonts w:hint="eastAsia"/>
                <w:color w:val="auto"/>
                <w:szCs w:val="20"/>
                <w:lang w:val="en-US" w:eastAsia="zh-CN"/>
                <w:highlight w:val="none"/>
              </w:rPr>
            </w:pPr>
          </w:p>
          <w:p>
            <w:pPr>
              <w:keepNext w:val="0"/>
              <w:keepLines w:val="0"/>
              <w:suppressLineNumbers w:val="0"/>
              <w:bidi w:val="0"/>
              <w:spacing w:before="0" w:beforeAutospacing="0" w:after="0" w:afterAutospacing="0"/>
              <w:ind w:left="0" w:right="0"/>
              <w:jc w:val="left"/>
              <w:rPr>
                <w:rFonts w:hint="eastAsia"/>
                <w:color w:val="auto"/>
                <w:szCs w:val="20"/>
                <w:lang w:val="en-US" w:eastAsia="zh-CN"/>
                <w:highlight w:val="none"/>
              </w:rPr>
            </w:pPr>
          </w:p>
          <w:p>
            <w:pPr>
              <w:keepNext w:val="0"/>
              <w:keepLines w:val="0"/>
              <w:suppressLineNumbers w:val="0"/>
              <w:bidi w:val="0"/>
              <w:spacing w:before="0" w:beforeAutospacing="0" w:after="0" w:afterAutospacing="0"/>
              <w:ind w:left="0" w:right="0"/>
              <w:jc w:val="left"/>
              <w:rPr>
                <w:rFonts w:hint="eastAsia"/>
                <w:color w:val="auto"/>
                <w:szCs w:val="20"/>
                <w:lang w:val="en-US" w:eastAsia="zh-CN"/>
                <w:highlight w:val="none"/>
              </w:rPr>
            </w:pPr>
          </w:p>
          <w:p>
            <w:pPr>
              <w:keepNext w:val="0"/>
              <w:keepLines w:val="0"/>
              <w:suppressLineNumbers w:val="0"/>
              <w:bidi w:val="0"/>
              <w:spacing w:before="0" w:beforeAutospacing="0" w:after="0" w:afterAutospacing="0"/>
              <w:ind w:left="0" w:right="0"/>
              <w:jc w:val="left"/>
              <w:rPr>
                <w:rFonts w:hint="eastAsia"/>
                <w:color w:val="auto"/>
                <w:szCs w:val="20"/>
                <w:lang w:val="en-US" w:eastAsia="zh-CN"/>
                <w:highlight w:val="none"/>
              </w:rPr>
            </w:pPr>
          </w:p>
          <w:p>
            <w:pPr>
              <w:keepNext w:val="0"/>
              <w:keepLines w:val="0"/>
              <w:suppressLineNumbers w:val="0"/>
              <w:bidi w:val="0"/>
              <w:spacing w:before="0" w:beforeAutospacing="0" w:after="0" w:afterAutospacing="0"/>
              <w:ind w:left="0" w:right="0"/>
              <w:jc w:val="left"/>
              <w:rPr>
                <w:rFonts w:hint="eastAsia"/>
                <w:color w:val="auto"/>
                <w:szCs w:val="20"/>
                <w:lang w:val="en-US" w:eastAsia="zh-CN"/>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cs="Times New Roman" w:hint="eastAsia"/>
                <w:color w:val="auto"/>
                <w:kern w:val="2"/>
                <w:sz w:val="21"/>
                <w:szCs w:val="20"/>
                <w:lang w:val="en-US" w:eastAsia="zh-CN" w:bidi="ar-SA"/>
                <w:highlight w:val="none"/>
              </w:rPr>
            </w:pPr>
          </w:p>
          <w:p>
            <w:pPr>
              <w:keepNext w:val="0"/>
              <w:keepLines w:val="0"/>
              <w:suppressLineNumbers w:val="0"/>
              <w:bidi w:val="0"/>
              <w:spacing w:before="0" w:beforeAutospacing="0" w:after="0" w:afterAutospacing="0"/>
              <w:ind w:left="0" w:right="0"/>
              <w:jc w:val="left"/>
              <w:rPr>
                <w:rFonts w:ascii="Times New Roman" w:eastAsia="宋体" w:cs="Times New Roman" w:hAnsi="Times New Roman"/>
                <w:color w:val="auto"/>
                <w:kern w:val="2"/>
                <w:sz w:val="21"/>
                <w:szCs w:val="20"/>
                <w:lang w:val="en-US" w:eastAsia="zh-CN" w:bidi="ar-SA"/>
                <w:highlight w:val="none"/>
              </w:rPr>
            </w:pPr>
          </w:p>
        </w:tc>
      </w:tr>
    </w:tbl>
    <w:p>
      <w:pPr>
        <w:keepNext w:val="0"/>
        <w:keepLines w:val="0"/>
        <w:suppressLineNumbers w:val="0"/>
        <w:adjustRightInd w:val="0"/>
        <w:snapToGrid w:val="0"/>
        <w:spacing w:before="0" w:beforeAutospacing="0" w:after="0" w:afterAutospacing="0"/>
        <w:ind w:left="0" w:right="0"/>
        <w:jc w:val="center"/>
        <w:outlineLvl w:val="9"/>
        <w:rPr>
          <w:rFonts w:ascii="Times New Roman" w:eastAsia="宋体" w:cs="Times New Roman" w:hAnsi="Times New Roman"/>
          <w:bCs/>
          <w:caps w:val="0"/>
          <w:smallCaps w:val="0"/>
          <w:color w:val="auto"/>
          <w:spacing w:val="0"/>
          <w:sz w:val="24"/>
          <w:szCs w:val="21"/>
          <w:highlight w:val="none"/>
        </w:rPr>
        <w:sectPr>
          <w:pgSz w:w="11907" w:h="16840"/>
          <w:pgMar w:top="1440" w:right="1800" w:bottom="1440" w:left="1800" w:header="851" w:footer="992" w:gutter="0"/>
          <w:cols w:num="1" w:space="720"/>
          <w:docGrid w:type="linesAndChars" w:linePitch="319" w:charSpace="0"/>
        </w:sectPr>
      </w:pPr>
      <w:r>
        <w:rPr>
          <w:rFonts w:ascii="Times New Roman" w:eastAsia="宋体" w:cs="Times New Roman" w:hAnsi="Times New Roman"/>
          <w:bCs/>
          <w:caps w:val="0"/>
          <w:smallCaps w:val="0"/>
          <w:color w:val="auto"/>
          <w:spacing w:val="0"/>
          <w:sz w:val="24"/>
          <w:szCs w:val="21"/>
          <w:highlight w:val="none"/>
        </w:rPr>
        <w:br w:type="page"/>
      </w: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724"/>
        <w:gridCol w:w="13452"/>
      </w:tblGrid>
      <w:tr>
        <w:tc>
          <w:tcPr>
            <w:tcW w:w="724" w:type="dxa"/>
          </w:tcPr>
          <w:p>
            <w:pPr>
              <w:keepNext w:val="0"/>
              <w:keepLines w:val="0"/>
              <w:suppressLineNumbers w:val="0"/>
              <w:spacing w:before="0" w:beforeAutospacing="0" w:after="0" w:afterAutospacing="0"/>
              <w:ind w:left="0" w:right="0"/>
              <w:jc w:val="both"/>
              <w:rPr>
                <w:rFonts w:ascii="Times New Roman" w:eastAsia="宋体" w:cs="Times New Roman" w:hAnsi="Times New Roman"/>
                <w:bCs/>
                <w:caps w:val="0"/>
                <w:smallCaps w:val="0"/>
                <w:color w:val="auto"/>
                <w:spacing w:val="0"/>
                <w:sz w:val="24"/>
                <w:szCs w:val="21"/>
                <w:vertAlign w:val="baseline"/>
                <w:highlight w:val="none"/>
              </w:rPr>
            </w:pPr>
          </w:p>
        </w:tc>
        <w:tc>
          <w:tcPr>
            <w:tcW w:w="13452" w:type="dxa"/>
          </w:tcPr>
          <w:p>
            <w:pPr>
              <w:pStyle w:val="147"/>
              <w:keepNext w:val="0"/>
              <w:keepLines w:val="0"/>
              <w:suppressLineNumbers w:val="0"/>
              <w:tabs>
                <w:tab w:val="left" w:pos="6521"/>
              </w:tabs>
              <w:spacing w:before="0" w:beforeAutospacing="0" w:after="0" w:afterAutospacing="0" w:line="440" w:lineRule="exact"/>
              <w:ind w:left="0" w:right="0"/>
              <w:jc w:val="both"/>
              <w:rPr>
                <w:color w:val="auto"/>
                <w:highlight w:val="none"/>
              </w:rPr>
            </w:pPr>
            <w:r>
              <w:rPr>
                <w:rFonts w:ascii="Times New Roman" w:cs="Times New Roman" w:hAnsi="Times New Roman"/>
                <w:color w:val="auto"/>
                <w:sz w:val="24"/>
                <w:szCs w:val="20"/>
                <w:highlight w:val="none"/>
              </w:rPr>
              <w:t>表4-</w:t>
            </w:r>
            <w:r>
              <w:rPr>
                <w:rFonts w:ascii="Times New Roman" w:cs="Times New Roman" w:hAnsi="Times New Roman" w:hint="eastAsia"/>
                <w:color w:val="auto"/>
                <w:sz w:val="24"/>
                <w:szCs w:val="20"/>
                <w:lang w:val="en-US" w:eastAsia="zh-CN"/>
                <w:highlight w:val="none"/>
              </w:rPr>
              <w:t>1</w:t>
            </w:r>
            <w:r>
              <w:rPr>
                <w:rFonts w:ascii="Times New Roman" w:cs="Times New Roman" w:hAnsi="Times New Roman"/>
                <w:color w:val="auto"/>
                <w:sz w:val="24"/>
                <w:szCs w:val="20"/>
                <w:highlight w:val="none"/>
              </w:rPr>
              <w:t xml:space="preserve">    废气污染物排放源情况一览表</w:t>
            </w:r>
          </w:p>
          <w:tbl>
            <w:tblPr>
              <w:jc w:val="center"/>
              <w:tblW w:w="13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762"/>
              <w:gridCol w:w="423"/>
              <w:gridCol w:w="459"/>
              <w:gridCol w:w="496"/>
              <w:gridCol w:w="375"/>
              <w:gridCol w:w="463"/>
              <w:gridCol w:w="463"/>
              <w:gridCol w:w="540"/>
              <w:gridCol w:w="508"/>
              <w:gridCol w:w="375"/>
              <w:gridCol w:w="573"/>
              <w:gridCol w:w="459"/>
              <w:gridCol w:w="459"/>
              <w:gridCol w:w="540"/>
              <w:gridCol w:w="332"/>
              <w:gridCol w:w="2962"/>
              <w:gridCol w:w="234"/>
              <w:gridCol w:w="314"/>
              <w:gridCol w:w="414"/>
              <w:gridCol w:w="597"/>
              <w:gridCol w:w="766"/>
              <w:gridCol w:w="1214"/>
            </w:tblGrid>
            <w:tr>
              <w:trPr>
                <w:trHeight w:val="340"/>
              </w:trPr>
              <w:tc>
                <w:tcPr>
                  <w:tcW w:w="762"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产排污环节</w:t>
                  </w:r>
                </w:p>
              </w:tc>
              <w:tc>
                <w:tcPr>
                  <w:tcW w:w="423"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污染物种类</w:t>
                  </w:r>
                </w:p>
              </w:tc>
              <w:tc>
                <w:tcPr>
                  <w:tcW w:w="459"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产生量t/a</w:t>
                  </w:r>
                </w:p>
              </w:tc>
              <w:tc>
                <w:tcPr>
                  <w:tcW w:w="3793" w:type="dxa"/>
                  <w:gridSpan w:val="8"/>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污染防治措施</w:t>
                  </w:r>
                </w:p>
              </w:tc>
              <w:tc>
                <w:tcPr>
                  <w:tcW w:w="459"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排放量</w:t>
                  </w:r>
                </w:p>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t/a</w:t>
                  </w:r>
                </w:p>
              </w:tc>
              <w:tc>
                <w:tcPr>
                  <w:tcW w:w="459"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排放速率kg/h</w:t>
                  </w:r>
                </w:p>
              </w:tc>
              <w:tc>
                <w:tcPr>
                  <w:tcW w:w="540"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排放浓度mg/m</w:t>
                  </w:r>
                  <w:r>
                    <w:rPr>
                      <w:rFonts w:ascii="Times New Roman" w:cs="Times New Roman" w:hAnsi="Times New Roman"/>
                      <w:color w:val="auto"/>
                      <w:sz w:val="21"/>
                      <w:szCs w:val="21"/>
                      <w:vertAlign w:val="superscript"/>
                      <w:highlight w:val="none"/>
                    </w:rPr>
                    <w:t>3</w:t>
                  </w:r>
                </w:p>
              </w:tc>
              <w:tc>
                <w:tcPr>
                  <w:tcW w:w="332"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排放形式</w:t>
                  </w:r>
                </w:p>
              </w:tc>
              <w:tc>
                <w:tcPr>
                  <w:tcW w:w="2962" w:type="dxa"/>
                  <w:vMerge w:val="restart"/>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排放标准</w:t>
                  </w:r>
                </w:p>
              </w:tc>
              <w:tc>
                <w:tcPr>
                  <w:tcW w:w="3539" w:type="dxa"/>
                  <w:gridSpan w:val="6"/>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排放口基本情况</w:t>
                  </w:r>
                </w:p>
              </w:tc>
            </w:tr>
            <w:tr>
              <w:trPr>
                <w:trHeight w:val="340"/>
              </w:trPr>
              <w:tc>
                <w:tcPr>
                  <w:tcW w:w="762" w:type="dxa"/>
                  <w:vMerge/>
                  <w:noWrap/>
                  <w:vAlign w:val="center"/>
                </w:tcPr>
                <w:p/>
              </w:tc>
              <w:tc>
                <w:tcPr>
                  <w:tcW w:w="423" w:type="dxa"/>
                  <w:vMerge/>
                  <w:tcBorders>
                    <w:left w:val="single" w:sz="4" w:space="0" w:color="auto"/>
                  </w:tcBorders>
                  <w:noWrap/>
                  <w:vAlign w:val="center"/>
                </w:tcPr>
                <w:p/>
              </w:tc>
              <w:tc>
                <w:tcPr>
                  <w:tcW w:w="459" w:type="dxa"/>
                  <w:vMerge/>
                  <w:tcBorders>
                    <w:left w:val="single" w:sz="4" w:space="0" w:color="auto"/>
                  </w:tcBorders>
                  <w:noWrap/>
                  <w:vAlign w:val="center"/>
                </w:tcPr>
                <w:p/>
              </w:tc>
              <w:tc>
                <w:tcPr>
                  <w:tcW w:w="496" w:type="dxa"/>
                  <w:tcBorders>
                    <w:left w:val="single" w:sz="4" w:space="0" w:color="auto"/>
                  </w:tcBorders>
                  <w:shd w:val="clear" w:color="auto" w:fill="auto"/>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名称</w:t>
                  </w:r>
                </w:p>
              </w:tc>
              <w:tc>
                <w:tcPr>
                  <w:tcW w:w="375" w:type="dxa"/>
                  <w:tcBorders>
                    <w:left w:val="single" w:sz="4" w:space="0" w:color="auto"/>
                  </w:tcBorders>
                  <w:shd w:val="clear" w:color="auto" w:fill="auto"/>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收集效率%</w:t>
                  </w:r>
                </w:p>
              </w:tc>
              <w:tc>
                <w:tcPr>
                  <w:tcW w:w="463" w:type="dxa"/>
                  <w:tcBorders>
                    <w:left w:val="single" w:sz="4" w:space="0" w:color="auto"/>
                  </w:tcBorders>
                  <w:shd w:val="clear" w:color="auto" w:fill="auto"/>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hint="eastAsia"/>
                      <w:color w:val="auto"/>
                      <w:sz w:val="21"/>
                      <w:szCs w:val="21"/>
                      <w:highlight w:val="none"/>
                    </w:rPr>
                    <w:t>收集量t/a</w:t>
                  </w:r>
                </w:p>
              </w:tc>
              <w:tc>
                <w:tcPr>
                  <w:tcW w:w="463" w:type="dxa"/>
                  <w:tcBorders>
                    <w:left w:val="single" w:sz="4" w:space="0" w:color="auto"/>
                  </w:tcBorders>
                  <w:shd w:val="clear" w:color="auto" w:fill="auto"/>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hint="eastAsia"/>
                      <w:color w:val="auto"/>
                      <w:sz w:val="21"/>
                      <w:szCs w:val="21"/>
                      <w:highlight w:val="none"/>
                    </w:rPr>
                    <w:t>收集</w:t>
                  </w:r>
                  <w:r>
                    <w:rPr>
                      <w:rFonts w:ascii="Times New Roman" w:cs="Times New Roman" w:hAnsi="Times New Roman"/>
                      <w:color w:val="auto"/>
                      <w:sz w:val="21"/>
                      <w:szCs w:val="21"/>
                      <w:highlight w:val="none"/>
                    </w:rPr>
                    <w:t>速率kg/h</w:t>
                  </w:r>
                </w:p>
              </w:tc>
              <w:tc>
                <w:tcPr>
                  <w:tcW w:w="540" w:type="dxa"/>
                  <w:tcBorders>
                    <w:left w:val="single" w:sz="4" w:space="0" w:color="auto"/>
                  </w:tcBorders>
                  <w:shd w:val="clear" w:color="auto" w:fill="auto"/>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hint="eastAsia"/>
                      <w:color w:val="auto"/>
                      <w:sz w:val="21"/>
                      <w:szCs w:val="21"/>
                      <w:highlight w:val="none"/>
                    </w:rPr>
                    <w:t>收集</w:t>
                  </w:r>
                  <w:r>
                    <w:rPr>
                      <w:rFonts w:ascii="Times New Roman" w:cs="Times New Roman" w:hAnsi="Times New Roman"/>
                      <w:color w:val="auto"/>
                      <w:sz w:val="21"/>
                      <w:szCs w:val="21"/>
                      <w:highlight w:val="none"/>
                    </w:rPr>
                    <w:t>浓度</w:t>
                  </w:r>
                </w:p>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mg/m</w:t>
                  </w:r>
                  <w:r>
                    <w:rPr>
                      <w:rFonts w:ascii="Times New Roman" w:cs="Times New Roman" w:hAnsi="Times New Roman"/>
                      <w:color w:val="auto"/>
                      <w:sz w:val="21"/>
                      <w:szCs w:val="21"/>
                      <w:vertAlign w:val="superscript"/>
                      <w:highlight w:val="none"/>
                    </w:rPr>
                    <w:t>3</w:t>
                  </w:r>
                </w:p>
              </w:tc>
              <w:tc>
                <w:tcPr>
                  <w:tcW w:w="508"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处理能力m</w:t>
                  </w:r>
                  <w:r>
                    <w:rPr>
                      <w:rFonts w:ascii="Times New Roman" w:cs="Times New Roman" w:hAnsi="Times New Roman"/>
                      <w:color w:val="auto"/>
                      <w:sz w:val="21"/>
                      <w:szCs w:val="21"/>
                      <w:vertAlign w:val="superscript"/>
                      <w:highlight w:val="none"/>
                    </w:rPr>
                    <w:t>3</w:t>
                  </w:r>
                  <w:r>
                    <w:rPr>
                      <w:rFonts w:ascii="Times New Roman" w:cs="Times New Roman" w:hAnsi="Times New Roman"/>
                      <w:color w:val="auto"/>
                      <w:sz w:val="21"/>
                      <w:szCs w:val="21"/>
                      <w:highlight w:val="none"/>
                    </w:rPr>
                    <w:t>/h</w:t>
                  </w:r>
                </w:p>
              </w:tc>
              <w:tc>
                <w:tcPr>
                  <w:tcW w:w="375"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去除率%</w:t>
                  </w:r>
                </w:p>
              </w:tc>
              <w:tc>
                <w:tcPr>
                  <w:tcW w:w="573"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是否为可行技术</w:t>
                  </w:r>
                </w:p>
              </w:tc>
              <w:tc>
                <w:tcPr>
                  <w:tcW w:w="459" w:type="dxa"/>
                  <w:vMerge/>
                  <w:tcBorders>
                    <w:left w:val="single" w:sz="4" w:space="0" w:color="auto"/>
                  </w:tcBorders>
                  <w:noWrap/>
                  <w:vAlign w:val="center"/>
                </w:tcPr>
                <w:p/>
              </w:tc>
              <w:tc>
                <w:tcPr>
                  <w:tcW w:w="459" w:type="dxa"/>
                  <w:vMerge/>
                  <w:tcBorders>
                    <w:left w:val="single" w:sz="4" w:space="0" w:color="auto"/>
                  </w:tcBorders>
                  <w:noWrap/>
                  <w:vAlign w:val="center"/>
                </w:tcPr>
                <w:p/>
              </w:tc>
              <w:tc>
                <w:tcPr>
                  <w:tcW w:w="540" w:type="dxa"/>
                  <w:vMerge/>
                  <w:tcBorders>
                    <w:left w:val="single" w:sz="4" w:space="0" w:color="auto"/>
                  </w:tcBorders>
                  <w:noWrap/>
                  <w:vAlign w:val="center"/>
                </w:tcPr>
                <w:p/>
              </w:tc>
              <w:tc>
                <w:tcPr>
                  <w:tcW w:w="332" w:type="dxa"/>
                  <w:vMerge/>
                  <w:tcBorders>
                    <w:left w:val="single" w:sz="4" w:space="0" w:color="auto"/>
                  </w:tcBorders>
                  <w:noWrap/>
                  <w:vAlign w:val="center"/>
                </w:tcPr>
                <w:p/>
              </w:tc>
              <w:tc>
                <w:tcPr>
                  <w:tcW w:w="2962" w:type="dxa"/>
                  <w:vMerge/>
                  <w:tcBorders>
                    <w:left w:val="single" w:sz="4" w:space="0" w:color="auto"/>
                  </w:tcBorders>
                  <w:noWrap/>
                  <w:vAlign w:val="center"/>
                </w:tcPr>
                <w:p/>
              </w:tc>
              <w:tc>
                <w:tcPr>
                  <w:tcW w:w="234"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高度m</w:t>
                  </w:r>
                </w:p>
              </w:tc>
              <w:tc>
                <w:tcPr>
                  <w:tcW w:w="314"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内径m</w:t>
                  </w:r>
                </w:p>
              </w:tc>
              <w:tc>
                <w:tcPr>
                  <w:tcW w:w="414"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温度℃</w:t>
                  </w:r>
                </w:p>
              </w:tc>
              <w:tc>
                <w:tcPr>
                  <w:tcW w:w="597"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编号</w:t>
                  </w:r>
                </w:p>
              </w:tc>
              <w:tc>
                <w:tcPr>
                  <w:tcW w:w="766"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类型</w:t>
                  </w:r>
                </w:p>
              </w:tc>
              <w:tc>
                <w:tcPr>
                  <w:tcW w:w="1214" w:type="dxa"/>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color w:val="auto"/>
                      <w:szCs w:val="21"/>
                      <w:highlight w:val="none"/>
                    </w:rPr>
                  </w:pPr>
                  <w:r>
                    <w:rPr>
                      <w:rFonts w:ascii="Times New Roman" w:cs="Times New Roman" w:hAnsi="Times New Roman"/>
                      <w:color w:val="auto"/>
                      <w:sz w:val="21"/>
                      <w:szCs w:val="21"/>
                      <w:highlight w:val="none"/>
                    </w:rPr>
                    <w:t>地理坐标</w:t>
                  </w:r>
                </w:p>
              </w:tc>
            </w:tr>
            <w:tr>
              <w:trPr>
                <w:trHeight w:val="496"/>
              </w:trPr>
              <w:tc>
                <w:tcPr>
                  <w:tcW w:w="762" w:type="dxa"/>
                  <w:vMerge w:val="restart"/>
                  <w:noWrap/>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hint="eastAsia"/>
                      <w:bCs/>
                      <w:color w:val="auto"/>
                      <w:sz w:val="21"/>
                      <w:szCs w:val="21"/>
                      <w:lang w:val="en-US" w:eastAsia="zh-CN"/>
                      <w:highlight w:val="none"/>
                    </w:rPr>
                    <w:t>拆包、投料、烘干、注塑废气</w:t>
                  </w: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颗粒物</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0.6</w:t>
                  </w:r>
                </w:p>
              </w:tc>
              <w:tc>
                <w:tcPr>
                  <w:tcW w:w="496"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布袋除尘器+两级活性炭吸附装置</w:t>
                  </w:r>
                </w:p>
              </w:tc>
              <w:tc>
                <w:tcPr>
                  <w:tcW w:w="375"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75</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0.45</w:t>
                  </w:r>
                </w:p>
              </w:tc>
              <w:tc>
                <w:tcPr>
                  <w:tcW w:w="46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0.094</w:t>
                  </w:r>
                </w:p>
              </w:tc>
              <w:tc>
                <w:tcPr>
                  <w:tcW w:w="540"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9.375</w:t>
                  </w:r>
                </w:p>
              </w:tc>
              <w:tc>
                <w:tcPr>
                  <w:tcW w:w="508"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10000</w:t>
                  </w: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50</w:t>
                  </w:r>
                </w:p>
              </w:tc>
              <w:tc>
                <w:tcPr>
                  <w:tcW w:w="573"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highlight w:val="none"/>
                    </w:rPr>
                    <w:t>是</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0.225</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0.047</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4.688</w:t>
                  </w:r>
                </w:p>
              </w:tc>
              <w:tc>
                <w:tcPr>
                  <w:tcW w:w="332"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highlight w:val="none"/>
                    </w:rPr>
                    <w:t>有组织</w:t>
                  </w:r>
                </w:p>
              </w:tc>
              <w:tc>
                <w:tcPr>
                  <w:tcW w:w="2962" w:type="dxa"/>
                  <w:vMerge w:val="restart"/>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eastAsia="宋体" w:hint="eastAsia"/>
                      <w:bCs/>
                      <w:color w:val="auto"/>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c>
                <w:tcPr>
                  <w:tcW w:w="234"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15</w:t>
                  </w:r>
                </w:p>
              </w:tc>
              <w:tc>
                <w:tcPr>
                  <w:tcW w:w="314"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0.5</w:t>
                  </w:r>
                </w:p>
              </w:tc>
              <w:tc>
                <w:tcPr>
                  <w:tcW w:w="414"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25</w:t>
                  </w:r>
                </w:p>
              </w:tc>
              <w:tc>
                <w:tcPr>
                  <w:tcW w:w="597"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eastAsia="zh-CN"/>
                      <w:highlight w:val="none"/>
                    </w:rPr>
                    <w:t>DA002</w:t>
                  </w:r>
                </w:p>
              </w:tc>
              <w:tc>
                <w:tcPr>
                  <w:tcW w:w="766"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snapToGrid w:val="0"/>
                      <w:color w:val="auto"/>
                      <w:szCs w:val="21"/>
                      <w:highlight w:val="none"/>
                    </w:rPr>
                  </w:pPr>
                  <w:r>
                    <w:rPr>
                      <w:rFonts w:ascii="Times New Roman" w:cs="Times New Roman" w:hAnsi="Times New Roman"/>
                      <w:snapToGrid w:val="0"/>
                      <w:color w:val="auto"/>
                      <w:sz w:val="21"/>
                      <w:szCs w:val="21"/>
                      <w:highlight w:val="none"/>
                    </w:rPr>
                    <w:t>一般排放口</w:t>
                  </w:r>
                </w:p>
              </w:tc>
              <w:tc>
                <w:tcPr>
                  <w:tcW w:w="1214"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lang w:val="en-US" w:eastAsia="zh-CN"/>
                      <w:highlight w:val="none"/>
                    </w:rPr>
                    <w:t>E</w:t>
                  </w:r>
                  <w:r>
                    <w:rPr>
                      <w:rFonts w:ascii="Times New Roman" w:cs="Times New Roman" w:hAnsi="Times New Roman"/>
                      <w:bCs/>
                      <w:color w:val="auto"/>
                      <w:sz w:val="21"/>
                      <w:szCs w:val="21"/>
                      <w:highlight w:val="none"/>
                    </w:rPr>
                    <w:t>114°30′50.02517″</w:t>
                  </w:r>
                </w:p>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N</w:t>
                  </w:r>
                  <w:r>
                    <w:rPr>
                      <w:rFonts w:ascii="Times New Roman" w:cs="Times New Roman" w:hAnsi="Times New Roman"/>
                      <w:bCs/>
                      <w:color w:val="auto"/>
                      <w:sz w:val="21"/>
                      <w:szCs w:val="21"/>
                      <w:highlight w:val="none"/>
                    </w:rPr>
                    <w:t>37°54′26.72509″</w:t>
                  </w:r>
                </w:p>
              </w:tc>
            </w:tr>
            <w:tr>
              <w:trPr>
                <w:trHeight w:val="508"/>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氨</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0.417</w:t>
                  </w:r>
                </w:p>
              </w:tc>
              <w:tc>
                <w:tcPr>
                  <w:tcW w:w="496" w:type="dxa"/>
                  <w:vMerge/>
                  <w:tcBorders>
                    <w:left w:val="single" w:sz="4" w:space="0" w:color="auto"/>
                  </w:tcBorders>
                  <w:noWrap/>
                  <w:vAlign w:val="center"/>
                </w:tcPr>
                <w:p/>
              </w:tc>
              <w:tc>
                <w:tcPr>
                  <w:tcW w:w="375" w:type="dxa"/>
                  <w:vMerge/>
                  <w:tcBorders>
                    <w:left w:val="single" w:sz="4" w:space="0" w:color="auto"/>
                  </w:tcBorders>
                  <w:noWrap/>
                  <w:vAlign w:val="center"/>
                </w:tcP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0.313</w:t>
                  </w:r>
                </w:p>
              </w:tc>
              <w:tc>
                <w:tcPr>
                  <w:tcW w:w="46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0.065</w:t>
                  </w:r>
                </w:p>
              </w:tc>
              <w:tc>
                <w:tcPr>
                  <w:tcW w:w="540"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6.516</w:t>
                  </w:r>
                </w:p>
              </w:tc>
              <w:tc>
                <w:tcPr>
                  <w:tcW w:w="508" w:type="dxa"/>
                  <w:vMerge/>
                  <w:tcBorders>
                    <w:left w:val="single" w:sz="4" w:space="0" w:color="auto"/>
                  </w:tcBorders>
                  <w:noWrap/>
                  <w:vAlign w:val="center"/>
                </w:tcP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60</w:t>
                  </w:r>
                </w:p>
              </w:tc>
              <w:tc>
                <w:tcPr>
                  <w:tcW w:w="573" w:type="dxa"/>
                  <w:vMerge/>
                  <w:tcBorders>
                    <w:left w:val="single" w:sz="4" w:space="0" w:color="auto"/>
                  </w:tcBorders>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0.125</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0.026</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2.606</w:t>
                  </w:r>
                </w:p>
              </w:tc>
              <w:tc>
                <w:tcPr>
                  <w:tcW w:w="332" w:type="dxa"/>
                  <w:vMerge/>
                  <w:tcBorders>
                    <w:left w:val="single" w:sz="4" w:space="0" w:color="auto"/>
                  </w:tcBorders>
                  <w:noWrap/>
                  <w:vAlign w:val="center"/>
                </w:tcPr>
                <w:p/>
              </w:tc>
              <w:tc>
                <w:tcPr>
                  <w:tcW w:w="2962" w:type="dxa"/>
                  <w:vMerge/>
                  <w:tcBorders>
                    <w:left w:val="single" w:sz="4" w:space="0" w:color="auto"/>
                  </w:tcBorders>
                  <w:noWrap/>
                  <w:vAlign w:val="center"/>
                </w:tcP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r>
              <w:trPr>
                <w:trHeight w:val="555"/>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非甲烷总烃</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0.507</w:t>
                  </w:r>
                </w:p>
              </w:tc>
              <w:tc>
                <w:tcPr>
                  <w:tcW w:w="496" w:type="dxa"/>
                  <w:vMerge/>
                  <w:tcBorders>
                    <w:left w:val="single" w:sz="4" w:space="0" w:color="auto"/>
                  </w:tcBorders>
                  <w:noWrap/>
                  <w:vAlign w:val="center"/>
                </w:tcPr>
                <w:p/>
              </w:tc>
              <w:tc>
                <w:tcPr>
                  <w:tcW w:w="375" w:type="dxa"/>
                  <w:vMerge/>
                  <w:tcBorders>
                    <w:left w:val="single" w:sz="4" w:space="0" w:color="auto"/>
                  </w:tcBorders>
                  <w:noWrap/>
                  <w:vAlign w:val="center"/>
                </w:tcP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0.380</w:t>
                  </w:r>
                </w:p>
              </w:tc>
              <w:tc>
                <w:tcPr>
                  <w:tcW w:w="46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0.079</w:t>
                  </w:r>
                </w:p>
              </w:tc>
              <w:tc>
                <w:tcPr>
                  <w:tcW w:w="540"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7.922</w:t>
                  </w:r>
                </w:p>
              </w:tc>
              <w:tc>
                <w:tcPr>
                  <w:tcW w:w="508" w:type="dxa"/>
                  <w:vMerge/>
                  <w:tcBorders>
                    <w:left w:val="single" w:sz="4" w:space="0" w:color="auto"/>
                  </w:tcBorders>
                  <w:noWrap/>
                  <w:vAlign w:val="center"/>
                </w:tcP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80</w:t>
                  </w:r>
                </w:p>
              </w:tc>
              <w:tc>
                <w:tcPr>
                  <w:tcW w:w="573" w:type="dxa"/>
                  <w:vMerge/>
                  <w:tcBorders>
                    <w:left w:val="single" w:sz="4" w:space="0" w:color="auto"/>
                  </w:tcBorders>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0.076</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0.016</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1.584</w:t>
                  </w:r>
                </w:p>
              </w:tc>
              <w:tc>
                <w:tcPr>
                  <w:tcW w:w="332" w:type="dxa"/>
                  <w:vMerge/>
                  <w:tcBorders>
                    <w:left w:val="single" w:sz="4" w:space="0" w:color="auto"/>
                  </w:tcBorders>
                  <w:noWrap/>
                  <w:vAlign w:val="center"/>
                </w:tcP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r>
              <w:trPr>
                <w:trHeight w:val="396"/>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臭气浓度</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96" w:type="dxa"/>
                  <w:vMerge/>
                  <w:tcBorders>
                    <w:left w:val="single" w:sz="4" w:space="0" w:color="auto"/>
                  </w:tcBorders>
                  <w:noWrap/>
                  <w:vAlign w:val="center"/>
                </w:tcPr>
                <w:p/>
              </w:tc>
              <w:tc>
                <w:tcPr>
                  <w:tcW w:w="375" w:type="dxa"/>
                  <w:vMerge/>
                  <w:tcBorders>
                    <w:left w:val="single" w:sz="4" w:space="0" w:color="auto"/>
                  </w:tcBorders>
                  <w:noWrap/>
                  <w:vAlign w:val="center"/>
                </w:tcP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w:t>
                  </w:r>
                </w:p>
              </w:tc>
              <w:tc>
                <w:tcPr>
                  <w:tcW w:w="46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08" w:type="dxa"/>
                  <w:vMerge/>
                  <w:tcBorders>
                    <w:left w:val="single" w:sz="4" w:space="0" w:color="auto"/>
                  </w:tcBorders>
                  <w:noWrap/>
                  <w:vAlign w:val="center"/>
                </w:tcP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73" w:type="dxa"/>
                  <w:vMerge/>
                  <w:tcBorders>
                    <w:left w:val="single" w:sz="4" w:space="0" w:color="auto"/>
                  </w:tcBorders>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bCs/>
                      <w:color w:val="auto"/>
                      <w:kern w:val="2"/>
                      <w:sz w:val="21"/>
                      <w:szCs w:val="21"/>
                      <w:lang w:val="en-US" w:eastAsia="zh-CN" w:bidi="ar-SA"/>
                      <w:highlight w:val="none"/>
                    </w:rPr>
                  </w:pPr>
                  <w:r>
                    <w:rPr>
                      <w:rFonts w:ascii="Times New Roman" w:cs="Times New Roman" w:hAnsi="Times New Roman" w:hint="eastAsia"/>
                      <w:bCs/>
                      <w:color w:val="auto"/>
                      <w:kern w:val="2"/>
                      <w:sz w:val="21"/>
                      <w:szCs w:val="21"/>
                      <w:lang w:val="en-US" w:eastAsia="zh-CN" w:bidi="ar-SA"/>
                      <w:highlight w:val="none"/>
                    </w:rPr>
                    <w:t>977</w:t>
                  </w:r>
                </w:p>
              </w:tc>
              <w:tc>
                <w:tcPr>
                  <w:tcW w:w="332" w:type="dxa"/>
                  <w:vMerge/>
                  <w:tcBorders>
                    <w:left w:val="single" w:sz="4" w:space="0" w:color="auto"/>
                  </w:tcBorders>
                  <w:noWrap/>
                  <w:vAlign w:val="center"/>
                </w:tcP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《恶臭污染物排放标准》（GB14554-93）表2标准</w:t>
                  </w: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r>
              <w:trPr>
                <w:trHeight w:val="1440"/>
              </w:trPr>
              <w:tc>
                <w:tcPr>
                  <w:tcW w:w="762" w:type="dxa"/>
                  <w:vMerge w:val="restart"/>
                  <w:noWrap/>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ascii="Times New Roman" w:cs="Times New Roman" w:hAnsi="Times New Roman"/>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无组织废气</w:t>
                  </w: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颗粒物</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0.15</w:t>
                  </w:r>
                </w:p>
              </w:tc>
              <w:tc>
                <w:tcPr>
                  <w:tcW w:w="496"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车间密闭</w:t>
                  </w: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08"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375"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60%</w:t>
                  </w:r>
                </w:p>
              </w:tc>
              <w:tc>
                <w:tcPr>
                  <w:tcW w:w="573"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是</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0.09</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0.019</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0.031</w:t>
                  </w:r>
                </w:p>
              </w:tc>
              <w:tc>
                <w:tcPr>
                  <w:tcW w:w="332"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无组织</w:t>
                  </w: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hint="eastAsia"/>
                      <w:bCs/>
                      <w:color w:val="auto"/>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w:t>
                  </w:r>
                  <w:r>
                    <w:rPr>
                      <w:rFonts w:ascii="Times New Roman" w:cs="Times New Roman" w:hAnsi="Times New Roman" w:hint="eastAsia"/>
                      <w:caps w:val="0"/>
                      <w:smallCaps w:val="0"/>
                      <w:color w:val="auto"/>
                      <w:spacing w:val="0"/>
                      <w:sz w:val="21"/>
                      <w:szCs w:val="21"/>
                      <w:lang w:val="en-US" w:eastAsia="zh-CN"/>
                      <w:highlight w:val="none"/>
                    </w:rPr>
                    <w:t>9</w:t>
                  </w:r>
                  <w:r>
                    <w:rPr>
                      <w:rFonts w:ascii="Times New Roman" w:cs="Times New Roman" w:hAnsi="Times New Roman" w:hint="eastAsia"/>
                      <w:caps w:val="0"/>
                      <w:smallCaps w:val="0"/>
                      <w:color w:val="auto"/>
                      <w:spacing w:val="0"/>
                      <w:sz w:val="21"/>
                      <w:szCs w:val="21"/>
                      <w:lang w:eastAsia="zh-CN"/>
                      <w:highlight w:val="none"/>
                    </w:rPr>
                    <w:t>标准</w:t>
                  </w:r>
                </w:p>
              </w:tc>
              <w:tc>
                <w:tcPr>
                  <w:tcW w:w="234"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314"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14"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lang w:val="en-US" w:eastAsia="zh-CN"/>
                      <w:highlight w:val="none"/>
                    </w:rPr>
                    <w:t>-</w:t>
                  </w:r>
                </w:p>
              </w:tc>
              <w:tc>
                <w:tcPr>
                  <w:tcW w:w="597"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lang w:val="en-US" w:eastAsia="zh-CN"/>
                      <w:highlight w:val="none"/>
                    </w:rPr>
                    <w:t>-</w:t>
                  </w:r>
                </w:p>
              </w:tc>
              <w:tc>
                <w:tcPr>
                  <w:tcW w:w="766" w:type="dxa"/>
                  <w:vMerge w:val="restart"/>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snapToGrid w:val="0"/>
                      <w:color w:val="auto"/>
                      <w:szCs w:val="21"/>
                      <w:highlight w:val="none"/>
                    </w:rPr>
                  </w:pPr>
                  <w:r>
                    <w:rPr>
                      <w:rFonts w:ascii="Times New Roman" w:cs="Times New Roman" w:hAnsi="Times New Roman" w:hint="eastAsia"/>
                      <w:bCs/>
                      <w:color w:val="auto"/>
                      <w:sz w:val="21"/>
                      <w:szCs w:val="21"/>
                      <w:lang w:val="en-US" w:eastAsia="zh-CN"/>
                      <w:highlight w:val="none"/>
                    </w:rPr>
                    <w:t>-</w:t>
                  </w:r>
                </w:p>
              </w:tc>
              <w:tc>
                <w:tcPr>
                  <w:tcW w:w="1214" w:type="dxa"/>
                  <w:vMerge w:val="restart"/>
                  <w:tcBorders>
                    <w:left w:val="single" w:sz="4" w:space="0" w:color="auto"/>
                  </w:tcBorders>
                  <w:noWrap/>
                  <w:vAlign w:val="center"/>
                </w:tcPr>
                <w:p>
                  <w:pPr>
                    <w:keepNext w:val="0"/>
                    <w:keepLines w:val="0"/>
                    <w:suppressLineNumbers w:val="0"/>
                    <w:tabs>
                      <w:tab w:val="left" w:pos="360"/>
                    </w:tabs>
                    <w:autoSpaceDE w:val="0"/>
                    <w:autoSpaceDN w:val="0"/>
                    <w:adjustRightInd w:val="0"/>
                    <w:spacing w:before="0" w:beforeAutospacing="0" w:after="0" w:afterAutospacing="0" w:line="320" w:lineRule="exact"/>
                    <w:ind w:left="0" w:right="0"/>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r>
            <w:tr>
              <w:trPr>
                <w:trHeight w:val="1450"/>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氨</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0.104</w:t>
                  </w:r>
                </w:p>
              </w:tc>
              <w:tc>
                <w:tcPr>
                  <w:tcW w:w="496" w:type="dxa"/>
                  <w:vMerge/>
                  <w:tcBorders>
                    <w:left w:val="single" w:sz="4" w:space="0" w:color="auto"/>
                  </w:tcBorders>
                  <w:noWrap/>
                  <w:vAlign w:val="center"/>
                </w:tcP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508"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w:t>
                  </w:r>
                </w:p>
              </w:tc>
              <w:tc>
                <w:tcPr>
                  <w:tcW w:w="573" w:type="dxa"/>
                  <w:vMerge/>
                  <w:tcBorders>
                    <w:left w:val="single" w:sz="4" w:space="0" w:color="auto"/>
                  </w:tcBorders>
                  <w:shd w:val="clear" w:color="auto" w:fill="auto"/>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0.104</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0.022</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0.036</w:t>
                  </w:r>
                </w:p>
              </w:tc>
              <w:tc>
                <w:tcPr>
                  <w:tcW w:w="332" w:type="dxa"/>
                  <w:vMerge/>
                  <w:tcBorders>
                    <w:left w:val="single" w:sz="4" w:space="0" w:color="auto"/>
                  </w:tcBorders>
                  <w:noWrap/>
                  <w:vAlign w:val="center"/>
                </w:tcP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r>
              <w:trPr>
                <w:trHeight w:val="1450"/>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臭气浓度</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96" w:type="dxa"/>
                  <w:vMerge/>
                  <w:tcBorders>
                    <w:left w:val="single" w:sz="4" w:space="0" w:color="auto"/>
                  </w:tcBorders>
                  <w:noWrap/>
                  <w:vAlign w:val="center"/>
                </w:tcP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08"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73" w:type="dxa"/>
                  <w:vMerge/>
                  <w:tcBorders>
                    <w:left w:val="single" w:sz="4" w:space="0" w:color="auto"/>
                  </w:tcBorders>
                  <w:shd w:val="clear" w:color="auto" w:fill="auto"/>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15</w:t>
                  </w:r>
                </w:p>
              </w:tc>
              <w:tc>
                <w:tcPr>
                  <w:tcW w:w="332" w:type="dxa"/>
                  <w:vMerge/>
                  <w:tcBorders>
                    <w:left w:val="single" w:sz="4" w:space="0" w:color="auto"/>
                  </w:tcBorders>
                  <w:noWrap/>
                  <w:vAlign w:val="center"/>
                </w:tcP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r>
              <w:trPr>
                <w:trHeight w:val="1450"/>
              </w:trPr>
              <w:tc>
                <w:tcPr>
                  <w:tcW w:w="762" w:type="dxa"/>
                  <w:vMerge/>
                  <w:noWrap/>
                  <w:vAlign w:val="center"/>
                </w:tcPr>
                <w:p/>
              </w:tc>
              <w:tc>
                <w:tcPr>
                  <w:tcW w:w="423"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非甲烷总烃</w:t>
                  </w:r>
                </w:p>
              </w:tc>
              <w:tc>
                <w:tcPr>
                  <w:tcW w:w="459" w:type="dxa"/>
                  <w:tcBorders>
                    <w:left w:val="single" w:sz="4" w:space="0" w:color="auto"/>
                  </w:tcBorders>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0.127</w:t>
                  </w:r>
                </w:p>
              </w:tc>
              <w:tc>
                <w:tcPr>
                  <w:tcW w:w="496" w:type="dxa"/>
                  <w:vMerge/>
                  <w:tcBorders>
                    <w:left w:val="single" w:sz="4" w:space="0" w:color="auto"/>
                  </w:tcBorders>
                  <w:noWrap/>
                  <w:vAlign w:val="center"/>
                </w:tcP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463"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08"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375"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573" w:type="dxa"/>
                  <w:vMerge/>
                  <w:tcBorders>
                    <w:left w:val="single" w:sz="4" w:space="0" w:color="auto"/>
                  </w:tcBorders>
                  <w:shd w:val="clear" w:color="auto" w:fill="auto"/>
                  <w:noWrap/>
                  <w:vAlign w:val="center"/>
                </w:tcP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0.127</w:t>
                  </w:r>
                </w:p>
              </w:tc>
              <w:tc>
                <w:tcPr>
                  <w:tcW w:w="459"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0.026</w:t>
                  </w:r>
                </w:p>
              </w:tc>
              <w:tc>
                <w:tcPr>
                  <w:tcW w:w="540" w:type="dxa"/>
                  <w:tcBorders>
                    <w:left w:val="single" w:sz="4" w:space="0" w:color="auto"/>
                  </w:tcBorders>
                  <w:shd w:val="clear" w:color="auto" w:fill="auto"/>
                  <w:noWrap/>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0.043</w:t>
                  </w:r>
                </w:p>
              </w:tc>
              <w:tc>
                <w:tcPr>
                  <w:tcW w:w="332" w:type="dxa"/>
                  <w:vMerge/>
                  <w:tcBorders>
                    <w:left w:val="single" w:sz="4" w:space="0" w:color="auto"/>
                  </w:tcBorders>
                  <w:noWrap/>
                  <w:vAlign w:val="center"/>
                </w:tcPr>
                <w:p/>
              </w:tc>
              <w:tc>
                <w:tcPr>
                  <w:tcW w:w="2962" w:type="dxa"/>
                  <w:tcBorders>
                    <w:left w:val="single" w:sz="4" w:space="0" w:color="auto"/>
                  </w:tcBorders>
                  <w:noWrap/>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《工业企业挥发性有机物排放控制标准》（DB13/2322-2016）表2标准</w:t>
                  </w:r>
                </w:p>
              </w:tc>
              <w:tc>
                <w:tcPr>
                  <w:tcW w:w="234" w:type="dxa"/>
                  <w:vMerge/>
                  <w:tcBorders>
                    <w:left w:val="single" w:sz="4" w:space="0" w:color="auto"/>
                  </w:tcBorders>
                  <w:noWrap/>
                  <w:vAlign w:val="center"/>
                </w:tcPr>
                <w:p/>
              </w:tc>
              <w:tc>
                <w:tcPr>
                  <w:tcW w:w="314" w:type="dxa"/>
                  <w:vMerge/>
                  <w:tcBorders>
                    <w:left w:val="single" w:sz="4" w:space="0" w:color="auto"/>
                  </w:tcBorders>
                  <w:noWrap/>
                  <w:vAlign w:val="center"/>
                </w:tcPr>
                <w:p/>
              </w:tc>
              <w:tc>
                <w:tcPr>
                  <w:tcW w:w="414" w:type="dxa"/>
                  <w:vMerge/>
                  <w:tcBorders>
                    <w:left w:val="single" w:sz="4" w:space="0" w:color="auto"/>
                  </w:tcBorders>
                  <w:noWrap/>
                  <w:vAlign w:val="center"/>
                </w:tcPr>
                <w:p/>
              </w:tc>
              <w:tc>
                <w:tcPr>
                  <w:tcW w:w="597" w:type="dxa"/>
                  <w:vMerge/>
                  <w:tcBorders>
                    <w:left w:val="single" w:sz="4" w:space="0" w:color="auto"/>
                  </w:tcBorders>
                  <w:noWrap/>
                  <w:vAlign w:val="center"/>
                </w:tcPr>
                <w:p/>
              </w:tc>
              <w:tc>
                <w:tcPr>
                  <w:tcW w:w="766" w:type="dxa"/>
                  <w:vMerge/>
                  <w:tcBorders>
                    <w:left w:val="single" w:sz="4" w:space="0" w:color="auto"/>
                  </w:tcBorders>
                  <w:noWrap/>
                  <w:vAlign w:val="center"/>
                </w:tcPr>
                <w:p/>
              </w:tc>
              <w:tc>
                <w:tcPr>
                  <w:tcW w:w="1214" w:type="dxa"/>
                  <w:vMerge/>
                  <w:tcBorders>
                    <w:left w:val="single" w:sz="4" w:space="0" w:color="auto"/>
                  </w:tcBorders>
                  <w:noWrap/>
                  <w:vAlign w:val="center"/>
                </w:tcPr>
                <w:p/>
              </w:tc>
            </w:tr>
          </w:tbl>
          <w:p>
            <w:pPr>
              <w:keepNext w:val="0"/>
              <w:keepLines w:val="0"/>
              <w:suppressLineNumbers w:val="0"/>
              <w:spacing w:before="0" w:beforeAutospacing="0" w:after="0" w:afterAutospacing="0"/>
              <w:ind w:left="0" w:right="0"/>
              <w:jc w:val="both"/>
              <w:rPr>
                <w:rFonts w:cs="Times New Roman" w:hint="eastAsia"/>
                <w:bCs/>
                <w:caps w:val="0"/>
                <w:smallCaps w:val="0"/>
                <w:color w:val="auto"/>
                <w:spacing w:val="0"/>
                <w:sz w:val="24"/>
                <w:szCs w:val="21"/>
                <w:vertAlign w:val="baseline"/>
                <w:lang w:eastAsia="zh-CN"/>
                <w:highlight w:val="none"/>
              </w:rPr>
            </w:pPr>
          </w:p>
          <w:p>
            <w:pPr>
              <w:keepNext w:val="0"/>
              <w:keepLines w:val="0"/>
              <w:suppressLineNumbers w:val="0"/>
              <w:spacing w:before="0" w:beforeAutospacing="0" w:after="0" w:afterAutospacing="0"/>
              <w:ind w:left="0" w:right="0"/>
              <w:jc w:val="both"/>
              <w:rPr>
                <w:rFonts w:cs="Times New Roman" w:hint="eastAsia"/>
                <w:bCs/>
                <w:caps w:val="0"/>
                <w:smallCaps w:val="0"/>
                <w:color w:val="auto"/>
                <w:spacing w:val="0"/>
                <w:sz w:val="24"/>
                <w:szCs w:val="21"/>
                <w:vertAlign w:val="baseline"/>
                <w:lang w:eastAsia="zh-CN"/>
                <w:highlight w:val="none"/>
              </w:rPr>
            </w:pPr>
          </w:p>
          <w:p>
            <w:pPr>
              <w:keepNext w:val="0"/>
              <w:keepLines w:val="0"/>
              <w:suppressLineNumbers w:val="0"/>
              <w:spacing w:before="0" w:beforeAutospacing="0" w:after="0" w:afterAutospacing="0"/>
              <w:ind w:left="0" w:right="0"/>
              <w:jc w:val="both"/>
              <w:rPr>
                <w:rFonts w:cs="Times New Roman" w:hint="eastAsia"/>
                <w:bCs/>
                <w:caps w:val="0"/>
                <w:smallCaps w:val="0"/>
                <w:color w:val="auto"/>
                <w:spacing w:val="0"/>
                <w:sz w:val="24"/>
                <w:szCs w:val="21"/>
                <w:vertAlign w:val="baseline"/>
                <w:lang w:eastAsia="zh-CN"/>
                <w:highlight w:val="none"/>
              </w:rPr>
            </w:pPr>
          </w:p>
          <w:p>
            <w:pPr>
              <w:keepNext w:val="0"/>
              <w:keepLines w:val="0"/>
              <w:suppressLineNumbers w:val="0"/>
              <w:spacing w:before="0" w:beforeAutospacing="0" w:after="0" w:afterAutospacing="0"/>
              <w:ind w:left="0" w:right="0"/>
              <w:jc w:val="both"/>
              <w:rPr>
                <w:rFonts w:cs="Times New Roman" w:hint="eastAsia"/>
                <w:bCs/>
                <w:caps w:val="0"/>
                <w:smallCaps w:val="0"/>
                <w:color w:val="auto"/>
                <w:spacing w:val="0"/>
                <w:sz w:val="24"/>
                <w:szCs w:val="21"/>
                <w:vertAlign w:val="baseline"/>
                <w:lang w:eastAsia="zh-CN"/>
                <w:highlight w:val="none"/>
              </w:rPr>
            </w:pPr>
          </w:p>
          <w:p>
            <w:pPr>
              <w:keepNext w:val="0"/>
              <w:keepLines w:val="0"/>
              <w:suppressLineNumbers w:val="0"/>
              <w:spacing w:before="0" w:beforeAutospacing="0" w:after="0" w:afterAutospacing="0"/>
              <w:ind w:left="0" w:right="0"/>
              <w:jc w:val="both"/>
              <w:rPr>
                <w:rFonts w:cs="Times New Roman" w:hint="eastAsia"/>
                <w:bCs/>
                <w:caps w:val="0"/>
                <w:smallCaps w:val="0"/>
                <w:color w:val="auto"/>
                <w:spacing w:val="0"/>
                <w:sz w:val="24"/>
                <w:szCs w:val="21"/>
                <w:vertAlign w:val="baseline"/>
                <w:lang w:eastAsia="zh-CN"/>
                <w:highlight w:val="none"/>
              </w:rPr>
            </w:pPr>
          </w:p>
          <w:p>
            <w:pPr>
              <w:keepNext w:val="0"/>
              <w:keepLines w:val="0"/>
              <w:suppressLineNumbers w:val="0"/>
              <w:spacing w:before="0" w:beforeAutospacing="0" w:after="0" w:afterAutospacing="0"/>
              <w:ind w:left="0" w:right="0"/>
              <w:jc w:val="both"/>
              <w:rPr>
                <w:rFonts w:ascii="Times New Roman" w:eastAsia="宋体" w:cs="Times New Roman" w:hAnsi="Times New Roman" w:hint="eastAsia"/>
                <w:bCs/>
                <w:caps w:val="0"/>
                <w:smallCaps w:val="0"/>
                <w:color w:val="auto"/>
                <w:spacing w:val="0"/>
                <w:sz w:val="24"/>
                <w:szCs w:val="21"/>
                <w:vertAlign w:val="baseline"/>
                <w:lang w:eastAsia="zh-CN"/>
                <w:highlight w:val="none"/>
              </w:rPr>
            </w:pPr>
          </w:p>
        </w:tc>
      </w:tr>
    </w:tbl>
    <w:p>
      <w:pPr>
        <w:rPr>
          <w:rFonts w:ascii="Times New Roman" w:eastAsia="宋体" w:cs="Times New Roman" w:hAnsi="Times New Roman"/>
          <w:bCs/>
          <w:caps w:val="0"/>
          <w:smallCaps w:val="0"/>
          <w:color w:val="auto"/>
          <w:spacing w:val="0"/>
          <w:sz w:val="24"/>
          <w:szCs w:val="21"/>
          <w:highlight w:val="none"/>
        </w:rPr>
      </w:pPr>
      <w:r>
        <w:rPr>
          <w:rFonts w:ascii="Times New Roman" w:eastAsia="宋体" w:cs="Times New Roman" w:hAnsi="Times New Roman"/>
          <w:bCs/>
          <w:caps w:val="0"/>
          <w:smallCaps w:val="0"/>
          <w:color w:val="auto"/>
          <w:spacing w:val="0"/>
          <w:sz w:val="24"/>
          <w:szCs w:val="21"/>
          <w:highlight w:val="none"/>
        </w:rPr>
        <w:br w:type="page"/>
      </w:r>
    </w:p>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sectPr>
          <w:pgSz w:w="16840" w:h="11907" w:orient="landscape"/>
          <w:pgMar w:top="1800" w:right="1440" w:bottom="1800" w:left="1440" w:header="851" w:footer="992" w:gutter="0"/>
          <w:cols w:num="1" w:space="720"/>
          <w:docGrid w:type="linesAndChars" w:linePitch="319" w:charSpace="0"/>
        </w:sectPr>
      </w:pPr>
    </w:p>
    <w:tbl>
      <w:tblPr>
        <w:jc w:val="left"/>
        <w:tblInd w:w="0" w:type="dx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455"/>
        <w:gridCol w:w="8066"/>
      </w:tblGrid>
      <w:tr>
        <w:trPr>
          <w:trHeight w:val="13488"/>
        </w:trPr>
        <w:tc>
          <w:tcPr>
            <w:tcW w:w="267" w:type="pct"/>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bCs/>
                <w:caps w:val="0"/>
                <w:smallCaps w:val="0"/>
                <w:color w:val="auto"/>
                <w:spacing w:val="0"/>
                <w:sz w:val="24"/>
                <w:szCs w:val="21"/>
                <w:highlight w:val="none"/>
              </w:rPr>
            </w:pPr>
          </w:p>
        </w:tc>
        <w:tc>
          <w:tcPr>
            <w:tcW w:w="4732" w:type="pct"/>
          </w:tcPr>
          <w:p>
            <w:pPr>
              <w:keepNext w:val="0"/>
              <w:keepLines w:val="0"/>
              <w:widowControl/>
              <w:suppressLineNumbers w:val="0"/>
              <w:autoSpaceDE w:val="0"/>
              <w:spacing w:before="0" w:beforeAutospacing="0" w:after="0" w:afterAutospacing="0" w:line="440" w:lineRule="exact"/>
              <w:ind w:left="0" w:right="0" w:firstLineChars="200" w:firstLine="480"/>
              <w:jc w:val="left"/>
              <w:rPr>
                <w:b/>
                <w:bCs/>
                <w:color w:val="auto"/>
                <w:kern w:val="0"/>
                <w:sz w:val="24"/>
                <w:szCs w:val="24"/>
                <w:highlight w:val="none"/>
              </w:rPr>
            </w:pPr>
            <w:r>
              <w:rPr>
                <w:rFonts w:ascii="Times New Roman" w:cs="Times New Roman" w:hAnsi="Times New Roman"/>
                <w:b/>
                <w:bCs/>
                <w:color w:val="auto"/>
                <w:kern w:val="0"/>
                <w:sz w:val="24"/>
                <w:szCs w:val="24"/>
                <w:highlight w:val="none"/>
              </w:rPr>
              <w:t>（2）非正常工况</w:t>
            </w:r>
          </w:p>
          <w:p>
            <w:pPr>
              <w:keepNext w:val="0"/>
              <w:keepLines w:val="0"/>
              <w:suppressLineNumbers w:val="0"/>
              <w:autoSpaceDE w:val="0"/>
              <w:spacing w:before="0" w:beforeAutospacing="0" w:after="0" w:afterAutospacing="0" w:line="440" w:lineRule="exact"/>
              <w:ind w:left="0" w:right="0" w:firstLineChars="200" w:firstLine="480"/>
              <w:jc w:val="left"/>
              <w:rPr>
                <w:color w:val="auto"/>
                <w:sz w:val="24"/>
                <w:szCs w:val="24"/>
                <w:highlight w:val="none"/>
              </w:rPr>
            </w:pPr>
            <w:r>
              <w:rPr>
                <w:rFonts w:ascii="Times New Roman" w:cs="Times New Roman" w:hAnsi="Times New Roman"/>
                <w:color w:val="auto"/>
                <w:sz w:val="24"/>
                <w:szCs w:val="24"/>
                <w:highlight w:val="none"/>
              </w:rPr>
              <w:t>非正常生产排污包括开车、停车、检修和非正常工况的污染物排放。如有计划的开停车检修和临时性故障停车的污染物排放及工艺设备和环保设施不能正常运行时污染物的排放等。</w:t>
            </w:r>
          </w:p>
          <w:p>
            <w:pPr>
              <w:keepNext w:val="0"/>
              <w:keepLines w:val="0"/>
              <w:suppressLineNumbers w:val="0"/>
              <w:autoSpaceDE w:val="0"/>
              <w:spacing w:before="0" w:beforeAutospacing="0" w:after="0" w:afterAutospacing="0" w:line="440" w:lineRule="exact"/>
              <w:ind w:left="0" w:right="0" w:firstLineChars="200" w:firstLine="480"/>
              <w:jc w:val="left"/>
              <w:rPr>
                <w:color w:val="auto"/>
                <w:sz w:val="24"/>
                <w:szCs w:val="24"/>
                <w:highlight w:val="none"/>
              </w:rPr>
            </w:pPr>
            <w:r>
              <w:rPr>
                <w:rFonts w:ascii="Times New Roman" w:cs="Times New Roman" w:hAnsi="Times New Roman"/>
                <w:color w:val="auto"/>
                <w:sz w:val="24"/>
                <w:szCs w:val="24"/>
                <w:highlight w:val="none"/>
              </w:rPr>
              <w:t>在某些非正常生产工况时，污染源强会发生很大的变化，致使装置污染物产生量在短期内大幅增加。</w:t>
            </w:r>
          </w:p>
          <w:p>
            <w:pPr>
              <w:keepNext w:val="0"/>
              <w:keepLines w:val="0"/>
              <w:suppressLineNumbers w:val="0"/>
              <w:spacing w:before="0" w:beforeAutospacing="0" w:after="0" w:afterAutospacing="0" w:line="440" w:lineRule="exact"/>
              <w:ind w:left="0" w:right="0" w:firstLineChars="200" w:firstLine="480"/>
              <w:jc w:val="both"/>
              <w:rPr>
                <w:color w:val="auto"/>
                <w:sz w:val="24"/>
                <w:szCs w:val="22"/>
                <w:highlight w:val="none"/>
              </w:rPr>
            </w:pPr>
            <w:r>
              <w:rPr>
                <w:rFonts w:ascii="Times New Roman" w:cs="Times New Roman" w:hAnsi="Times New Roman"/>
                <w:color w:val="auto"/>
                <w:sz w:val="24"/>
                <w:szCs w:val="22"/>
                <w:highlight w:val="none"/>
              </w:rPr>
              <w:t>1）开、停车</w:t>
            </w:r>
          </w:p>
          <w:p>
            <w:pPr>
              <w:keepNext w:val="0"/>
              <w:keepLines w:val="0"/>
              <w:suppressLineNumbers w:val="0"/>
              <w:spacing w:before="0" w:beforeAutospacing="0" w:after="0" w:afterAutospacing="0" w:line="440" w:lineRule="exact"/>
              <w:ind w:left="0" w:right="0" w:firstLineChars="200" w:firstLine="480"/>
              <w:jc w:val="both"/>
              <w:rPr>
                <w:rFonts w:hint="eastAsia"/>
                <w:color w:val="auto"/>
                <w:sz w:val="24"/>
                <w:szCs w:val="22"/>
                <w:lang w:eastAsia="zh-CN"/>
                <w:highlight w:val="none"/>
              </w:rPr>
            </w:pPr>
            <w:r>
              <w:rPr>
                <w:rFonts w:ascii="Times New Roman" w:cs="Times New Roman" w:hAnsi="Times New Roman"/>
                <w:color w:val="auto"/>
                <w:sz w:val="24"/>
                <w:szCs w:val="22"/>
                <w:highlight w:val="none"/>
              </w:rPr>
              <w:t>车间开工时，首先运行所有的废气处理装置，然后再开启车间的工艺设备；车间停工时，所有的废气处理装置继续运转，待工艺中的废气全部排出后才逐台关闭</w:t>
            </w:r>
            <w:r>
              <w:rPr>
                <w:rFonts w:ascii="Times New Roman" w:cs="Times New Roman" w:hAnsi="Times New Roman" w:hint="eastAsia"/>
                <w:color w:val="auto"/>
                <w:sz w:val="24"/>
                <w:szCs w:val="22"/>
                <w:lang w:eastAsia="zh-CN"/>
                <w:highlight w:val="none"/>
              </w:rPr>
              <w:t>。</w:t>
            </w:r>
          </w:p>
          <w:p>
            <w:pPr>
              <w:keepNext w:val="0"/>
              <w:keepLines w:val="0"/>
              <w:suppressLineNumbers w:val="0"/>
              <w:spacing w:before="0" w:beforeAutospacing="0" w:after="0" w:afterAutospacing="0" w:line="440" w:lineRule="exact"/>
              <w:ind w:left="0" w:right="0" w:firstLineChars="200" w:firstLine="480"/>
              <w:jc w:val="both"/>
              <w:rPr>
                <w:color w:val="auto"/>
                <w:sz w:val="24"/>
                <w:szCs w:val="22"/>
                <w:highlight w:val="none"/>
              </w:rPr>
            </w:pPr>
            <w:r>
              <w:rPr>
                <w:rFonts w:ascii="Times New Roman" w:cs="Times New Roman" w:hAnsi="Times New Roman"/>
                <w:color w:val="auto"/>
                <w:sz w:val="24"/>
                <w:szCs w:val="22"/>
                <w:highlight w:val="none"/>
              </w:rPr>
              <w:t>因此，车间在开、停车时排出污染物均得到有效处理，经排气筒排出的污染物浓度和正常生产时基本一致。</w:t>
            </w:r>
          </w:p>
          <w:p>
            <w:pPr>
              <w:keepNext w:val="0"/>
              <w:keepLines w:val="0"/>
              <w:suppressLineNumbers w:val="0"/>
              <w:spacing w:before="0" w:beforeAutospacing="0" w:after="0" w:afterAutospacing="0" w:line="440" w:lineRule="exact"/>
              <w:ind w:left="0" w:right="0" w:firstLineChars="200" w:firstLine="480"/>
              <w:jc w:val="both"/>
              <w:rPr>
                <w:color w:val="auto"/>
                <w:sz w:val="24"/>
                <w:szCs w:val="22"/>
                <w:highlight w:val="none"/>
              </w:rPr>
            </w:pPr>
            <w:r>
              <w:rPr>
                <w:rFonts w:ascii="Times New Roman" w:cs="Times New Roman" w:hAnsi="Times New Roman"/>
                <w:color w:val="auto"/>
                <w:sz w:val="24"/>
                <w:szCs w:val="22"/>
                <w:highlight w:val="none"/>
              </w:rPr>
              <w:t>2）废气处理设施故障</w:t>
            </w:r>
          </w:p>
          <w:p>
            <w:pPr>
              <w:pStyle w:val="45"/>
              <w:keepNext w:val="0"/>
              <w:keepLines w:val="0"/>
              <w:widowControl w:val="0"/>
              <w:suppressLineNumbers w:val="0"/>
              <w:autoSpaceDE w:val="0"/>
              <w:spacing w:before="0" w:beforeAutospacing="0" w:after="0" w:afterAutospacing="0" w:line="440" w:lineRule="exact"/>
              <w:ind w:left="0" w:right="0" w:firstLineChars="200" w:firstLine="480"/>
              <w:jc w:val="both"/>
              <w:rPr>
                <w:rFonts w:ascii="Times New Roman" w:cs="Times New Roman" w:hAnsi="Times New Roman"/>
                <w:color w:val="auto"/>
                <w:kern w:val="2"/>
                <w:highlight w:val="none"/>
              </w:rPr>
            </w:pPr>
            <w:r>
              <w:rPr>
                <w:rFonts w:ascii="Times New Roman" w:cs="Times New Roman" w:hAnsi="Times New Roman"/>
                <w:color w:val="auto"/>
                <w:sz w:val="24"/>
                <w:szCs w:val="22"/>
                <w:highlight w:val="none"/>
              </w:rPr>
              <w:t>废气处理设施故障主要指：</w:t>
            </w:r>
            <w:r>
              <w:rPr>
                <w:rFonts w:ascii="Times New Roman" w:cs="Times New Roman" w:hAnsi="Times New Roman" w:hint="eastAsia"/>
                <w:color w:val="auto"/>
                <w:sz w:val="24"/>
                <w:szCs w:val="22"/>
                <w:lang w:eastAsia="zh-CN"/>
                <w:highlight w:val="none"/>
              </w:rPr>
              <w:t>布袋除尘器+两级活性炭吸附装置</w:t>
            </w:r>
            <w:r>
              <w:rPr>
                <w:rFonts w:ascii="Times New Roman" w:cs="Times New Roman" w:hAnsi="Times New Roman" w:hint="eastAsia"/>
                <w:color w:val="auto"/>
                <w:sz w:val="24"/>
                <w:szCs w:val="22"/>
                <w:highlight w:val="none"/>
              </w:rPr>
              <w:t>装置</w:t>
            </w:r>
            <w:r>
              <w:rPr>
                <w:rFonts w:ascii="Times New Roman" w:cs="Times New Roman" w:hAnsi="Times New Roman"/>
                <w:color w:val="auto"/>
                <w:sz w:val="24"/>
                <w:szCs w:val="22"/>
                <w:highlight w:val="none"/>
              </w:rPr>
              <w:t>故障造成废气去除效率下降</w:t>
            </w:r>
            <w:r>
              <w:rPr>
                <w:rFonts w:ascii="Times New Roman" w:cs="Times New Roman" w:hAnsi="Times New Roman" w:hint="eastAsia"/>
                <w:color w:val="auto"/>
                <w:sz w:val="24"/>
                <w:szCs w:val="22"/>
                <w:lang w:eastAsia="zh-CN"/>
                <w:highlight w:val="none"/>
              </w:rPr>
              <w:t>，</w:t>
            </w:r>
            <w:r>
              <w:rPr>
                <w:rFonts w:ascii="Times New Roman" w:cs="Times New Roman" w:hAnsi="Times New Roman"/>
                <w:color w:val="auto"/>
                <w:sz w:val="24"/>
                <w:szCs w:val="22"/>
                <w:highlight w:val="none"/>
              </w:rPr>
              <w:t>废气排放浓度增加。</w:t>
            </w:r>
            <w:r>
              <w:rPr>
                <w:rFonts w:ascii="Times New Roman" w:cs="Times New Roman" w:hAnsi="Times New Roman"/>
                <w:color w:val="auto"/>
                <w:kern w:val="2"/>
                <w:sz w:val="24"/>
                <w:szCs w:val="20"/>
                <w:highlight w:val="none"/>
              </w:rPr>
              <w:t>根据污染源污染物产生浓度核算非正常排放情况见表4-</w:t>
            </w:r>
            <w:r>
              <w:rPr>
                <w:rFonts w:ascii="Times New Roman" w:cs="Times New Roman" w:hAnsi="Times New Roman" w:hint="eastAsia"/>
                <w:color w:val="auto"/>
                <w:kern w:val="2"/>
                <w:sz w:val="24"/>
                <w:szCs w:val="20"/>
                <w:lang w:val="en-US" w:eastAsia="zh-CN"/>
                <w:highlight w:val="none"/>
              </w:rPr>
              <w:t>2</w:t>
            </w:r>
            <w:r>
              <w:rPr>
                <w:rFonts w:ascii="Times New Roman" w:cs="Times New Roman" w:hAnsi="Times New Roman"/>
                <w:color w:val="auto"/>
                <w:kern w:val="2"/>
                <w:sz w:val="24"/>
                <w:szCs w:val="20"/>
                <w:highlight w:val="none"/>
              </w:rPr>
              <w:t>。</w:t>
            </w:r>
          </w:p>
          <w:p>
            <w:pPr>
              <w:pStyle w:val="147"/>
              <w:keepNext w:val="0"/>
              <w:keepLines w:val="0"/>
              <w:suppressLineNumbers w:val="0"/>
              <w:tabs>
                <w:tab w:val="left" w:pos="6521"/>
              </w:tabs>
              <w:spacing w:before="0" w:beforeAutospacing="0" w:after="0" w:afterAutospacing="0" w:line="440" w:lineRule="exact"/>
              <w:ind w:left="0" w:right="0"/>
              <w:jc w:val="both"/>
              <w:rPr>
                <w:color w:val="auto"/>
                <w:highlight w:val="none"/>
              </w:rPr>
            </w:pPr>
            <w:r>
              <w:rPr>
                <w:rFonts w:ascii="Times New Roman" w:cs="Times New Roman" w:hAnsi="Times New Roman"/>
                <w:color w:val="auto"/>
                <w:sz w:val="24"/>
                <w:szCs w:val="20"/>
                <w:highlight w:val="none"/>
              </w:rPr>
              <w:t>表4-</w:t>
            </w:r>
            <w:r>
              <w:rPr>
                <w:rFonts w:ascii="Times New Roman" w:cs="Times New Roman" w:hAnsi="Times New Roman" w:hint="eastAsia"/>
                <w:color w:val="auto"/>
                <w:sz w:val="24"/>
                <w:szCs w:val="20"/>
                <w:lang w:val="en-US" w:eastAsia="zh-CN"/>
                <w:highlight w:val="none"/>
              </w:rPr>
              <w:t>2</w:t>
            </w:r>
            <w:r>
              <w:rPr>
                <w:rFonts w:ascii="Times New Roman" w:cs="Times New Roman" w:hAnsi="Times New Roman"/>
                <w:color w:val="auto"/>
                <w:sz w:val="24"/>
                <w:szCs w:val="20"/>
                <w:highlight w:val="none"/>
              </w:rPr>
              <w:t xml:space="preserve">    非正常排放污染排放源强一览表</w:t>
            </w:r>
          </w:p>
          <w:tbl>
            <w:tblPr>
              <w:jc w:val="center"/>
              <w:tblW w:w="49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061"/>
              <w:gridCol w:w="941"/>
              <w:gridCol w:w="597"/>
              <w:gridCol w:w="773"/>
              <w:gridCol w:w="803"/>
              <w:gridCol w:w="440"/>
              <w:gridCol w:w="1130"/>
              <w:gridCol w:w="1130"/>
              <w:gridCol w:w="809"/>
            </w:tblGrid>
            <w:tr>
              <w:trPr>
                <w:trHeight w:val="501"/>
              </w:trPr>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污染源</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非正常工况</w:t>
                  </w:r>
                </w:p>
              </w:tc>
              <w:tc>
                <w:tcPr>
                  <w:tcW w:w="388"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污染因子</w:t>
                  </w:r>
                </w:p>
              </w:tc>
              <w:tc>
                <w:tcPr>
                  <w:tcW w:w="503"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持续时间（h）</w:t>
                  </w:r>
                </w:p>
              </w:tc>
              <w:tc>
                <w:tcPr>
                  <w:tcW w:w="522"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废气（m</w:t>
                  </w:r>
                  <w:r>
                    <w:rPr>
                      <w:rFonts w:ascii="Times New Roman" w:cs="Times New Roman" w:hAnsi="Times New Roman"/>
                      <w:bCs/>
                      <w:color w:val="auto"/>
                      <w:sz w:val="21"/>
                      <w:szCs w:val="21"/>
                      <w:vertAlign w:val="superscript"/>
                      <w:highlight w:val="none"/>
                    </w:rPr>
                    <w:t>3</w:t>
                  </w:r>
                  <w:r>
                    <w:rPr>
                      <w:rFonts w:ascii="Times New Roman" w:cs="Times New Roman" w:hAnsi="Times New Roman"/>
                      <w:bCs/>
                      <w:color w:val="auto"/>
                      <w:sz w:val="21"/>
                      <w:szCs w:val="21"/>
                      <w:highlight w:val="none"/>
                    </w:rPr>
                    <w:t>/h）</w:t>
                  </w:r>
                </w:p>
              </w:tc>
              <w:tc>
                <w:tcPr>
                  <w:tcW w:w="28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效率</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排放量（kg/</w:t>
                  </w:r>
                  <w:r>
                    <w:rPr>
                      <w:rFonts w:ascii="Times New Roman" w:cs="Times New Roman" w:hAnsi="Times New Roman" w:hint="eastAsia"/>
                      <w:bCs/>
                      <w:color w:val="auto"/>
                      <w:sz w:val="21"/>
                      <w:szCs w:val="21"/>
                      <w:lang w:val="en-US" w:eastAsia="zh-CN"/>
                      <w:highlight w:val="none"/>
                    </w:rPr>
                    <w:t>次</w:t>
                  </w:r>
                  <w:r>
                    <w:rPr>
                      <w:rFonts w:ascii="Times New Roman" w:cs="Times New Roman" w:hAnsi="Times New Roman"/>
                      <w:bCs/>
                      <w:color w:val="auto"/>
                      <w:sz w:val="21"/>
                      <w:szCs w:val="21"/>
                      <w:highlight w:val="none"/>
                    </w:rPr>
                    <w:t>）</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排放浓度（mg/m</w:t>
                  </w:r>
                  <w:r>
                    <w:rPr>
                      <w:rFonts w:ascii="Times New Roman" w:cs="Times New Roman" w:hAnsi="Times New Roman"/>
                      <w:bCs/>
                      <w:color w:val="auto"/>
                      <w:sz w:val="21"/>
                      <w:szCs w:val="21"/>
                      <w:vertAlign w:val="superscript"/>
                      <w:highlight w:val="none"/>
                    </w:rPr>
                    <w:t>3</w:t>
                  </w:r>
                  <w:r>
                    <w:rPr>
                      <w:rFonts w:ascii="Times New Roman" w:cs="Times New Roman" w:hAnsi="Times New Roman"/>
                      <w:bCs/>
                      <w:color w:val="auto"/>
                      <w:sz w:val="21"/>
                      <w:szCs w:val="21"/>
                      <w:highlight w:val="none"/>
                    </w:rPr>
                    <w:t>）</w:t>
                  </w:r>
                </w:p>
              </w:tc>
              <w:tc>
                <w:tcPr>
                  <w:tcW w:w="52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发生频次</w:t>
                  </w:r>
                </w:p>
              </w:tc>
            </w:tr>
            <w:tr>
              <w:trPr>
                <w:trHeight w:val="669"/>
              </w:trPr>
              <w:tc>
                <w:tcPr>
                  <w:tcW w:w="690" w:type="pct"/>
                  <w:vMerge w:val="restart"/>
                  <w:tcBorders>
                    <w:top w:val="single" w:sz="4" w:space="0" w:color="auto"/>
                    <w:left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20" w:lineRule="exact"/>
                    <w:ind w:left="0" w:right="0"/>
                    <w:jc w:val="center"/>
                    <w:textAlignment w:val="baseline"/>
                    <w:rPr>
                      <w:rFonts w:ascii="Times New Roman" w:eastAsia="宋体" w:cs="Times New Roman" w:hAnsi="Times New Roman" w:hint="eastAsia"/>
                      <w:color w:val="auto"/>
                      <w:kern w:val="2"/>
                      <w:sz w:val="21"/>
                      <w:szCs w:val="21"/>
                      <w:lang w:eastAsia="zh-CN"/>
                      <w:highlight w:val="none"/>
                    </w:rPr>
                  </w:pPr>
                  <w:r>
                    <w:rPr>
                      <w:rFonts w:ascii="Times New Roman" w:cs="Times New Roman" w:hAnsi="Times New Roman" w:hint="eastAsia"/>
                      <w:bCs/>
                      <w:color w:val="auto"/>
                      <w:sz w:val="21"/>
                      <w:szCs w:val="21"/>
                      <w:lang w:eastAsia="zh-CN"/>
                      <w:highlight w:val="none"/>
                    </w:rPr>
                    <w:t>拆包、投料、烘干、注塑废气</w:t>
                  </w:r>
                </w:p>
              </w:tc>
              <w:tc>
                <w:tcPr>
                  <w:tcW w:w="612" w:type="pct"/>
                  <w:vMerge w:val="restart"/>
                  <w:tcBorders>
                    <w:top w:val="single" w:sz="4" w:space="0" w:color="auto"/>
                    <w:left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bCs/>
                      <w:color w:val="auto"/>
                      <w:szCs w:val="21"/>
                      <w:highlight w:val="none"/>
                    </w:rPr>
                  </w:pPr>
                  <w:r>
                    <w:rPr>
                      <w:rFonts w:ascii="Times New Roman" w:cs="Times New Roman" w:hAnsi="Times New Roman" w:hint="eastAsia"/>
                      <w:bCs/>
                      <w:color w:val="auto"/>
                      <w:sz w:val="21"/>
                      <w:szCs w:val="21"/>
                      <w:lang w:eastAsia="zh-CN"/>
                      <w:highlight w:val="none"/>
                    </w:rPr>
                    <w:t>布袋除尘器+两级活性炭吸附装置</w:t>
                  </w:r>
                  <w:r>
                    <w:rPr>
                      <w:rFonts w:ascii="Times New Roman" w:cs="Times New Roman" w:hAnsi="Times New Roman" w:hint="eastAsia"/>
                      <w:bCs/>
                      <w:color w:val="auto"/>
                      <w:sz w:val="21"/>
                      <w:szCs w:val="21"/>
                      <w:highlight w:val="none"/>
                    </w:rPr>
                    <w:t>故障</w:t>
                  </w:r>
                </w:p>
              </w:tc>
              <w:tc>
                <w:tcPr>
                  <w:tcW w:w="388"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颗粒物</w:t>
                  </w:r>
                </w:p>
              </w:tc>
              <w:tc>
                <w:tcPr>
                  <w:tcW w:w="503"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hint="eastAsia"/>
                      <w:bCs/>
                      <w:color w:val="auto"/>
                      <w:sz w:val="21"/>
                      <w:szCs w:val="21"/>
                      <w:lang w:eastAsia="zh-CN"/>
                      <w:highlight w:val="none"/>
                    </w:rPr>
                  </w:pPr>
                  <w:r>
                    <w:rPr>
                      <w:rFonts w:ascii="Times New Roman" w:cs="Times New Roman" w:hAnsi="Times New Roman" w:hint="eastAsia"/>
                      <w:bCs/>
                      <w:color w:val="auto"/>
                      <w:sz w:val="21"/>
                      <w:szCs w:val="21"/>
                      <w:lang w:val="en-US" w:eastAsia="zh-CN"/>
                      <w:highlight w:val="none"/>
                    </w:rPr>
                    <w:t>1</w:t>
                  </w:r>
                </w:p>
              </w:tc>
              <w:tc>
                <w:tcPr>
                  <w:tcW w:w="522" w:type="pct"/>
                  <w:vMerge w:val="restart"/>
                  <w:tcBorders>
                    <w:top w:val="single" w:sz="4" w:space="0" w:color="auto"/>
                    <w:left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10000</w:t>
                  </w:r>
                </w:p>
              </w:tc>
              <w:tc>
                <w:tcPr>
                  <w:tcW w:w="28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0</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0.094</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9.375</w:t>
                  </w:r>
                </w:p>
              </w:tc>
              <w:tc>
                <w:tcPr>
                  <w:tcW w:w="52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1次/年</w:t>
                  </w:r>
                </w:p>
              </w:tc>
            </w:tr>
            <w:tr>
              <w:trPr>
                <w:trHeight w:val="951"/>
              </w:trPr>
              <w:tc>
                <w:tcPr>
                  <w:tcW w:w="690" w:type="pct"/>
                  <w:vMerge/>
                  <w:tcBorders>
                    <w:left w:val="single" w:sz="4" w:space="0" w:color="auto"/>
                    <w:right w:val="single" w:sz="4" w:space="0" w:color="auto"/>
                  </w:tcBorders>
                  <w:shd w:val="clear" w:color="auto" w:fill="auto"/>
                  <w:vAlign w:val="center"/>
                </w:tcPr>
                <w:p/>
              </w:tc>
              <w:tc>
                <w:tcPr>
                  <w:tcW w:w="612" w:type="pct"/>
                  <w:vMerge/>
                  <w:tcBorders>
                    <w:left w:val="single" w:sz="4" w:space="0" w:color="auto"/>
                    <w:right w:val="single" w:sz="4" w:space="0" w:color="auto"/>
                  </w:tcBorders>
                  <w:shd w:val="clear" w:color="auto" w:fill="auto"/>
                  <w:vAlign w:val="center"/>
                </w:tcPr>
                <w:p/>
              </w:tc>
              <w:tc>
                <w:tcPr>
                  <w:tcW w:w="388"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氨</w:t>
                  </w:r>
                </w:p>
              </w:tc>
              <w:tc>
                <w:tcPr>
                  <w:tcW w:w="503"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1</w:t>
                  </w:r>
                </w:p>
              </w:tc>
              <w:tc>
                <w:tcPr>
                  <w:tcW w:w="522" w:type="pct"/>
                  <w:vMerge/>
                  <w:tcBorders>
                    <w:left w:val="single" w:sz="4" w:space="0" w:color="auto"/>
                    <w:right w:val="single" w:sz="4" w:space="0" w:color="auto"/>
                  </w:tcBorders>
                  <w:shd w:val="clear" w:color="auto" w:fill="auto"/>
                  <w:vAlign w:val="center"/>
                </w:tcPr>
                <w:p/>
              </w:tc>
              <w:tc>
                <w:tcPr>
                  <w:tcW w:w="28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hint="eastAsia"/>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0</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0.065</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6.516</w:t>
                  </w:r>
                </w:p>
              </w:tc>
              <w:tc>
                <w:tcPr>
                  <w:tcW w:w="526" w:type="pct"/>
                  <w:tcBorders>
                    <w:top w:val="single" w:sz="4" w:space="0" w:color="auto"/>
                    <w:left w:val="single" w:sz="4" w:space="0" w:color="auto"/>
                    <w:bottom w:val="single" w:sz="4" w:space="0" w:color="auto"/>
                    <w:righ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cs="Times New Roman" w:hAnsi="Times New Roman"/>
                      <w:bCs/>
                      <w:color w:val="auto"/>
                      <w:sz w:val="21"/>
                      <w:szCs w:val="21"/>
                      <w:highlight w:val="none"/>
                    </w:rPr>
                  </w:pPr>
                  <w:r>
                    <w:rPr>
                      <w:rFonts w:ascii="Times New Roman" w:cs="Times New Roman" w:hAnsi="Times New Roman"/>
                      <w:bCs/>
                      <w:color w:val="auto"/>
                      <w:sz w:val="21"/>
                      <w:szCs w:val="21"/>
                      <w:highlight w:val="none"/>
                    </w:rPr>
                    <w:t>1次/年</w:t>
                  </w:r>
                </w:p>
              </w:tc>
            </w:tr>
            <w:tr>
              <w:trPr>
                <w:trHeight w:val="951"/>
              </w:trPr>
              <w:tc>
                <w:tcPr>
                  <w:tcW w:w="690" w:type="pct"/>
                  <w:vMerge/>
                  <w:tcBorders>
                    <w:left w:val="single" w:sz="4" w:space="0" w:color="auto"/>
                    <w:right w:val="single" w:sz="4" w:space="0" w:color="auto"/>
                  </w:tcBorders>
                </w:tcPr>
                <w:p/>
              </w:tc>
              <w:tc>
                <w:tcPr>
                  <w:tcW w:w="612" w:type="pct"/>
                  <w:vMerge/>
                  <w:tcBorders>
                    <w:left w:val="single" w:sz="4" w:space="0" w:color="auto"/>
                    <w:right w:val="single" w:sz="4" w:space="0" w:color="auto"/>
                  </w:tcBorders>
                </w:tcPr>
                <w:p/>
              </w:tc>
              <w:tc>
                <w:tcPr>
                  <w:tcBorders>
                    <w:lef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非甲烷总烃</w:t>
                  </w:r>
                </w:p>
              </w:tc>
              <w:tc>
                <w:tcPr>
                  <w:tcBorders>
                    <w:lef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olor w:val="auto"/>
                      <w:kern w:val="0"/>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1</w:t>
                  </w:r>
                </w:p>
              </w:tc>
              <w:tc>
                <w:tcPr>
                  <w:tcW w:w="522" w:type="pct"/>
                  <w:vMerge/>
                  <w:tcBorders>
                    <w:left w:val="single" w:sz="4" w:space="0" w:color="auto"/>
                    <w:right w:val="single" w:sz="4" w:space="0" w:color="auto"/>
                  </w:tcBorders>
                  <w:shd w:val="clear" w:color="auto" w:fill="auto"/>
                  <w:vAlign w:val="center"/>
                </w:tcPr>
                <w:p/>
              </w:tc>
              <w:tc>
                <w:tcPr>
                  <w:tcBorders>
                    <w:lef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hint="eastAsia"/>
                      <w:bCs/>
                      <w:color w:val="auto"/>
                      <w:kern w:val="0"/>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0</w:t>
                  </w:r>
                </w:p>
              </w:tc>
              <w:tc>
                <w:tcPr>
                  <w:tcBorders>
                    <w:lef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0.079</w:t>
                  </w:r>
                </w:p>
              </w:tc>
              <w:tc>
                <w:tcPr>
                  <w:tcBorders>
                    <w:left w:val="single" w:sz="4" w:space="0" w:color="auto"/>
                  </w:tcBorders>
                  <w:shd w:val="clear" w:color="auto" w:fill="auto"/>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7.922</w:t>
                  </w:r>
                </w:p>
              </w:tc>
              <w:tc>
                <w:tcPr>
                  <w:tcBorders>
                    <w:left w:val="single" w:sz="4" w:space="0" w:color="auto"/>
                  </w:tcBorders>
                  <w:shd w:val="clear" w:color="auto" w:fill="auto"/>
                  <w:vAlign w:val="center"/>
                </w:tcPr>
                <w:p>
                  <w:pPr>
                    <w:pStyle w:val="45"/>
                    <w:keepNext w:val="0"/>
                    <w:keepLines w:val="0"/>
                    <w:widowControl w:val="0"/>
                    <w:suppressLineNumbers w:val="0"/>
                    <w:topLinePunct/>
                    <w:autoSpaceDE w:val="0"/>
                    <w:autoSpaceDN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olor w:val="auto"/>
                      <w:kern w:val="0"/>
                      <w:sz w:val="21"/>
                      <w:szCs w:val="21"/>
                      <w:lang w:val="en-US" w:eastAsia="zh-CN" w:bidi="ar-SA"/>
                      <w:highlight w:val="none"/>
                    </w:rPr>
                  </w:pPr>
                  <w:r>
                    <w:rPr>
                      <w:rFonts w:ascii="Times New Roman" w:cs="Times New Roman" w:hAnsi="Times New Roman"/>
                      <w:bCs/>
                      <w:color w:val="auto"/>
                      <w:sz w:val="21"/>
                      <w:szCs w:val="21"/>
                      <w:highlight w:val="none"/>
                    </w:rPr>
                    <w:t>1次/年</w:t>
                  </w:r>
                </w:p>
              </w:tc>
            </w:tr>
          </w:tbl>
          <w:p>
            <w:pPr>
              <w:pStyle w:val="45"/>
              <w:keepNext w:val="0"/>
              <w:keepLines w:val="0"/>
              <w:widowControl w:val="0"/>
              <w:suppressLineNumbers w:val="0"/>
              <w:autoSpaceDE w:val="0"/>
              <w:spacing w:before="0" w:beforeAutospacing="0" w:after="0" w:afterAutospacing="0" w:line="440" w:lineRule="exact"/>
              <w:ind w:left="0" w:right="0" w:firstLineChars="200" w:firstLine="480"/>
              <w:jc w:val="both"/>
              <w:rPr>
                <w:rFonts w:ascii="Times New Roman" w:eastAsia="宋体" w:cs="Times New Roman" w:hAnsi="Times New Roman"/>
                <w:color w:val="auto"/>
                <w:kern w:val="2"/>
                <w:lang w:val="en-US" w:eastAsia="zh-CN"/>
                <w:highlight w:val="none"/>
              </w:rPr>
            </w:pPr>
            <w:r>
              <w:rPr>
                <w:rFonts w:ascii="Times New Roman" w:cs="Times New Roman" w:hAnsi="Times New Roman"/>
                <w:color w:val="auto"/>
                <w:kern w:val="2"/>
                <w:sz w:val="24"/>
                <w:szCs w:val="20"/>
                <w:highlight w:val="none"/>
              </w:rPr>
              <w:t>非正常排放属短时排放，在及时采取</w:t>
            </w:r>
            <w:r>
              <w:rPr>
                <w:rFonts w:ascii="Times New Roman" w:cs="Times New Roman" w:hAnsi="Times New Roman" w:hint="eastAsia"/>
                <w:color w:val="auto"/>
                <w:kern w:val="2"/>
                <w:sz w:val="24"/>
                <w:szCs w:val="20"/>
                <w:lang w:val="en-US" w:eastAsia="zh-CN"/>
                <w:highlight w:val="none"/>
              </w:rPr>
              <w:t>立即停止设备运转的</w:t>
            </w:r>
            <w:r>
              <w:rPr>
                <w:rFonts w:ascii="Times New Roman" w:cs="Times New Roman" w:hAnsi="Times New Roman"/>
                <w:color w:val="auto"/>
                <w:kern w:val="2"/>
                <w:sz w:val="24"/>
                <w:szCs w:val="20"/>
                <w:highlight w:val="none"/>
              </w:rPr>
              <w:t>措施处置故障情况下，可减少非正常排放对环境的影响。</w:t>
            </w:r>
          </w:p>
          <w:p>
            <w:pPr>
              <w:keepNext w:val="0"/>
              <w:keepLines w:val="0"/>
              <w:widowControl/>
              <w:suppressLineNumbers w:val="0"/>
              <w:spacing w:before="0" w:beforeAutospacing="0" w:after="0" w:afterAutospacing="0" w:line="440" w:lineRule="exact"/>
              <w:ind w:left="0" w:right="0" w:firstLineChars="200" w:firstLine="480"/>
              <w:jc w:val="left"/>
              <w:rPr>
                <w:b/>
                <w:bCs/>
                <w:color w:val="auto"/>
                <w:kern w:val="0"/>
                <w:sz w:val="24"/>
                <w:szCs w:val="22"/>
                <w:highlight w:val="none"/>
              </w:rPr>
            </w:pPr>
            <w:r>
              <w:rPr>
                <w:rFonts w:ascii="Times New Roman" w:cs="Times New Roman" w:hAnsi="Times New Roman"/>
                <w:b/>
                <w:bCs/>
                <w:color w:val="auto"/>
                <w:kern w:val="0"/>
                <w:sz w:val="24"/>
                <w:szCs w:val="22"/>
                <w:highlight w:val="none"/>
              </w:rPr>
              <w:t>（</w:t>
            </w:r>
            <w:r>
              <w:rPr>
                <w:rFonts w:ascii="Times New Roman" w:cs="Times New Roman" w:hAnsi="Times New Roman" w:hint="eastAsia"/>
                <w:b/>
                <w:bCs/>
                <w:color w:val="auto"/>
                <w:kern w:val="0"/>
                <w:sz w:val="24"/>
                <w:szCs w:val="22"/>
                <w:highlight w:val="none"/>
              </w:rPr>
              <w:t>4</w:t>
            </w:r>
            <w:r>
              <w:rPr>
                <w:rFonts w:ascii="Times New Roman" w:cs="Times New Roman" w:hAnsi="Times New Roman"/>
                <w:b/>
                <w:bCs/>
                <w:color w:val="auto"/>
                <w:kern w:val="0"/>
                <w:sz w:val="24"/>
                <w:szCs w:val="22"/>
                <w:highlight w:val="none"/>
              </w:rPr>
              <w:t>）监测计划</w:t>
            </w:r>
          </w:p>
          <w:p>
            <w:pPr>
              <w:pStyle w:val="147"/>
              <w:keepNext w:val="0"/>
              <w:keepLines w:val="0"/>
              <w:pageBreakBefore w:val="0"/>
              <w:widowControl/>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Chars="200" w:firstLine="480"/>
              <w:jc w:val="left"/>
              <w:textAlignment w:val="auto"/>
              <w:rPr>
                <w:rFonts w:eastAsia="宋体"/>
                <w:b w:val="0"/>
                <w:bCs/>
                <w:color w:val="auto"/>
                <w:lang w:val="en-US" w:eastAsia="zh-CN"/>
                <w:highlight w:val="none"/>
              </w:rPr>
            </w:pPr>
            <w:r>
              <w:rPr>
                <w:rFonts w:ascii="Times New Roman" w:cs="Times New Roman" w:hAnsi="Times New Roman" w:hint="eastAsia"/>
                <w:b w:val="0"/>
                <w:bCs/>
                <w:color w:val="auto"/>
                <w:sz w:val="24"/>
                <w:szCs w:val="24"/>
                <w:highlight w:val="none"/>
              </w:rPr>
              <w:t>根据</w:t>
            </w:r>
            <w:r>
              <w:rPr>
                <w:rFonts w:ascii="Times New Roman" w:cs="Times New Roman" w:hAnsi="Times New Roman"/>
                <w:b w:val="0"/>
                <w:bCs/>
                <w:color w:val="auto"/>
                <w:sz w:val="24"/>
                <w:szCs w:val="20"/>
                <w:lang w:val="zh-CN"/>
                <w:highlight w:val="none"/>
              </w:rPr>
              <w:t>《</w:t>
            </w:r>
            <w:r>
              <w:rPr>
                <w:rFonts w:ascii="Times New Roman" w:cs="Times New Roman" w:hAnsi="Times New Roman" w:hint="eastAsia"/>
                <w:b w:val="0"/>
                <w:bCs/>
                <w:color w:val="auto"/>
                <w:sz w:val="24"/>
                <w:szCs w:val="20"/>
                <w:lang w:val="zh-CN"/>
                <w:highlight w:val="none"/>
              </w:rPr>
              <w:t>排污单位自行监测技术指南 橡胶和塑料制品</w:t>
            </w:r>
            <w:r>
              <w:rPr>
                <w:rFonts w:ascii="Times New Roman" w:cs="Times New Roman" w:hAnsi="Times New Roman"/>
                <w:b w:val="0"/>
                <w:bCs/>
                <w:color w:val="auto"/>
                <w:sz w:val="24"/>
                <w:szCs w:val="20"/>
                <w:lang w:val="zh-CN"/>
                <w:highlight w:val="none"/>
              </w:rPr>
              <w:t>》（</w:t>
            </w:r>
            <w:r>
              <w:rPr>
                <w:rFonts w:ascii="Times New Roman" w:cs="Times New Roman" w:hAnsi="Times New Roman" w:hint="eastAsia"/>
                <w:b w:val="0"/>
                <w:bCs/>
                <w:color w:val="auto"/>
                <w:sz w:val="24"/>
                <w:szCs w:val="20"/>
                <w:lang w:val="zh-CN"/>
                <w:highlight w:val="none"/>
              </w:rPr>
              <w:t>HJ1207-2021</w:t>
            </w:r>
            <w:r>
              <w:rPr>
                <w:rFonts w:ascii="Times New Roman" w:cs="Times New Roman" w:hAnsi="Times New Roman"/>
                <w:b w:val="0"/>
                <w:bCs/>
                <w:color w:val="auto"/>
                <w:sz w:val="24"/>
                <w:szCs w:val="20"/>
                <w:lang w:val="zh-CN"/>
                <w:highlight w:val="none"/>
              </w:rPr>
              <w:t>）</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确定本项目废气监测计划。</w:t>
            </w:r>
          </w:p>
          <w:p>
            <w:pPr>
              <w:pStyle w:val="147"/>
              <w:keepNext w:val="0"/>
              <w:keepLines w:val="0"/>
              <w:suppressLineNumbers w:val="0"/>
              <w:tabs>
                <w:tab w:val="left" w:pos="6521"/>
              </w:tabs>
              <w:spacing w:before="0" w:beforeAutospacing="0" w:after="0" w:afterAutospacing="0" w:line="440" w:lineRule="exact"/>
              <w:ind w:left="0" w:right="0"/>
              <w:jc w:val="both"/>
              <w:rPr>
                <w:color w:val="auto"/>
                <w:highlight w:val="none"/>
              </w:rPr>
            </w:pPr>
            <w:r>
              <w:rPr>
                <w:rFonts w:ascii="Times New Roman" w:cs="Times New Roman" w:hAnsi="Times New Roman"/>
                <w:color w:val="auto"/>
                <w:sz w:val="24"/>
                <w:szCs w:val="20"/>
                <w:highlight w:val="none"/>
              </w:rPr>
              <w:t>表4-</w:t>
            </w:r>
            <w:r>
              <w:rPr>
                <w:rFonts w:ascii="Times New Roman" w:cs="Times New Roman" w:hAnsi="Times New Roman" w:hint="eastAsia"/>
                <w:color w:val="auto"/>
                <w:sz w:val="24"/>
                <w:szCs w:val="20"/>
                <w:lang w:val="en-US" w:eastAsia="zh-CN"/>
                <w:highlight w:val="none"/>
              </w:rPr>
              <w:t>3</w:t>
            </w:r>
            <w:r>
              <w:rPr>
                <w:rFonts w:ascii="Times New Roman" w:cs="Times New Roman" w:hAnsi="Times New Roman"/>
                <w:color w:val="auto"/>
                <w:sz w:val="24"/>
                <w:szCs w:val="20"/>
                <w:highlight w:val="none"/>
              </w:rPr>
              <w:t xml:space="preserve">    废气监测计划一览表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28" w:type="dxa"/>
                <w:bottom w:w="0" w:type="dxa"/>
                <w:right w:w="28" w:type="dxa"/>
              </w:tblCellMar>
              <w:tblLook w:val="0600" w:firstRow="0" w:lastRow="0" w:firstColumn="0" w:lastColumn="0" w:noHBand="1" w:noVBand="1"/>
            </w:tblPr>
            <w:tblGrid>
              <w:gridCol w:w="386"/>
              <w:gridCol w:w="408"/>
              <w:gridCol w:w="1494"/>
              <w:gridCol w:w="1192"/>
              <w:gridCol w:w="886"/>
              <w:gridCol w:w="950"/>
              <w:gridCol w:w="2520"/>
            </w:tblGrid>
            <w:tr>
              <w:trPr>
                <w:trHeight w:val="449"/>
              </w:trPr>
              <w:tc>
                <w:tcPr>
                  <w:tcW w:w="246" w:type="pc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序号</w:t>
                  </w:r>
                </w:p>
              </w:tc>
              <w:tc>
                <w:tcPr>
                  <w:tcW w:w="1213" w:type="pct"/>
                  <w:gridSpan w:val="2"/>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污染类型</w:t>
                  </w:r>
                </w:p>
              </w:tc>
              <w:tc>
                <w:tcPr>
                  <w:tcW w:w="760" w:type="pc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监测项目</w:t>
                  </w:r>
                </w:p>
              </w:tc>
              <w:tc>
                <w:tcPr>
                  <w:tcW w:w="565" w:type="pc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监测点位置</w:t>
                  </w:r>
                </w:p>
              </w:tc>
              <w:tc>
                <w:tcPr>
                  <w:tcW w:w="606" w:type="pc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最低监测频率</w:t>
                  </w:r>
                </w:p>
              </w:tc>
              <w:tc>
                <w:tcPr>
                  <w:tcW w:w="1607" w:type="pc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执行标准</w:t>
                  </w:r>
                </w:p>
              </w:tc>
            </w:tr>
            <w:tr>
              <w:trPr>
                <w:trHeight w:val="655"/>
              </w:trPr>
              <w:tc>
                <w:tcPr>
                  <w:tcW w:w="246" w:type="pct"/>
                  <w:vMerge w:val="restart"/>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1</w:t>
                  </w:r>
                </w:p>
              </w:tc>
              <w:tc>
                <w:tcPr>
                  <w:tcW w:w="260" w:type="pct"/>
                  <w:vMerge w:val="restar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color w:val="auto"/>
                      <w:szCs w:val="21"/>
                      <w:highlight w:val="none"/>
                    </w:rPr>
                  </w:pPr>
                  <w:r>
                    <w:rPr>
                      <w:rFonts w:ascii="Times New Roman" w:cs="Times New Roman" w:hAnsi="Times New Roman"/>
                      <w:color w:val="auto"/>
                      <w:sz w:val="21"/>
                      <w:szCs w:val="21"/>
                      <w:highlight w:val="none"/>
                    </w:rPr>
                    <w:t>废气</w:t>
                  </w:r>
                </w:p>
              </w:tc>
              <w:tc>
                <w:tcPr>
                  <w:tcW w:w="953" w:type="pct"/>
                  <w:vMerge w:val="restar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olor w:val="auto"/>
                      <w:kern w:val="2"/>
                      <w:sz w:val="21"/>
                      <w:szCs w:val="21"/>
                      <w:highlight w:val="none"/>
                    </w:rPr>
                  </w:pPr>
                  <w:r>
                    <w:rPr>
                      <w:rFonts w:ascii="Times New Roman" w:cs="Times New Roman" w:hAnsi="Times New Roman" w:hint="eastAsia"/>
                      <w:caps w:val="0"/>
                      <w:smallCaps w:val="0"/>
                      <w:color w:val="auto"/>
                      <w:spacing w:val="0"/>
                      <w:sz w:val="21"/>
                      <w:szCs w:val="20"/>
                      <w:lang w:val="en-US" w:eastAsia="zh-CN"/>
                      <w:highlight w:val="none"/>
                    </w:rPr>
                    <w:t>拆包、投料、烘干、注塑废气排放口</w:t>
                  </w:r>
                </w:p>
              </w:tc>
              <w:tc>
                <w:tcPr>
                  <w:tcW w:w="76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565" w:type="pct"/>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line="360" w:lineRule="exact"/>
                    <w:ind w:left="0" w:right="0"/>
                    <w:jc w:val="center"/>
                    <w:rPr>
                      <w:color w:val="auto"/>
                      <w:spacing w:val="0"/>
                      <w:szCs w:val="21"/>
                      <w:highlight w:val="none"/>
                    </w:rPr>
                  </w:pPr>
                  <w:r>
                    <w:rPr>
                      <w:rFonts w:ascii="Times New Roman" w:cs="Times New Roman" w:hAnsi="Times New Roman"/>
                      <w:color w:val="auto"/>
                      <w:spacing w:val="0"/>
                      <w:sz w:val="21"/>
                      <w:szCs w:val="21"/>
                      <w:highlight w:val="none"/>
                    </w:rPr>
                    <w:t>排气筒出口</w:t>
                  </w:r>
                </w:p>
              </w:tc>
              <w:tc>
                <w:tcPr>
                  <w:tcW w:w="606"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color w:val="auto"/>
                      <w:kern w:val="0"/>
                      <w:szCs w:val="21"/>
                      <w:highlight w:val="none"/>
                    </w:rPr>
                  </w:pPr>
                  <w:r>
                    <w:rPr>
                      <w:rFonts w:ascii="Times New Roman" w:cs="Times New Roman" w:hAnsi="Times New Roman" w:hint="eastAsia"/>
                      <w:caps w:val="0"/>
                      <w:smallCaps w:val="0"/>
                      <w:color w:val="auto"/>
                      <w:spacing w:val="0"/>
                      <w:sz w:val="21"/>
                      <w:szCs w:val="20"/>
                      <w:lang w:val="en-US" w:eastAsia="zh-CN"/>
                      <w:highlight w:val="none"/>
                    </w:rPr>
                    <w:t>1次/半年</w:t>
                  </w: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r>
            <w:tr>
              <w:trPr>
                <w:trHeight w:val="444"/>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565" w:type="pct"/>
                  <w:vMerge/>
                  <w:tcBorders>
                    <w:left w:val="single" w:sz="4" w:space="0" w:color="auto"/>
                  </w:tcBorders>
                  <w:vAlign w:val="center"/>
                </w:tcPr>
                <w:p/>
              </w:tc>
              <w:tc>
                <w:tcPr>
                  <w:tcW w:w="606"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607" w:type="pct"/>
                  <w:vMerge w:val="restar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r>
            <w:tr>
              <w:trPr>
                <w:trHeight w:val="444"/>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565" w:type="pct"/>
                  <w:vMerge/>
                  <w:tcBorders>
                    <w:left w:val="single" w:sz="4" w:space="0" w:color="auto"/>
                  </w:tcBorders>
                  <w:vAlign w:val="center"/>
                </w:tcPr>
                <w:p/>
              </w:tc>
              <w:tc>
                <w:tcPr>
                  <w:tcW w:w="606" w:type="pct"/>
                  <w:tcBorders>
                    <w:left w:val="single" w:sz="4" w:space="0" w:color="auto"/>
                  </w:tcBorders>
                  <w:vAlign w:val="center"/>
                </w:tcPr>
                <w:p>
                  <w:pPr>
                    <w:keepNext w:val="0"/>
                    <w:keepLines w:val="0"/>
                    <w:pageBreakBefore w:val="0"/>
                    <w:suppressLineNumbers w:val="0"/>
                    <w:wordWrap/>
                    <w:bidi w:val="0"/>
                    <w:spacing w:before="0" w:beforeAutospacing="0" w:after="0" w:afterAutospacing="0" w:line="360" w:lineRule="exact"/>
                    <w:ind w:left="0" w:right="0"/>
                    <w:jc w:val="center"/>
                    <w:rPr>
                      <w:rFonts w:cs="Times New Roman" w:hint="eastAsia"/>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次/年</w:t>
                  </w:r>
                </w:p>
              </w:tc>
              <w:tc>
                <w:tcPr>
                  <w:tcW w:w="1607" w:type="pct"/>
                  <w:vMerge/>
                  <w:tcBorders>
                    <w:left w:val="single" w:sz="4" w:space="0" w:color="auto"/>
                  </w:tcBorders>
                  <w:shd w:val="clear" w:color="auto" w:fill="auto"/>
                  <w:vAlign w:val="center"/>
                </w:tcPr>
                <w:p/>
              </w:tc>
            </w:tr>
            <w:tr>
              <w:trPr>
                <w:trHeight w:val="444"/>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565" w:type="pct"/>
                  <w:vMerge/>
                  <w:tcBorders>
                    <w:left w:val="single" w:sz="4" w:space="0" w:color="auto"/>
                  </w:tcBorders>
                  <w:vAlign w:val="center"/>
                </w:tcPr>
                <w:p/>
              </w:tc>
              <w:tc>
                <w:tcPr>
                  <w:tcW w:w="606" w:type="pct"/>
                  <w:tcBorders>
                    <w:left w:val="single" w:sz="4" w:space="0" w:color="auto"/>
                  </w:tcBorders>
                  <w:vAlign w:val="center"/>
                </w:tcPr>
                <w:p>
                  <w:pPr>
                    <w:keepNext w:val="0"/>
                    <w:keepLines w:val="0"/>
                    <w:pageBreakBefore w:val="0"/>
                    <w:suppressLineNumbers w:val="0"/>
                    <w:wordWrap/>
                    <w:bidi w:val="0"/>
                    <w:spacing w:before="0" w:beforeAutospacing="0" w:after="0" w:afterAutospacing="0" w:line="360" w:lineRule="exact"/>
                    <w:ind w:left="0" w:right="0"/>
                    <w:jc w:val="center"/>
                    <w:rPr>
                      <w:rFonts w:cs="Times New Roman" w:hint="eastAsia"/>
                      <w:caps w:val="0"/>
                      <w:smallCaps w:val="0"/>
                      <w:color w:val="auto"/>
                      <w:spacing w:val="0"/>
                      <w:szCs w:val="2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次/年</w:t>
                  </w: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《恶臭污染物排放标准》（GB14554-93）表2标准</w:t>
                  </w:r>
                </w:p>
              </w:tc>
            </w:tr>
            <w:tr>
              <w:trPr>
                <w:trHeight w:val="621"/>
              </w:trPr>
              <w:tc>
                <w:tcPr>
                  <w:tcW w:w="246" w:type="pct"/>
                  <w:vMerge w:val="restart"/>
                  <w:vAlign w:val="center"/>
                </w:tcPr>
                <w:p>
                  <w:pPr>
                    <w:keepNext w:val="0"/>
                    <w:keepLines w:val="0"/>
                    <w:suppressLineNumbers w:val="0"/>
                    <w:spacing w:before="0" w:beforeAutospacing="0" w:after="0" w:afterAutospacing="0" w:line="360" w:lineRule="exact"/>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2</w:t>
                  </w:r>
                </w:p>
              </w:tc>
              <w:tc>
                <w:tcPr>
                  <w:tcW w:w="260" w:type="pct"/>
                  <w:vMerge w:val="restart"/>
                  <w:tcBorders>
                    <w:left w:val="single" w:sz="4" w:space="0" w:color="auto"/>
                  </w:tcBorders>
                  <w:vAlign w:val="center"/>
                </w:tcPr>
                <w:p>
                  <w:pPr>
                    <w:keepNext w:val="0"/>
                    <w:keepLines w:val="0"/>
                    <w:suppressLineNumbers w:val="0"/>
                    <w:spacing w:before="0" w:beforeAutospacing="0" w:after="0" w:afterAutospacing="0" w:line="360" w:lineRule="exact"/>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废气</w:t>
                  </w:r>
                </w:p>
              </w:tc>
              <w:tc>
                <w:tcPr>
                  <w:tcW w:w="953" w:type="pct"/>
                  <w:vMerge w:val="restar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无组织</w:t>
                  </w:r>
                </w:p>
              </w:tc>
              <w:tc>
                <w:tcPr>
                  <w:tcW w:w="76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565" w:type="pct"/>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line="360" w:lineRule="exact"/>
                    <w:ind w:left="0" w:right="0"/>
                    <w:jc w:val="center"/>
                    <w:rPr>
                      <w:rFonts w:eastAsia="宋体"/>
                      <w:color w:val="auto"/>
                      <w:spacing w:val="0"/>
                      <w:szCs w:val="21"/>
                      <w:lang w:val="en-US" w:eastAsia="zh-CN"/>
                      <w:highlight w:val="none"/>
                    </w:rPr>
                  </w:pPr>
                  <w:r>
                    <w:rPr>
                      <w:rFonts w:ascii="Times New Roman" w:cs="Times New Roman" w:hAnsi="Times New Roman" w:hint="eastAsia"/>
                      <w:color w:val="auto"/>
                      <w:spacing w:val="0"/>
                      <w:sz w:val="21"/>
                      <w:szCs w:val="21"/>
                      <w:lang w:val="en-US" w:eastAsia="zh-CN"/>
                      <w:highlight w:val="none"/>
                    </w:rPr>
                    <w:t>厂界</w:t>
                  </w:r>
                </w:p>
              </w:tc>
              <w:tc>
                <w:tcPr>
                  <w:tcW w:w="606" w:type="pct"/>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olor w:val="auto"/>
                      <w:spacing w:val="-12"/>
                      <w:kern w:val="0"/>
                      <w:sz w:val="21"/>
                      <w:szCs w:val="21"/>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w:t>
                  </w:r>
                  <w:r>
                    <w:rPr>
                      <w:rFonts w:ascii="Times New Roman" w:cs="Times New Roman" w:hAnsi="Times New Roman" w:hint="eastAsia"/>
                      <w:caps w:val="0"/>
                      <w:smallCaps w:val="0"/>
                      <w:color w:val="auto"/>
                      <w:spacing w:val="0"/>
                      <w:sz w:val="21"/>
                      <w:szCs w:val="21"/>
                      <w:lang w:val="en-US" w:eastAsia="zh-CN"/>
                      <w:highlight w:val="none"/>
                    </w:rPr>
                    <w:t>9</w:t>
                  </w:r>
                  <w:r>
                    <w:rPr>
                      <w:rFonts w:ascii="Times New Roman" w:cs="Times New Roman" w:hAnsi="Times New Roman" w:hint="eastAsia"/>
                      <w:caps w:val="0"/>
                      <w:smallCaps w:val="0"/>
                      <w:color w:val="auto"/>
                      <w:spacing w:val="0"/>
                      <w:sz w:val="21"/>
                      <w:szCs w:val="21"/>
                      <w:lang w:eastAsia="zh-CN"/>
                      <w:highlight w:val="none"/>
                    </w:rPr>
                    <w:t>标准</w:t>
                  </w:r>
                </w:p>
              </w:tc>
            </w:tr>
            <w:tr>
              <w:trPr>
                <w:trHeight w:val="478"/>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565" w:type="pct"/>
                  <w:vMerge/>
                  <w:tcBorders>
                    <w:left w:val="single" w:sz="4" w:space="0" w:color="auto"/>
                  </w:tcBorders>
                  <w:vAlign w:val="center"/>
                </w:tcPr>
                <w:p/>
              </w:tc>
              <w:tc>
                <w:tcPr>
                  <w:tcW w:w="606" w:type="pct"/>
                  <w:vMerge/>
                  <w:tcBorders>
                    <w:left w:val="single" w:sz="4" w:space="0" w:color="auto"/>
                  </w:tcBorders>
                  <w:shd w:val="clear" w:color="auto" w:fill="auto"/>
                  <w:vAlign w:val="center"/>
                </w:tcP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caps w:val="0"/>
                      <w:smallCaps w:val="0"/>
                      <w:color w:val="auto"/>
                      <w:spacing w:val="0"/>
                      <w:szCs w:val="21"/>
                      <w:lang w:val="en-US"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478"/>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565" w:type="pct"/>
                  <w:vMerge/>
                  <w:tcBorders>
                    <w:left w:val="single" w:sz="4" w:space="0" w:color="auto"/>
                  </w:tcBorders>
                  <w:vAlign w:val="center"/>
                </w:tcPr>
                <w:p/>
              </w:tc>
              <w:tc>
                <w:tcPr>
                  <w:tcW w:w="606" w:type="pct"/>
                  <w:vMerge/>
                  <w:tcBorders>
                    <w:left w:val="single" w:sz="4" w:space="0" w:color="auto"/>
                  </w:tcBorders>
                  <w:shd w:val="clear" w:color="auto" w:fill="auto"/>
                  <w:vAlign w:val="center"/>
                </w:tcP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736"/>
              </w:trPr>
              <w:tc>
                <w:tcPr>
                  <w:tcW w:w="246" w:type="pct"/>
                  <w:vMerge/>
                  <w:vAlign w:val="center"/>
                </w:tcPr>
                <w:p/>
              </w:tc>
              <w:tc>
                <w:tcPr>
                  <w:tcW w:w="260" w:type="pct"/>
                  <w:vMerge/>
                  <w:tcBorders>
                    <w:left w:val="single" w:sz="4" w:space="0" w:color="auto"/>
                  </w:tcBorders>
                  <w:vAlign w:val="center"/>
                </w:tcPr>
                <w:p/>
              </w:tc>
              <w:tc>
                <w:tcPr>
                  <w:tcW w:w="953" w:type="pct"/>
                  <w:vMerge/>
                  <w:tcBorders>
                    <w:left w:val="single" w:sz="4" w:space="0" w:color="auto"/>
                  </w:tcBorders>
                  <w:vAlign w:val="center"/>
                </w:tcPr>
                <w:p/>
              </w:tc>
              <w:tc>
                <w:tcPr>
                  <w:tcW w:w="760"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非甲烷总烃</w:t>
                  </w:r>
                </w:p>
              </w:tc>
              <w:tc>
                <w:tcPr>
                  <w:tcW w:w="565" w:type="pct"/>
                  <w:vMerge/>
                  <w:tcBorders>
                    <w:left w:val="single" w:sz="4" w:space="0" w:color="auto"/>
                  </w:tcBorders>
                  <w:vAlign w:val="center"/>
                </w:tcPr>
                <w:p/>
              </w:tc>
              <w:tc>
                <w:tcPr>
                  <w:tcW w:w="606" w:type="pct"/>
                  <w:vMerge/>
                  <w:tcBorders>
                    <w:left w:val="single" w:sz="4" w:space="0" w:color="auto"/>
                  </w:tcBorders>
                  <w:vAlign w:val="center"/>
                </w:tcPr>
                <w:p/>
              </w:tc>
              <w:tc>
                <w:tcPr>
                  <w:tcW w:w="1607"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《工业企业挥发性有机物排放控制标准》（DB13/2322-20</w:t>
                  </w:r>
                  <w:r>
                    <w:rPr>
                      <w:rFonts w:ascii="Times New Roman" w:cs="Times New Roman" w:hAnsi="Times New Roman" w:hint="eastAsia"/>
                      <w:caps w:val="0"/>
                      <w:smallCaps w:val="0"/>
                      <w:color w:val="auto"/>
                      <w:spacing w:val="0"/>
                      <w:sz w:val="21"/>
                      <w:szCs w:val="21"/>
                      <w:lang w:val="en-US" w:eastAsia="zh-CN"/>
                      <w:highlight w:val="none"/>
                    </w:rPr>
                    <w:t>16</w:t>
                  </w:r>
                  <w:r>
                    <w:rPr>
                      <w:rFonts w:ascii="Times New Roman" w:cs="Times New Roman" w:hAnsi="Times New Roman" w:hint="eastAsia"/>
                      <w:caps w:val="0"/>
                      <w:smallCaps w:val="0"/>
                      <w:color w:val="auto"/>
                      <w:spacing w:val="0"/>
                      <w:sz w:val="21"/>
                      <w:szCs w:val="21"/>
                      <w:lang w:eastAsia="zh-CN"/>
                      <w:highlight w:val="none"/>
                    </w:rPr>
                    <w:t>）表2标准</w:t>
                  </w:r>
                </w:p>
              </w:tc>
            </w:tr>
          </w:tbl>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color w:val="auto"/>
                <w:kern w:val="0"/>
                <w:sz w:val="24"/>
                <w:szCs w:val="20"/>
                <w:highlight w:val="none"/>
              </w:rPr>
            </w:pPr>
            <w:r>
              <w:rPr>
                <w:rFonts w:ascii="Times New Roman" w:cs="Times New Roman" w:hAnsi="Times New Roman" w:hint="eastAsia"/>
                <w:b/>
                <w:bCs/>
                <w:color w:val="auto"/>
                <w:kern w:val="0"/>
                <w:sz w:val="24"/>
                <w:szCs w:val="20"/>
                <w:highlight w:val="none"/>
              </w:rPr>
              <w:t>（5）</w:t>
            </w:r>
            <w:r>
              <w:rPr>
                <w:rFonts w:ascii="Times New Roman" w:cs="Times New Roman" w:hAnsi="Times New Roman" w:hint="eastAsia"/>
                <w:b/>
                <w:bCs/>
                <w:color w:val="auto"/>
                <w:kern w:val="0"/>
                <w:sz w:val="24"/>
                <w:szCs w:val="24"/>
                <w:highlight w:val="none"/>
              </w:rPr>
              <w:t>废气污染物环境影响分析</w:t>
            </w:r>
            <w:r>
              <w:rPr>
                <w:rFonts w:ascii="Times New Roman" w:cs="Times New Roman" w:hAnsi="Times New Roman" w:hint="eastAsia"/>
                <w:color w:val="auto"/>
                <w:kern w:val="0"/>
                <w:sz w:val="24"/>
                <w:szCs w:val="24"/>
                <w:highlight w:val="none"/>
              </w:rPr>
              <w:t xml:space="preserve"> </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color w:val="auto"/>
                <w:kern w:val="0"/>
                <w:sz w:val="24"/>
                <w:szCs w:val="20"/>
                <w:highlight w:val="none"/>
              </w:rPr>
            </w:pPr>
            <w:r>
              <w:rPr>
                <w:rFonts w:ascii="Times New Roman" w:cs="Times New Roman" w:hAnsi="Times New Roman" w:hint="eastAsia"/>
                <w:color w:val="auto"/>
                <w:kern w:val="0"/>
                <w:sz w:val="24"/>
                <w:szCs w:val="24"/>
                <w:highlight w:val="none"/>
              </w:rPr>
              <w:t>根据特征污染物非甲烷总烃监测数据可知，监测期间检测点位大气环境状况总体较好，特征污染因子</w:t>
            </w:r>
            <w:r>
              <w:rPr>
                <w:rFonts w:ascii="Times New Roman" w:cs="Times New Roman" w:hAnsi="Times New Roman"/>
                <w:color w:val="auto"/>
                <w:sz w:val="24"/>
                <w:szCs w:val="20"/>
                <w:highlight w:val="none"/>
              </w:rPr>
              <w:t>TSP的24小时平均浓度满足《环境空气质量标准》(GB3095-2012)表2二级标准，非甲烷总烃的1小时平均浓度满足《环境空气质量 非甲烷总烃限值》(DB13/1577-2012)表1二级标准</w:t>
            </w:r>
            <w:r>
              <w:rPr>
                <w:rFonts w:ascii="Times New Roman" w:cs="Times New Roman" w:hAnsi="Times New Roman" w:hint="eastAsia"/>
                <w:color w:val="auto"/>
                <w:sz w:val="24"/>
                <w:szCs w:val="20"/>
                <w:lang w:eastAsia="zh-CN"/>
                <w:highlight w:val="none"/>
              </w:rPr>
              <w:t>，</w:t>
            </w:r>
            <w:r>
              <w:rPr>
                <w:rFonts w:ascii="Times New Roman" w:cs="Times New Roman" w:hAnsi="Times New Roman"/>
                <w:color w:val="auto"/>
                <w:sz w:val="24"/>
                <w:szCs w:val="20"/>
                <w:highlight w:val="none"/>
              </w:rPr>
              <w:t>氨的1小时平均浓度满足《环境影响评价技术导则 大气环境》(HJ2.2-2018)附录D表D.1中1h平均值</w:t>
            </w:r>
            <w:r>
              <w:rPr>
                <w:rFonts w:ascii="Times New Roman" w:cs="Times New Roman" w:hAnsi="Times New Roman" w:hint="eastAsia"/>
                <w:color w:val="auto"/>
                <w:sz w:val="24"/>
                <w:szCs w:val="24"/>
                <w:highlight w:val="none"/>
              </w:rPr>
              <w:t>。</w:t>
            </w:r>
            <w:r>
              <w:rPr>
                <w:rFonts w:ascii="Times New Roman" w:cs="Times New Roman" w:hAnsi="Times New Roman" w:hint="eastAsia"/>
                <w:color w:val="auto"/>
                <w:kern w:val="0"/>
                <w:sz w:val="24"/>
                <w:szCs w:val="24"/>
                <w:highlight w:val="none"/>
              </w:rPr>
              <w:t>项目运营期产生的废气污染物均采取了严格的治理措施，且为可行技术</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lang w:val="en-US" w:eastAsia="zh-CN"/>
                <w:highlight w:val="none"/>
              </w:rPr>
              <w:t>各污染因子均达标排放</w:t>
            </w:r>
            <w:r>
              <w:rPr>
                <w:rFonts w:ascii="Times New Roman" w:cs="Times New Roman" w:hAnsi="Times New Roman" w:hint="eastAsia"/>
                <w:color w:val="auto"/>
                <w:kern w:val="0"/>
                <w:sz w:val="24"/>
                <w:szCs w:val="24"/>
                <w:highlight w:val="none"/>
              </w:rPr>
              <w:t>，项目建设完成后对周围环境影响较小。</w:t>
            </w:r>
          </w:p>
          <w:p>
            <w:pPr>
              <w:keepNext w:val="0"/>
              <w:keepLines w:val="0"/>
              <w:suppressLineNumbers w:val="0"/>
              <w:adjustRightInd w:val="0"/>
              <w:snapToGrid w:val="0"/>
              <w:spacing w:before="0" w:beforeAutospacing="0" w:after="0" w:afterAutospacing="0" w:line="460" w:lineRule="exact"/>
              <w:ind w:left="0" w:right="0" w:firstLineChars="200" w:firstLine="480"/>
              <w:jc w:val="both"/>
              <w:rPr>
                <w:rFonts w:eastAsia="宋体"/>
                <w:b/>
                <w:bCs/>
                <w:color w:val="auto"/>
                <w:sz w:val="24"/>
                <w:szCs w:val="20"/>
                <w:lang w:val="en-US" w:eastAsia="zh-CN"/>
                <w:highlight w:val="none"/>
              </w:rPr>
            </w:pPr>
            <w:r>
              <w:rPr>
                <w:rFonts w:ascii="Times New Roman" w:cs="Times New Roman" w:hAnsi="Times New Roman" w:hint="eastAsia"/>
                <w:b/>
                <w:bCs/>
                <w:color w:val="auto"/>
                <w:sz w:val="24"/>
                <w:szCs w:val="20"/>
                <w:lang w:eastAsia="zh-CN"/>
                <w:highlight w:val="none"/>
              </w:rPr>
              <w:t>（</w:t>
            </w:r>
            <w:r>
              <w:rPr>
                <w:rFonts w:ascii="Times New Roman" w:cs="Times New Roman" w:hAnsi="Times New Roman" w:hint="eastAsia"/>
                <w:b/>
                <w:bCs/>
                <w:color w:val="auto"/>
                <w:sz w:val="24"/>
                <w:szCs w:val="20"/>
                <w:lang w:val="en-US" w:eastAsia="zh-CN"/>
                <w:highlight w:val="none"/>
              </w:rPr>
              <w:t>6</w:t>
            </w:r>
            <w:r>
              <w:rPr>
                <w:rFonts w:ascii="Times New Roman" w:cs="Times New Roman" w:hAnsi="Times New Roman" w:hint="eastAsia"/>
                <w:b/>
                <w:bCs/>
                <w:color w:val="auto"/>
                <w:sz w:val="24"/>
                <w:szCs w:val="20"/>
                <w:lang w:eastAsia="zh-CN"/>
                <w:highlight w:val="none"/>
              </w:rPr>
              <w:t>）</w:t>
            </w:r>
            <w:r>
              <w:rPr>
                <w:rFonts w:ascii="Times New Roman" w:cs="Times New Roman" w:hAnsi="Times New Roman" w:hint="eastAsia"/>
                <w:b/>
                <w:bCs/>
                <w:color w:val="auto"/>
                <w:kern w:val="0"/>
                <w:sz w:val="24"/>
                <w:szCs w:val="20"/>
                <w:highlight w:val="none"/>
              </w:rPr>
              <w:t>废气污染设施可行性分析</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color w:val="auto"/>
                <w:kern w:val="0"/>
                <w:sz w:val="24"/>
                <w:szCs w:val="24"/>
                <w:lang w:val="en-US" w:eastAsia="zh-CN"/>
                <w:highlight w:val="none"/>
              </w:rPr>
            </w:pPr>
            <w:r>
              <w:rPr>
                <w:rFonts w:ascii="Times New Roman" w:cs="Times New Roman" w:hAnsi="Times New Roman" w:hint="eastAsia"/>
                <w:color w:val="auto"/>
                <w:kern w:val="0"/>
                <w:sz w:val="24"/>
                <w:szCs w:val="24"/>
                <w:lang w:val="en-US" w:eastAsia="zh-CN"/>
                <w:highlight w:val="none"/>
              </w:rPr>
              <w:t>①有组织污染设施可行性分析</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eastAsia="宋体"/>
                <w:color w:val="auto"/>
                <w:kern w:val="0"/>
                <w:sz w:val="24"/>
                <w:szCs w:val="24"/>
                <w:lang w:val="en-US" w:eastAsia="zh-CN"/>
                <w:highlight w:val="none"/>
              </w:rPr>
            </w:pPr>
            <w:r>
              <w:rPr>
                <w:rFonts w:ascii="Times New Roman" w:cs="Times New Roman" w:hAnsi="Times New Roman" w:hint="eastAsia"/>
                <w:b w:val="0"/>
                <w:bCs/>
                <w:color w:val="auto"/>
                <w:sz w:val="24"/>
                <w:szCs w:val="20"/>
                <w:lang w:val="en-US" w:eastAsia="zh-CN"/>
                <w:highlight w:val="none"/>
              </w:rPr>
              <w:t>根据</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排污许可证申请与核发技术规范 橡胶和塑料制品工业</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HJ1122-2022</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可知，可行技术为吸附，项目有组织废气采用布袋除尘器+两级活性炭吸附装置，属于可行技术。</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二级过滤活性炭吸附箱是一种用于净化空气和废气的设备，其工作原理主要基于活性炭的吸附作用。以下是其详细的工作原理：</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活性炭是一种高度多孔的物质，具有极强的吸附能力。当含有有害气体的空气通过二级过滤活性炭吸附箱时，活性炭表面的未平衡和未饱和的分子引力或化学键力会吸引气体分子，使其浓聚并保持在活性炭表面，这个过程称为吸附。通过这种吸附作用，废气中的污染物被固定在活性炭表面的微孔中，从而与气体混合物分离，达到净化目的。</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eastAsia="宋体"/>
                <w:color w:val="auto"/>
                <w:kern w:val="0"/>
                <w:sz w:val="24"/>
                <w:szCs w:val="24"/>
                <w:lang w:val="en-US" w:eastAsia="zh-CN"/>
                <w:highlight w:val="none"/>
              </w:rPr>
            </w:pPr>
            <w:r>
              <w:rPr>
                <w:rFonts w:ascii="Times New Roman" w:cs="Times New Roman" w:hAnsi="Times New Roman" w:hint="eastAsia"/>
                <w:color w:val="auto"/>
                <w:kern w:val="0"/>
                <w:sz w:val="24"/>
                <w:szCs w:val="24"/>
                <w:lang w:val="en-US" w:eastAsia="zh-CN"/>
                <w:highlight w:val="none"/>
              </w:rPr>
              <w:t>经预测，经布袋除尘器+两级活性炭吸附装置处理后的废气排放满足《工业企业挥发性有机物排放控制标准》（DB13/2322-2025）表1（塑料制品制造）标准、《合成树脂工业污染物排放标准》（GB31572-2015）（含2024年修改单）表5标准、《恶臭污染物排放标准》（GB14554-93）表2标准。</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lang w:val="en-US" w:eastAsia="zh-CN"/>
                <w:highlight w:val="none"/>
              </w:rPr>
            </w:pPr>
            <w:r>
              <w:rPr>
                <w:rFonts w:ascii="Times New Roman" w:cs="Times New Roman" w:hAnsi="Times New Roman" w:hint="eastAsia"/>
                <w:color w:val="auto"/>
                <w:kern w:val="0"/>
                <w:sz w:val="24"/>
                <w:szCs w:val="24"/>
                <w:lang w:val="en-US" w:eastAsia="zh-CN"/>
                <w:highlight w:val="none"/>
              </w:rPr>
              <w:t>②无组织污染设施可行性分析</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color w:val="auto"/>
                <w:kern w:val="0"/>
                <w:sz w:val="24"/>
                <w:szCs w:val="24"/>
                <w:lang w:val="en-US"/>
                <w:highlight w:val="none"/>
              </w:rPr>
            </w:pPr>
            <w:r>
              <w:rPr>
                <w:rFonts w:ascii="Times New Roman" w:cs="Times New Roman" w:hAnsi="Times New Roman" w:hint="eastAsia"/>
                <w:b w:val="0"/>
                <w:bCs/>
                <w:color w:val="auto"/>
                <w:sz w:val="24"/>
                <w:szCs w:val="20"/>
                <w:lang w:val="en-US" w:eastAsia="zh-CN"/>
                <w:highlight w:val="none"/>
              </w:rPr>
              <w:t>根据</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排污许可证申请与核发技术规范 橡胶和塑料制品工业</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HJ1122-2022</w:t>
            </w:r>
            <w:r>
              <w:rPr>
                <w:rFonts w:ascii="Times New Roman" w:cs="Times New Roman" w:hAnsi="Times New Roman" w:hint="eastAsia"/>
                <w:b w:val="0"/>
                <w:bCs/>
                <w:color w:val="auto"/>
                <w:sz w:val="24"/>
                <w:szCs w:val="20"/>
                <w:lang w:val="zh-CN"/>
                <w:highlight w:val="none"/>
              </w:rPr>
              <w:t>）</w:t>
            </w:r>
            <w:r>
              <w:rPr>
                <w:rFonts w:ascii="Times New Roman" w:cs="Times New Roman" w:hAnsi="Times New Roman" w:hint="eastAsia"/>
                <w:b w:val="0"/>
                <w:bCs/>
                <w:color w:val="auto"/>
                <w:sz w:val="24"/>
                <w:szCs w:val="20"/>
                <w:lang w:val="en-US" w:eastAsia="zh-CN"/>
                <w:highlight w:val="none"/>
              </w:rPr>
              <w:t>可知无组织排放控制要求：</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b)挥发性有机物物料储存无组织排放控制要求</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1)挥发性有机物物料应储存于密闭的容器、包装袋、储库、料仓中</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highlight w:val="none"/>
              </w:rPr>
              <w:t>盛装挥发性有机物物料的容器或包装袋应存放于室内</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highlight w:val="none"/>
              </w:rPr>
              <w:t>或存放于设置有雨棚、遮阳和防渗设施的专用场地。盛装挥发性有机物物料的容器或包装袋在非取用状态时应加盖、封口，保持密闭。</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2)挥发性有机物物料使用过程无法密闭的，应采取局部气体收集措施，废气应排放至挥发性有机物废气收集处理系统。</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3)液态挥发性有机物物料应采用密闭管道输送。采用非管道输送方式转移液态挥发性有机物物料时，应采用密闭容器。粉状、粒状挥发性有机物物料应采用气力输送设备、管状带式输送机、螺旋输送机等密闭输送方式，或者采用密闭的包装袋、容器进行物料转移。</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c)挥发性有机物质量占比大于等于10%的含挥发性有机物原辅材料使用过程无法密闭的，应采取局部气体收集措施，废气应排放至挥发性有机物废气收集处理系统。</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d)对无组织排放设施应实现废气源密闭化，将其变为有组织排放</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highlight w:val="none"/>
              </w:rPr>
              <w:t>建筑物内废气无组织排放源应采用全空间或局部空间有组织强制通风收集系统。</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e)所有废气收集系统应采用技术经济合理的密闭方式，具有耐腐、气密性好的特性，同时考虑具备阻燃和抗静电等性能，并结合其他专业设备的运行、维护需要，设置观察口、呼吸阀等设施。</w:t>
            </w:r>
          </w:p>
          <w:p>
            <w:pPr>
              <w:keepNext w:val="0"/>
              <w:keepLines w:val="0"/>
              <w:widowControl/>
              <w:suppressLineNumbers w:val="0"/>
              <w:adjustRightInd w:val="0"/>
              <w:snapToGrid w:val="0"/>
              <w:spacing w:before="0" w:beforeAutospacing="0" w:after="0" w:afterAutospacing="0" w:line="460" w:lineRule="exact"/>
              <w:ind w:left="0" w:right="0" w:firstLineChars="200" w:firstLine="480"/>
              <w:jc w:val="both"/>
              <w:rPr>
                <w:rFonts w:hint="eastAsia"/>
                <w:color w:val="auto"/>
                <w:kern w:val="0"/>
                <w:sz w:val="24"/>
                <w:szCs w:val="24"/>
                <w:highlight w:val="none"/>
              </w:rPr>
            </w:pPr>
            <w:r>
              <w:rPr>
                <w:rFonts w:ascii="Times New Roman" w:cs="Times New Roman" w:hAnsi="Times New Roman" w:hint="eastAsia"/>
                <w:color w:val="auto"/>
                <w:kern w:val="0"/>
                <w:sz w:val="24"/>
                <w:szCs w:val="24"/>
                <w:highlight w:val="none"/>
              </w:rPr>
              <w:t>f)载有挥发性有机物物料的设备及其管道在开停工(车)、检维修和清洗时，应在退料阶段将残存物料退净，并用密闭容器盛装</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highlight w:val="none"/>
              </w:rPr>
              <w:t>退料过程废气应排至挥发性有机物废气收集处理系统</w:t>
            </w:r>
            <w:r>
              <w:rPr>
                <w:rFonts w:ascii="Times New Roman" w:cs="Times New Roman" w:hAnsi="Times New Roman" w:hint="eastAsia"/>
                <w:color w:val="auto"/>
                <w:kern w:val="0"/>
                <w:sz w:val="24"/>
                <w:szCs w:val="24"/>
                <w:lang w:eastAsia="zh-CN"/>
                <w:highlight w:val="none"/>
              </w:rPr>
              <w:t>；</w:t>
            </w:r>
            <w:r>
              <w:rPr>
                <w:rFonts w:ascii="Times New Roman" w:cs="Times New Roman" w:hAnsi="Times New Roman" w:hint="eastAsia"/>
                <w:color w:val="auto"/>
                <w:kern w:val="0"/>
                <w:sz w:val="24"/>
                <w:szCs w:val="24"/>
                <w:highlight w:val="none"/>
              </w:rPr>
              <w:t>清洗及吹扫过程排气应排至挥发性有机物废气收集处理系统。</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eastAsia="宋体"/>
                <w:color w:val="auto"/>
                <w:kern w:val="0"/>
                <w:sz w:val="24"/>
                <w:szCs w:val="24"/>
                <w:lang w:val="en-US" w:eastAsia="zh-CN"/>
                <w:highlight w:val="none"/>
              </w:rPr>
            </w:pPr>
            <w:r>
              <w:rPr>
                <w:rFonts w:ascii="Times New Roman" w:cs="Times New Roman" w:hAnsi="Times New Roman" w:hint="eastAsia"/>
                <w:color w:val="auto"/>
                <w:kern w:val="0"/>
                <w:sz w:val="24"/>
                <w:szCs w:val="24"/>
                <w:lang w:val="en-US" w:eastAsia="zh-CN"/>
                <w:highlight w:val="none"/>
              </w:rPr>
              <w:t>本项目原辅材料均在密闭库房内暂存，在贮存、输送、使用过程中保持密闭</w:t>
            </w:r>
            <w:r>
              <w:rPr>
                <w:rFonts w:ascii="Times New Roman" w:cs="Times New Roman" w:hAnsi="Times New Roman" w:hint="eastAsia"/>
                <w:color w:val="auto"/>
                <w:kern w:val="0"/>
                <w:sz w:val="24"/>
                <w:szCs w:val="24"/>
                <w:highlight w:val="none"/>
              </w:rPr>
              <w:t>。</w:t>
            </w:r>
            <w:r>
              <w:rPr>
                <w:rFonts w:ascii="Times New Roman" w:cs="Times New Roman" w:hAnsi="Times New Roman" w:hint="eastAsia"/>
                <w:color w:val="auto"/>
                <w:kern w:val="0"/>
                <w:sz w:val="24"/>
                <w:szCs w:val="24"/>
                <w:lang w:val="en-US" w:eastAsia="zh-CN"/>
                <w:highlight w:val="none"/>
              </w:rPr>
              <w:t>本项目不涉及调配，非即用状态袋装密封。项目拆包、投料、烘干、注塑废气采用集气罩收集后输送至布袋除尘器+两级活性炭吸附装置处理</w:t>
            </w:r>
            <w:r>
              <w:rPr>
                <w:rFonts w:ascii="Times New Roman" w:cs="Times New Roman" w:hAnsi="Times New Roman" w:hint="eastAsia"/>
                <w:color w:val="auto"/>
                <w:kern w:val="0"/>
                <w:sz w:val="24"/>
                <w:szCs w:val="24"/>
                <w:highlight w:val="none"/>
              </w:rPr>
              <w:t>。</w:t>
            </w:r>
            <w:r>
              <w:rPr>
                <w:rFonts w:ascii="Times New Roman" w:cs="Times New Roman" w:hAnsi="Times New Roman" w:hint="eastAsia"/>
                <w:color w:val="auto"/>
                <w:kern w:val="0"/>
                <w:sz w:val="24"/>
                <w:szCs w:val="24"/>
                <w:lang w:val="en-US" w:eastAsia="zh-CN"/>
                <w:highlight w:val="none"/>
              </w:rPr>
              <w:t>项目尼龙粒子采用原包料，采用密闭的包装袋进行转移；项目在开停工、检维修时，在退料阶段将残存物料退净，并用相应的密闭容器盛装，项目退料时两级活性炭吸附装置需开启。综上，项目无组织措施为可行技术，且经预测，厂区内无组织非甲烷总烃排放满足《工业企业挥发性有机物排放控制标准》（DB13/2322-2016）表2标准。</w:t>
            </w:r>
          </w:p>
          <w:p>
            <w:pPr>
              <w:keepNext w:val="0"/>
              <w:keepLines w:val="0"/>
              <w:suppressLineNumbers w:val="0"/>
              <w:adjustRightInd w:val="0"/>
              <w:snapToGrid w:val="0"/>
              <w:spacing w:before="0" w:beforeAutospacing="0" w:after="0" w:afterAutospacing="0" w:line="460" w:lineRule="exact"/>
              <w:ind w:left="0" w:right="0" w:firstLineChars="200" w:firstLine="480"/>
              <w:jc w:val="both"/>
              <w:rPr>
                <w:rFonts w:eastAsia="宋体"/>
                <w:b/>
                <w:bCs/>
                <w:color w:val="auto"/>
                <w:sz w:val="24"/>
                <w:szCs w:val="20"/>
                <w:lang w:val="en-US" w:eastAsia="zh-CN"/>
                <w:highlight w:val="none"/>
              </w:rPr>
            </w:pPr>
            <w:r>
              <w:rPr>
                <w:rFonts w:ascii="Times New Roman" w:cs="Times New Roman" w:hAnsi="Times New Roman" w:hint="eastAsia"/>
                <w:b/>
                <w:bCs/>
                <w:color w:val="auto"/>
                <w:sz w:val="24"/>
                <w:szCs w:val="20"/>
                <w:lang w:eastAsia="zh-CN"/>
                <w:highlight w:val="none"/>
              </w:rPr>
              <w:t>（</w:t>
            </w:r>
            <w:r>
              <w:rPr>
                <w:rFonts w:ascii="Times New Roman" w:cs="Times New Roman" w:hAnsi="Times New Roman" w:hint="eastAsia"/>
                <w:b/>
                <w:bCs/>
                <w:color w:val="auto"/>
                <w:sz w:val="24"/>
                <w:szCs w:val="20"/>
                <w:lang w:val="en-US" w:eastAsia="zh-CN"/>
                <w:highlight w:val="none"/>
              </w:rPr>
              <w:t>7</w:t>
            </w:r>
            <w:r>
              <w:rPr>
                <w:rFonts w:ascii="Times New Roman" w:cs="Times New Roman" w:hAnsi="Times New Roman" w:hint="eastAsia"/>
                <w:b/>
                <w:bCs/>
                <w:color w:val="auto"/>
                <w:sz w:val="24"/>
                <w:szCs w:val="20"/>
                <w:lang w:eastAsia="zh-CN"/>
                <w:highlight w:val="none"/>
              </w:rPr>
              <w:t>）</w:t>
            </w:r>
            <w:r>
              <w:rPr>
                <w:rFonts w:ascii="Times New Roman" w:cs="Times New Roman" w:hAnsi="Times New Roman" w:hint="eastAsia"/>
                <w:b/>
                <w:bCs/>
                <w:color w:val="auto"/>
                <w:sz w:val="24"/>
                <w:szCs w:val="20"/>
                <w:lang w:val="en-US" w:eastAsia="zh-CN"/>
                <w:highlight w:val="none"/>
              </w:rPr>
              <w:t>结论</w:t>
            </w:r>
          </w:p>
          <w:p>
            <w:pPr>
              <w:keepNext w:val="0"/>
              <w:keepLines w:val="0"/>
              <w:suppressLineNumbers w:val="0"/>
              <w:adjustRightInd w:val="0"/>
              <w:snapToGrid w:val="0"/>
              <w:spacing w:before="0" w:beforeAutospacing="0" w:after="0" w:afterAutospacing="0" w:line="460" w:lineRule="exact"/>
              <w:ind w:left="0" w:right="0" w:firstLineChars="200" w:firstLine="480"/>
              <w:jc w:val="both"/>
              <w:rPr>
                <w:color w:val="auto"/>
                <w:sz w:val="24"/>
                <w:szCs w:val="24"/>
                <w:lang w:val="zh-CN"/>
                <w:highlight w:val="none"/>
              </w:rPr>
            </w:pPr>
            <w:r>
              <w:rPr>
                <w:rFonts w:ascii="Times New Roman" w:cs="Times New Roman" w:hAnsi="Times New Roman" w:hint="eastAsia"/>
                <w:color w:val="auto"/>
                <w:sz w:val="24"/>
                <w:szCs w:val="20"/>
                <w:lang w:eastAsia="zh-CN"/>
                <w:highlight w:val="none"/>
              </w:rPr>
              <w:t>石家庄旭照电子科技有限公司汽车塑料配件改扩建项目在</w:t>
            </w:r>
            <w:r>
              <w:rPr>
                <w:rFonts w:ascii="Times New Roman" w:cs="Times New Roman" w:hAnsi="Times New Roman" w:hint="eastAsia"/>
                <w:color w:val="auto"/>
                <w:sz w:val="24"/>
                <w:szCs w:val="20"/>
                <w:lang w:val="en-US" w:eastAsia="zh-CN"/>
                <w:highlight w:val="none"/>
              </w:rPr>
              <w:t>废气</w:t>
            </w:r>
            <w:r>
              <w:rPr>
                <w:rFonts w:ascii="Times New Roman" w:cs="Times New Roman" w:hAnsi="Times New Roman" w:hint="eastAsia"/>
                <w:color w:val="auto"/>
                <w:sz w:val="24"/>
                <w:szCs w:val="20"/>
                <w:lang w:eastAsia="zh-CN"/>
                <w:highlight w:val="none"/>
              </w:rPr>
              <w:t>污染防治方面采取了科学有效的措施，</w:t>
            </w:r>
            <w:r>
              <w:rPr>
                <w:rFonts w:ascii="Times New Roman" w:cs="Times New Roman" w:hAnsi="Times New Roman" w:hint="eastAsia"/>
                <w:color w:val="auto"/>
                <w:sz w:val="24"/>
                <w:szCs w:val="20"/>
                <w:lang w:val="en-US" w:eastAsia="zh-CN"/>
                <w:highlight w:val="none"/>
              </w:rPr>
              <w:t>废气中</w:t>
            </w:r>
            <w:r>
              <w:rPr>
                <w:rFonts w:ascii="Times New Roman" w:cs="Times New Roman" w:hAnsi="Times New Roman" w:hint="eastAsia"/>
                <w:color w:val="auto"/>
                <w:sz w:val="24"/>
                <w:szCs w:val="20"/>
                <w:lang w:eastAsia="zh-CN"/>
                <w:highlight w:val="none"/>
              </w:rPr>
              <w:t>各项污染物排放均符合国家</w:t>
            </w:r>
            <w:r>
              <w:rPr>
                <w:rFonts w:ascii="Times New Roman" w:cs="Times New Roman" w:hAnsi="Times New Roman" w:hint="eastAsia"/>
                <w:color w:val="auto"/>
                <w:sz w:val="24"/>
                <w:szCs w:val="20"/>
                <w:lang w:val="en-US" w:eastAsia="zh-CN"/>
                <w:highlight w:val="none"/>
              </w:rPr>
              <w:t>地方等</w:t>
            </w:r>
            <w:r>
              <w:rPr>
                <w:rFonts w:ascii="Times New Roman" w:cs="Times New Roman" w:hAnsi="Times New Roman" w:hint="eastAsia"/>
                <w:color w:val="auto"/>
                <w:sz w:val="24"/>
                <w:szCs w:val="20"/>
                <w:lang w:eastAsia="zh-CN"/>
                <w:highlight w:val="none"/>
              </w:rPr>
              <w:t>标准要求。项目建成后，厂区运营对周边大气环境的影响可控制在可接受范围内。</w:t>
            </w:r>
          </w:p>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2、废水</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（1）项目废水产生情况</w:t>
            </w:r>
          </w:p>
          <w:p>
            <w:pPr>
              <w:keepNext w:val="0"/>
              <w:keepLines w:val="0"/>
              <w:suppressLineNumbers w:val="0"/>
              <w:spacing w:before="0" w:beforeAutospacing="0" w:after="0" w:afterAutospacing="0" w:line="480" w:lineRule="exact"/>
              <w:ind w:left="0" w:right="0" w:firstLineChars="200" w:firstLine="480"/>
              <w:jc w:val="left"/>
              <w:rPr>
                <w:rFonts w:eastAsia="宋体" w:cs="Times New Roman"/>
                <w:color w:val="auto"/>
                <w:sz w:val="24"/>
                <w:szCs w:val="24"/>
                <w:lang w:val="en-US" w:eastAsia="zh-CN"/>
                <w:highlight w:val="none"/>
              </w:rPr>
            </w:pPr>
            <w:r>
              <w:rPr>
                <w:rFonts w:ascii="Times New Roman" w:eastAsia="宋体" w:cs="Times New Roman" w:hAnsi="Times New Roman" w:hint="eastAsia"/>
                <w:color w:val="auto"/>
                <w:sz w:val="24"/>
                <w:szCs w:val="24"/>
                <w:lang w:val="en-US" w:eastAsia="zh-CN"/>
                <w:highlight w:val="none"/>
              </w:rPr>
              <w:t>项目废水主要为职工生活污水，废水产生量为</w:t>
            </w:r>
            <w:r>
              <w:rPr>
                <w:rFonts w:ascii="Times New Roman" w:cs="Times New Roman" w:hAnsi="Times New Roman" w:hint="eastAsia"/>
                <w:color w:val="auto"/>
                <w:sz w:val="24"/>
                <w:szCs w:val="24"/>
                <w:lang w:val="en-US" w:eastAsia="zh-CN"/>
                <w:highlight w:val="none"/>
              </w:rPr>
              <w:t>0.64</w:t>
            </w:r>
            <w:r>
              <w:rPr>
                <w:rFonts w:ascii="Times New Roman" w:eastAsia="宋体" w:cs="Times New Roman" w:hAnsi="Times New Roman" w:hint="eastAsia"/>
                <w:color w:val="auto"/>
                <w:sz w:val="24"/>
                <w:szCs w:val="24"/>
                <w:lang w:val="en-US" w:eastAsia="zh-CN"/>
                <w:highlight w:val="none"/>
              </w:rPr>
              <w:t>m</w:t>
            </w:r>
            <w:r>
              <w:rPr>
                <w:rFonts w:ascii="Times New Roman" w:eastAsia="宋体" w:cs="Times New Roman" w:hAnsi="Times New Roman" w:hint="eastAsia"/>
                <w:color w:val="auto"/>
                <w:sz w:val="24"/>
                <w:szCs w:val="24"/>
                <w:vertAlign w:val="superscript"/>
                <w:lang w:val="en-US" w:eastAsia="zh-CN"/>
                <w:highlight w:val="none"/>
              </w:rPr>
              <w:t>3</w:t>
            </w:r>
            <w:r>
              <w:rPr>
                <w:rFonts w:ascii="Times New Roman" w:eastAsia="宋体" w:cs="Times New Roman" w:hAnsi="Times New Roman" w:hint="eastAsia"/>
                <w:color w:val="auto"/>
                <w:sz w:val="24"/>
                <w:szCs w:val="24"/>
                <w:lang w:val="en-US" w:eastAsia="zh-CN"/>
                <w:highlight w:val="none"/>
              </w:rPr>
              <w:t>/d。</w:t>
            </w:r>
          </w:p>
          <w:p>
            <w:pPr>
              <w:keepNext w:val="0"/>
              <w:keepLines w:val="0"/>
              <w:suppressLineNumbers w:val="0"/>
              <w:spacing w:before="0" w:beforeAutospacing="0" w:after="0" w:afterAutospacing="0" w:line="480" w:lineRule="exact"/>
              <w:ind w:left="0" w:right="0" w:firstLineChars="200" w:firstLine="480"/>
              <w:jc w:val="left"/>
              <w:rPr>
                <w:rFonts w:ascii="Times New Roman" w:eastAsia="宋体" w:cs="Times New Roman" w:hAnsi="Times New Roman"/>
                <w:color w:val="auto"/>
                <w:sz w:val="24"/>
                <w:szCs w:val="24"/>
                <w:highlight w:val="none"/>
              </w:rPr>
            </w:pPr>
            <w:r>
              <w:rPr>
                <w:rFonts w:ascii="Times New Roman" w:eastAsia="宋体" w:cs="Times New Roman" w:hAnsi="Times New Roman"/>
                <w:color w:val="auto"/>
                <w:sz w:val="24"/>
                <w:szCs w:val="24"/>
                <w:highlight w:val="none"/>
              </w:rPr>
              <w:t>生活污水（</w:t>
            </w:r>
            <w:r>
              <w:rPr>
                <w:rFonts w:ascii="Times New Roman" w:cs="Times New Roman" w:hAnsi="Times New Roman" w:hint="eastAsia"/>
                <w:color w:val="auto"/>
                <w:sz w:val="24"/>
                <w:szCs w:val="24"/>
                <w:lang w:val="en-US" w:eastAsia="zh-CN"/>
                <w:highlight w:val="none"/>
              </w:rPr>
              <w:t>0.64</w:t>
            </w:r>
            <w:r>
              <w:rPr>
                <w:rFonts w:ascii="Times New Roman" w:eastAsia="宋体" w:cs="Times New Roman" w:hAnsi="Times New Roman"/>
                <w:color w:val="auto"/>
                <w:sz w:val="24"/>
                <w:szCs w:val="24"/>
                <w:highlight w:val="none"/>
              </w:rPr>
              <w:t>m</w:t>
            </w:r>
            <w:r>
              <w:rPr>
                <w:rFonts w:ascii="Times New Roman" w:eastAsia="宋体" w:cs="Times New Roman" w:hAnsi="Times New Roman"/>
                <w:color w:val="auto"/>
                <w:sz w:val="24"/>
                <w:szCs w:val="24"/>
                <w:vertAlign w:val="superscript"/>
                <w:highlight w:val="none"/>
              </w:rPr>
              <w:t>3</w:t>
            </w:r>
            <w:r>
              <w:rPr>
                <w:rFonts w:ascii="Times New Roman" w:eastAsia="宋体" w:cs="Times New Roman" w:hAnsi="Times New Roman"/>
                <w:color w:val="auto"/>
                <w:sz w:val="24"/>
                <w:szCs w:val="24"/>
                <w:highlight w:val="none"/>
              </w:rPr>
              <w:t>/d）中pH：</w:t>
            </w:r>
            <w:r>
              <w:rPr>
                <w:rFonts w:ascii="Times New Roman" w:eastAsia="宋体" w:cs="Times New Roman" w:hAnsi="Times New Roman" w:hint="eastAsia"/>
                <w:color w:val="auto"/>
                <w:sz w:val="24"/>
                <w:szCs w:val="24"/>
                <w:lang w:eastAsia="zh-CN"/>
                <w:highlight w:val="none"/>
              </w:rPr>
              <w:t>6~9</w:t>
            </w:r>
            <w:r>
              <w:rPr>
                <w:rFonts w:ascii="Times New Roman" w:eastAsia="宋体" w:cs="Times New Roman" w:hAnsi="Times New Roman"/>
                <w:color w:val="auto"/>
                <w:sz w:val="24"/>
                <w:szCs w:val="24"/>
                <w:highlight w:val="none"/>
              </w:rPr>
              <w:t>、COD产生浓度约为</w:t>
            </w:r>
            <w:r>
              <w:rPr>
                <w:rFonts w:ascii="Times New Roman" w:cs="Times New Roman" w:hAnsi="Times New Roman" w:hint="eastAsia"/>
                <w:color w:val="auto"/>
                <w:sz w:val="24"/>
                <w:szCs w:val="24"/>
                <w:lang w:val="en-US" w:eastAsia="zh-CN"/>
                <w:highlight w:val="none"/>
              </w:rPr>
              <w:t>300</w:t>
            </w:r>
            <w:r>
              <w:rPr>
                <w:rFonts w:ascii="Times New Roman" w:eastAsia="宋体" w:cs="Times New Roman" w:hAnsi="Times New Roman"/>
                <w:color w:val="auto"/>
                <w:sz w:val="24"/>
                <w:szCs w:val="24"/>
                <w:highlight w:val="none"/>
              </w:rPr>
              <w:t>mg/L、BOD</w:t>
            </w:r>
            <w:r>
              <w:rPr>
                <w:rFonts w:ascii="Times New Roman" w:eastAsia="宋体" w:cs="Times New Roman" w:hAnsi="Times New Roman"/>
                <w:color w:val="auto"/>
                <w:sz w:val="24"/>
                <w:szCs w:val="24"/>
                <w:vertAlign w:val="subscript"/>
                <w:highlight w:val="none"/>
              </w:rPr>
              <w:t>5</w:t>
            </w:r>
            <w:r>
              <w:rPr>
                <w:rFonts w:ascii="Times New Roman" w:eastAsia="宋体" w:cs="Times New Roman" w:hAnsi="Times New Roman"/>
                <w:color w:val="auto"/>
                <w:sz w:val="24"/>
                <w:szCs w:val="24"/>
                <w:highlight w:val="none"/>
              </w:rPr>
              <w:t>产生浓度约为</w:t>
            </w:r>
            <w:r>
              <w:rPr>
                <w:rFonts w:ascii="Times New Roman" w:cs="Times New Roman" w:hAnsi="Times New Roman" w:hint="eastAsia"/>
                <w:color w:val="auto"/>
                <w:sz w:val="24"/>
                <w:szCs w:val="24"/>
                <w:lang w:val="en-US" w:eastAsia="zh-CN"/>
                <w:highlight w:val="none"/>
              </w:rPr>
              <w:t>150</w:t>
            </w:r>
            <w:r>
              <w:rPr>
                <w:rFonts w:ascii="Times New Roman" w:eastAsia="宋体" w:cs="Times New Roman" w:hAnsi="Times New Roman"/>
                <w:color w:val="auto"/>
                <w:sz w:val="24"/>
                <w:szCs w:val="24"/>
                <w:highlight w:val="none"/>
              </w:rPr>
              <w:t>mg/L、SS产生浓度约为</w:t>
            </w:r>
            <w:r>
              <w:rPr>
                <w:rFonts w:ascii="Times New Roman" w:cs="Times New Roman" w:hAnsi="Times New Roman" w:hint="eastAsia"/>
                <w:color w:val="auto"/>
                <w:sz w:val="24"/>
                <w:szCs w:val="24"/>
                <w:lang w:val="en-US" w:eastAsia="zh-CN"/>
                <w:highlight w:val="none"/>
              </w:rPr>
              <w:t>150</w:t>
            </w:r>
            <w:r>
              <w:rPr>
                <w:rFonts w:ascii="Times New Roman" w:eastAsia="宋体" w:cs="Times New Roman" w:hAnsi="Times New Roman"/>
                <w:color w:val="auto"/>
                <w:sz w:val="24"/>
                <w:szCs w:val="24"/>
                <w:highlight w:val="none"/>
              </w:rPr>
              <w:t>mg/L、氨氮产生浓度约为20mg/L</w:t>
            </w:r>
            <w:r>
              <w:rPr>
                <w:rFonts w:ascii="Times New Roman" w:cs="Times New Roman" w:hAnsi="Times New Roman" w:hint="eastAsia"/>
                <w:color w:val="auto"/>
                <w:sz w:val="24"/>
                <w:szCs w:val="24"/>
                <w:lang w:eastAsia="zh-CN"/>
                <w:highlight w:val="none"/>
              </w:rPr>
              <w:t>、</w:t>
            </w:r>
            <w:r>
              <w:rPr>
                <w:rFonts w:ascii="Times New Roman" w:cs="Times New Roman" w:hAnsi="Times New Roman" w:hint="eastAsia"/>
                <w:color w:val="auto"/>
                <w:sz w:val="24"/>
                <w:szCs w:val="24"/>
                <w:lang w:val="en-US" w:eastAsia="zh-CN"/>
                <w:highlight w:val="none"/>
              </w:rPr>
              <w:t>总氮</w:t>
            </w:r>
            <w:r>
              <w:rPr>
                <w:rFonts w:ascii="Times New Roman" w:eastAsia="宋体" w:cs="Times New Roman" w:hAnsi="Times New Roman"/>
                <w:color w:val="auto"/>
                <w:sz w:val="24"/>
                <w:szCs w:val="24"/>
                <w:highlight w:val="none"/>
              </w:rPr>
              <w:t>产生浓度约为</w:t>
            </w:r>
            <w:r>
              <w:rPr>
                <w:rFonts w:ascii="Times New Roman" w:cs="Times New Roman" w:hAnsi="Times New Roman" w:hint="eastAsia"/>
                <w:color w:val="auto"/>
                <w:sz w:val="24"/>
                <w:szCs w:val="24"/>
                <w:lang w:val="en-US" w:eastAsia="zh-CN"/>
                <w:highlight w:val="none"/>
              </w:rPr>
              <w:t>40</w:t>
            </w:r>
            <w:r>
              <w:rPr>
                <w:rFonts w:ascii="Times New Roman" w:eastAsia="宋体" w:cs="Times New Roman" w:hAnsi="Times New Roman"/>
                <w:color w:val="auto"/>
                <w:sz w:val="24"/>
                <w:szCs w:val="24"/>
                <w:highlight w:val="none"/>
              </w:rPr>
              <w:t>mg/L</w:t>
            </w:r>
            <w:r>
              <w:rPr>
                <w:rFonts w:ascii="Times New Roman" w:cs="Times New Roman" w:hAnsi="Times New Roman" w:hint="eastAsia"/>
                <w:color w:val="auto"/>
                <w:sz w:val="24"/>
                <w:szCs w:val="24"/>
                <w:lang w:eastAsia="zh-CN"/>
                <w:highlight w:val="none"/>
              </w:rPr>
              <w:t>、</w:t>
            </w:r>
            <w:r>
              <w:rPr>
                <w:rFonts w:ascii="Times New Roman" w:cs="Times New Roman" w:hAnsi="Times New Roman" w:hint="eastAsia"/>
                <w:color w:val="auto"/>
                <w:sz w:val="24"/>
                <w:szCs w:val="24"/>
                <w:lang w:val="en-US" w:eastAsia="zh-CN"/>
                <w:highlight w:val="none"/>
              </w:rPr>
              <w:t>总磷</w:t>
            </w:r>
            <w:r>
              <w:rPr>
                <w:rFonts w:ascii="Times New Roman" w:eastAsia="宋体" w:cs="Times New Roman" w:hAnsi="Times New Roman"/>
                <w:color w:val="auto"/>
                <w:sz w:val="24"/>
                <w:szCs w:val="24"/>
                <w:highlight w:val="none"/>
              </w:rPr>
              <w:t>产生浓度约为</w:t>
            </w:r>
            <w:r>
              <w:rPr>
                <w:rFonts w:ascii="Times New Roman" w:cs="Times New Roman" w:hAnsi="Times New Roman" w:hint="eastAsia"/>
                <w:color w:val="auto"/>
                <w:sz w:val="24"/>
                <w:szCs w:val="24"/>
                <w:lang w:val="en-US" w:eastAsia="zh-CN"/>
                <w:highlight w:val="none"/>
              </w:rPr>
              <w:t>5</w:t>
            </w:r>
            <w:r>
              <w:rPr>
                <w:rFonts w:ascii="Times New Roman" w:eastAsia="宋体" w:cs="Times New Roman" w:hAnsi="Times New Roman"/>
                <w:color w:val="auto"/>
                <w:sz w:val="24"/>
                <w:szCs w:val="24"/>
                <w:highlight w:val="none"/>
              </w:rPr>
              <w:t>mg/L</w:t>
            </w:r>
            <w:r>
              <w:rPr>
                <w:rFonts w:ascii="Times New Roman" w:cs="Times New Roman" w:hAnsi="Times New Roman" w:hint="eastAsia"/>
                <w:color w:val="auto"/>
                <w:sz w:val="24"/>
                <w:szCs w:val="24"/>
                <w:lang w:eastAsia="zh-CN"/>
                <w:highlight w:val="none"/>
              </w:rPr>
              <w:t>。</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（2）项目废水排放情况</w:t>
            </w:r>
          </w:p>
          <w:p>
            <w:pPr>
              <w:keepNext w:val="0"/>
              <w:keepLines w:val="0"/>
              <w:suppressLineNumbers w:val="0"/>
              <w:spacing w:before="0" w:beforeAutospacing="0" w:after="0" w:afterAutospacing="0" w:line="480" w:lineRule="exact"/>
              <w:ind w:left="0" w:right="0" w:firstLineChars="200" w:firstLine="480"/>
              <w:jc w:val="left"/>
              <w:rPr>
                <w:rFonts w:ascii="Times New Roman" w:eastAsia="宋体" w:cs="Times New Roman" w:hAnsi="Times New Roman"/>
                <w:color w:val="auto"/>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生活污水经集成式生物化粪池初步处理后之后排入石家庄市栾城区污水处理中心（绿源污水处理厂）。</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hint="eastAsia"/>
                <w:color w:val="auto"/>
                <w:kern w:val="2"/>
                <w:sz w:val="24"/>
                <w:szCs w:val="24"/>
                <w:lang w:val="en-US" w:eastAsia="zh-CN"/>
                <w:highlight w:val="none"/>
              </w:rPr>
            </w:pPr>
            <w:r>
              <w:rPr>
                <w:rFonts w:ascii="Times New Roman" w:eastAsia="宋体" w:cs="Times New Roman" w:hAnsi="Times New Roman"/>
                <w:i w:val="0"/>
                <w:iCs w:val="0"/>
                <w:color w:val="auto"/>
                <w:sz w:val="24"/>
                <w:szCs w:val="24"/>
                <w:highlight w:val="none"/>
              </w:rPr>
              <w:t>本项目废水总排水量为</w:t>
            </w:r>
            <w:r>
              <w:rPr>
                <w:rFonts w:ascii="Times New Roman" w:cs="Times New Roman" w:hAnsi="Times New Roman" w:hint="eastAsia"/>
                <w:i w:val="0"/>
                <w:iCs w:val="0"/>
                <w:color w:val="auto"/>
                <w:sz w:val="24"/>
                <w:szCs w:val="24"/>
                <w:lang w:val="en-US" w:eastAsia="zh-CN"/>
                <w:highlight w:val="none"/>
              </w:rPr>
              <w:t>0.64</w:t>
            </w:r>
            <w:r>
              <w:rPr>
                <w:rFonts w:ascii="Times New Roman" w:eastAsia="宋体" w:cs="Times New Roman" w:hAnsi="Times New Roman"/>
                <w:i w:val="0"/>
                <w:iCs w:val="0"/>
                <w:color w:val="auto"/>
                <w:sz w:val="24"/>
                <w:szCs w:val="24"/>
                <w:highlight w:val="none"/>
              </w:rPr>
              <w:t>m</w:t>
            </w:r>
            <w:r>
              <w:rPr>
                <w:rFonts w:ascii="Times New Roman" w:eastAsia="宋体" w:cs="Times New Roman" w:hAnsi="Times New Roman"/>
                <w:i w:val="0"/>
                <w:iCs w:val="0"/>
                <w:color w:val="auto"/>
                <w:sz w:val="24"/>
                <w:szCs w:val="24"/>
                <w:vertAlign w:val="superscript"/>
                <w:highlight w:val="none"/>
              </w:rPr>
              <w:t>3</w:t>
            </w:r>
            <w:r>
              <w:rPr>
                <w:rFonts w:ascii="Times New Roman" w:eastAsia="宋体" w:cs="Times New Roman" w:hAnsi="Times New Roman"/>
                <w:i w:val="0"/>
                <w:iCs w:val="0"/>
                <w:color w:val="auto"/>
                <w:sz w:val="24"/>
                <w:szCs w:val="24"/>
                <w:highlight w:val="none"/>
              </w:rPr>
              <w:t>/a，SS排放量为</w:t>
            </w:r>
            <w:r>
              <w:rPr>
                <w:rFonts w:ascii="Times New Roman" w:cs="Times New Roman" w:hAnsi="Times New Roman" w:hint="eastAsia"/>
                <w:i w:val="0"/>
                <w:iCs w:val="0"/>
                <w:color w:val="auto"/>
                <w:sz w:val="24"/>
                <w:szCs w:val="24"/>
                <w:lang w:val="en-US" w:eastAsia="zh-CN"/>
                <w:highlight w:val="none"/>
              </w:rPr>
              <w:t>0.020</w:t>
            </w:r>
            <w:r>
              <w:rPr>
                <w:rFonts w:ascii="Times New Roman" w:eastAsia="宋体" w:cs="Times New Roman" w:hAnsi="Times New Roman"/>
                <w:i w:val="0"/>
                <w:iCs w:val="0"/>
                <w:color w:val="auto"/>
                <w:sz w:val="24"/>
                <w:szCs w:val="24"/>
                <w:highlight w:val="none"/>
              </w:rPr>
              <w:t>t/a、排放浓度</w:t>
            </w:r>
            <w:r>
              <w:rPr>
                <w:rFonts w:ascii="Times New Roman" w:cs="Times New Roman" w:hAnsi="Times New Roman" w:hint="eastAsia"/>
                <w:i w:val="0"/>
                <w:iCs w:val="0"/>
                <w:color w:val="auto"/>
                <w:sz w:val="24"/>
                <w:szCs w:val="24"/>
                <w:lang w:val="en-US" w:eastAsia="zh-CN"/>
                <w:highlight w:val="none"/>
              </w:rPr>
              <w:t>105</w:t>
            </w:r>
            <w:r>
              <w:rPr>
                <w:rFonts w:ascii="Times New Roman" w:eastAsia="宋体" w:cs="Times New Roman" w:hAnsi="Times New Roman"/>
                <w:i w:val="0"/>
                <w:iCs w:val="0"/>
                <w:color w:val="auto"/>
                <w:sz w:val="24"/>
                <w:szCs w:val="24"/>
                <w:highlight w:val="none"/>
              </w:rPr>
              <w:t>mg/L，COD排放量为</w:t>
            </w:r>
            <w:r>
              <w:rPr>
                <w:rFonts w:ascii="Times New Roman" w:cs="Times New Roman" w:hAnsi="Times New Roman" w:hint="eastAsia"/>
                <w:i w:val="0"/>
                <w:iCs w:val="0"/>
                <w:color w:val="auto"/>
                <w:sz w:val="24"/>
                <w:szCs w:val="24"/>
                <w:lang w:val="en-US" w:eastAsia="zh-CN"/>
                <w:highlight w:val="none"/>
              </w:rPr>
              <w:t>0.049</w:t>
            </w:r>
            <w:r>
              <w:rPr>
                <w:rFonts w:ascii="Times New Roman" w:eastAsia="宋体" w:cs="Times New Roman" w:hAnsi="Times New Roman"/>
                <w:i w:val="0"/>
                <w:iCs w:val="0"/>
                <w:color w:val="auto"/>
                <w:sz w:val="24"/>
                <w:szCs w:val="24"/>
                <w:highlight w:val="none"/>
              </w:rPr>
              <w:t>t/a、排放浓度</w:t>
            </w:r>
            <w:r>
              <w:rPr>
                <w:rFonts w:ascii="Times New Roman" w:cs="Times New Roman" w:hAnsi="Times New Roman" w:hint="eastAsia"/>
                <w:i w:val="0"/>
                <w:iCs w:val="0"/>
                <w:color w:val="auto"/>
                <w:sz w:val="24"/>
                <w:szCs w:val="24"/>
                <w:lang w:val="en-US" w:eastAsia="zh-CN"/>
                <w:highlight w:val="none"/>
              </w:rPr>
              <w:t>255</w:t>
            </w:r>
            <w:r>
              <w:rPr>
                <w:rFonts w:ascii="Times New Roman" w:eastAsia="宋体" w:cs="Times New Roman" w:hAnsi="Times New Roman"/>
                <w:i w:val="0"/>
                <w:iCs w:val="0"/>
                <w:color w:val="auto"/>
                <w:sz w:val="24"/>
                <w:szCs w:val="24"/>
                <w:highlight w:val="none"/>
              </w:rPr>
              <w:t>mg/L，BOD</w:t>
            </w:r>
            <w:r>
              <w:rPr>
                <w:rFonts w:ascii="Times New Roman" w:eastAsia="宋体" w:cs="Times New Roman" w:hAnsi="Times New Roman"/>
                <w:i w:val="0"/>
                <w:iCs w:val="0"/>
                <w:color w:val="auto"/>
                <w:sz w:val="24"/>
                <w:szCs w:val="24"/>
                <w:vertAlign w:val="subscript"/>
                <w:highlight w:val="none"/>
              </w:rPr>
              <w:t>5</w:t>
            </w:r>
            <w:r>
              <w:rPr>
                <w:rFonts w:ascii="Times New Roman" w:eastAsia="宋体" w:cs="Times New Roman" w:hAnsi="Times New Roman"/>
                <w:i w:val="0"/>
                <w:iCs w:val="0"/>
                <w:color w:val="auto"/>
                <w:sz w:val="24"/>
                <w:szCs w:val="24"/>
                <w:highlight w:val="none"/>
              </w:rPr>
              <w:t>排放量为</w:t>
            </w:r>
            <w:r>
              <w:rPr>
                <w:rFonts w:ascii="Times New Roman" w:cs="Times New Roman" w:hAnsi="Times New Roman" w:hint="eastAsia"/>
                <w:i w:val="0"/>
                <w:iCs w:val="0"/>
                <w:color w:val="auto"/>
                <w:sz w:val="24"/>
                <w:szCs w:val="24"/>
                <w:lang w:val="en-US" w:eastAsia="zh-CN"/>
                <w:highlight w:val="none"/>
              </w:rPr>
              <w:t>0.026</w:t>
            </w:r>
            <w:r>
              <w:rPr>
                <w:rFonts w:ascii="Times New Roman" w:eastAsia="宋体" w:cs="Times New Roman" w:hAnsi="Times New Roman"/>
                <w:i w:val="0"/>
                <w:iCs w:val="0"/>
                <w:color w:val="auto"/>
                <w:sz w:val="24"/>
                <w:szCs w:val="24"/>
                <w:highlight w:val="none"/>
              </w:rPr>
              <w:t>t/a、排放浓度</w:t>
            </w:r>
            <w:r>
              <w:rPr>
                <w:rFonts w:ascii="Times New Roman" w:cs="Times New Roman" w:hAnsi="Times New Roman" w:hint="eastAsia"/>
                <w:i w:val="0"/>
                <w:iCs w:val="0"/>
                <w:color w:val="auto"/>
                <w:sz w:val="24"/>
                <w:szCs w:val="24"/>
                <w:lang w:val="en-US" w:eastAsia="zh-CN"/>
                <w:highlight w:val="none"/>
              </w:rPr>
              <w:t>136.5</w:t>
            </w:r>
            <w:r>
              <w:rPr>
                <w:rFonts w:ascii="Times New Roman" w:eastAsia="宋体" w:cs="Times New Roman" w:hAnsi="Times New Roman"/>
                <w:i w:val="0"/>
                <w:iCs w:val="0"/>
                <w:color w:val="auto"/>
                <w:sz w:val="24"/>
                <w:szCs w:val="24"/>
                <w:highlight w:val="none"/>
              </w:rPr>
              <w:t>mg/L，氨氮排放量为</w:t>
            </w:r>
            <w:r>
              <w:rPr>
                <w:rFonts w:ascii="Times New Roman" w:eastAsia="宋体" w:cs="Times New Roman" w:hAnsi="Times New Roman" w:hint="eastAsia"/>
                <w:i w:val="0"/>
                <w:iCs w:val="0"/>
                <w:color w:val="auto"/>
                <w:sz w:val="24"/>
                <w:szCs w:val="24"/>
                <w:lang w:val="en-US" w:eastAsia="zh-CN"/>
                <w:highlight w:val="none"/>
              </w:rPr>
              <w:t>0.004</w:t>
            </w:r>
            <w:r>
              <w:rPr>
                <w:rFonts w:ascii="Times New Roman" w:eastAsia="宋体" w:cs="Times New Roman" w:hAnsi="Times New Roman"/>
                <w:i w:val="0"/>
                <w:iCs w:val="0"/>
                <w:color w:val="auto"/>
                <w:sz w:val="24"/>
                <w:szCs w:val="24"/>
                <w:vertAlign w:val="baseline"/>
                <w:highlight w:val="none"/>
              </w:rPr>
              <w:t>t</w:t>
            </w:r>
            <w:r>
              <w:rPr>
                <w:rFonts w:ascii="Times New Roman" w:eastAsia="宋体" w:cs="Times New Roman" w:hAnsi="Times New Roman"/>
                <w:i w:val="0"/>
                <w:iCs w:val="0"/>
                <w:color w:val="auto"/>
                <w:sz w:val="24"/>
                <w:szCs w:val="24"/>
                <w:highlight w:val="none"/>
              </w:rPr>
              <w:t>/a、排放浓度</w:t>
            </w:r>
            <w:r>
              <w:rPr>
                <w:rFonts w:ascii="Times New Roman" w:eastAsia="宋体" w:cs="Times New Roman" w:hAnsi="Times New Roman" w:hint="eastAsia"/>
                <w:i w:val="0"/>
                <w:iCs w:val="0"/>
                <w:color w:val="auto"/>
                <w:sz w:val="24"/>
                <w:szCs w:val="24"/>
                <w:lang w:val="en-US" w:eastAsia="zh-CN"/>
                <w:highlight w:val="none"/>
              </w:rPr>
              <w:t>19.4</w:t>
            </w:r>
            <w:r>
              <w:rPr>
                <w:rFonts w:ascii="Times New Roman" w:eastAsia="宋体" w:cs="Times New Roman" w:hAnsi="Times New Roman"/>
                <w:i w:val="0"/>
                <w:iCs w:val="0"/>
                <w:color w:val="auto"/>
                <w:sz w:val="24"/>
                <w:szCs w:val="24"/>
                <w:highlight w:val="none"/>
              </w:rPr>
              <w:t>mg/L，</w:t>
            </w:r>
            <w:r>
              <w:rPr>
                <w:rFonts w:ascii="Times New Roman" w:cs="Times New Roman" w:hAnsi="Times New Roman" w:hint="eastAsia"/>
                <w:i w:val="0"/>
                <w:iCs w:val="0"/>
                <w:color w:val="auto"/>
                <w:sz w:val="24"/>
                <w:szCs w:val="24"/>
                <w:lang w:val="en-US" w:eastAsia="zh-CN"/>
                <w:highlight w:val="none"/>
              </w:rPr>
              <w:t>总氮</w:t>
            </w:r>
            <w:r>
              <w:rPr>
                <w:rFonts w:ascii="Times New Roman" w:eastAsia="宋体" w:cs="Times New Roman" w:hAnsi="Times New Roman"/>
                <w:i w:val="0"/>
                <w:iCs w:val="0"/>
                <w:color w:val="auto"/>
                <w:sz w:val="24"/>
                <w:szCs w:val="24"/>
                <w:highlight w:val="none"/>
              </w:rPr>
              <w:t>排放量为</w:t>
            </w:r>
            <w:r>
              <w:rPr>
                <w:rFonts w:ascii="Times New Roman" w:cs="Times New Roman" w:hAnsi="Times New Roman" w:hint="eastAsia"/>
                <w:i w:val="0"/>
                <w:iCs w:val="0"/>
                <w:color w:val="auto"/>
                <w:sz w:val="24"/>
                <w:szCs w:val="24"/>
                <w:lang w:val="en-US" w:eastAsia="zh-CN"/>
                <w:highlight w:val="none"/>
              </w:rPr>
              <w:t>0.007</w:t>
            </w:r>
            <w:r>
              <w:rPr>
                <w:rFonts w:ascii="Times New Roman" w:eastAsia="宋体" w:cs="Times New Roman" w:hAnsi="Times New Roman"/>
                <w:i w:val="0"/>
                <w:iCs w:val="0"/>
                <w:color w:val="auto"/>
                <w:sz w:val="24"/>
                <w:szCs w:val="24"/>
                <w:vertAlign w:val="baseline"/>
                <w:highlight w:val="none"/>
              </w:rPr>
              <w:t>t</w:t>
            </w:r>
            <w:r>
              <w:rPr>
                <w:rFonts w:ascii="Times New Roman" w:eastAsia="宋体" w:cs="Times New Roman" w:hAnsi="Times New Roman"/>
                <w:i w:val="0"/>
                <w:iCs w:val="0"/>
                <w:color w:val="auto"/>
                <w:sz w:val="24"/>
                <w:szCs w:val="24"/>
                <w:highlight w:val="none"/>
              </w:rPr>
              <w:t>/a、排放浓度</w:t>
            </w:r>
            <w:r>
              <w:rPr>
                <w:rFonts w:ascii="Times New Roman" w:cs="Times New Roman" w:hAnsi="Times New Roman" w:hint="eastAsia"/>
                <w:i w:val="0"/>
                <w:iCs w:val="0"/>
                <w:color w:val="auto"/>
                <w:sz w:val="24"/>
                <w:szCs w:val="24"/>
                <w:lang w:val="en-US" w:eastAsia="zh-CN"/>
                <w:highlight w:val="none"/>
              </w:rPr>
              <w:t>38</w:t>
            </w:r>
            <w:r>
              <w:rPr>
                <w:rFonts w:ascii="Times New Roman" w:eastAsia="宋体" w:cs="Times New Roman" w:hAnsi="Times New Roman"/>
                <w:i w:val="0"/>
                <w:iCs w:val="0"/>
                <w:color w:val="auto"/>
                <w:sz w:val="24"/>
                <w:szCs w:val="24"/>
                <w:highlight w:val="none"/>
              </w:rPr>
              <w:t>mg/L，</w:t>
            </w:r>
            <w:r>
              <w:rPr>
                <w:rFonts w:ascii="Times New Roman" w:cs="Times New Roman" w:hAnsi="Times New Roman" w:hint="eastAsia"/>
                <w:i w:val="0"/>
                <w:iCs w:val="0"/>
                <w:color w:val="auto"/>
                <w:sz w:val="24"/>
                <w:szCs w:val="24"/>
                <w:lang w:val="en-US" w:eastAsia="zh-CN"/>
                <w:highlight w:val="none"/>
              </w:rPr>
              <w:t>总磷</w:t>
            </w:r>
            <w:r>
              <w:rPr>
                <w:rFonts w:ascii="Times New Roman" w:eastAsia="宋体" w:cs="Times New Roman" w:hAnsi="Times New Roman"/>
                <w:i w:val="0"/>
                <w:iCs w:val="0"/>
                <w:color w:val="auto"/>
                <w:sz w:val="24"/>
                <w:szCs w:val="24"/>
                <w:highlight w:val="none"/>
              </w:rPr>
              <w:t>排放量为</w:t>
            </w:r>
            <w:r>
              <w:rPr>
                <w:rFonts w:ascii="Times New Roman" w:cs="Times New Roman" w:hAnsi="Times New Roman" w:hint="eastAsia"/>
                <w:i w:val="0"/>
                <w:iCs w:val="0"/>
                <w:color w:val="auto"/>
                <w:sz w:val="24"/>
                <w:szCs w:val="24"/>
                <w:lang w:val="en-US" w:eastAsia="zh-CN"/>
                <w:highlight w:val="none"/>
              </w:rPr>
              <w:t>8.640</w:t>
            </w:r>
            <w:r>
              <w:rPr>
                <w:rFonts w:ascii="Times New Roman" w:cs="Times New Roman" w:hAnsi="Times New Roman"/>
                <w:color w:val="auto"/>
                <w:sz w:val="24"/>
                <w:szCs w:val="24"/>
                <w:lang w:val="en-US" w:eastAsia="zh-CN"/>
                <w:highlight w:val="none"/>
              </w:rPr>
              <w:t>×</w:t>
            </w:r>
            <w:r>
              <w:rPr>
                <w:rFonts w:ascii="Times New Roman" w:cs="Times New Roman" w:hAnsi="Times New Roman" w:hint="eastAsia"/>
                <w:color w:val="auto"/>
                <w:sz w:val="24"/>
                <w:szCs w:val="24"/>
                <w:lang w:val="en-US" w:eastAsia="zh-CN"/>
                <w:highlight w:val="none"/>
              </w:rPr>
              <w:t>10</w:t>
            </w:r>
            <w:r>
              <w:rPr>
                <w:rFonts w:ascii="Times New Roman" w:cs="Times New Roman" w:hAnsi="Times New Roman" w:hint="eastAsia"/>
                <w:color w:val="auto"/>
                <w:sz w:val="24"/>
                <w:szCs w:val="24"/>
                <w:vertAlign w:val="superscript"/>
                <w:lang w:val="en-US" w:eastAsia="zh-CN"/>
                <w:highlight w:val="none"/>
              </w:rPr>
              <w:t>-4</w:t>
            </w:r>
            <w:r>
              <w:rPr>
                <w:rFonts w:ascii="Times New Roman" w:eastAsia="宋体" w:cs="Times New Roman" w:hAnsi="Times New Roman"/>
                <w:i w:val="0"/>
                <w:iCs w:val="0"/>
                <w:color w:val="auto"/>
                <w:sz w:val="24"/>
                <w:szCs w:val="24"/>
                <w:vertAlign w:val="baseline"/>
                <w:highlight w:val="none"/>
              </w:rPr>
              <w:t>t</w:t>
            </w:r>
            <w:r>
              <w:rPr>
                <w:rFonts w:ascii="Times New Roman" w:eastAsia="宋体" w:cs="Times New Roman" w:hAnsi="Times New Roman"/>
                <w:i w:val="0"/>
                <w:iCs w:val="0"/>
                <w:color w:val="auto"/>
                <w:sz w:val="24"/>
                <w:szCs w:val="24"/>
                <w:highlight w:val="none"/>
              </w:rPr>
              <w:t>/a、排放浓度</w:t>
            </w:r>
            <w:r>
              <w:rPr>
                <w:rFonts w:ascii="Times New Roman" w:cs="Times New Roman" w:hAnsi="Times New Roman" w:hint="eastAsia"/>
                <w:i w:val="0"/>
                <w:iCs w:val="0"/>
                <w:color w:val="auto"/>
                <w:sz w:val="24"/>
                <w:szCs w:val="24"/>
                <w:lang w:val="en-US" w:eastAsia="zh-CN"/>
                <w:highlight w:val="none"/>
              </w:rPr>
              <w:t>4.5</w:t>
            </w:r>
            <w:r>
              <w:rPr>
                <w:rFonts w:ascii="Times New Roman" w:eastAsia="宋体" w:cs="Times New Roman" w:hAnsi="Times New Roman"/>
                <w:i w:val="0"/>
                <w:iCs w:val="0"/>
                <w:color w:val="auto"/>
                <w:sz w:val="24"/>
                <w:szCs w:val="24"/>
                <w:highlight w:val="none"/>
              </w:rPr>
              <w:t>mg/L，</w:t>
            </w:r>
            <w:r>
              <w:rPr>
                <w:rFonts w:ascii="Times New Roman" w:cs="Times New Roman" w:hAnsi="Times New Roman" w:hint="eastAsia"/>
                <w:i w:val="0"/>
                <w:iCs w:val="0"/>
                <w:color w:val="auto"/>
                <w:sz w:val="24"/>
                <w:szCs w:val="24"/>
                <w:lang w:eastAsia="zh-CN"/>
                <w:highlight w:val="none"/>
              </w:rPr>
              <w:t>外排废水满足《合成树脂工业污染物排放标准》（GB31572-2015）表2间接排放标准，同时满足石家庄市栾城区污水处理中心（绿源污水处理厂）进水水质要求</w:t>
            </w:r>
            <w:r>
              <w:rPr>
                <w:rFonts w:ascii="Times New Roman" w:eastAsia="宋体" w:cs="Times New Roman" w:hAnsi="Times New Roman" w:hint="eastAsia"/>
                <w:caps w:val="0"/>
                <w:smallCaps w:val="0"/>
                <w:color w:val="auto"/>
                <w:spacing w:val="0"/>
                <w:sz w:val="24"/>
                <w:szCs w:val="24"/>
                <w:lang w:val="en-US" w:eastAsia="zh-CN"/>
                <w:highlight w:val="none"/>
              </w:rPr>
              <w:t>。</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（3）废水污染设施可行性</w:t>
            </w:r>
          </w:p>
          <w:p>
            <w:pPr>
              <w:keepNext w:val="0"/>
              <w:keepLines w:val="0"/>
              <w:suppressLineNumbers w:val="0"/>
              <w:spacing w:before="0" w:beforeAutospacing="0" w:after="0" w:afterAutospacing="0" w:line="480" w:lineRule="exact"/>
              <w:ind w:left="0" w:right="0" w:firstLineChars="200" w:firstLine="480"/>
              <w:jc w:val="left"/>
              <w:rPr>
                <w:rFonts w:ascii="Times New Roman" w:eastAsia="宋体" w:cs="Times New Roman" w:hAnsi="Times New Roman"/>
                <w:color w:val="auto"/>
                <w:sz w:val="24"/>
                <w:szCs w:val="24"/>
                <w:highlight w:val="none"/>
              </w:rPr>
            </w:pPr>
            <w:r>
              <w:rPr>
                <w:rFonts w:ascii="Times New Roman" w:eastAsia="宋体" w:cs="Times New Roman" w:hAnsi="Times New Roman"/>
                <w:color w:val="auto"/>
                <w:sz w:val="24"/>
                <w:szCs w:val="24"/>
                <w:highlight w:val="none"/>
              </w:rPr>
              <w:t>化粪池对COD的去除效率为15%、对BOD</w:t>
            </w:r>
            <w:r>
              <w:rPr>
                <w:rFonts w:ascii="Times New Roman" w:eastAsia="宋体" w:cs="Times New Roman" w:hAnsi="Times New Roman"/>
                <w:color w:val="auto"/>
                <w:sz w:val="24"/>
                <w:szCs w:val="24"/>
                <w:vertAlign w:val="subscript"/>
                <w:highlight w:val="none"/>
              </w:rPr>
              <w:t>5</w:t>
            </w:r>
            <w:r>
              <w:rPr>
                <w:rFonts w:ascii="Times New Roman" w:eastAsia="宋体" w:cs="Times New Roman" w:hAnsi="Times New Roman"/>
                <w:color w:val="auto"/>
                <w:sz w:val="24"/>
                <w:szCs w:val="24"/>
                <w:highlight w:val="none"/>
              </w:rPr>
              <w:t>的去除效率为9%、对SS的去除效率为30%、对NH</w:t>
            </w:r>
            <w:r>
              <w:rPr>
                <w:rFonts w:ascii="Times New Roman" w:eastAsia="宋体" w:cs="Times New Roman" w:hAnsi="Times New Roman"/>
                <w:color w:val="auto"/>
                <w:sz w:val="24"/>
                <w:szCs w:val="24"/>
                <w:vertAlign w:val="subscript"/>
                <w:highlight w:val="none"/>
              </w:rPr>
              <w:t>3</w:t>
            </w:r>
            <w:r>
              <w:rPr>
                <w:rFonts w:ascii="Times New Roman" w:eastAsia="宋体" w:cs="Times New Roman" w:hAnsi="Times New Roman"/>
                <w:color w:val="auto"/>
                <w:sz w:val="24"/>
                <w:szCs w:val="24"/>
                <w:highlight w:val="none"/>
              </w:rPr>
              <w:t>-N的去除效率为3%</w:t>
            </w:r>
            <w:r>
              <w:rPr>
                <w:rFonts w:ascii="Times New Roman" w:cs="Times New Roman" w:hAnsi="Times New Roman" w:hint="eastAsia"/>
                <w:color w:val="auto"/>
                <w:sz w:val="24"/>
                <w:szCs w:val="24"/>
                <w:lang w:eastAsia="zh-CN"/>
                <w:highlight w:val="none"/>
              </w:rPr>
              <w:t>、</w:t>
            </w:r>
            <w:r>
              <w:rPr>
                <w:rFonts w:ascii="Times New Roman" w:cs="Times New Roman" w:hAnsi="Times New Roman" w:hint="eastAsia"/>
                <w:color w:val="auto"/>
                <w:sz w:val="24"/>
                <w:szCs w:val="24"/>
                <w:lang w:val="en-US" w:eastAsia="zh-CN"/>
                <w:highlight w:val="none"/>
              </w:rPr>
              <w:t>对总氮的去除效率为5%、对总磷的去除效率为10%</w:t>
            </w:r>
            <w:r>
              <w:rPr>
                <w:rFonts w:ascii="Times New Roman" w:eastAsia="宋体" w:cs="Times New Roman" w:hAnsi="Times New Roman"/>
                <w:color w:val="auto"/>
                <w:sz w:val="24"/>
                <w:szCs w:val="24"/>
                <w:highlight w:val="none"/>
              </w:rPr>
              <w:t>。</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主要控制因子处理效果一览表见表4-4。</w:t>
            </w:r>
          </w:p>
          <w:p>
            <w:pPr>
              <w:pStyle w:val="147"/>
              <w:keepNext w:val="0"/>
              <w:keepLines w:val="0"/>
              <w:suppressLineNumbers w:val="0"/>
              <w:tabs>
                <w:tab w:val="left" w:pos="6521"/>
              </w:tabs>
              <w:spacing w:before="0" w:beforeAutospacing="0" w:after="0" w:afterAutospacing="0" w:line="440" w:lineRule="exact"/>
              <w:ind w:left="0" w:right="0"/>
              <w:jc w:val="both"/>
              <w:rPr>
                <w:rFonts w:eastAsia="宋体"/>
                <w:color w:val="auto"/>
                <w:highlight w:val="none"/>
              </w:rPr>
            </w:pPr>
            <w:r>
              <w:rPr>
                <w:rFonts w:ascii="Times New Roman" w:eastAsia="宋体" w:cs="Times New Roman" w:hAnsi="Times New Roman"/>
                <w:color w:val="auto"/>
                <w:sz w:val="24"/>
                <w:szCs w:val="20"/>
                <w:highlight w:val="none"/>
              </w:rPr>
              <w:t>表4-</w:t>
            </w:r>
            <w:r>
              <w:rPr>
                <w:rFonts w:ascii="Times New Roman" w:cs="Times New Roman" w:hAnsi="Times New Roman" w:hint="eastAsia"/>
                <w:color w:val="auto"/>
                <w:sz w:val="24"/>
                <w:szCs w:val="20"/>
                <w:lang w:val="en-US" w:eastAsia="zh-CN"/>
                <w:highlight w:val="none"/>
              </w:rPr>
              <w:t>4</w:t>
            </w:r>
            <w:r>
              <w:rPr>
                <w:rFonts w:ascii="Times New Roman" w:eastAsia="宋体" w:cs="Times New Roman" w:hAnsi="Times New Roman"/>
                <w:color w:val="auto"/>
                <w:sz w:val="24"/>
                <w:szCs w:val="20"/>
                <w:highlight w:val="none"/>
              </w:rPr>
              <w:t xml:space="preserve">   主要控制因子处理效果一览表</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Look w:val="0600" w:firstRow="0" w:lastRow="0" w:firstColumn="0" w:lastColumn="0" w:noHBand="1" w:noVBand="1"/>
            </w:tblPr>
            <w:tblGrid>
              <w:gridCol w:w="564"/>
              <w:gridCol w:w="2042"/>
              <w:gridCol w:w="732"/>
              <w:gridCol w:w="744"/>
              <w:gridCol w:w="744"/>
              <w:gridCol w:w="750"/>
              <w:gridCol w:w="750"/>
              <w:gridCol w:w="750"/>
              <w:gridCol w:w="750"/>
            </w:tblGrid>
            <w:tr>
              <w:trPr>
                <w:trHeight w:val="435"/>
              </w:trP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序号</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处理单元</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pH</w:t>
                  </w:r>
                </w:p>
              </w:tc>
              <w:tc>
                <w:tcPr>
                  <w:tcW w:w="475"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悬浮物</w:t>
                  </w:r>
                </w:p>
              </w:tc>
              <w:tc>
                <w:tcPr>
                  <w:tcW w:w="475"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化学需氧量</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五日生化需氧量</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氨氮</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sz w:val="21"/>
                      <w:szCs w:val="18"/>
                      <w:lang w:val="en-US" w:eastAsia="zh-CN"/>
                      <w:highlight w:val="none"/>
                    </w:rPr>
                  </w:pPr>
                  <w:r>
                    <w:rPr>
                      <w:rFonts w:ascii="Times New Roman" w:cs="Times New Roman" w:hAnsi="Times New Roman" w:hint="eastAsia"/>
                      <w:caps w:val="0"/>
                      <w:smallCaps w:val="0"/>
                      <w:color w:val="auto"/>
                      <w:spacing w:val="0"/>
                      <w:sz w:val="21"/>
                      <w:szCs w:val="18"/>
                      <w:lang w:val="en-US" w:eastAsia="zh-CN"/>
                      <w:highlight w:val="none"/>
                    </w:rPr>
                    <w:t>总氮</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sz w:val="21"/>
                      <w:szCs w:val="18"/>
                      <w:lang w:val="en-US" w:eastAsia="zh-CN"/>
                      <w:highlight w:val="none"/>
                    </w:rPr>
                  </w:pPr>
                  <w:r>
                    <w:rPr>
                      <w:rFonts w:ascii="Times New Roman" w:cs="Times New Roman" w:hAnsi="Times New Roman" w:hint="eastAsia"/>
                      <w:caps w:val="0"/>
                      <w:smallCaps w:val="0"/>
                      <w:color w:val="auto"/>
                      <w:spacing w:val="0"/>
                      <w:sz w:val="21"/>
                      <w:szCs w:val="18"/>
                      <w:lang w:val="en-US" w:eastAsia="zh-CN"/>
                      <w:highlight w:val="none"/>
                    </w:rPr>
                    <w:t>总磷</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hint="eastAsia"/>
                      <w:color w:val="auto"/>
                      <w:kern w:val="2"/>
                      <w:sz w:val="21"/>
                      <w:szCs w:val="24"/>
                      <w:lang w:val="en-US" w:eastAsia="zh-CN" w:bidi="ar-SA"/>
                      <w:highlight w:val="none"/>
                    </w:rPr>
                    <w:t>1</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生活污水进水浓度（mg/L）</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6~9</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150</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3</w:t>
                  </w:r>
                  <w:r>
                    <w:rPr>
                      <w:rFonts w:ascii="Times New Roman" w:eastAsia="宋体" w:cs="Times New Roman" w:hAnsi="Times New Roman"/>
                      <w:i w:val="0"/>
                      <w:iCs w:val="0"/>
                      <w:color w:val="auto"/>
                      <w:kern w:val="0"/>
                      <w:sz w:val="21"/>
                      <w:szCs w:val="21"/>
                      <w:u w:val="none"/>
                      <w:lang w:val="en-US" w:eastAsia="zh-CN"/>
                      <w:highlight w:val="none"/>
                    </w:rPr>
                    <w:t>00</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1</w:t>
                  </w:r>
                  <w:r>
                    <w:rPr>
                      <w:rFonts w:ascii="Times New Roman" w:cs="Times New Roman" w:hAnsi="Times New Roman" w:hint="eastAsia"/>
                      <w:i w:val="0"/>
                      <w:iCs w:val="0"/>
                      <w:color w:val="auto"/>
                      <w:kern w:val="0"/>
                      <w:sz w:val="21"/>
                      <w:szCs w:val="21"/>
                      <w:u w:val="none"/>
                      <w:lang w:val="en-US" w:eastAsia="zh-CN"/>
                      <w:highlight w:val="none"/>
                    </w:rPr>
                    <w:t>5</w:t>
                  </w:r>
                  <w:r>
                    <w:rPr>
                      <w:rFonts w:ascii="Times New Roman" w:eastAsia="宋体" w:cs="Times New Roman" w:hAnsi="Times New Roman"/>
                      <w:i w:val="0"/>
                      <w:iCs w:val="0"/>
                      <w:color w:val="auto"/>
                      <w:kern w:val="0"/>
                      <w:sz w:val="21"/>
                      <w:szCs w:val="21"/>
                      <w:u w:val="none"/>
                      <w:lang w:val="en-US" w:eastAsia="zh-CN"/>
                      <w:highlight w:val="none"/>
                    </w:rPr>
                    <w:t>0</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20</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40</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5</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2</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生活污水产生量（t/a）</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0.029</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0.058</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0.029</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0.004</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0.008</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eastAsia="宋体" w:cs="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9.6</w:t>
                  </w:r>
                  <w:r>
                    <w:rPr>
                      <w:rFonts w:ascii="Times New Roman" w:eastAsia="宋体" w:cs="Times New Roman" w:hAnsi="Times New Roman"/>
                      <w:color w:val="auto"/>
                      <w:sz w:val="21"/>
                      <w:szCs w:val="24"/>
                      <w:lang w:val="en-US" w:eastAsia="zh-CN"/>
                      <w:highlight w:val="none"/>
                    </w:rPr>
                    <w:t>×</w:t>
                  </w:r>
                  <w:r>
                    <w:rPr>
                      <w:rFonts w:ascii="Times New Roman" w:eastAsia="宋体" w:cs="Times New Roman" w:hAnsi="Times New Roman" w:hint="eastAsia"/>
                      <w:color w:val="auto"/>
                      <w:sz w:val="21"/>
                      <w:szCs w:val="24"/>
                      <w:lang w:val="en-US" w:eastAsia="zh-CN"/>
                      <w:highlight w:val="none"/>
                    </w:rPr>
                    <w:t>10</w:t>
                  </w:r>
                  <w:r>
                    <w:rPr>
                      <w:rFonts w:ascii="Times New Roman" w:eastAsia="宋体" w:cs="Times New Roman" w:hAnsi="Times New Roman" w:hint="eastAsia"/>
                      <w:color w:val="auto"/>
                      <w:sz w:val="21"/>
                      <w:szCs w:val="24"/>
                      <w:vertAlign w:val="superscript"/>
                      <w:lang w:val="en-US" w:eastAsia="zh-CN"/>
                      <w:highlight w:val="none"/>
                    </w:rPr>
                    <w:t>-4</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3</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化粪池去除效率（%）</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lang w:val="en-US" w:eastAsia="zh-CN"/>
                      <w:highlight w:val="none"/>
                    </w:rPr>
                    <w:t>-</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30</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15</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9</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3</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5</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10</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4</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lang w:val="en-US" w:eastAsia="zh-CN"/>
                      <w:highlight w:val="none"/>
                    </w:rPr>
                    <w:t>生活污水</w:t>
                  </w:r>
                </w:p>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排放浓度（mg/L）</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lang w:val="en-US" w:eastAsia="zh-CN"/>
                      <w:highlight w:val="none"/>
                    </w:rPr>
                    <w:t>-</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105</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255</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136.5</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19.4</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color w:val="auto"/>
                      <w:sz w:val="21"/>
                      <w:szCs w:val="24"/>
                      <w:lang w:val="en-US" w:eastAsia="zh-CN"/>
                      <w:highlight w:val="none"/>
                    </w:rPr>
                  </w:pPr>
                  <w:r>
                    <w:rPr>
                      <w:rFonts w:ascii="Times New Roman" w:eastAsia="宋体" w:cs="Times New Roman" w:hAnsi="Times New Roman"/>
                      <w:i w:val="0"/>
                      <w:iCs w:val="0"/>
                      <w:color w:val="auto"/>
                      <w:kern w:val="0"/>
                      <w:sz w:val="21"/>
                      <w:szCs w:val="21"/>
                      <w:u w:val="none"/>
                      <w:lang w:val="en-US" w:eastAsia="zh-CN"/>
                      <w:highlight w:val="none"/>
                    </w:rPr>
                    <w:t>38</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eastAsia="宋体" w:cs="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4.5</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5</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生活污水排放量（t/a）</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0.020</w:t>
                  </w:r>
                </w:p>
              </w:tc>
              <w:tc>
                <w:tcPr>
                  <w:tcW w:w="186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0.049</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0.026</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0.004</w:t>
                  </w:r>
                </w:p>
              </w:tc>
              <w:tc>
                <w:tcPr>
                  <w:tcW w:w="187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0.007</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eastAsia="宋体" w:cs="Times New Roman" w:hint="eastAsia"/>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8.64</w:t>
                  </w:r>
                </w:p>
                <w:p>
                  <w:pPr>
                    <w:keepNext w:val="0"/>
                    <w:keepLines w:val="0"/>
                    <w:suppressLineNumbers w:val="0"/>
                    <w:spacing w:before="0" w:beforeAutospacing="0" w:after="0" w:afterAutospacing="0" w:line="360" w:lineRule="exact"/>
                    <w:ind w:left="0" w:right="0"/>
                    <w:jc w:val="center"/>
                    <w:rPr>
                      <w:rFonts w:eastAsia="宋体" w:cs="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w:t>
                  </w:r>
                  <w:r>
                    <w:rPr>
                      <w:rFonts w:ascii="Times New Roman" w:eastAsia="宋体" w:cs="Times New Roman" w:hAnsi="Times New Roman" w:hint="eastAsia"/>
                      <w:color w:val="auto"/>
                      <w:sz w:val="21"/>
                      <w:szCs w:val="24"/>
                      <w:lang w:val="en-US" w:eastAsia="zh-CN"/>
                      <w:highlight w:val="none"/>
                    </w:rPr>
                    <w:t>10</w:t>
                  </w:r>
                  <w:r>
                    <w:rPr>
                      <w:rFonts w:ascii="Times New Roman" w:eastAsia="宋体" w:cs="Times New Roman" w:hAnsi="Times New Roman" w:hint="eastAsia"/>
                      <w:color w:val="auto"/>
                      <w:sz w:val="21"/>
                      <w:szCs w:val="24"/>
                      <w:vertAlign w:val="superscript"/>
                      <w:lang w:val="en-US" w:eastAsia="zh-CN"/>
                      <w:highlight w:val="none"/>
                    </w:rPr>
                    <w:t>-4</w:t>
                  </w:r>
                </w:p>
              </w:tc>
            </w:tr>
            <w:tr>
              <w:tc>
                <w:tcPr>
                  <w:tcW w:w="360"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6</w:t>
                  </w:r>
                </w:p>
              </w:tc>
              <w:tc>
                <w:tcPr>
                  <w:tcW w:w="130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cs="Times New Roman" w:hAnsi="Times New Roman" w:hint="eastAsia"/>
                      <w:color w:val="auto"/>
                      <w:sz w:val="21"/>
                      <w:szCs w:val="24"/>
                      <w:lang w:eastAsia="zh-CN"/>
                      <w:highlight w:val="none"/>
                    </w:rPr>
                    <w:t>《合成树脂工业污染物排放标准》（GB31572-2015）表2间接排放标准，同时满足石家庄市栾城区污水处理中心（绿源污水处理厂）进水水质要求</w:t>
                  </w:r>
                  <w:r>
                    <w:rPr>
                      <w:rFonts w:ascii="Times New Roman" w:eastAsia="宋体" w:cs="Times New Roman" w:hAnsi="Times New Roman"/>
                      <w:color w:val="auto"/>
                      <w:sz w:val="21"/>
                      <w:szCs w:val="24"/>
                      <w:highlight w:val="none"/>
                    </w:rPr>
                    <w:t>（mg/L）</w:t>
                  </w:r>
                </w:p>
              </w:tc>
              <w:tc>
                <w:tcPr>
                  <w:tcW w:w="467"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caps w:val="0"/>
                      <w:smallCaps w:val="0"/>
                      <w:color w:val="auto"/>
                      <w:spacing w:val="0"/>
                      <w:sz w:val="21"/>
                      <w:szCs w:val="18"/>
                      <w:lang w:val="en-US" w:eastAsia="zh-CN"/>
                      <w:highlight w:val="none"/>
                    </w:rPr>
                    <w:t>6~9</w:t>
                  </w:r>
                </w:p>
              </w:tc>
              <w:tc>
                <w:tcPr>
                  <w:tcW w:w="475"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hint="eastAsia"/>
                      <w:caps w:val="0"/>
                      <w:smallCaps w:val="0"/>
                      <w:color w:val="auto"/>
                      <w:spacing w:val="0"/>
                      <w:kern w:val="2"/>
                      <w:sz w:val="21"/>
                      <w:szCs w:val="18"/>
                      <w:lang w:val="en-US" w:eastAsia="zh-CN" w:bidi="ar-SA"/>
                      <w:highlight w:val="none"/>
                    </w:rPr>
                    <w:t>200</w:t>
                  </w:r>
                </w:p>
              </w:tc>
              <w:tc>
                <w:tcPr>
                  <w:tcW w:w="475"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hint="eastAsia"/>
                      <w:caps w:val="0"/>
                      <w:smallCaps w:val="0"/>
                      <w:color w:val="auto"/>
                      <w:spacing w:val="0"/>
                      <w:kern w:val="2"/>
                      <w:sz w:val="21"/>
                      <w:szCs w:val="18"/>
                      <w:lang w:val="en-US" w:eastAsia="zh-CN" w:bidi="ar-SA"/>
                      <w:highlight w:val="none"/>
                    </w:rPr>
                    <w:t>450</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hint="eastAsia"/>
                      <w:caps w:val="0"/>
                      <w:smallCaps w:val="0"/>
                      <w:color w:val="auto"/>
                      <w:spacing w:val="0"/>
                      <w:kern w:val="2"/>
                      <w:sz w:val="21"/>
                      <w:szCs w:val="18"/>
                      <w:lang w:val="en-US" w:eastAsia="zh-CN" w:bidi="ar-SA"/>
                      <w:highlight w:val="none"/>
                    </w:rPr>
                    <w:t>160</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18"/>
                      <w:lang w:val="en-US" w:eastAsia="zh-CN" w:bidi="ar-SA"/>
                      <w:highlight w:val="none"/>
                    </w:rPr>
                  </w:pPr>
                  <w:r>
                    <w:rPr>
                      <w:rFonts w:ascii="Times New Roman" w:eastAsia="宋体" w:cs="Times New Roman" w:hAnsi="Times New Roman" w:hint="eastAsia"/>
                      <w:caps w:val="0"/>
                      <w:smallCaps w:val="0"/>
                      <w:color w:val="auto"/>
                      <w:spacing w:val="0"/>
                      <w:kern w:val="2"/>
                      <w:sz w:val="21"/>
                      <w:szCs w:val="18"/>
                      <w:lang w:val="en-US" w:eastAsia="zh-CN" w:bidi="ar-SA"/>
                      <w:highlight w:val="none"/>
                    </w:rPr>
                    <w:t>45</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cs="Times New Roman"/>
                      <w:caps w:val="0"/>
                      <w:smallCaps w:val="0"/>
                      <w:color w:val="auto"/>
                      <w:spacing w:val="0"/>
                      <w:kern w:val="2"/>
                      <w:sz w:val="21"/>
                      <w:szCs w:val="18"/>
                      <w:lang w:val="en-US" w:eastAsia="zh-CN" w:bidi="ar-SA"/>
                      <w:highlight w:val="none"/>
                    </w:rPr>
                  </w:pPr>
                  <w:r>
                    <w:rPr>
                      <w:rFonts w:ascii="Times New Roman" w:eastAsia="宋体" w:cs="Times New Roman" w:hAnsi="Times New Roman" w:hint="eastAsia"/>
                      <w:caps w:val="0"/>
                      <w:smallCaps w:val="0"/>
                      <w:color w:val="auto"/>
                      <w:spacing w:val="0"/>
                      <w:kern w:val="2"/>
                      <w:sz w:val="21"/>
                      <w:szCs w:val="18"/>
                      <w:lang w:val="en-US" w:eastAsia="zh-CN" w:bidi="ar-SA"/>
                      <w:highlight w:val="none"/>
                    </w:rPr>
                    <w:t>60</w:t>
                  </w:r>
                </w:p>
              </w:tc>
              <w:tc>
                <w:tcPr>
                  <w:tcW w:w="4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eastAsia="宋体" w:cs="Times New Roman"/>
                      <w:caps w:val="0"/>
                      <w:smallCaps w:val="0"/>
                      <w:color w:val="auto"/>
                      <w:spacing w:val="0"/>
                      <w:kern w:val="2"/>
                      <w:sz w:val="21"/>
                      <w:szCs w:val="18"/>
                      <w:lang w:val="en-US" w:eastAsia="zh-CN" w:bidi="ar-SA"/>
                      <w:highlight w:val="none"/>
                    </w:rPr>
                  </w:pPr>
                  <w:r>
                    <w:rPr>
                      <w:rFonts w:ascii="Times New Roman" w:cs="Times New Roman" w:hAnsi="Times New Roman" w:hint="eastAsia"/>
                      <w:caps w:val="0"/>
                      <w:smallCaps w:val="0"/>
                      <w:color w:val="auto"/>
                      <w:spacing w:val="0"/>
                      <w:kern w:val="2"/>
                      <w:sz w:val="21"/>
                      <w:szCs w:val="18"/>
                      <w:lang w:val="en-US" w:eastAsia="zh-CN" w:bidi="ar-SA"/>
                      <w:highlight w:val="none"/>
                    </w:rPr>
                    <w:t>5</w:t>
                  </w:r>
                </w:p>
              </w:tc>
            </w:tr>
          </w:tbl>
          <w:p>
            <w:pPr>
              <w:keepNext w:val="0"/>
              <w:keepLines w:val="0"/>
              <w:suppressLineNumbers w:val="0"/>
              <w:spacing w:before="0" w:beforeAutospacing="0" w:after="0" w:afterAutospacing="0" w:line="480" w:lineRule="exact"/>
              <w:ind w:left="0" w:right="0" w:firstLineChars="200" w:firstLine="480"/>
              <w:jc w:val="left"/>
              <w:rPr>
                <w:rFonts w:ascii="Times New Roman" w:eastAsia="宋体" w:cs="Times New Roman" w:hAnsi="Times New Roman"/>
                <w:color w:val="auto"/>
                <w:sz w:val="24"/>
                <w:szCs w:val="24"/>
                <w:highlight w:val="none"/>
              </w:rPr>
            </w:pPr>
            <w:r>
              <w:rPr>
                <w:rFonts w:ascii="Times New Roman" w:eastAsia="宋体" w:cs="Times New Roman" w:hAnsi="Times New Roman"/>
                <w:color w:val="auto"/>
                <w:sz w:val="24"/>
                <w:szCs w:val="24"/>
                <w:lang w:val="en-US" w:eastAsia="zh-CN"/>
                <w:highlight w:val="none"/>
              </w:rPr>
              <w:t>本项目</w:t>
            </w:r>
            <w:r>
              <w:rPr>
                <w:rFonts w:ascii="Times New Roman" w:eastAsia="宋体" w:cs="Times New Roman" w:hAnsi="Times New Roman" w:hint="eastAsia"/>
                <w:color w:val="auto"/>
                <w:sz w:val="24"/>
                <w:szCs w:val="24"/>
                <w:lang w:val="en-US" w:eastAsia="zh-CN"/>
                <w:highlight w:val="none"/>
              </w:rPr>
              <w:t>废水</w:t>
            </w:r>
            <w:r>
              <w:rPr>
                <w:rFonts w:ascii="Times New Roman" w:eastAsia="宋体" w:cs="Times New Roman" w:hAnsi="Times New Roman"/>
                <w:color w:val="auto"/>
                <w:sz w:val="24"/>
                <w:szCs w:val="24"/>
                <w:lang w:val="en-US" w:eastAsia="zh-CN"/>
                <w:highlight w:val="none"/>
              </w:rPr>
              <w:t>总排口中废水</w:t>
            </w:r>
            <w:r>
              <w:rPr>
                <w:rFonts w:ascii="Times New Roman" w:eastAsia="宋体" w:cs="Times New Roman" w:hAnsi="Times New Roman"/>
                <w:color w:val="auto"/>
                <w:sz w:val="24"/>
                <w:szCs w:val="24"/>
                <w:highlight w:val="none"/>
              </w:rPr>
              <w:t>满足</w:t>
            </w:r>
            <w:r>
              <w:rPr>
                <w:rFonts w:ascii="Times New Roman" w:cs="Times New Roman" w:hAnsi="Times New Roman" w:hint="eastAsia"/>
                <w:color w:val="auto"/>
                <w:sz w:val="24"/>
                <w:szCs w:val="24"/>
                <w:lang w:eastAsia="zh-CN"/>
                <w:highlight w:val="none"/>
              </w:rPr>
              <w:t>《合成树脂工业污染物排放标准》（GB31572-2015）表2间接排放标准，同时满足石家庄市栾城区污水处理中心（绿源污水处理厂）进水水质要求</w:t>
            </w:r>
            <w:r>
              <w:rPr>
                <w:rFonts w:ascii="Times New Roman" w:eastAsia="宋体" w:cs="Times New Roman" w:hAnsi="Times New Roman"/>
                <w:color w:val="auto"/>
                <w:sz w:val="24"/>
                <w:szCs w:val="24"/>
                <w:highlight w:val="none"/>
              </w:rPr>
              <w:t>。</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（4）废水排入石家庄市栾城区污水处理中心（绿源污水处理厂）的可行性</w:t>
            </w:r>
          </w:p>
          <w:p>
            <w:pPr>
              <w:keepNext w:val="0"/>
              <w:keepLines w:val="0"/>
              <w:widowControl w:val="0"/>
              <w:suppressLineNumbers w:val="0"/>
              <w:autoSpaceDE w:val="0"/>
              <w:autoSpaceDN/>
              <w:adjustRightInd w:val="0"/>
              <w:snapToGrid w:val="0"/>
              <w:spacing w:before="0" w:beforeAutospacing="0" w:after="0" w:afterAutospacing="0" w:line="460" w:lineRule="exact"/>
              <w:ind w:left="0" w:right="0" w:firstLineChars="200" w:firstLine="480"/>
              <w:jc w:val="both"/>
              <w:rPr>
                <w:rFonts w:cs="Times New Roman" w:hint="eastAsia"/>
                <w:color w:val="auto"/>
                <w:kern w:val="2"/>
                <w:sz w:val="24"/>
                <w:szCs w:val="24"/>
                <w:lang w:val="en-US" w:eastAsia="zh-CN"/>
                <w:highlight w:val="none"/>
              </w:rPr>
            </w:pPr>
            <w:r>
              <w:rPr>
                <w:rFonts w:ascii="Times New Roman" w:cs="Times New Roman" w:hAnsi="Times New Roman" w:hint="eastAsia"/>
                <w:color w:val="auto"/>
                <w:kern w:val="2"/>
                <w:sz w:val="24"/>
                <w:szCs w:val="24"/>
                <w:lang w:val="en-US" w:eastAsia="zh-CN"/>
                <w:highlight w:val="none"/>
              </w:rPr>
              <w:t>石家庄市栾城区污水处理中心(绿源污水处理厂)位于石家庄栾城区灵达路以南，规划建延路以北，规划化工大街以东，化工东街以西，占地面积约为54.423亩，设计废水处理规模为3万m</w:t>
            </w:r>
            <w:r>
              <w:rPr>
                <w:rFonts w:ascii="Times New Roman" w:cs="Times New Roman" w:hAnsi="Times New Roman" w:hint="eastAsia"/>
                <w:color w:val="auto"/>
                <w:kern w:val="2"/>
                <w:sz w:val="24"/>
                <w:szCs w:val="24"/>
                <w:vertAlign w:val="superscript"/>
                <w:lang w:val="en-US" w:eastAsia="zh-CN"/>
                <w:highlight w:val="none"/>
              </w:rPr>
              <w:t>3</w:t>
            </w:r>
            <w:r>
              <w:rPr>
                <w:rFonts w:ascii="Times New Roman" w:cs="Times New Roman" w:hAnsi="Times New Roman" w:hint="eastAsia"/>
                <w:color w:val="auto"/>
                <w:kern w:val="2"/>
                <w:sz w:val="24"/>
                <w:szCs w:val="24"/>
                <w:lang w:val="en-US" w:eastAsia="zh-CN"/>
                <w:highlight w:val="none"/>
              </w:rPr>
              <w:t>/d，分两期进行建设。该污水处理厂采用“粗格栅-提升泵房一细格栅-旋流沉砂池-膜格栅-调节池-水解酸化池-A</w:t>
            </w:r>
            <w:r>
              <w:rPr>
                <w:rFonts w:ascii="Times New Roman" w:cs="Times New Roman" w:hAnsi="Times New Roman" w:hint="eastAsia"/>
                <w:color w:val="auto"/>
                <w:kern w:val="2"/>
                <w:sz w:val="24"/>
                <w:szCs w:val="24"/>
                <w:vertAlign w:val="superscript"/>
                <w:lang w:val="en-US" w:eastAsia="zh-CN"/>
                <w:highlight w:val="none"/>
              </w:rPr>
              <w:t>2</w:t>
            </w:r>
            <w:r>
              <w:rPr>
                <w:rFonts w:ascii="Times New Roman" w:cs="Times New Roman" w:hAnsi="Times New Roman" w:hint="eastAsia"/>
                <w:color w:val="auto"/>
                <w:kern w:val="2"/>
                <w:sz w:val="24"/>
                <w:szCs w:val="24"/>
                <w:lang w:val="en-US" w:eastAsia="zh-CN"/>
                <w:highlight w:val="none"/>
              </w:rPr>
              <w:t>O生化池-二沉池-MBR池-臭氧接触池-中水储池及接触消毒”工艺。进水水质要求：</w:t>
            </w:r>
            <w:r>
              <w:rPr>
                <w:rFonts w:ascii="Times New Roman" w:cs="Times New Roman" w:hAnsi="Times New Roman"/>
                <w:color w:val="auto"/>
                <w:kern w:val="2"/>
                <w:sz w:val="24"/>
                <w:szCs w:val="24"/>
                <w:lang w:val="en-US" w:eastAsia="zh-CN"/>
                <w:highlight w:val="none"/>
              </w:rPr>
              <w:t>pH6~9、COD≤450mg/L、BOD</w:t>
            </w:r>
            <w:r>
              <w:rPr>
                <w:rFonts w:ascii="Times New Roman" w:eastAsia="宋体" w:cs="Times New Roman" w:hAnsi="Times New Roman"/>
                <w:i w:val="0"/>
                <w:iCs w:val="0"/>
                <w:color w:val="auto"/>
                <w:sz w:val="24"/>
                <w:szCs w:val="24"/>
                <w:vertAlign w:val="subscript"/>
                <w:highlight w:val="none"/>
              </w:rPr>
              <w:t>5</w:t>
            </w:r>
            <w:r>
              <w:rPr>
                <w:rFonts w:ascii="Times New Roman" w:cs="Times New Roman" w:hAnsi="Times New Roman"/>
                <w:color w:val="auto"/>
                <w:kern w:val="2"/>
                <w:sz w:val="24"/>
                <w:szCs w:val="24"/>
                <w:lang w:val="en-US" w:eastAsia="zh-CN"/>
                <w:highlight w:val="none"/>
              </w:rPr>
              <w:t>≤160mg/L、SS≤200mg/L、氨氨≤45mg/L，处理后出水水质同时满足《城镇污水处理厂污染物排放标准》(GB18918-2002)表1中一级A标准和《子牙河流域水污染物排放标准》(DB13/2796-2018)及修改单的要求，即：COD≤40mg/L、BOD</w:t>
            </w:r>
            <w:r>
              <w:rPr>
                <w:rFonts w:ascii="Times New Roman" w:cs="Times New Roman" w:hAnsi="Times New Roman"/>
                <w:color w:val="auto"/>
                <w:kern w:val="2"/>
                <w:sz w:val="24"/>
                <w:szCs w:val="24"/>
                <w:vertAlign w:val="subscript"/>
                <w:lang w:val="en-US" w:eastAsia="zh-CN"/>
                <w:highlight w:val="none"/>
              </w:rPr>
              <w:t>5</w:t>
            </w:r>
            <w:r>
              <w:rPr>
                <w:rFonts w:ascii="Times New Roman" w:cs="Times New Roman" w:hAnsi="Times New Roman"/>
                <w:color w:val="auto"/>
                <w:kern w:val="2"/>
                <w:sz w:val="24"/>
                <w:szCs w:val="24"/>
                <w:lang w:val="en-US" w:eastAsia="zh-CN"/>
                <w:highlight w:val="none"/>
              </w:rPr>
              <w:t>≤10mg/L、SS≤10mg/L、氨氮≤2.0(3.5)mg/L</w:t>
            </w:r>
            <w:r>
              <w:rPr>
                <w:rFonts w:ascii="Times New Roman" w:cs="Times New Roman" w:hAnsi="Times New Roman" w:hint="eastAsia"/>
                <w:color w:val="auto"/>
                <w:kern w:val="2"/>
                <w:sz w:val="24"/>
                <w:szCs w:val="24"/>
                <w:lang w:val="en-US" w:eastAsia="zh-CN"/>
                <w:highlight w:val="none"/>
              </w:rPr>
              <w:t>。石家庄市栾城区污水处理中心(绿源污水处理厂)设计污水处理规模1万m</w:t>
            </w:r>
            <w:r>
              <w:rPr>
                <w:rFonts w:ascii="Times New Roman" w:cs="Times New Roman" w:hAnsi="Times New Roman" w:hint="eastAsia"/>
                <w:color w:val="auto"/>
                <w:kern w:val="2"/>
                <w:sz w:val="24"/>
                <w:szCs w:val="24"/>
                <w:vertAlign w:val="superscript"/>
                <w:lang w:val="en-US" w:eastAsia="zh-CN"/>
                <w:highlight w:val="none"/>
              </w:rPr>
              <w:t>3</w:t>
            </w:r>
            <w:r>
              <w:rPr>
                <w:rFonts w:ascii="Times New Roman" w:cs="Times New Roman" w:hAnsi="Times New Roman" w:hint="eastAsia"/>
                <w:color w:val="auto"/>
                <w:kern w:val="2"/>
                <w:sz w:val="24"/>
                <w:szCs w:val="24"/>
                <w:lang w:val="en-US" w:eastAsia="zh-CN"/>
                <w:highlight w:val="none"/>
              </w:rPr>
              <w:t>/d，实际污水处理量0.7~0.8万m</w:t>
            </w:r>
            <w:r>
              <w:rPr>
                <w:rFonts w:ascii="Times New Roman" w:cs="Times New Roman" w:hAnsi="Times New Roman" w:hint="eastAsia"/>
                <w:color w:val="auto"/>
                <w:kern w:val="2"/>
                <w:sz w:val="24"/>
                <w:szCs w:val="24"/>
                <w:vertAlign w:val="superscript"/>
                <w:lang w:val="en-US" w:eastAsia="zh-CN"/>
                <w:highlight w:val="none"/>
              </w:rPr>
              <w:t>3</w:t>
            </w:r>
            <w:r>
              <w:rPr>
                <w:rFonts w:ascii="Times New Roman" w:cs="Times New Roman" w:hAnsi="Times New Roman" w:hint="eastAsia"/>
                <w:color w:val="auto"/>
                <w:kern w:val="2"/>
                <w:sz w:val="24"/>
                <w:szCs w:val="24"/>
                <w:lang w:val="en-US" w:eastAsia="zh-CN"/>
                <w:highlight w:val="none"/>
              </w:rPr>
              <w:t>/d，本项目废水主要为职工生活污水，且不新增劳动定员，故不新增排水量，全厂排水量仍为0.64m</w:t>
            </w:r>
            <w:r>
              <w:rPr>
                <w:rFonts w:ascii="Times New Roman" w:cs="Times New Roman" w:hAnsi="Times New Roman" w:hint="eastAsia"/>
                <w:color w:val="auto"/>
                <w:kern w:val="2"/>
                <w:sz w:val="24"/>
                <w:szCs w:val="24"/>
                <w:vertAlign w:val="superscript"/>
                <w:lang w:val="en-US" w:eastAsia="zh-CN"/>
                <w:highlight w:val="none"/>
              </w:rPr>
              <w:t>3</w:t>
            </w:r>
            <w:r>
              <w:rPr>
                <w:rFonts w:ascii="Times New Roman" w:cs="Times New Roman" w:hAnsi="Times New Roman" w:hint="eastAsia"/>
                <w:color w:val="auto"/>
                <w:kern w:val="2"/>
                <w:sz w:val="24"/>
                <w:szCs w:val="24"/>
                <w:lang w:val="en-US" w:eastAsia="zh-CN"/>
                <w:highlight w:val="none"/>
              </w:rPr>
              <w:t>/d，完全有能力接收本项目排放的废水。从水量和水质角度分析，本项目废水不会对石家庄市栾城区污水处理中心（绿源污水处理厂）的运行造成冲击，因此本项目废水排入石家庄市栾城区污水处理中心（绿源污水处理厂）是可行的。</w:t>
            </w:r>
          </w:p>
          <w:p>
            <w:pPr>
              <w:keepNext w:val="0"/>
              <w:keepLines w:val="0"/>
              <w:suppressLineNumbers w:val="0"/>
              <w:spacing w:before="0" w:beforeAutospacing="0" w:after="0" w:afterAutospacing="0" w:line="480" w:lineRule="exact"/>
              <w:ind w:left="0" w:right="0" w:firstLineChars="200" w:firstLine="480"/>
              <w:jc w:val="left"/>
              <w:rPr>
                <w:rFonts w:ascii="Times New Roman" w:eastAsia="宋体" w:cs="Times New Roman" w:hAnsi="Times New Roman"/>
                <w:color w:val="auto"/>
                <w:sz w:val="24"/>
                <w:szCs w:val="24"/>
                <w:highlight w:val="none"/>
              </w:rPr>
            </w:pPr>
            <w:r>
              <w:rPr>
                <w:rFonts w:ascii="Times New Roman" w:eastAsia="宋体" w:cs="Times New Roman" w:hAnsi="Times New Roman"/>
                <w:color w:val="auto"/>
                <w:sz w:val="24"/>
                <w:szCs w:val="24"/>
                <w:highlight w:val="none"/>
              </w:rPr>
              <w:t>（</w:t>
            </w:r>
            <w:r>
              <w:rPr>
                <w:rFonts w:ascii="Times New Roman" w:eastAsia="宋体" w:cs="Times New Roman" w:hAnsi="Times New Roman" w:hint="eastAsia"/>
                <w:color w:val="auto"/>
                <w:sz w:val="24"/>
                <w:szCs w:val="24"/>
                <w:lang w:val="en-US" w:eastAsia="zh-CN"/>
                <w:highlight w:val="none"/>
              </w:rPr>
              <w:t>5</w:t>
            </w:r>
            <w:r>
              <w:rPr>
                <w:rFonts w:ascii="Times New Roman" w:eastAsia="宋体" w:cs="Times New Roman" w:hAnsi="Times New Roman"/>
                <w:color w:val="auto"/>
                <w:sz w:val="24"/>
                <w:szCs w:val="24"/>
                <w:highlight w:val="none"/>
              </w:rPr>
              <w:t>）排放口信息</w:t>
            </w:r>
          </w:p>
          <w:p>
            <w:pPr>
              <w:keepNext w:val="0"/>
              <w:keepLines w:val="0"/>
              <w:suppressLineNumbers w:val="0"/>
              <w:spacing w:before="0" w:beforeAutospacing="0" w:after="0" w:afterAutospacing="0"/>
              <w:ind w:left="0" w:right="0" w:firstLineChars="200" w:firstLine="480"/>
              <w:jc w:val="left"/>
              <w:rPr>
                <w:rFonts w:ascii="Times New Roman" w:eastAsia="宋体" w:cs="Times New Roman" w:hAnsi="Times New Roman"/>
                <w:color w:val="auto"/>
                <w:kern w:val="0"/>
                <w:sz w:val="24"/>
                <w:szCs w:val="24"/>
                <w:highlight w:val="none"/>
              </w:rPr>
            </w:pPr>
            <w:r>
              <w:rPr>
                <w:rFonts w:ascii="Times New Roman" w:eastAsia="宋体" w:cs="Times New Roman" w:hAnsi="Times New Roman"/>
                <w:color w:val="auto"/>
                <w:kern w:val="0"/>
                <w:sz w:val="24"/>
                <w:szCs w:val="24"/>
                <w:highlight w:val="none"/>
              </w:rPr>
              <w:t>项目废水排放信息见下表。</w:t>
            </w:r>
          </w:p>
          <w:p>
            <w:pPr>
              <w:pStyle w:val="147"/>
              <w:keepNext w:val="0"/>
              <w:keepLines w:val="0"/>
              <w:suppressLineNumbers w:val="0"/>
              <w:tabs>
                <w:tab w:val="left" w:pos="6521"/>
              </w:tabs>
              <w:spacing w:before="0" w:beforeAutospacing="0" w:after="0" w:afterAutospacing="0" w:line="440" w:lineRule="exact"/>
              <w:ind w:left="0" w:right="0"/>
              <w:jc w:val="both"/>
              <w:rPr>
                <w:rFonts w:eastAsia="宋体"/>
                <w:color w:val="auto"/>
                <w:highlight w:val="none"/>
              </w:rPr>
            </w:pPr>
            <w:r>
              <w:rPr>
                <w:rFonts w:ascii="Times New Roman" w:eastAsia="宋体" w:cs="Times New Roman" w:hAnsi="Times New Roman"/>
                <w:color w:val="auto"/>
                <w:sz w:val="24"/>
                <w:szCs w:val="20"/>
                <w:highlight w:val="none"/>
              </w:rPr>
              <w:t>表4-</w:t>
            </w:r>
            <w:r>
              <w:rPr>
                <w:rFonts w:ascii="Times New Roman" w:cs="Times New Roman" w:hAnsi="Times New Roman" w:hint="eastAsia"/>
                <w:color w:val="auto"/>
                <w:sz w:val="24"/>
                <w:szCs w:val="20"/>
                <w:lang w:val="en-US" w:eastAsia="zh-CN"/>
                <w:highlight w:val="none"/>
              </w:rPr>
              <w:t>5</w:t>
            </w:r>
            <w:r>
              <w:rPr>
                <w:rFonts w:ascii="Times New Roman" w:eastAsia="宋体" w:cs="Times New Roman" w:hAnsi="Times New Roman"/>
                <w:color w:val="auto"/>
                <w:sz w:val="24"/>
                <w:szCs w:val="20"/>
                <w:highlight w:val="none"/>
              </w:rPr>
              <w:t xml:space="preserve">    废水类别、污染物及污染治理设施信息表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365"/>
              <w:gridCol w:w="539"/>
              <w:gridCol w:w="815"/>
              <w:gridCol w:w="1498"/>
              <w:gridCol w:w="622"/>
              <w:gridCol w:w="680"/>
              <w:gridCol w:w="668"/>
              <w:gridCol w:w="807"/>
              <w:gridCol w:w="697"/>
              <w:gridCol w:w="582"/>
              <w:gridCol w:w="553"/>
            </w:tblGrid>
            <w:tr>
              <w:trPr>
                <w:trHeight w:val="92"/>
                <w:tblHeader/>
              </w:trPr>
              <w:tc>
                <w:tcPr>
                  <w:tcW w:w="233"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序号</w:t>
                  </w:r>
                </w:p>
              </w:tc>
              <w:tc>
                <w:tcPr>
                  <w:tcW w:w="344"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废水类别</w:t>
                  </w:r>
                </w:p>
              </w:tc>
              <w:tc>
                <w:tcPr>
                  <w:tcW w:w="520"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污染物种类</w:t>
                  </w:r>
                </w:p>
              </w:tc>
              <w:tc>
                <w:tcPr>
                  <w:tcW w:w="956"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排放去向</w:t>
                  </w:r>
                </w:p>
              </w:tc>
              <w:tc>
                <w:tcPr>
                  <w:tcW w:w="397"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排放规律</w:t>
                  </w:r>
                </w:p>
              </w:tc>
              <w:tc>
                <w:tcPr>
                  <w:tcW w:w="1375" w:type="pct"/>
                  <w:gridSpan w:val="3"/>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污染治理设施</w:t>
                  </w:r>
                </w:p>
              </w:tc>
              <w:tc>
                <w:tcPr>
                  <w:tcW w:w="445"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排放口编号</w:t>
                  </w:r>
                </w:p>
              </w:tc>
              <w:tc>
                <w:tcPr>
                  <w:tcW w:w="371"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排放口设置是否符合要求</w:t>
                  </w:r>
                </w:p>
              </w:tc>
              <w:tc>
                <w:tcPr>
                  <w:tcW w:w="353"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排放口类型</w:t>
                  </w:r>
                </w:p>
              </w:tc>
            </w:tr>
            <w:tr>
              <w:trPr>
                <w:trHeight w:val="636"/>
                <w:tblHeader/>
              </w:trPr>
              <w:tc>
                <w:tcPr>
                  <w:tcW w:w="233"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344"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520"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956"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397"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43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污染治理设施</w:t>
                  </w:r>
                </w:p>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编号</w:t>
                  </w:r>
                </w:p>
              </w:tc>
              <w:tc>
                <w:tcPr>
                  <w:tcW w:w="42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污染治理设施名称</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污染治理设施工艺</w:t>
                  </w:r>
                </w:p>
              </w:tc>
              <w:tc>
                <w:tcPr>
                  <w:tcW w:w="445"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371"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353" w:type="pct"/>
                  <w:vMerge/>
                  <w:tcBorders>
                    <w:top w:val="single" w:sz="4" w:space="0" w:color="auto"/>
                    <w:left w:val="single" w:sz="4" w:space="0" w:color="auto"/>
                    <w:bottom w:val="single" w:sz="4" w:space="0" w:color="auto"/>
                    <w:right w:val="single" w:sz="4" w:space="0" w:color="auto"/>
                    <w:tl2br w:val="nil"/>
                    <w:tr2bl w:val="nil"/>
                  </w:tcBorders>
                  <w:vAlign w:val="center"/>
                </w:tcPr>
                <w:p/>
              </w:tc>
            </w:tr>
            <w:tr>
              <w:trPr>
                <w:trHeight w:val="616"/>
                <w:tblHeader/>
              </w:trPr>
              <w:tc>
                <w:tcPr>
                  <w:tcW w:w="233"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1</w:t>
                  </w:r>
                </w:p>
              </w:tc>
              <w:tc>
                <w:tcPr>
                  <w:tcW w:w="34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职工生活废水</w:t>
                  </w:r>
                </w:p>
              </w:tc>
              <w:tc>
                <w:tcPr>
                  <w:tcW w:w="52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hint="eastAsia"/>
                      <w:color w:val="auto"/>
                      <w:sz w:val="21"/>
                      <w:szCs w:val="21"/>
                      <w:lang w:eastAsia="zh-CN"/>
                      <w:highlight w:val="none"/>
                    </w:rPr>
                  </w:pPr>
                  <w:r>
                    <w:rPr>
                      <w:rFonts w:ascii="Times New Roman" w:eastAsia="宋体" w:cs="Times New Roman" w:hAnsi="Times New Roman"/>
                      <w:color w:val="auto"/>
                      <w:sz w:val="21"/>
                      <w:szCs w:val="21"/>
                      <w:highlight w:val="none"/>
                    </w:rPr>
                    <w:t>pH、COD、BOD</w:t>
                  </w:r>
                  <w:r>
                    <w:rPr>
                      <w:rFonts w:ascii="Times New Roman" w:eastAsia="宋体" w:cs="Times New Roman" w:hAnsi="Times New Roman"/>
                      <w:color w:val="auto"/>
                      <w:sz w:val="21"/>
                      <w:szCs w:val="21"/>
                      <w:vertAlign w:val="subscript"/>
                      <w:highlight w:val="none"/>
                    </w:rPr>
                    <w:t>5</w:t>
                  </w:r>
                  <w:r>
                    <w:rPr>
                      <w:rFonts w:ascii="Times New Roman" w:eastAsia="宋体" w:cs="Times New Roman" w:hAnsi="Times New Roman"/>
                      <w:color w:val="auto"/>
                      <w:sz w:val="21"/>
                      <w:szCs w:val="21"/>
                      <w:highlight w:val="none"/>
                    </w:rPr>
                    <w:t>、SS、</w:t>
                  </w:r>
                  <w:r>
                    <w:rPr>
                      <w:rFonts w:ascii="Times New Roman" w:cs="Times New Roman" w:hAnsi="Times New Roman" w:hint="eastAsia"/>
                      <w:color w:val="auto"/>
                      <w:sz w:val="21"/>
                      <w:szCs w:val="21"/>
                      <w:lang w:eastAsia="zh-CN"/>
                      <w:highlight w:val="none"/>
                    </w:rPr>
                    <w:t>氨氮、总氮、总磷</w:t>
                  </w:r>
                </w:p>
              </w:tc>
              <w:tc>
                <w:tcPr>
                  <w:tcW w:w="956" w:type="pc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eastAsia="zh-CN"/>
                      <w:highlight w:val="none"/>
                    </w:rPr>
                  </w:pPr>
                  <w:r>
                    <w:rPr>
                      <w:rFonts w:ascii="Times New Roman" w:eastAsia="宋体" w:cs="Times New Roman" w:hAnsi="Times New Roman"/>
                      <w:color w:val="auto"/>
                      <w:sz w:val="21"/>
                      <w:szCs w:val="21"/>
                      <w:lang w:eastAsia="zh-CN"/>
                      <w:highlight w:val="none"/>
                    </w:rPr>
                    <w:t>经</w:t>
                  </w:r>
                  <w:r>
                    <w:rPr>
                      <w:rFonts w:ascii="Times New Roman" w:cs="Times New Roman" w:hAnsi="Times New Roman" w:hint="eastAsia"/>
                      <w:color w:val="auto"/>
                      <w:sz w:val="21"/>
                      <w:szCs w:val="21"/>
                      <w:lang w:eastAsia="zh-CN"/>
                      <w:highlight w:val="none"/>
                    </w:rPr>
                    <w:t>集成式生物化粪池</w:t>
                  </w:r>
                  <w:r>
                    <w:rPr>
                      <w:rFonts w:ascii="Times New Roman" w:eastAsia="宋体" w:cs="Times New Roman" w:hAnsi="Times New Roman"/>
                      <w:color w:val="auto"/>
                      <w:sz w:val="21"/>
                      <w:szCs w:val="21"/>
                      <w:lang w:eastAsia="zh-CN"/>
                      <w:highlight w:val="none"/>
                    </w:rPr>
                    <w:t>初步处理后之后排入</w:t>
                  </w:r>
                  <w:r>
                    <w:rPr>
                      <w:rFonts w:ascii="Times New Roman" w:eastAsia="宋体" w:cs="Times New Roman" w:hAnsi="Times New Roman" w:hint="eastAsia"/>
                      <w:color w:val="auto"/>
                      <w:sz w:val="21"/>
                      <w:szCs w:val="21"/>
                      <w:lang w:eastAsia="zh-CN"/>
                      <w:highlight w:val="none"/>
                    </w:rPr>
                    <w:t>石家庄市栾城区污水处理中心（绿源污水处理厂）</w:t>
                  </w:r>
                </w:p>
              </w:tc>
              <w:tc>
                <w:tcPr>
                  <w:tcW w:w="397" w:type="pc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间断排放，排放期间流量不稳定且无规律，但不属于冲击性排放</w:t>
                  </w:r>
                </w:p>
              </w:tc>
              <w:tc>
                <w:tcPr>
                  <w:tcW w:w="43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T</w:t>
                  </w:r>
                  <w:r>
                    <w:rPr>
                      <w:rFonts w:ascii="Times New Roman" w:eastAsia="宋体" w:cs="Times New Roman" w:hAnsi="Times New Roman"/>
                      <w:color w:val="auto"/>
                      <w:sz w:val="21"/>
                      <w:szCs w:val="21"/>
                      <w:lang w:val="en-US" w:eastAsia="zh-CN"/>
                      <w:highlight w:val="none"/>
                    </w:rPr>
                    <w:t>W</w:t>
                  </w:r>
                  <w:r>
                    <w:rPr>
                      <w:rFonts w:ascii="Times New Roman" w:eastAsia="宋体" w:cs="Times New Roman" w:hAnsi="Times New Roman"/>
                      <w:color w:val="auto"/>
                      <w:sz w:val="21"/>
                      <w:szCs w:val="21"/>
                      <w:highlight w:val="none"/>
                    </w:rPr>
                    <w:t>001</w:t>
                  </w:r>
                </w:p>
              </w:tc>
              <w:tc>
                <w:tcPr>
                  <w:tcW w:w="42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化粪池</w:t>
                  </w:r>
                </w:p>
              </w:tc>
              <w:tc>
                <w:tcPr>
                  <w:tcW w:w="51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沉淀</w:t>
                  </w:r>
                </w:p>
              </w:tc>
              <w:tc>
                <w:tcPr>
                  <w:tcW w:w="44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DW001</w:t>
                  </w:r>
                </w:p>
              </w:tc>
              <w:tc>
                <w:tcPr>
                  <w:tcW w:w="371"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符合</w:t>
                  </w:r>
                </w:p>
              </w:tc>
              <w:tc>
                <w:tcPr>
                  <w:tcW w:w="353" w:type="pc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highlight w:val="none"/>
                    </w:rPr>
                  </w:pPr>
                  <w:r>
                    <w:rPr>
                      <w:rFonts w:ascii="Times New Roman" w:eastAsia="宋体" w:cs="Times New Roman" w:hAnsi="Times New Roman" w:hint="eastAsia"/>
                      <w:color w:val="auto"/>
                      <w:sz w:val="21"/>
                      <w:szCs w:val="21"/>
                      <w:lang w:val="en-US" w:eastAsia="zh-CN"/>
                      <w:highlight w:val="none"/>
                    </w:rPr>
                    <w:t>污水总排口</w:t>
                  </w:r>
                </w:p>
              </w:tc>
            </w:tr>
          </w:tbl>
          <w:p>
            <w:pPr>
              <w:keepNext w:val="0"/>
              <w:keepLines w:val="0"/>
              <w:suppressLineNumbers w:val="0"/>
              <w:spacing w:before="0" w:beforeAutospacing="0" w:after="0" w:afterAutospacing="0"/>
              <w:ind w:left="0" w:right="0" w:firstLineChars="200" w:firstLine="480"/>
              <w:jc w:val="center"/>
              <w:rPr>
                <w:rFonts w:ascii="Times New Roman" w:eastAsia="宋体" w:cs="Times New Roman" w:hAnsi="Times New Roman"/>
                <w:b/>
                <w:i w:val="0"/>
                <w:iCs w:val="0"/>
                <w:snapToGrid w:val="0"/>
                <w:color w:val="auto"/>
                <w:sz w:val="24"/>
                <w:szCs w:val="24"/>
                <w:highlight w:val="none"/>
              </w:rPr>
            </w:pPr>
            <w:r>
              <w:rPr>
                <w:rFonts w:ascii="Times New Roman" w:eastAsia="宋体" w:cs="Times New Roman" w:hAnsi="Times New Roman"/>
                <w:b/>
                <w:i w:val="0"/>
                <w:iCs w:val="0"/>
                <w:snapToGrid w:val="0"/>
                <w:color w:val="auto"/>
                <w:sz w:val="24"/>
                <w:szCs w:val="24"/>
                <w:highlight w:val="none"/>
              </w:rPr>
              <w:t>表4-</w:t>
            </w:r>
            <w:r>
              <w:rPr>
                <w:rFonts w:ascii="Times New Roman" w:cs="Times New Roman" w:hAnsi="Times New Roman" w:hint="eastAsia"/>
                <w:b/>
                <w:i w:val="0"/>
                <w:iCs w:val="0"/>
                <w:snapToGrid w:val="0"/>
                <w:color w:val="auto"/>
                <w:sz w:val="24"/>
                <w:szCs w:val="24"/>
                <w:lang w:val="en-US" w:eastAsia="zh-CN"/>
                <w:highlight w:val="none"/>
              </w:rPr>
              <w:t>6</w:t>
            </w:r>
            <w:r>
              <w:rPr>
                <w:rFonts w:ascii="Times New Roman" w:eastAsia="宋体" w:cs="Times New Roman" w:hAnsi="Times New Roman"/>
                <w:b/>
                <w:i w:val="0"/>
                <w:iCs w:val="0"/>
                <w:snapToGrid w:val="0"/>
                <w:color w:val="auto"/>
                <w:sz w:val="24"/>
                <w:szCs w:val="24"/>
                <w:highlight w:val="none"/>
              </w:rPr>
              <w:t xml:space="preserve">  废水间接排放口基本情况表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390"/>
              <w:gridCol w:w="784"/>
              <w:gridCol w:w="681"/>
              <w:gridCol w:w="775"/>
              <w:gridCol w:w="888"/>
              <w:gridCol w:w="1066"/>
              <w:gridCol w:w="651"/>
              <w:gridCol w:w="390"/>
              <w:gridCol w:w="491"/>
              <w:gridCol w:w="760"/>
              <w:gridCol w:w="958"/>
            </w:tblGrid>
            <w:tr>
              <w:trPr>
                <w:trHeight w:val="227"/>
                <w:tblHeader/>
              </w:trPr>
              <w:tc>
                <w:tcPr>
                  <w:tcW w:w="249"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序号</w:t>
                  </w:r>
                </w:p>
              </w:tc>
              <w:tc>
                <w:tcPr>
                  <w:tcW w:w="500"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排放口编号</w:t>
                  </w:r>
                </w:p>
              </w:tc>
              <w:tc>
                <w:tcPr>
                  <w:tcW w:w="928" w:type="pct"/>
                  <w:gridSpan w:val="2"/>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排放口地理坐标（°）</w:t>
                  </w:r>
                </w:p>
              </w:tc>
              <w:tc>
                <w:tcPr>
                  <w:tcW w:w="566"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废水排放量（万t/a）</w:t>
                  </w:r>
                </w:p>
              </w:tc>
              <w:tc>
                <w:tcPr>
                  <w:tcW w:w="680"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排放去向</w:t>
                  </w:r>
                </w:p>
              </w:tc>
              <w:tc>
                <w:tcPr>
                  <w:tcW w:w="415"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排放规律</w:t>
                  </w:r>
                </w:p>
              </w:tc>
              <w:tc>
                <w:tcPr>
                  <w:tcW w:w="249"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间歇排放时段</w:t>
                  </w:r>
                </w:p>
              </w:tc>
              <w:tc>
                <w:tcPr>
                  <w:tcW w:w="1409" w:type="pct"/>
                  <w:gridSpan w:val="3"/>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受纳污水处理厂信息</w:t>
                  </w:r>
                </w:p>
              </w:tc>
            </w:tr>
            <w:tr>
              <w:trPr>
                <w:trHeight w:val="227"/>
                <w:tblHeader/>
              </w:trPr>
              <w:tc>
                <w:tcPr>
                  <w:tcW w:w="249"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500"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43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经度</w:t>
                  </w:r>
                </w:p>
              </w:tc>
              <w:tc>
                <w:tcPr>
                  <w:tcW w:w="494"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纬度</w:t>
                  </w:r>
                </w:p>
              </w:tc>
              <w:tc>
                <w:tcPr>
                  <w:tcW w:w="566"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680"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415"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249"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313"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名称</w:t>
                  </w: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污染物种类</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i w:val="0"/>
                      <w:iCs w:val="0"/>
                      <w:color w:val="auto"/>
                      <w:sz w:val="21"/>
                      <w:szCs w:val="21"/>
                      <w:highlight w:val="none"/>
                    </w:rPr>
                  </w:pPr>
                  <w:r>
                    <w:rPr>
                      <w:rFonts w:ascii="Times New Roman" w:eastAsia="宋体" w:cs="Times New Roman" w:hAnsi="Times New Roman"/>
                      <w:i w:val="0"/>
                      <w:iCs w:val="0"/>
                      <w:color w:val="auto"/>
                      <w:sz w:val="21"/>
                      <w:szCs w:val="21"/>
                      <w:highlight w:val="none"/>
                    </w:rPr>
                    <w:t>国家或地方污染物排放标准浓度限值（mg/L）</w:t>
                  </w:r>
                </w:p>
              </w:tc>
            </w:tr>
            <w:tr>
              <w:trPr>
                <w:trHeight w:val="227"/>
                <w:tblHeader/>
              </w:trPr>
              <w:tc>
                <w:tcPr>
                  <w:tcW w:w="249"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1</w:t>
                  </w:r>
                </w:p>
              </w:tc>
              <w:tc>
                <w:tcPr>
                  <w:tcW w:w="500"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DW001</w:t>
                  </w:r>
                </w:p>
              </w:tc>
              <w:tc>
                <w:tcPr>
                  <w:tcW w:w="434"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114.513963</w:t>
                  </w:r>
                </w:p>
              </w:tc>
              <w:tc>
                <w:tcPr>
                  <w:tcW w:w="494"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37.908183</w:t>
                  </w:r>
                </w:p>
              </w:tc>
              <w:tc>
                <w:tcPr>
                  <w:tcW w:w="566"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0.0192</w:t>
                  </w:r>
                </w:p>
              </w:tc>
              <w:tc>
                <w:tcPr>
                  <w:tcW w:w="680"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eastAsia="zh-CN"/>
                      <w:highlight w:val="none"/>
                    </w:rPr>
                  </w:pPr>
                  <w:r>
                    <w:rPr>
                      <w:rFonts w:ascii="Times New Roman" w:eastAsia="宋体" w:cs="Times New Roman" w:hAnsi="Times New Roman" w:hint="eastAsia"/>
                      <w:color w:val="auto"/>
                      <w:sz w:val="21"/>
                      <w:szCs w:val="21"/>
                      <w:lang w:eastAsia="zh-CN"/>
                      <w:highlight w:val="none"/>
                    </w:rPr>
                    <w:t>经</w:t>
                  </w:r>
                  <w:r>
                    <w:rPr>
                      <w:rFonts w:ascii="Times New Roman" w:cs="Times New Roman" w:hAnsi="Times New Roman" w:hint="eastAsia"/>
                      <w:color w:val="auto"/>
                      <w:sz w:val="21"/>
                      <w:szCs w:val="21"/>
                      <w:lang w:eastAsia="zh-CN"/>
                      <w:highlight w:val="none"/>
                    </w:rPr>
                    <w:t>集成式生物化粪池</w:t>
                  </w:r>
                  <w:r>
                    <w:rPr>
                      <w:rFonts w:ascii="Times New Roman" w:eastAsia="宋体" w:cs="Times New Roman" w:hAnsi="Times New Roman" w:hint="eastAsia"/>
                      <w:color w:val="auto"/>
                      <w:sz w:val="21"/>
                      <w:szCs w:val="21"/>
                      <w:lang w:eastAsia="zh-CN"/>
                      <w:highlight w:val="none"/>
                    </w:rPr>
                    <w:t>初步处理后之后排入石家庄市栾城区污水处理中心（绿源污水处理厂）</w:t>
                  </w:r>
                </w:p>
              </w:tc>
              <w:tc>
                <w:tcPr>
                  <w:tcW w:w="415"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间断排放，排放期间流量不稳定且无规律，但不属于冲击性排放</w:t>
                  </w:r>
                </w:p>
              </w:tc>
              <w:tc>
                <w:tcPr>
                  <w:tcW w:w="249"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工作期间</w:t>
                  </w:r>
                </w:p>
              </w:tc>
              <w:tc>
                <w:tcPr>
                  <w:tcW w:w="313"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eastAsia="zh-CN"/>
                      <w:highlight w:val="none"/>
                    </w:rPr>
                  </w:pPr>
                  <w:r>
                    <w:rPr>
                      <w:rFonts w:ascii="Times New Roman" w:eastAsia="宋体" w:cs="Times New Roman" w:hAnsi="Times New Roman"/>
                      <w:color w:val="auto"/>
                      <w:sz w:val="21"/>
                      <w:szCs w:val="21"/>
                      <w:highlight w:val="none"/>
                    </w:rPr>
                    <w:t>进入</w:t>
                  </w:r>
                  <w:r>
                    <w:rPr>
                      <w:rFonts w:ascii="Times New Roman" w:eastAsia="宋体" w:cs="Times New Roman" w:hAnsi="Times New Roman" w:hint="eastAsia"/>
                      <w:color w:val="auto"/>
                      <w:sz w:val="21"/>
                      <w:szCs w:val="21"/>
                      <w:lang w:eastAsia="zh-CN"/>
                      <w:highlight w:val="none"/>
                    </w:rPr>
                    <w:t>石家庄市栾城区污水处理中心（绿源污水处理厂）</w:t>
                  </w: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pH</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w:t>
                  </w:r>
                </w:p>
              </w:tc>
            </w:tr>
            <w:tr>
              <w:trPr>
                <w:trHeight w:val="227"/>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悬浮物</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w:t>
                  </w:r>
                </w:p>
              </w:tc>
            </w:tr>
            <w:tr>
              <w:trPr>
                <w:trHeight w:val="227"/>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化学需氧量</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40</w:t>
                  </w:r>
                </w:p>
              </w:tc>
            </w:tr>
            <w:tr>
              <w:trPr>
                <w:trHeight w:val="227"/>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五日生化需氧量</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10</w:t>
                  </w:r>
                </w:p>
              </w:tc>
            </w:tr>
            <w:tr>
              <w:trPr>
                <w:trHeight w:val="227"/>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氨氮</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color w:val="auto"/>
                      <w:sz w:val="21"/>
                      <w:szCs w:val="21"/>
                      <w:lang w:val="en-US" w:eastAsia="zh-CN"/>
                      <w:highlight w:val="none"/>
                    </w:rPr>
                    <w:t>2.0</w:t>
                  </w:r>
                </w:p>
              </w:tc>
            </w:tr>
            <w:tr>
              <w:trPr>
                <w:trHeight w:val="90"/>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总氮</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15</w:t>
                  </w:r>
                </w:p>
              </w:tc>
            </w:tr>
            <w:tr>
              <w:trPr>
                <w:trHeight w:val="227"/>
                <w:tblHeader/>
              </w:trPr>
              <w:tc>
                <w:tcPr>
                  <w:tcW w:w="249" w:type="pct"/>
                  <w:vMerge/>
                  <w:tcBorders>
                    <w:left w:val="single" w:sz="4" w:space="0" w:color="auto"/>
                    <w:right w:val="single" w:sz="4" w:space="0" w:color="auto"/>
                    <w:tl2br w:val="nil"/>
                    <w:tr2bl w:val="nil"/>
                  </w:tcBorders>
                  <w:vAlign w:val="center"/>
                </w:tcPr>
                <w:p/>
              </w:tc>
              <w:tc>
                <w:tcPr>
                  <w:tcW w:w="500" w:type="pct"/>
                  <w:vMerge/>
                  <w:tcBorders>
                    <w:left w:val="single" w:sz="4" w:space="0" w:color="auto"/>
                    <w:right w:val="single" w:sz="4" w:space="0" w:color="auto"/>
                    <w:tl2br w:val="nil"/>
                    <w:tr2bl w:val="nil"/>
                  </w:tcBorders>
                  <w:vAlign w:val="center"/>
                </w:tcPr>
                <w:p/>
              </w:tc>
              <w:tc>
                <w:tcPr>
                  <w:tcW w:w="434" w:type="pct"/>
                  <w:vMerge/>
                  <w:tcBorders>
                    <w:left w:val="single" w:sz="4" w:space="0" w:color="auto"/>
                    <w:right w:val="single" w:sz="4" w:space="0" w:color="auto"/>
                    <w:tl2br w:val="nil"/>
                    <w:tr2bl w:val="nil"/>
                  </w:tcBorders>
                  <w:vAlign w:val="center"/>
                </w:tcPr>
                <w:p/>
              </w:tc>
              <w:tc>
                <w:tcPr>
                  <w:tcW w:w="494" w:type="pct"/>
                  <w:vMerge/>
                  <w:tcBorders>
                    <w:left w:val="single" w:sz="4" w:space="0" w:color="auto"/>
                    <w:right w:val="single" w:sz="4" w:space="0" w:color="auto"/>
                    <w:tl2br w:val="nil"/>
                    <w:tr2bl w:val="nil"/>
                  </w:tcBorders>
                  <w:vAlign w:val="center"/>
                </w:tcPr>
                <w:p/>
              </w:tc>
              <w:tc>
                <w:tcPr>
                  <w:tcW w:w="566" w:type="pct"/>
                  <w:vMerge/>
                  <w:tcBorders>
                    <w:left w:val="single" w:sz="4" w:space="0" w:color="auto"/>
                    <w:right w:val="single" w:sz="4" w:space="0" w:color="auto"/>
                    <w:tl2br w:val="nil"/>
                    <w:tr2bl w:val="nil"/>
                  </w:tcBorders>
                  <w:vAlign w:val="center"/>
                </w:tcPr>
                <w:p/>
              </w:tc>
              <w:tc>
                <w:tcPr>
                  <w:tcW w:w="680" w:type="pct"/>
                  <w:vMerge/>
                  <w:tcBorders>
                    <w:left w:val="single" w:sz="4" w:space="0" w:color="auto"/>
                    <w:right w:val="single" w:sz="4" w:space="0" w:color="auto"/>
                    <w:tl2br w:val="nil"/>
                    <w:tr2bl w:val="nil"/>
                  </w:tcBorders>
                  <w:vAlign w:val="center"/>
                </w:tcPr>
                <w:p/>
              </w:tc>
              <w:tc>
                <w:tcPr>
                  <w:tcW w:w="415" w:type="pct"/>
                  <w:vMerge/>
                  <w:tcBorders>
                    <w:left w:val="single" w:sz="4" w:space="0" w:color="auto"/>
                    <w:right w:val="single" w:sz="4" w:space="0" w:color="auto"/>
                    <w:tl2br w:val="nil"/>
                    <w:tr2bl w:val="nil"/>
                  </w:tcBorders>
                  <w:vAlign w:val="center"/>
                </w:tcPr>
                <w:p/>
              </w:tc>
              <w:tc>
                <w:tcPr>
                  <w:tcW w:w="249" w:type="pct"/>
                  <w:vMerge/>
                  <w:tcBorders>
                    <w:left w:val="single" w:sz="4" w:space="0" w:color="auto"/>
                    <w:right w:val="single" w:sz="4" w:space="0" w:color="auto"/>
                    <w:tl2br w:val="nil"/>
                    <w:tr2bl w:val="nil"/>
                  </w:tcBorders>
                  <w:vAlign w:val="center"/>
                </w:tcPr>
                <w:p/>
              </w:tc>
              <w:tc>
                <w:tcPr>
                  <w:tcW w:w="313" w:type="pct"/>
                  <w:vMerge/>
                  <w:tcBorders>
                    <w:left w:val="single" w:sz="4" w:space="0" w:color="auto"/>
                    <w:right w:val="single" w:sz="4" w:space="0" w:color="auto"/>
                    <w:tl2br w:val="nil"/>
                    <w:tr2bl w:val="nil"/>
                  </w:tcBorders>
                  <w:vAlign w:val="center"/>
                </w:tcPr>
                <w:p/>
              </w:tc>
              <w:tc>
                <w:tcPr>
                  <w:tcW w:w="485"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总磷</w:t>
                  </w:r>
                </w:p>
              </w:tc>
              <w:tc>
                <w:tcPr>
                  <w:tcW w:w="61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suppressLineNumbers w:val="0"/>
                    <w:adjustRightInd w:val="0"/>
                    <w:snapToGrid w:val="0"/>
                    <w:spacing w:before="0" w:beforeAutospacing="0" w:after="0" w:afterAutospacing="0"/>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0.4</w:t>
                  </w:r>
                </w:p>
              </w:tc>
            </w:tr>
          </w:tbl>
          <w:p>
            <w:pPr>
              <w:keepNext w:val="0"/>
              <w:keepLines w:val="0"/>
              <w:suppressLineNumbers w:val="0"/>
              <w:spacing w:before="0" w:beforeAutospacing="0" w:after="0" w:afterAutospacing="0"/>
              <w:ind w:left="0" w:right="0" w:firstLineChars="200" w:firstLine="480"/>
              <w:jc w:val="center"/>
              <w:rPr>
                <w:rFonts w:ascii="Times New Roman" w:eastAsia="宋体" w:cs="Times New Roman" w:hAnsi="Times New Roman"/>
                <w:b/>
                <w:snapToGrid w:val="0"/>
                <w:color w:val="auto"/>
                <w:sz w:val="24"/>
                <w:szCs w:val="24"/>
                <w:highlight w:val="none"/>
              </w:rPr>
            </w:pPr>
            <w:r>
              <w:rPr>
                <w:rFonts w:ascii="Times New Roman" w:eastAsia="宋体" w:cs="Times New Roman" w:hAnsi="Times New Roman"/>
                <w:b/>
                <w:snapToGrid w:val="0"/>
                <w:color w:val="auto"/>
                <w:sz w:val="24"/>
                <w:szCs w:val="24"/>
                <w:highlight w:val="none"/>
              </w:rPr>
              <w:t>表4-</w:t>
            </w:r>
            <w:r>
              <w:rPr>
                <w:rFonts w:ascii="Times New Roman" w:cs="Times New Roman" w:hAnsi="Times New Roman" w:hint="eastAsia"/>
                <w:b/>
                <w:snapToGrid w:val="0"/>
                <w:color w:val="auto"/>
                <w:sz w:val="24"/>
                <w:szCs w:val="24"/>
                <w:lang w:val="en-US" w:eastAsia="zh-CN"/>
                <w:highlight w:val="none"/>
              </w:rPr>
              <w:t>7</w:t>
            </w:r>
            <w:r>
              <w:rPr>
                <w:rFonts w:ascii="Times New Roman" w:eastAsia="宋体" w:cs="Times New Roman" w:hAnsi="Times New Roman"/>
                <w:b/>
                <w:snapToGrid w:val="0"/>
                <w:color w:val="auto"/>
                <w:sz w:val="24"/>
                <w:szCs w:val="24"/>
                <w:highlight w:val="none"/>
              </w:rPr>
              <w:t xml:space="preserve">   废水污染物排放执行标准表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655"/>
              <w:gridCol w:w="1125"/>
              <w:gridCol w:w="1903"/>
              <w:gridCol w:w="1737"/>
              <w:gridCol w:w="2414"/>
            </w:tblGrid>
            <w:tr>
              <w:trPr>
                <w:cantSplit/>
                <w:trHeight w:val="482"/>
              </w:trPr>
              <w:tc>
                <w:tcPr>
                  <w:tcW w:w="418"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序号</w:t>
                  </w:r>
                </w:p>
              </w:tc>
              <w:tc>
                <w:tcPr>
                  <w:tcW w:w="718"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排放口编号</w:t>
                  </w:r>
                </w:p>
              </w:tc>
              <w:tc>
                <w:tcPr>
                  <w:tcW w:w="1214" w:type="pct"/>
                  <w:vMerge w:val="restar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污染物种类</w:t>
                  </w:r>
                </w:p>
              </w:tc>
              <w:tc>
                <w:tcPr>
                  <w:tcW w:w="2648" w:type="pct"/>
                  <w:gridSpan w:val="2"/>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国家或地方污染物排放标准及其他按规定商定的排放协议</w:t>
                  </w:r>
                </w:p>
              </w:tc>
            </w:tr>
            <w:tr>
              <w:trPr>
                <w:cantSplit/>
                <w:trHeight w:val="482"/>
              </w:trPr>
              <w:tc>
                <w:tcPr>
                  <w:tcW w:w="418"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718"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1214" w:type="pct"/>
                  <w:vMerge/>
                  <w:tcBorders>
                    <w:top w:val="single" w:sz="4" w:space="0" w:color="auto"/>
                    <w:left w:val="single" w:sz="4" w:space="0" w:color="auto"/>
                    <w:bottom w:val="single" w:sz="4" w:space="0" w:color="auto"/>
                    <w:right w:val="single" w:sz="4" w:space="0" w:color="auto"/>
                    <w:tl2br w:val="nil"/>
                    <w:tr2bl w:val="nil"/>
                  </w:tcBorders>
                  <w:vAlign w:val="center"/>
                </w:tcPr>
                <w:p/>
              </w:tc>
              <w:tc>
                <w:tcPr>
                  <w:tcW w:w="1108"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名称</w:t>
                  </w:r>
                </w:p>
              </w:tc>
              <w:tc>
                <w:tcPr>
                  <w:tcW w:w="1540"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浓度限值（mg/L）</w:t>
                  </w:r>
                </w:p>
              </w:tc>
            </w:tr>
            <w:tr>
              <w:trPr>
                <w:cantSplit/>
                <w:trHeight w:val="482"/>
              </w:trPr>
              <w:tc>
                <w:tcPr>
                  <w:tcW w:w="418"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1</w:t>
                  </w:r>
                </w:p>
              </w:tc>
              <w:tc>
                <w:tcPr>
                  <w:tcW w:w="718"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eastAsia="宋体" w:cs="Times New Roman" w:hAnsi="Times New Roman"/>
                      <w:color w:val="auto"/>
                      <w:sz w:val="21"/>
                      <w:szCs w:val="21"/>
                      <w:highlight w:val="none"/>
                    </w:rPr>
                    <w:t>DW001</w:t>
                  </w: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pH</w:t>
                  </w:r>
                </w:p>
              </w:tc>
              <w:tc>
                <w:tcPr>
                  <w:tcW w:w="1108" w:type="pct"/>
                  <w:vMerge w:val="restart"/>
                  <w:tcBorders>
                    <w:top w:val="single" w:sz="4" w:space="0" w:color="auto"/>
                    <w:left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highlight w:val="none"/>
                    </w:rPr>
                  </w:pPr>
                  <w:r>
                    <w:rPr>
                      <w:rFonts w:ascii="Times New Roman" w:cs="Times New Roman" w:hAnsi="Times New Roman" w:hint="eastAsia"/>
                      <w:color w:val="auto"/>
                      <w:sz w:val="21"/>
                      <w:szCs w:val="21"/>
                      <w:lang w:eastAsia="zh-CN"/>
                      <w:highlight w:val="none"/>
                    </w:rPr>
                    <w:t>《合成树脂工业污染物排放标准》（GB31572-2015）表2间接排放标准</w:t>
                  </w:r>
                  <w:r>
                    <w:rPr>
                      <w:rFonts w:ascii="Times New Roman" w:eastAsia="宋体" w:cs="Times New Roman" w:hAnsi="Times New Roman" w:hint="eastAsia"/>
                      <w:color w:val="auto"/>
                      <w:sz w:val="21"/>
                      <w:szCs w:val="21"/>
                      <w:lang w:eastAsia="zh-CN"/>
                      <w:highlight w:val="none"/>
                    </w:rPr>
                    <w:t>及</w:t>
                  </w:r>
                  <w:r>
                    <w:rPr>
                      <w:rFonts w:ascii="Times New Roman" w:cs="Times New Roman" w:hAnsi="Times New Roman" w:hint="eastAsia"/>
                      <w:color w:val="auto"/>
                      <w:sz w:val="21"/>
                      <w:szCs w:val="21"/>
                      <w:lang w:eastAsia="zh-CN"/>
                      <w:highlight w:val="none"/>
                    </w:rPr>
                    <w:t>石家庄市栾城区污水处理中心（绿源污水处理厂）进水水质要求</w:t>
                  </w: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sz w:val="21"/>
                      <w:szCs w:val="21"/>
                      <w:lang w:val="en-US" w:eastAsia="zh-CN"/>
                      <w:highlight w:val="none"/>
                    </w:rPr>
                    <w:t>6~9</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COD</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450</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BOD</w:t>
                  </w:r>
                  <w:r>
                    <w:rPr>
                      <w:rFonts w:ascii="Times New Roman" w:cs="Times New Roman" w:hAnsi="Times New Roman" w:hint="eastAsia"/>
                      <w:caps w:val="0"/>
                      <w:smallCaps w:val="0"/>
                      <w:color w:val="auto"/>
                      <w:spacing w:val="0"/>
                      <w:sz w:val="21"/>
                      <w:szCs w:val="21"/>
                      <w:vertAlign w:val="subscript"/>
                      <w:lang w:val="en-US" w:eastAsia="zh-CN"/>
                      <w:highlight w:val="none"/>
                    </w:rPr>
                    <w:t>5</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160</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SS</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200</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氨氮</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45</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总氮</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60</w:t>
                  </w:r>
                </w:p>
              </w:tc>
            </w:tr>
            <w:tr>
              <w:trPr>
                <w:cantSplit/>
                <w:trHeight w:val="482"/>
              </w:trPr>
              <w:tc>
                <w:tcPr>
                  <w:tcW w:w="418" w:type="pct"/>
                  <w:vMerge/>
                  <w:tcBorders>
                    <w:left w:val="single" w:sz="4" w:space="0" w:color="auto"/>
                    <w:right w:val="single" w:sz="4" w:space="0" w:color="auto"/>
                    <w:tl2br w:val="nil"/>
                    <w:tr2bl w:val="nil"/>
                  </w:tcBorders>
                  <w:vAlign w:val="center"/>
                </w:tcPr>
                <w:p/>
              </w:tc>
              <w:tc>
                <w:tcPr>
                  <w:tcW w:w="718" w:type="pct"/>
                  <w:vMerge/>
                  <w:tcBorders>
                    <w:left w:val="single" w:sz="4" w:space="0" w:color="auto"/>
                    <w:right w:val="single" w:sz="4" w:space="0" w:color="auto"/>
                    <w:tl2br w:val="nil"/>
                    <w:tr2bl w:val="nil"/>
                  </w:tcBorders>
                  <w:vAlign w:val="center"/>
                </w:tcPr>
                <w:p/>
              </w:tc>
              <w:tc>
                <w:tcPr>
                  <w:tcW w:w="1214"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总磷</w:t>
                  </w:r>
                </w:p>
              </w:tc>
              <w:tc>
                <w:tcPr>
                  <w:tcW w:w="1108" w:type="pct"/>
                  <w:vMerge/>
                  <w:tcBorders>
                    <w:left w:val="single" w:sz="4" w:space="0" w:color="auto"/>
                    <w:right w:val="single" w:sz="4" w:space="0" w:color="auto"/>
                    <w:tl2br w:val="nil"/>
                    <w:tr2bl w:val="nil"/>
                  </w:tcBorders>
                  <w:vAlign w:val="center"/>
                </w:tcPr>
                <w:p/>
              </w:tc>
              <w:tc>
                <w:tcPr>
                  <w:tcW w:w="1540" w:type="pct"/>
                  <w:tcBorders>
                    <w:top w:val="single" w:sz="4" w:space="0" w:color="auto"/>
                    <w:left w:val="single" w:sz="4" w:space="0" w:color="auto"/>
                    <w:bottom w:val="single" w:sz="4" w:space="0" w:color="auto"/>
                    <w:right w:val="single" w:sz="4" w:space="0" w:color="auto"/>
                    <w:tl2br w:val="nil"/>
                    <w:tr2bl w:val="nil"/>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5</w:t>
                  </w:r>
                </w:p>
              </w:tc>
            </w:tr>
          </w:tbl>
          <w:p>
            <w:pPr>
              <w:keepNext w:val="0"/>
              <w:keepLines w:val="0"/>
              <w:suppressLineNumbers w:val="0"/>
              <w:spacing w:before="0" w:beforeAutospacing="0" w:after="0" w:afterAutospacing="0"/>
              <w:ind w:left="0" w:right="0" w:firstLineChars="200" w:firstLine="480"/>
              <w:jc w:val="center"/>
              <w:rPr>
                <w:rFonts w:ascii="Times New Roman" w:eastAsia="宋体" w:cs="Times New Roman" w:hAnsi="Times New Roman"/>
                <w:b/>
                <w:snapToGrid w:val="0"/>
                <w:color w:val="auto"/>
                <w:sz w:val="24"/>
                <w:szCs w:val="24"/>
                <w:highlight w:val="none"/>
              </w:rPr>
            </w:pPr>
            <w:r>
              <w:rPr>
                <w:rFonts w:ascii="Times New Roman" w:eastAsia="宋体" w:cs="Times New Roman" w:hAnsi="Times New Roman"/>
                <w:b/>
                <w:snapToGrid w:val="0"/>
                <w:color w:val="auto"/>
                <w:sz w:val="24"/>
                <w:szCs w:val="24"/>
                <w:highlight w:val="none"/>
              </w:rPr>
              <w:t>表4-</w:t>
            </w:r>
            <w:r>
              <w:rPr>
                <w:rFonts w:ascii="Times New Roman" w:cs="Times New Roman" w:hAnsi="Times New Roman" w:hint="eastAsia"/>
                <w:b/>
                <w:snapToGrid w:val="0"/>
                <w:color w:val="auto"/>
                <w:sz w:val="24"/>
                <w:szCs w:val="24"/>
                <w:lang w:val="en-US" w:eastAsia="zh-CN"/>
                <w:highlight w:val="none"/>
              </w:rPr>
              <w:t>8</w:t>
            </w:r>
            <w:r>
              <w:rPr>
                <w:rFonts w:ascii="Times New Roman" w:eastAsia="宋体" w:cs="Times New Roman" w:hAnsi="Times New Roman"/>
                <w:b/>
                <w:snapToGrid w:val="0"/>
                <w:color w:val="auto"/>
                <w:sz w:val="24"/>
                <w:szCs w:val="24"/>
                <w:highlight w:val="none"/>
              </w:rPr>
              <w:t xml:space="preserve">  废水污染物排放信息表</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304"/>
              <w:gridCol w:w="907"/>
              <w:gridCol w:w="1702"/>
              <w:gridCol w:w="1305"/>
              <w:gridCol w:w="1305"/>
              <w:gridCol w:w="1307"/>
            </w:tblGrid>
            <w:tr>
              <w:trPr>
                <w:trHeight w:val="397"/>
              </w:trPr>
              <w:tc>
                <w:tcPr>
                  <w:tcW w:w="832"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序号</w:t>
                  </w:r>
                </w:p>
              </w:tc>
              <w:tc>
                <w:tcPr>
                  <w:tcW w:w="579"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排放口编号</w:t>
                  </w: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污染物种类</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排放浓度（mg/L</w:t>
                  </w:r>
                  <w:r>
                    <w:rPr>
                      <w:rFonts w:ascii="Times New Roman" w:eastAsia="宋体" w:cs="Times New Roman" w:hAnsi="Times New Roman"/>
                      <w:color w:val="auto"/>
                      <w:sz w:val="21"/>
                      <w:szCs w:val="24"/>
                      <w:lang w:eastAsia="zh-CN"/>
                      <w:highlight w:val="none"/>
                    </w:rPr>
                    <w:t>，</w:t>
                  </w:r>
                  <w:r>
                    <w:rPr>
                      <w:rFonts w:ascii="Times New Roman" w:eastAsia="宋体" w:cs="Times New Roman" w:hAnsi="Times New Roman"/>
                      <w:color w:val="auto"/>
                      <w:sz w:val="21"/>
                      <w:szCs w:val="24"/>
                      <w:lang w:val="en-US" w:eastAsia="zh-CN"/>
                      <w:highlight w:val="none"/>
                    </w:rPr>
                    <w:t>除pH</w:t>
                  </w:r>
                  <w:r>
                    <w:rPr>
                      <w:rFonts w:ascii="Times New Roman" w:eastAsia="宋体" w:cs="Times New Roman" w:hAnsi="Times New Roman"/>
                      <w:color w:val="auto"/>
                      <w:sz w:val="21"/>
                      <w:szCs w:val="24"/>
                      <w:highlight w:val="none"/>
                    </w:rPr>
                    <w:t>）</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日排放量（t/d）</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年排放量（t/a）</w:t>
                  </w:r>
                </w:p>
              </w:tc>
            </w:tr>
            <w:tr>
              <w:trPr>
                <w:trHeight w:val="397"/>
              </w:trPr>
              <w:tc>
                <w:tcPr>
                  <w:tcW w:w="832" w:type="pct"/>
                  <w:vMerge w:val="restart"/>
                  <w:tcBorders>
                    <w:top w:val="single" w:sz="4" w:space="0" w:color="auto"/>
                    <w:left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1</w:t>
                  </w:r>
                </w:p>
              </w:tc>
              <w:tc>
                <w:tcPr>
                  <w:tcW w:w="579" w:type="pct"/>
                  <w:vMerge w:val="restart"/>
                  <w:tcBorders>
                    <w:top w:val="single" w:sz="4" w:space="0" w:color="auto"/>
                    <w:left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highlight w:val="none"/>
                    </w:rPr>
                  </w:pPr>
                  <w:r>
                    <w:rPr>
                      <w:rFonts w:ascii="Times New Roman" w:eastAsia="宋体" w:cs="Times New Roman" w:hAnsi="Times New Roman"/>
                      <w:color w:val="auto"/>
                      <w:sz w:val="21"/>
                      <w:szCs w:val="24"/>
                      <w:highlight w:val="none"/>
                    </w:rPr>
                    <w:t>DW001</w:t>
                  </w: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pH</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6~9</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w:t>
                  </w:r>
                </w:p>
              </w:tc>
            </w:tr>
            <w:tr>
              <w:trPr>
                <w:trHeight w:val="416"/>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悬浮物</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105</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6.720</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w:t>
                  </w:r>
                  <w:r>
                    <w:rPr>
                      <w:rFonts w:ascii="Times New Roman" w:eastAsia="宋体" w:cs="Times New Roman" w:hAnsi="Times New Roman" w:hint="eastAsia"/>
                      <w:color w:val="auto"/>
                      <w:sz w:val="21"/>
                      <w:szCs w:val="24"/>
                      <w:vertAlign w:val="superscript"/>
                      <w:lang w:val="en-US" w:eastAsia="zh-CN"/>
                      <w:highlight w:val="none"/>
                    </w:rPr>
                    <w:t>5</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0.020</w:t>
                  </w:r>
                </w:p>
              </w:tc>
            </w:tr>
            <w:tr>
              <w:trPr>
                <w:trHeight w:val="397"/>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化学需氧量</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255</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1.632</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-4</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0.049</w:t>
                  </w:r>
                </w:p>
              </w:tc>
            </w:tr>
            <w:tr>
              <w:trPr>
                <w:trHeight w:val="397"/>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五日生化需氧量</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136.5</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8.736</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w:t>
                  </w:r>
                  <w:r>
                    <w:rPr>
                      <w:rFonts w:ascii="Times New Roman" w:eastAsia="宋体" w:cs="Times New Roman" w:hAnsi="Times New Roman" w:hint="eastAsia"/>
                      <w:color w:val="auto"/>
                      <w:sz w:val="21"/>
                      <w:szCs w:val="24"/>
                      <w:vertAlign w:val="superscript"/>
                      <w:lang w:val="en-US" w:eastAsia="zh-CN"/>
                      <w:highlight w:val="none"/>
                    </w:rPr>
                    <w:t>5</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cs="Times New Roman" w:hAnsi="Times New Roman" w:hint="eastAsia"/>
                      <w:color w:val="auto"/>
                      <w:sz w:val="21"/>
                      <w:szCs w:val="24"/>
                      <w:lang w:val="en-US" w:eastAsia="zh-CN"/>
                      <w:highlight w:val="none"/>
                    </w:rPr>
                    <w:t>0.026</w:t>
                  </w:r>
                </w:p>
              </w:tc>
            </w:tr>
            <w:tr>
              <w:trPr>
                <w:trHeight w:val="397"/>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bCs/>
                      <w:color w:val="auto"/>
                      <w:spacing w:val="-6"/>
                      <w:w w:val="90"/>
                      <w:kern w:val="0"/>
                      <w:sz w:val="21"/>
                      <w:szCs w:val="21"/>
                      <w:lang w:val="en-US" w:eastAsia="zh-CN" w:bidi="ar-SA"/>
                      <w:highlight w:val="none"/>
                    </w:rPr>
                  </w:pPr>
                  <w:r>
                    <w:rPr>
                      <w:rFonts w:ascii="Times New Roman" w:eastAsia="宋体" w:cs="Times New Roman" w:hAnsi="Times New Roman"/>
                      <w:color w:val="auto"/>
                      <w:sz w:val="21"/>
                      <w:szCs w:val="21"/>
                      <w:lang w:val="en-US" w:eastAsia="zh-CN"/>
                      <w:highlight w:val="none"/>
                    </w:rPr>
                    <w:t>氨氮</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19.4</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1.242</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w:t>
                  </w:r>
                  <w:r>
                    <w:rPr>
                      <w:rFonts w:ascii="Times New Roman" w:eastAsia="宋体" w:cs="Times New Roman" w:hAnsi="Times New Roman" w:hint="eastAsia"/>
                      <w:color w:val="auto"/>
                      <w:sz w:val="21"/>
                      <w:szCs w:val="24"/>
                      <w:vertAlign w:val="superscript"/>
                      <w:lang w:val="en-US" w:eastAsia="zh-CN"/>
                      <w:highlight w:val="none"/>
                    </w:rPr>
                    <w:t>5</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0.004</w:t>
                  </w:r>
                </w:p>
              </w:tc>
            </w:tr>
            <w:tr>
              <w:trPr>
                <w:trHeight w:val="397"/>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总氮</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38</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2.432</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w:t>
                  </w:r>
                  <w:r>
                    <w:rPr>
                      <w:rFonts w:ascii="Times New Roman" w:eastAsia="宋体" w:cs="Times New Roman" w:hAnsi="Times New Roman" w:hint="eastAsia"/>
                      <w:color w:val="auto"/>
                      <w:sz w:val="21"/>
                      <w:szCs w:val="24"/>
                      <w:vertAlign w:val="superscript"/>
                      <w:lang w:val="en-US" w:eastAsia="zh-CN"/>
                      <w:highlight w:val="none"/>
                    </w:rPr>
                    <w:t>5</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0.007</w:t>
                  </w:r>
                </w:p>
              </w:tc>
            </w:tr>
            <w:tr>
              <w:trPr>
                <w:trHeight w:val="397"/>
              </w:trPr>
              <w:tc>
                <w:tcPr>
                  <w:tcW w:w="832" w:type="pct"/>
                  <w:vMerge/>
                  <w:tcBorders>
                    <w:left w:val="single" w:sz="4" w:space="0" w:color="auto"/>
                    <w:right w:val="single" w:sz="4" w:space="0" w:color="auto"/>
                    <w:tl2br w:val="nil"/>
                    <w:tr2bl w:val="nil"/>
                  </w:tcBorders>
                  <w:vAlign w:val="center"/>
                </w:tcPr>
                <w:p/>
              </w:tc>
              <w:tc>
                <w:tcPr>
                  <w:tcW w:w="579" w:type="pct"/>
                  <w:vMerge/>
                  <w:tcBorders>
                    <w:left w:val="single" w:sz="4" w:space="0" w:color="auto"/>
                    <w:right w:val="single" w:sz="4" w:space="0" w:color="auto"/>
                    <w:tl2br w:val="nil"/>
                    <w:tr2bl w:val="nil"/>
                  </w:tcBorders>
                  <w:vAlign w:val="center"/>
                </w:tcPr>
                <w:p/>
              </w:tc>
              <w:tc>
                <w:tcPr>
                  <w:tcW w:w="1086" w:type="pct"/>
                  <w:tcBorders>
                    <w:top w:val="single" w:sz="4" w:space="0" w:color="auto"/>
                    <w:left w:val="single" w:sz="4" w:space="0" w:color="auto"/>
                    <w:bottom w:val="single" w:sz="4" w:space="0" w:color="auto"/>
                    <w:right w:val="single" w:sz="4" w:space="0" w:color="auto"/>
                    <w:tl2br w:val="nil"/>
                    <w:tr2bl w:val="nil"/>
                  </w:tcBorders>
                  <w:vAlign w:val="center"/>
                </w:tcPr>
                <w:p>
                  <w:pPr>
                    <w:pStyle w:val="1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contextualSpacing/>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总磷</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4.5</w:t>
                  </w:r>
                </w:p>
              </w:tc>
              <w:tc>
                <w:tcPr>
                  <w:tcW w:w="833"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hint="eastAsia"/>
                      <w:color w:val="auto"/>
                      <w:sz w:val="21"/>
                      <w:szCs w:val="24"/>
                      <w:lang w:val="en-US" w:eastAsia="zh-CN"/>
                      <w:highlight w:val="none"/>
                    </w:rPr>
                    <w:t>2.880</w:t>
                  </w:r>
                  <w:r>
                    <w:rPr>
                      <w:rFonts w:ascii="Times New Roman" w:eastAsia="宋体" w:cs="Times New Roman" w:hAnsi="Times New Roman"/>
                      <w:color w:val="auto"/>
                      <w:sz w:val="21"/>
                      <w:szCs w:val="24"/>
                      <w:lang w:val="en-US" w:eastAsia="zh-CN"/>
                      <w:highlight w:val="none"/>
                    </w:rPr>
                    <w:t>×10</w:t>
                  </w:r>
                  <w:r>
                    <w:rPr>
                      <w:rFonts w:ascii="Times New Roman" w:eastAsia="宋体" w:cs="Times New Roman" w:hAnsi="Times New Roman"/>
                      <w:color w:val="auto"/>
                      <w:sz w:val="21"/>
                      <w:szCs w:val="24"/>
                      <w:vertAlign w:val="superscript"/>
                      <w:lang w:val="en-US" w:eastAsia="zh-CN"/>
                      <w:highlight w:val="none"/>
                    </w:rPr>
                    <w:t>-</w:t>
                  </w:r>
                  <w:r>
                    <w:rPr>
                      <w:rFonts w:ascii="Times New Roman" w:eastAsia="宋体" w:cs="Times New Roman" w:hAnsi="Times New Roman" w:hint="eastAsia"/>
                      <w:color w:val="auto"/>
                      <w:sz w:val="21"/>
                      <w:szCs w:val="24"/>
                      <w:vertAlign w:val="superscript"/>
                      <w:lang w:val="en-US" w:eastAsia="zh-CN"/>
                      <w:highlight w:val="none"/>
                    </w:rPr>
                    <w:t>6</w:t>
                  </w:r>
                </w:p>
              </w:tc>
              <w:tc>
                <w:tcPr>
                  <w:tcW w:w="834" w:type="pct"/>
                  <w:tcBorders>
                    <w:top w:val="single" w:sz="4" w:space="0" w:color="auto"/>
                    <w:left w:val="single" w:sz="4" w:space="0" w:color="auto"/>
                    <w:bottom w:val="single" w:sz="4" w:space="0" w:color="auto"/>
                    <w:right w:val="single" w:sz="4" w:space="0" w:color="auto"/>
                    <w:tl2br w:val="nil"/>
                    <w:tr2bl w:val="nil"/>
                  </w:tcBorders>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sz w:val="21"/>
                      <w:szCs w:val="24"/>
                      <w:lang w:val="en-US" w:eastAsia="zh-CN"/>
                      <w:highlight w:val="none"/>
                    </w:rPr>
                  </w:pP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p>
              </w:tc>
            </w:tr>
          </w:tbl>
          <w:p>
            <w:pPr>
              <w:keepNext w:val="0"/>
              <w:keepLines w:val="0"/>
              <w:widowControl/>
              <w:suppressLineNumbers w:val="0"/>
              <w:spacing w:before="0" w:beforeAutospacing="0" w:after="0" w:afterAutospacing="0"/>
              <w:ind w:left="0" w:right="0" w:firstLineChars="200" w:firstLine="480"/>
              <w:jc w:val="left"/>
              <w:rPr>
                <w:rFonts w:ascii="Times New Roman" w:eastAsia="宋体" w:cs="Times New Roman" w:hAnsi="Times New Roman"/>
                <w:color w:val="auto"/>
                <w:kern w:val="0"/>
                <w:sz w:val="24"/>
                <w:szCs w:val="24"/>
                <w:highlight w:val="none"/>
              </w:rPr>
            </w:pPr>
            <w:r>
              <w:rPr>
                <w:rFonts w:ascii="Times New Roman" w:eastAsia="宋体" w:cs="Times New Roman" w:hAnsi="Times New Roman"/>
                <w:color w:val="auto"/>
                <w:kern w:val="0"/>
                <w:sz w:val="24"/>
                <w:szCs w:val="24"/>
                <w:highlight w:val="none"/>
              </w:rPr>
              <w:t>（</w:t>
            </w:r>
            <w:r>
              <w:rPr>
                <w:rFonts w:ascii="Times New Roman" w:eastAsia="宋体" w:cs="Times New Roman" w:hAnsi="Times New Roman" w:hint="eastAsia"/>
                <w:color w:val="auto"/>
                <w:kern w:val="0"/>
                <w:sz w:val="24"/>
                <w:szCs w:val="24"/>
                <w:lang w:val="en-US" w:eastAsia="zh-CN"/>
                <w:highlight w:val="none"/>
              </w:rPr>
              <w:t>6</w:t>
            </w:r>
            <w:r>
              <w:rPr>
                <w:rFonts w:ascii="Times New Roman" w:eastAsia="宋体" w:cs="Times New Roman" w:hAnsi="Times New Roman"/>
                <w:color w:val="auto"/>
                <w:kern w:val="0"/>
                <w:sz w:val="24"/>
                <w:szCs w:val="24"/>
                <w:highlight w:val="none"/>
              </w:rPr>
              <w:t>）监测要求</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b w:val="0"/>
                <w:bCs w:val="0"/>
                <w:caps w:val="0"/>
                <w:smallCaps w:val="0"/>
                <w:color w:val="auto"/>
                <w:spacing w:val="0"/>
                <w:lang w:val="en-US" w:eastAsia="zh-CN"/>
                <w:highlight w:val="none"/>
              </w:rPr>
            </w:pPr>
            <w:r>
              <w:rPr>
                <w:rFonts w:ascii="Times New Roman" w:cs="Times New Roman" w:hAnsi="Times New Roman"/>
                <w:b w:val="0"/>
                <w:bCs w:val="0"/>
                <w:caps w:val="0"/>
                <w:smallCaps w:val="0"/>
                <w:color w:val="auto"/>
                <w:spacing w:val="0"/>
                <w:sz w:val="24"/>
                <w:szCs w:val="20"/>
                <w:highlight w:val="none"/>
              </w:rPr>
              <w:t>根据《排污单位自行监测技术指南 橡胶和塑料制品》（HJ1207-2021）</w:t>
            </w:r>
            <w:r>
              <w:rPr>
                <w:rFonts w:ascii="Times New Roman" w:cs="Times New Roman" w:hAnsi="Times New Roman" w:hint="eastAsia"/>
                <w:b w:val="0"/>
                <w:bCs w:val="0"/>
                <w:caps w:val="0"/>
                <w:smallCaps w:val="0"/>
                <w:color w:val="auto"/>
                <w:spacing w:val="0"/>
                <w:sz w:val="24"/>
                <w:szCs w:val="20"/>
                <w:lang w:val="en-US" w:eastAsia="zh-CN"/>
                <w:highlight w:val="none"/>
              </w:rPr>
              <w:t>表2可知，间接排放的生活污水，无需检测，故本评价不再要求生活污水的监测频次。</w:t>
            </w:r>
          </w:p>
          <w:p>
            <w:pPr>
              <w:pStyle w:val="137"/>
              <w:keepNext w:val="0"/>
              <w:keepLines w:val="0"/>
              <w:suppressLineNumbers w:val="0"/>
              <w:spacing w:before="0" w:beforeAutospacing="0" w:after="0" w:afterAutospacing="0"/>
              <w:ind w:left="0" w:right="0"/>
              <w:jc w:val="both"/>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3、噪声</w:t>
            </w:r>
          </w:p>
          <w:p>
            <w:pPr>
              <w:pStyle w:val="137"/>
              <w:keepNext w:val="0"/>
              <w:keepLines w:val="0"/>
              <w:suppressLineNumbers w:val="0"/>
              <w:spacing w:before="0" w:beforeAutospacing="0" w:after="0" w:afterAutospacing="0"/>
              <w:ind w:left="0" w:right="0"/>
              <w:jc w:val="both"/>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（1）源强分析</w:t>
            </w:r>
          </w:p>
          <w:p>
            <w:pPr>
              <w:pStyle w:val="37"/>
              <w:keepNext w:val="0"/>
              <w:keepLines w:val="0"/>
              <w:suppressLineNumbers w:val="0"/>
              <w:spacing w:before="0" w:beforeAutospacing="0" w:after="0" w:afterAutospacing="0"/>
              <w:ind w:left="0" w:right="0"/>
              <w:jc w:val="both"/>
              <w:rPr>
                <w:color w:val="auto"/>
                <w:szCs w:val="2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项目为改建项目，所有设备改变布局，故对所有设备进行重新预测</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噪声源主要为</w:t>
            </w:r>
            <w:r>
              <w:rPr>
                <w:rFonts w:ascii="Times New Roman" w:cs="Times New Roman" w:hAnsi="Times New Roman" w:hint="eastAsia"/>
                <w:caps w:val="0"/>
                <w:smallCaps w:val="0"/>
                <w:color w:val="auto"/>
                <w:spacing w:val="0"/>
                <w:sz w:val="24"/>
                <w:szCs w:val="20"/>
                <w:lang w:val="en-US" w:eastAsia="zh-CN"/>
                <w:highlight w:val="none"/>
              </w:rPr>
              <w:t>注塑机、干燥机、干燥箱、冷却塔、冷水机、攻丝机、车床、风机</w:t>
            </w:r>
            <w:r>
              <w:rPr>
                <w:rFonts w:ascii="Times New Roman" w:cs="Times New Roman" w:hAnsi="Times New Roman"/>
                <w:caps w:val="0"/>
                <w:smallCaps w:val="0"/>
                <w:color w:val="auto"/>
                <w:spacing w:val="0"/>
                <w:sz w:val="24"/>
                <w:szCs w:val="20"/>
                <w:highlight w:val="none"/>
              </w:rPr>
              <w:t>等设备运转产生的噪声</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项目选用低噪声设备</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噪声级在</w:t>
            </w:r>
            <w:r>
              <w:rPr>
                <w:rFonts w:ascii="Times New Roman" w:cs="Times New Roman" w:hAnsi="Times New Roman" w:hint="eastAsia"/>
                <w:caps w:val="0"/>
                <w:smallCaps w:val="0"/>
                <w:color w:val="auto"/>
                <w:spacing w:val="0"/>
                <w:sz w:val="24"/>
                <w:szCs w:val="20"/>
                <w:lang w:val="en-US" w:eastAsia="zh-CN"/>
                <w:highlight w:val="none"/>
              </w:rPr>
              <w:t>70</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8</w:t>
            </w:r>
            <w:r>
              <w:rPr>
                <w:rFonts w:ascii="Times New Roman" w:cs="Times New Roman" w:hAnsi="Times New Roman"/>
                <w:caps w:val="0"/>
                <w:smallCaps w:val="0"/>
                <w:color w:val="auto"/>
                <w:spacing w:val="0"/>
                <w:sz w:val="24"/>
                <w:szCs w:val="20"/>
                <w:highlight w:val="none"/>
              </w:rPr>
              <w:t>5dB（A）之间</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项目主要噪声源源强及控制措施见表4</w:t>
            </w:r>
            <w:r>
              <w:rPr>
                <w:rFonts w:ascii="Times New Roman" w:cs="Times New Roman" w:hAnsi="Times New Roman"/>
                <w:caps w:val="0"/>
                <w:smallCaps w:val="0"/>
                <w:color w:val="auto"/>
                <w:spacing w:val="0"/>
                <w:sz w:val="24"/>
                <w:szCs w:val="20"/>
                <w:lang w:val="en-US"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9、4-10</w:t>
            </w:r>
            <w:r>
              <w:rPr>
                <w:rFonts w:ascii="Times New Roman" w:cs="Times New Roman" w:hAnsi="Times New Roman"/>
                <w:caps w:val="0"/>
                <w:smallCaps w:val="0"/>
                <w:color w:val="auto"/>
                <w:spacing w:val="0"/>
                <w:sz w:val="24"/>
                <w:szCs w:val="20"/>
                <w:highlight w:val="none"/>
              </w:rPr>
              <w:t>。</w:t>
            </w:r>
          </w:p>
        </w:tc>
      </w:tr>
    </w:tbl>
    <w:p>
      <w:pPr>
        <w:pStyle w:val="15"/>
        <w:keepNext w:val="0"/>
        <w:keepLines w:val="0"/>
        <w:suppressLineNumbers w:val="0"/>
        <w:spacing w:before="0" w:beforeAutospacing="0" w:after="0" w:afterAutospacing="0"/>
        <w:ind w:left="0" w:right="0"/>
        <w:rPr>
          <w:rFonts w:ascii="Times New Roman" w:cs="Times New Roman" w:hAnsi="Times New Roman"/>
          <w:color w:val="auto"/>
          <w:szCs w:val="20"/>
          <w:highlight w:val="none"/>
        </w:rPr>
        <w:sectPr>
          <w:pgSz w:w="11907" w:h="16840"/>
          <w:pgMar w:top="1440" w:right="1800" w:bottom="1440" w:left="1800" w:header="851" w:footer="992" w:gutter="0"/>
          <w:cols w:num="1" w:space="720"/>
          <w:docGrid w:type="linesAndChars" w:linePitch="319" w:charSpace="0"/>
        </w:sectPr>
      </w:pP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666"/>
        <w:gridCol w:w="13510"/>
      </w:tblGrid>
      <w:tr>
        <w:tc>
          <w:tcPr>
            <w:tcW w:w="666" w:type="dxa"/>
          </w:tcPr>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vertAlign w:val="baseline"/>
                <w:highlight w:val="none"/>
              </w:rPr>
            </w:pPr>
          </w:p>
        </w:tc>
        <w:tc>
          <w:tcPr>
            <w:tcW w:w="13510" w:type="dxa"/>
          </w:tcPr>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表4-</w:t>
            </w:r>
            <w:r>
              <w:rPr>
                <w:rFonts w:ascii="Times New Roman" w:cs="Times New Roman" w:hAnsi="Times New Roman" w:hint="eastAsia"/>
                <w:caps w:val="0"/>
                <w:smallCaps w:val="0"/>
                <w:color w:val="auto"/>
                <w:spacing w:val="0"/>
                <w:sz w:val="24"/>
                <w:szCs w:val="20"/>
                <w:lang w:val="en-US" w:eastAsia="zh-CN"/>
                <w:highlight w:val="none"/>
              </w:rPr>
              <w:t>9</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hint="eastAsia"/>
                <w:caps w:val="0"/>
                <w:smallCaps w:val="0"/>
                <w:color w:val="auto"/>
                <w:spacing w:val="0"/>
                <w:sz w:val="24"/>
                <w:szCs w:val="20"/>
                <w:lang w:val="en-US" w:eastAsia="zh-CN"/>
                <w:highlight w:val="none"/>
              </w:rPr>
              <w:t>项目</w:t>
            </w:r>
            <w:r>
              <w:rPr>
                <w:rFonts w:ascii="Times New Roman" w:cs="Times New Roman" w:hAnsi="Times New Roman"/>
                <w:caps w:val="0"/>
                <w:smallCaps w:val="0"/>
                <w:color w:val="auto"/>
                <w:spacing w:val="0"/>
                <w:sz w:val="24"/>
                <w:szCs w:val="20"/>
                <w:highlight w:val="none"/>
              </w:rPr>
              <w:t>主要噪声源及控制措施一览表（室内声源</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lang w:val="en-US" w:eastAsia="zh-CN"/>
                <w:highlight w:val="none"/>
              </w:rPr>
              <w:t>坐标原点：厂区西南角</w:t>
            </w:r>
            <w:r>
              <w:rPr>
                <w:rFonts w:ascii="Times New Roman" w:cs="Times New Roman" w:hAnsi="Times New Roman"/>
                <w:caps w:val="0"/>
                <w:smallCaps w:val="0"/>
                <w:color w:val="auto"/>
                <w:spacing w:val="0"/>
                <w:sz w:val="24"/>
                <w:szCs w:val="20"/>
                <w:highlight w:val="none"/>
              </w:rPr>
              <w:t>）</w:t>
            </w:r>
          </w:p>
          <w:tbl>
            <w:tblPr>
              <w:jc w:val="cente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428"/>
              <w:gridCol w:w="678"/>
              <w:gridCol w:w="1114"/>
              <w:gridCol w:w="1377"/>
              <w:gridCol w:w="880"/>
              <w:gridCol w:w="819"/>
              <w:gridCol w:w="843"/>
              <w:gridCol w:w="843"/>
              <w:gridCol w:w="959"/>
              <w:gridCol w:w="843"/>
              <w:gridCol w:w="843"/>
              <w:gridCol w:w="1130"/>
              <w:gridCol w:w="914"/>
              <w:gridCol w:w="683"/>
              <w:gridCol w:w="922"/>
            </w:tblGrid>
            <w:tr>
              <w:trPr>
                <w:trHeight w:val="397"/>
              </w:trPr>
              <w:tc>
                <w:tcPr>
                  <w:tcW w:w="64"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序号</w:t>
                  </w:r>
                </w:p>
              </w:tc>
              <w:tc>
                <w:tcPr>
                  <w:tcW w:w="102"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建筑物名称</w:t>
                  </w:r>
                </w:p>
              </w:tc>
              <w:tc>
                <w:tcPr>
                  <w:tcW w:w="168"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声源名称</w:t>
                  </w:r>
                </w:p>
              </w:tc>
              <w:tc>
                <w:tcPr>
                  <w:tcW w:w="207"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型号</w:t>
                  </w:r>
                </w:p>
              </w:tc>
              <w:tc>
                <w:tcPr>
                  <w:tcW w:w="132"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声源源强</w:t>
                  </w:r>
                </w:p>
              </w:tc>
              <w:tc>
                <w:tcPr>
                  <w:tcW w:w="123"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2"/>
                      <w:sz w:val="21"/>
                      <w:szCs w:val="21"/>
                      <w:lang w:val="en-US" w:eastAsia="zh-CN" w:bidi="ar-SA"/>
                      <w:highlight w:val="none"/>
                    </w:rPr>
                  </w:pPr>
                  <w:r>
                    <w:rPr>
                      <w:rFonts w:ascii="Times New Roman" w:eastAsia="宋体" w:cs="Times New Roman" w:hAnsi="Times New Roman"/>
                      <w:caps w:val="0"/>
                      <w:smallCaps w:val="0"/>
                      <w:color w:val="auto"/>
                      <w:spacing w:val="0"/>
                      <w:w w:val="100"/>
                      <w:sz w:val="21"/>
                      <w:szCs w:val="21"/>
                      <w:highlight w:val="none"/>
                    </w:rPr>
                    <w:t>声源控制措施</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2"/>
                      <w:sz w:val="21"/>
                      <w:szCs w:val="21"/>
                      <w:lang w:val="en-US" w:eastAsia="zh-CN" w:bidi="ar-SA"/>
                      <w:highlight w:val="none"/>
                    </w:rPr>
                  </w:pP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p>
              </w:tc>
              <w:tc>
                <w:tcPr>
                  <w:tcW w:w="398" w:type="dxa"/>
                  <w:gridSpan w:val="3"/>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空间相对位置/m</w:t>
                  </w:r>
                </w:p>
              </w:tc>
              <w:tc>
                <w:tcPr>
                  <w:tcW w:w="127"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距室内边界距离/m</w:t>
                  </w:r>
                </w:p>
              </w:tc>
              <w:tc>
                <w:tcPr>
                  <w:tcW w:w="127"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室内边界声级</w:t>
                  </w:r>
                  <w:r>
                    <w:rPr>
                      <w:rFonts w:ascii="Times New Roman" w:eastAsia="宋体" w:cs="Times New Roman" w:hAnsi="Times New Roman"/>
                      <w:caps w:val="0"/>
                      <w:smallCaps w:val="0"/>
                      <w:color w:val="auto"/>
                      <w:spacing w:val="0"/>
                      <w:w w:val="100"/>
                      <w:sz w:val="21"/>
                      <w:szCs w:val="21"/>
                      <w:highlight w:val="none"/>
                    </w:rPr>
                    <w:t>/dB(A)</w:t>
                  </w:r>
                </w:p>
              </w:tc>
              <w:tc>
                <w:tcPr>
                  <w:tcW w:w="170"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建筑物</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插入损失</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/dB(A)</w:t>
                  </w:r>
                </w:p>
              </w:tc>
              <w:tc>
                <w:tcPr>
                  <w:tcW w:w="240" w:type="dxa"/>
                  <w:gridSpan w:val="2"/>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建筑物外噪声</w:t>
                  </w:r>
                </w:p>
              </w:tc>
              <w:tc>
                <w:tcPr>
                  <w:tcW w:w="139" w:type="dxa"/>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运行时段/h</w:t>
                  </w:r>
                </w:p>
              </w:tc>
            </w:tr>
            <w:tr>
              <w:trPr>
                <w:trHeight w:val="397"/>
              </w:trPr>
              <w:tc>
                <w:tcPr>
                  <w:tcW w:w="64" w:type="dxa"/>
                  <w:vMerge/>
                  <w:vAlign w:val="center"/>
                </w:tcPr>
                <w:p/>
              </w:tc>
              <w:tc>
                <w:tcPr>
                  <w:tcW w:w="102" w:type="dxa"/>
                  <w:vMerge/>
                  <w:tcBorders>
                    <w:left w:val="single" w:sz="4" w:space="0" w:color="auto"/>
                  </w:tcBorders>
                  <w:vAlign w:val="center"/>
                </w:tcPr>
                <w:p/>
              </w:tc>
              <w:tc>
                <w:tcPr>
                  <w:tcW w:w="168" w:type="dxa"/>
                  <w:vMerge/>
                  <w:tcBorders>
                    <w:left w:val="single" w:sz="4" w:space="0" w:color="auto"/>
                  </w:tcBorders>
                  <w:vAlign w:val="center"/>
                </w:tcPr>
                <w:p/>
              </w:tc>
              <w:tc>
                <w:tcPr>
                  <w:tcW w:w="207" w:type="dxa"/>
                  <w:vMerge/>
                  <w:tcBorders>
                    <w:left w:val="single" w:sz="4" w:space="0" w:color="auto"/>
                  </w:tcBorders>
                  <w:vAlign w:val="center"/>
                </w:tcPr>
                <w:p/>
              </w:tc>
              <w:tc>
                <w:tcPr>
                  <w:tcW w:w="13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lang w:val="en-US" w:eastAsia="zh-CN"/>
                      <w:highlight w:val="none"/>
                    </w:rPr>
                    <w:t>声功率级</w:t>
                  </w:r>
                  <w:r>
                    <w:rPr>
                      <w:rFonts w:ascii="Times New Roman" w:eastAsia="宋体" w:cs="Times New Roman" w:hAnsi="Times New Roman"/>
                      <w:caps w:val="0"/>
                      <w:smallCaps w:val="0"/>
                      <w:color w:val="auto"/>
                      <w:spacing w:val="0"/>
                      <w:w w:val="100"/>
                      <w:sz w:val="21"/>
                      <w:szCs w:val="21"/>
                      <w:highlight w:val="none"/>
                    </w:rPr>
                    <w:t>/dB(A)</w:t>
                  </w:r>
                </w:p>
              </w:tc>
              <w:tc>
                <w:tcPr>
                  <w:tcW w:w="123" w:type="dxa"/>
                  <w:vMerge/>
                  <w:tcBorders>
                    <w:left w:val="single" w:sz="4" w:space="0" w:color="auto"/>
                  </w:tcBorders>
                  <w:vAlign w:val="center"/>
                </w:tcPr>
                <w:p/>
              </w:tc>
              <w:tc>
                <w:tcPr>
                  <w:tcW w:w="127"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X</w:t>
                  </w:r>
                </w:p>
              </w:tc>
              <w:tc>
                <w:tcPr>
                  <w:tcW w:w="127"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Y</w:t>
                  </w:r>
                </w:p>
              </w:tc>
              <w:tc>
                <w:tcPr>
                  <w:tcW w:w="144"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Z</w:t>
                  </w:r>
                </w:p>
              </w:tc>
              <w:tc>
                <w:tcPr>
                  <w:tcW w:w="127" w:type="dxa"/>
                  <w:vMerge/>
                  <w:tcBorders>
                    <w:left w:val="single" w:sz="4" w:space="0" w:color="auto"/>
                  </w:tcBorders>
                  <w:vAlign w:val="center"/>
                </w:tcPr>
                <w:p/>
              </w:tc>
              <w:tc>
                <w:tcPr>
                  <w:tcW w:w="127" w:type="dxa"/>
                  <w:vMerge/>
                  <w:tcBorders>
                    <w:left w:val="single" w:sz="4" w:space="0" w:color="auto"/>
                  </w:tcBorders>
                  <w:vAlign w:val="center"/>
                </w:tcPr>
                <w:p/>
              </w:tc>
              <w:tc>
                <w:tcPr>
                  <w:tcW w:w="170" w:type="dxa"/>
                  <w:vMerge/>
                  <w:tcBorders>
                    <w:left w:val="single" w:sz="4" w:space="0" w:color="auto"/>
                  </w:tcBorders>
                  <w:vAlign w:val="center"/>
                </w:tcPr>
                <w:p/>
              </w:tc>
              <w:tc>
                <w:tcPr>
                  <w:tcW w:w="138"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声压级</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/dB(A)</w:t>
                  </w:r>
                </w:p>
              </w:tc>
              <w:tc>
                <w:tcPr>
                  <w:tcW w:w="10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建筑</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物外距离</w:t>
                  </w:r>
                </w:p>
              </w:tc>
              <w:tc>
                <w:tcPr>
                  <w:tcW w:w="139" w:type="dxa"/>
                  <w:vMerge/>
                  <w:tcBorders>
                    <w:left w:val="single" w:sz="4" w:space="0" w:color="auto"/>
                  </w:tcBorders>
                  <w:vAlign w:val="center"/>
                </w:tcP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1</w:t>
                  </w:r>
                </w:p>
              </w:tc>
              <w:tc>
                <w:tcPr>
                  <w:tcW w:w="102" w:type="dxa"/>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厂房</w:t>
                  </w: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val="restar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aps w:val="0"/>
                      <w:smallCaps w:val="0"/>
                      <w:color w:val="auto"/>
                      <w:spacing w:val="0"/>
                      <w:w w:val="100"/>
                      <w:sz w:val="21"/>
                      <w:szCs w:val="21"/>
                      <w:highlight w:val="none"/>
                    </w:rPr>
                    <w:t>选用低噪声设备</w:t>
                  </w:r>
                  <w:r>
                    <w:rPr>
                      <w:rFonts w:ascii="Times New Roman" w:eastAsia="宋体" w:cs="Times New Roman" w:hAnsi="Times New Roman"/>
                      <w:caps w:val="0"/>
                      <w:smallCaps w:val="0"/>
                      <w:color w:val="auto"/>
                      <w:spacing w:val="0"/>
                      <w:w w:val="100"/>
                      <w:sz w:val="21"/>
                      <w:szCs w:val="21"/>
                      <w:lang w:eastAsia="zh-CN"/>
                      <w:highlight w:val="none"/>
                    </w:rPr>
                    <w:t>，</w:t>
                  </w:r>
                  <w:r>
                    <w:rPr>
                      <w:rFonts w:ascii="Times New Roman" w:eastAsia="宋体" w:cs="Times New Roman" w:hAnsi="Times New Roman"/>
                      <w:caps w:val="0"/>
                      <w:smallCaps w:val="0"/>
                      <w:color w:val="auto"/>
                      <w:spacing w:val="0"/>
                      <w:w w:val="100"/>
                      <w:sz w:val="21"/>
                      <w:szCs w:val="21"/>
                      <w:highlight w:val="none"/>
                    </w:rPr>
                    <w:t>基础减振</w:t>
                  </w:r>
                  <w:r>
                    <w:rPr>
                      <w:rFonts w:ascii="Times New Roman" w:eastAsia="宋体" w:cs="Times New Roman" w:hAnsi="Times New Roman"/>
                      <w:caps w:val="0"/>
                      <w:smallCaps w:val="0"/>
                      <w:color w:val="auto"/>
                      <w:spacing w:val="0"/>
                      <w:w w:val="100"/>
                      <w:sz w:val="21"/>
                      <w:szCs w:val="21"/>
                      <w:lang w:eastAsia="zh-CN"/>
                      <w:highlight w:val="none"/>
                    </w:rPr>
                    <w:t>，</w:t>
                  </w:r>
                  <w:r>
                    <w:rPr>
                      <w:rFonts w:ascii="Times New Roman" w:eastAsia="宋体" w:cs="Times New Roman" w:hAnsi="Times New Roman"/>
                      <w:caps w:val="0"/>
                      <w:smallCaps w:val="0"/>
                      <w:color w:val="auto"/>
                      <w:spacing w:val="0"/>
                      <w:w w:val="100"/>
                      <w:sz w:val="21"/>
                      <w:szCs w:val="21"/>
                      <w:highlight w:val="none"/>
                    </w:rPr>
                    <w:t>车间隔声等措施</w:t>
                  </w: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2"/>
                      <w:sz w:val="21"/>
                      <w:szCs w:val="21"/>
                      <w:lang w:val="en-US" w:eastAsia="zh-CN" w:bidi="ar-SA"/>
                      <w:highlight w:val="none"/>
                    </w:rPr>
                  </w:pPr>
                </w:p>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highlight w:val="none"/>
                    </w:rPr>
                  </w:p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35.33</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14.6</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2.3</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66.8</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40.8</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2</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35.66</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12.79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4.14</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66.5</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40.5</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3</w:t>
                  </w:r>
                </w:p>
              </w:tc>
              <w:tc>
                <w:tcPr>
                  <w:tcW w:w="102" w:type="dxa"/>
                  <w:vMerge/>
                  <w:tcBorders>
                    <w:left w:val="single" w:sz="4" w:space="0" w:color="auto"/>
                  </w:tcBorders>
                  <w:vAlign w:val="center"/>
                </w:tcPr>
                <w:p/>
              </w:tc>
              <w:tc>
                <w:tcPr>
                  <w:tcW w:w="168"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sz w:val="21"/>
                      <w:szCs w:val="21"/>
                      <w:lang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35.98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11.07</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66.66</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40.66</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4</w:t>
                  </w:r>
                </w:p>
              </w:tc>
              <w:tc>
                <w:tcPr>
                  <w:tcW w:w="102" w:type="dxa"/>
                  <w:vMerge/>
                  <w:tcBorders>
                    <w:left w:val="single" w:sz="4" w:space="0" w:color="auto"/>
                  </w:tcBorders>
                  <w:vAlign w:val="center"/>
                </w:tcPr>
                <w:p/>
              </w:tc>
              <w:tc>
                <w:tcPr>
                  <w:tcW w:w="168"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36.48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9.59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1.32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67.6</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41.6</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5</w:t>
                  </w:r>
                </w:p>
              </w:tc>
              <w:tc>
                <w:tcPr>
                  <w:tcW w:w="102" w:type="dxa"/>
                  <w:vMerge/>
                  <w:tcBorders>
                    <w:left w:val="single" w:sz="4" w:space="0" w:color="auto"/>
                  </w:tcBorders>
                  <w:vAlign w:val="center"/>
                </w:tcPr>
                <w:p/>
              </w:tc>
              <w:tc>
                <w:tcPr>
                  <w:tcW w:w="168"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aps w:val="0"/>
                      <w:smallCaps w:val="0"/>
                      <w:color w:val="auto"/>
                      <w:spacing w:val="0"/>
                      <w:w w:val="100"/>
                      <w:sz w:val="21"/>
                      <w:szCs w:val="21"/>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32.21</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13.94</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2.65</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66.7</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40.7</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6</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32.62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12.46</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4.16</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66.49</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40.49</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7</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shd w:val="clear" w:color="auto" w:fill="auto"/>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32.95</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10.74</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2.47</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66.75</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40.75</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8</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33.19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8.77</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0.5</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71.58</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45.58</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eastAsia="宋体" w:cs="Times New Roman" w:hAnsi="Times New Roman"/>
                      <w:bCs/>
                      <w:caps w:val="0"/>
                      <w:smallCaps w:val="0"/>
                      <w:color w:val="auto"/>
                      <w:spacing w:val="0"/>
                      <w:w w:val="100"/>
                      <w:kern w:val="0"/>
                      <w:sz w:val="21"/>
                      <w:szCs w:val="21"/>
                      <w:lang w:val="en-US" w:eastAsia="zh-CN" w:bidi="ar-SA"/>
                      <w:highlight w:val="none"/>
                    </w:rPr>
                    <w:t>9</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shd w:val="clear" w:color="auto" w:fill="auto"/>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29.09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14.27</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66.94</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40.94</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10</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29.33</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11.89</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3.62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66.54</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40.54</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11</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29.91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10.08</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1.81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67.06</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41.06</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12</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29.82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7.95</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0.32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74.61</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48.61</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13</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25.64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14.02</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1.92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66.99</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40.99</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14</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26.13</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11.64</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3.37</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66.57</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40.57</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15</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26.54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10.08</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1.81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67.06</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41.06</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16</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注塑机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PD-120T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26.95</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7.86</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0.41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72.85</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46.85</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17</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干燥机</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SCD-160U/80H</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14.82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9.93</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1.66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67.18</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41.18</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18</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干燥箱</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SC202-4YB</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14.57</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11.33</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3.06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66.61</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40.61</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sz w:val="21"/>
                      <w:szCs w:val="21"/>
                      <w:lang w:val="en-US" w:eastAsia="zh-CN"/>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hint="eastAsia"/>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19</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w w:val="100"/>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干燥箱</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w w:val="100"/>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SC202-4YB</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shd w:val="clear" w:color="auto" w:fill="auto"/>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16.88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11.66</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3.39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66.57</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40.57</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eastAsia="宋体"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eastAsia="宋体" w:cs="Times New Roman" w:hAnsi="Times New Roman"/>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20</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干燥箱</w:t>
                  </w:r>
                </w:p>
              </w:tc>
              <w:tc>
                <w:tcPr>
                  <w:tcW w:w="207"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SC202-4YB</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shd w:val="clear" w:color="auto" w:fill="auto"/>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19.94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11.83</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3.53</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66.55</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40.55</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21</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冷却塔</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hint="eastAsia"/>
                      <w:color w:val="auto"/>
                      <w:kern w:val="0"/>
                      <w:sz w:val="21"/>
                      <w:szCs w:val="21"/>
                      <w:lang w:val="en-US" w:eastAsia="zh-CN"/>
                      <w:highlight w:val="none"/>
                    </w:rPr>
                    <w:t>40</w:t>
                  </w:r>
                  <w:r>
                    <w:rPr>
                      <w:rFonts w:ascii="Times New Roman" w:eastAsia="宋体" w:cs="Times New Roman" w:hAnsi="Times New Roman"/>
                      <w:color w:val="auto"/>
                      <w:kern w:val="0"/>
                      <w:sz w:val="21"/>
                      <w:szCs w:val="21"/>
                      <w:highlight w:val="none"/>
                    </w:rPr>
                    <w:t>T</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42.49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11.91</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1.5</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0.44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72.38</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46.38</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22</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冷水机</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lang w:val="en-US" w:eastAsia="zh-CN"/>
                      <w:highlight w:val="none"/>
                    </w:rPr>
                    <w:t>WD-5AC</w:t>
                  </w:r>
                </w:p>
              </w:tc>
              <w:tc>
                <w:tcPr>
                  <w:tcW w:w="132" w:type="dxa"/>
                  <w:tcBorders>
                    <w:left w:val="single" w:sz="4" w:space="0" w:color="auto"/>
                  </w:tcBorders>
                  <w:shd w:val="clear" w:color="auto" w:fill="auto"/>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39.84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11.75</w:t>
                  </w:r>
                </w:p>
              </w:tc>
              <w:tc>
                <w:tcPr>
                  <w:tcW w:w="144"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66.61</w:t>
                  </w:r>
                </w:p>
              </w:tc>
              <w:tc>
                <w:tcPr>
                  <w:tcW w:w="170"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40.61</w:t>
                  </w:r>
                </w:p>
              </w:tc>
              <w:tc>
                <w:tcPr>
                  <w:tcW w:w="10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23</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冷水机</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lang w:val="en-US" w:eastAsia="zh-CN"/>
                      <w:highlight w:val="none"/>
                    </w:rPr>
                    <w:t>WD-5AC</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40.17</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10.43</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2.16</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66.86</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40.86</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24</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color w:val="auto"/>
                      <w:kern w:val="0"/>
                      <w:sz w:val="21"/>
                      <w:szCs w:val="21"/>
                      <w:highlight w:val="none"/>
                    </w:rPr>
                    <w:t>攻丝机</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hint="eastAsia"/>
                      <w:color w:val="auto"/>
                      <w:kern w:val="0"/>
                      <w:sz w:val="21"/>
                      <w:szCs w:val="21"/>
                      <w:lang w:val="en-US" w:eastAsia="zh-CN" w:bidi="ar-SA"/>
                      <w:highlight w:val="none"/>
                    </w:rPr>
                  </w:pPr>
                  <w:r>
                    <w:rPr>
                      <w:rFonts w:ascii="Times New Roman" w:eastAsia="宋体" w:cs="Times New Roman" w:hAnsi="Times New Roman"/>
                      <w:color w:val="auto"/>
                      <w:kern w:val="0"/>
                      <w:sz w:val="21"/>
                      <w:szCs w:val="21"/>
                      <w:lang w:val="en-US" w:eastAsia="zh-CN"/>
                      <w:highlight w:val="none"/>
                    </w:rPr>
                    <w:t>GT1-203</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6.3</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1.97</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66.96</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40.96</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25</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车床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CA6140</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-0.46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5.34</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2.93</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76.64</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50.64</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26</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车床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CA6140</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-0.32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4.44</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3.83</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76.52</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50.52</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27</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铣床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X63</w:t>
                  </w:r>
                  <w:r>
                    <w:rPr>
                      <w:rFonts w:ascii="Times New Roman" w:eastAsia="宋体" w:cs="Times New Roman" w:hAnsi="Times New Roman"/>
                      <w:color w:val="auto"/>
                      <w:kern w:val="0"/>
                      <w:sz w:val="21"/>
                      <w:szCs w:val="21"/>
                      <w:lang w:val="en-US" w:eastAsia="zh-CN"/>
                      <w:highlight w:val="none"/>
                    </w:rPr>
                    <w:t>25</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-0.18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3.62</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4.09</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76.5</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50.5</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28</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cs="Times New Roman" w:hint="eastAsia"/>
                      <w:color w:val="auto"/>
                      <w:kern w:val="2"/>
                      <w:sz w:val="21"/>
                      <w:szCs w:val="21"/>
                      <w:vertAlign w:val="baseline"/>
                      <w:lang w:val="en-US" w:eastAsia="zh-CN" w:bidi="ar-SA"/>
                      <w:highlight w:val="none"/>
                    </w:rPr>
                  </w:pPr>
                  <w:r>
                    <w:rPr>
                      <w:rFonts w:ascii="Times New Roman" w:eastAsia="宋体" w:cs="Times New Roman" w:hAnsi="Times New Roman"/>
                      <w:color w:val="auto"/>
                      <w:kern w:val="0"/>
                      <w:sz w:val="21"/>
                      <w:szCs w:val="21"/>
                      <w:highlight w:val="none"/>
                    </w:rPr>
                    <w:t>铣床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hint="eastAsia"/>
                      <w:color w:val="auto"/>
                      <w:sz w:val="21"/>
                      <w:szCs w:val="21"/>
                      <w:vertAlign w:val="baseline"/>
                      <w:lang w:val="en-US" w:eastAsia="zh-CN"/>
                      <w:highlight w:val="none"/>
                    </w:rPr>
                  </w:pPr>
                  <w:r>
                    <w:rPr>
                      <w:rFonts w:ascii="Times New Roman" w:eastAsia="宋体" w:cs="Times New Roman" w:hAnsi="Times New Roman"/>
                      <w:color w:val="auto"/>
                      <w:kern w:val="0"/>
                      <w:sz w:val="21"/>
                      <w:szCs w:val="21"/>
                      <w:highlight w:val="none"/>
                    </w:rPr>
                    <w:t>X63</w:t>
                  </w:r>
                  <w:r>
                    <w:rPr>
                      <w:rFonts w:ascii="Times New Roman" w:eastAsia="宋体" w:cs="Times New Roman" w:hAnsi="Times New Roman"/>
                      <w:color w:val="auto"/>
                      <w:kern w:val="0"/>
                      <w:sz w:val="21"/>
                      <w:szCs w:val="21"/>
                      <w:lang w:val="en-US" w:eastAsia="zh-CN"/>
                      <w:highlight w:val="none"/>
                    </w:rPr>
                    <w:t>25</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0.51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6.58</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1.69</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77.16</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51.16</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29</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钻床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Z</w:t>
                  </w:r>
                  <w:r>
                    <w:rPr>
                      <w:rFonts w:ascii="Times New Roman" w:eastAsia="宋体" w:cs="Times New Roman" w:hAnsi="Times New Roman"/>
                      <w:color w:val="auto"/>
                      <w:kern w:val="0"/>
                      <w:sz w:val="21"/>
                      <w:szCs w:val="21"/>
                      <w:lang w:val="en-US" w:eastAsia="zh-CN"/>
                      <w:highlight w:val="none"/>
                    </w:rPr>
                    <w:t>516</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0.71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5.82</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2.45</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86.75</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60.75</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30</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钻床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Z</w:t>
                  </w:r>
                  <w:r>
                    <w:rPr>
                      <w:rFonts w:ascii="Times New Roman" w:eastAsia="宋体" w:cs="Times New Roman" w:hAnsi="Times New Roman"/>
                      <w:color w:val="auto"/>
                      <w:kern w:val="0"/>
                      <w:sz w:val="21"/>
                      <w:szCs w:val="21"/>
                      <w:lang w:val="en-US" w:eastAsia="zh-CN"/>
                      <w:highlight w:val="none"/>
                    </w:rPr>
                    <w:t>516</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0.92</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4.86</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3.38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86.57</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60.57</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31</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钻床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Z</w:t>
                  </w:r>
                  <w:r>
                    <w:rPr>
                      <w:rFonts w:ascii="Times New Roman" w:eastAsia="宋体" w:cs="Times New Roman" w:hAnsi="Times New Roman"/>
                      <w:color w:val="auto"/>
                      <w:kern w:val="0"/>
                      <w:sz w:val="21"/>
                      <w:szCs w:val="21"/>
                      <w:lang w:val="en-US" w:eastAsia="zh-CN"/>
                      <w:highlight w:val="none"/>
                    </w:rPr>
                    <w:t>516</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1.26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3.69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2.19</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86.85</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60.85</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32</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磨床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M250</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1.68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6.86</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1.41</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87.47</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61.47</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33</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线切割</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DK77</w:t>
                  </w:r>
                  <w:r>
                    <w:rPr>
                      <w:rFonts w:ascii="Times New Roman" w:eastAsia="宋体" w:cs="Times New Roman" w:hAnsi="Times New Roman"/>
                      <w:color w:val="auto"/>
                      <w:kern w:val="0"/>
                      <w:sz w:val="21"/>
                      <w:szCs w:val="21"/>
                      <w:lang w:val="en-US" w:eastAsia="zh-CN"/>
                      <w:highlight w:val="none"/>
                    </w:rPr>
                    <w:t>35</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5.75</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86.73</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60.73</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34</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气泵</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XR7.5A-8</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80</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2.23</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4.79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3.22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71.59</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45.59</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35</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气泵</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XR7.5A-8</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80</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2.57</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3.82</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2.22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71.84</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45.84</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36</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color w:val="auto"/>
                      <w:sz w:val="21"/>
                      <w:szCs w:val="21"/>
                      <w:lang w:eastAsia="zh-CN"/>
                      <w:highlight w:val="none"/>
                    </w:rPr>
                    <w:t>模具维修设备</w:t>
                  </w:r>
                </w:p>
              </w:tc>
              <w:tc>
                <w:tcPr>
                  <w:tcW w:w="207" w:type="dxa"/>
                  <w:tcBorders>
                    <w:left w:val="single" w:sz="4" w:space="0" w:color="auto"/>
                  </w:tcBorders>
                  <w:shd w:val="clear" w:color="auto" w:fill="auto"/>
                  <w:vAlign w:val="center"/>
                </w:tcPr>
                <w:p>
                  <w:pPr>
                    <w:keepNext w:val="0"/>
                    <w:keepLines w:val="0"/>
                    <w:suppressLineNumbers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color w:val="auto"/>
                      <w:kern w:val="2"/>
                      <w:sz w:val="21"/>
                      <w:szCs w:val="21"/>
                      <w:lang w:val="en-US" w:eastAsia="zh-CN" w:bidi="ar-SA"/>
                      <w:highlight w:val="none"/>
                    </w:rPr>
                    <w:t>ZNC430</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2.99</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1.48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67.38</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41.38</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37</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JC16T</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3.54</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5.75</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2.52</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86.73</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60.73</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38</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JC16T</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3.61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4.79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2.57</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86.72</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60.72</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39</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JC16T</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3.88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3.82</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2.13</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86.88</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60.88</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40</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冲床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lang w:val="en-US" w:eastAsia="zh-CN"/>
                      <w:highlight w:val="none"/>
                    </w:rPr>
                    <w:t>JC16T</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hint="eastAsia"/>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95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-2.11</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6.17</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2.1</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86.89</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60.89</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41</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剪板机</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Q</w:t>
                  </w:r>
                  <w:r>
                    <w:rPr>
                      <w:rFonts w:ascii="Times New Roman" w:eastAsia="宋体" w:cs="Times New Roman" w:hAnsi="Times New Roman"/>
                      <w:color w:val="auto"/>
                      <w:kern w:val="0"/>
                      <w:sz w:val="21"/>
                      <w:szCs w:val="21"/>
                      <w:lang w:val="en-US" w:eastAsia="zh-CN"/>
                      <w:highlight w:val="none"/>
                    </w:rPr>
                    <w:t>11-2X15</w:t>
                  </w:r>
                  <w:r>
                    <w:rPr>
                      <w:rFonts w:ascii="Times New Roman" w:eastAsia="宋体" w:cs="Times New Roman" w:hAnsi="Times New Roman"/>
                      <w:color w:val="auto"/>
                      <w:kern w:val="0"/>
                      <w:sz w:val="21"/>
                      <w:szCs w:val="21"/>
                      <w:highlight w:val="none"/>
                    </w:rPr>
                    <w:t>00</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85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-1.98</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4.99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2.59</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76.71</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50.71</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r>
              <w:trPr>
                <w:trHeight w:val="397"/>
              </w:trPr>
              <w:tc>
                <w:tcPr>
                  <w:tcW w:w="64"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cs="Times New Roman"/>
                      <w:bCs/>
                      <w:caps w:val="0"/>
                      <w:smallCaps w:val="0"/>
                      <w:color w:val="auto"/>
                      <w:spacing w:val="0"/>
                      <w:w w:val="100"/>
                      <w:kern w:val="0"/>
                      <w:sz w:val="21"/>
                      <w:szCs w:val="21"/>
                      <w:lang w:val="en-US" w:eastAsia="zh-CN" w:bidi="ar-SA"/>
                      <w:highlight w:val="none"/>
                    </w:rPr>
                  </w:pPr>
                  <w:r>
                    <w:rPr>
                      <w:rFonts w:ascii="Times New Roman" w:cs="Times New Roman" w:hAnsi="Times New Roman" w:hint="eastAsia"/>
                      <w:bCs/>
                      <w:caps w:val="0"/>
                      <w:smallCaps w:val="0"/>
                      <w:color w:val="auto"/>
                      <w:spacing w:val="0"/>
                      <w:w w:val="100"/>
                      <w:kern w:val="0"/>
                      <w:sz w:val="21"/>
                      <w:szCs w:val="21"/>
                      <w:lang w:val="en-US" w:eastAsia="zh-CN" w:bidi="ar-SA"/>
                      <w:highlight w:val="none"/>
                    </w:rPr>
                    <w:t>42</w:t>
                  </w:r>
                </w:p>
              </w:tc>
              <w:tc>
                <w:tcPr>
                  <w:tcW w:w="102" w:type="dxa"/>
                  <w:vMerge/>
                  <w:tcBorders>
                    <w:left w:val="single" w:sz="4" w:space="0" w:color="auto"/>
                  </w:tcBorders>
                  <w:vAlign w:val="center"/>
                </w:tcPr>
                <w:p/>
              </w:tc>
              <w:tc>
                <w:tcPr>
                  <w:tcW w:w="168" w:type="dxa"/>
                  <w:tcBorders>
                    <w:left w:val="single" w:sz="4" w:space="0" w:color="auto"/>
                  </w:tcBorders>
                  <w:shd w:val="clear" w:color="auto" w:fill="auto"/>
                  <w:vAlign w:val="center"/>
                </w:tcPr>
                <w:p>
                  <w:pPr>
                    <w:keepNext w:val="0"/>
                    <w:keepLines w:val="0"/>
                    <w:suppressLineNumbers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精密逆变电阻焊</w:t>
                  </w:r>
                </w:p>
              </w:tc>
              <w:tc>
                <w:tcPr>
                  <w:tcW w:w="207" w:type="dxa"/>
                  <w:tcBorders>
                    <w:left w:val="single" w:sz="4" w:space="0" w:color="auto"/>
                  </w:tcBorders>
                  <w:shd w:val="clear" w:color="auto" w:fill="auto"/>
                  <w:vAlign w:val="center"/>
                </w:tcPr>
                <w:p>
                  <w:pPr>
                    <w:keepNext w:val="0"/>
                    <w:keepLines w:val="0"/>
                    <w:suppressLineNumbers w:val="0"/>
                    <w:autoSpaceDE w:val="0"/>
                    <w:autoSpaceDN w:val="0"/>
                    <w:spacing w:before="0" w:beforeAutospacing="0" w:after="0" w:afterAutospacing="0" w:line="312" w:lineRule="atLeast"/>
                    <w:ind w:left="0" w:right="0"/>
                    <w:jc w:val="center"/>
                    <w:textAlignment w:val="baseline"/>
                    <w:rPr>
                      <w:rFonts w:ascii="Times New Roman" w:eastAsia="宋体" w:cs="Times New Roman" w:hAnsi="Times New Roman"/>
                      <w:color w:val="auto"/>
                      <w:kern w:val="0"/>
                      <w:szCs w:val="21"/>
                      <w:highlight w:val="none"/>
                    </w:rPr>
                  </w:pPr>
                  <w:r>
                    <w:rPr>
                      <w:rFonts w:ascii="Times New Roman" w:eastAsia="宋体" w:cs="Times New Roman" w:hAnsi="Times New Roman"/>
                      <w:color w:val="auto"/>
                      <w:kern w:val="0"/>
                      <w:sz w:val="21"/>
                      <w:szCs w:val="21"/>
                      <w:highlight w:val="none"/>
                    </w:rPr>
                    <w:t>MFC-007</w:t>
                  </w:r>
                </w:p>
              </w:tc>
              <w:tc>
                <w:tcPr>
                  <w:tcW w:w="132" w:type="dxa"/>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cs="Times New Roman"/>
                      <w:caps w:val="0"/>
                      <w:smallCaps w:val="0"/>
                      <w:color w:val="auto"/>
                      <w:spacing w:val="0"/>
                      <w:w w:val="100"/>
                      <w:kern w:val="2"/>
                      <w:sz w:val="21"/>
                      <w:szCs w:val="21"/>
                      <w:lang w:val="en-US" w:eastAsia="zh-CN" w:bidi="ar-SA"/>
                      <w:highlight w:val="none"/>
                    </w:rPr>
                  </w:pPr>
                  <w:r>
                    <w:rPr>
                      <w:rFonts w:ascii="Times New Roman" w:cs="Times New Roman" w:hAnsi="Times New Roman" w:hint="eastAsia"/>
                      <w:caps w:val="0"/>
                      <w:smallCaps w:val="0"/>
                      <w:color w:val="auto"/>
                      <w:spacing w:val="0"/>
                      <w:w w:val="100"/>
                      <w:kern w:val="2"/>
                      <w:sz w:val="21"/>
                      <w:szCs w:val="21"/>
                      <w:lang w:val="en-US" w:eastAsia="zh-CN" w:bidi="ar-SA"/>
                      <w:highlight w:val="none"/>
                    </w:rPr>
                    <w:t>75</w:t>
                  </w:r>
                </w:p>
              </w:tc>
              <w:tc>
                <w:tcPr>
                  <w:tcW w:w="123" w:type="dxa"/>
                  <w:vMerge/>
                  <w:tcBorders>
                    <w:left w:val="single" w:sz="4" w:space="0" w:color="auto"/>
                  </w:tcBorders>
                  <w:vAlign w:val="center"/>
                </w:tcP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-1.56</w:t>
                  </w:r>
                </w:p>
              </w:tc>
              <w:tc>
                <w:tcPr>
                  <w:tcW w:w="127"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3.89</w:t>
                  </w:r>
                </w:p>
              </w:tc>
              <w:tc>
                <w:tcPr>
                  <w:tcW w:w="144"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0.8</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2.6</w:t>
                  </w:r>
                </w:p>
              </w:tc>
              <w:tc>
                <w:tcPr>
                  <w:tcW w:w="127"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66.71</w:t>
                  </w:r>
                </w:p>
              </w:tc>
              <w:tc>
                <w:tcPr>
                  <w:tcW w:w="170"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20</w:t>
                  </w:r>
                </w:p>
              </w:tc>
              <w:tc>
                <w:tcPr>
                  <w:tcW w:w="138"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w w:val="100"/>
                      <w:kern w:val="2"/>
                      <w:sz w:val="21"/>
                      <w:szCs w:val="21"/>
                      <w:lang w:val="en-US" w:eastAsia="zh-CN"/>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40.71</w:t>
                  </w:r>
                </w:p>
              </w:tc>
              <w:tc>
                <w:tcPr>
                  <w:tcW w:w="102" w:type="dxa"/>
                  <w:tcBorders>
                    <w:left w:val="single" w:sz="4" w:space="0" w:color="auto"/>
                  </w:tcBorders>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w w:val="100"/>
                      <w:kern w:val="2"/>
                      <w:sz w:val="21"/>
                      <w:szCs w:val="21"/>
                      <w:lang w:val="en-US" w:eastAsia="zh-CN"/>
                      <w:highlight w:val="none"/>
                    </w:rPr>
                  </w:pPr>
                  <w:r>
                    <w:rPr>
                      <w:rFonts w:ascii="Times New Roman" w:cs="Times New Roman" w:hAnsi="Times New Roman"/>
                      <w:caps w:val="0"/>
                      <w:smallCaps w:val="0"/>
                      <w:color w:val="auto"/>
                      <w:spacing w:val="0"/>
                      <w:w w:val="100"/>
                      <w:kern w:val="2"/>
                      <w:sz w:val="21"/>
                      <w:szCs w:val="21"/>
                      <w:lang w:val="en-US" w:eastAsia="zh-CN"/>
                      <w:highlight w:val="none"/>
                    </w:rPr>
                    <w:t>1</w:t>
                  </w:r>
                </w:p>
              </w:tc>
              <w:tc>
                <w:tcPr>
                  <w:tcW w:w="139" w:type="dxa"/>
                  <w:tcBorders>
                    <w:left w:val="single" w:sz="4" w:space="0" w:color="auto"/>
                  </w:tcBorders>
                  <w:vAlign w:val="center"/>
                </w:tcPr>
                <w:p>
                  <w:pPr>
                    <w:keepNext w:val="0"/>
                    <w:keepLines w:val="0"/>
                    <w:suppressLineNumbers w:val="0"/>
                    <w:spacing w:before="0" w:beforeAutospacing="0" w:after="0" w:afterAutospacing="0"/>
                    <w:ind w:left="0" w:right="0"/>
                    <w:jc w:val="center"/>
                    <w:rPr>
                      <w:rFonts w:cs="Times New Roman" w:hint="eastAsia"/>
                      <w:caps w:val="0"/>
                      <w:smallCaps w:val="0"/>
                      <w:color w:val="auto"/>
                      <w:spacing w:val="0"/>
                      <w:w w:val="100"/>
                      <w:sz w:val="21"/>
                      <w:szCs w:val="21"/>
                      <w:lang w:val="en-US" w:eastAsia="zh-CN"/>
                      <w:highlight w:val="none"/>
                    </w:rPr>
                  </w:pPr>
                  <w:r>
                    <w:rPr>
                      <w:rFonts w:ascii="Times New Roman" w:cs="Times New Roman" w:hAnsi="Times New Roman" w:hint="eastAsia"/>
                      <w:caps w:val="0"/>
                      <w:smallCaps w:val="0"/>
                      <w:color w:val="auto"/>
                      <w:spacing w:val="0"/>
                      <w:w w:val="100"/>
                      <w:sz w:val="21"/>
                      <w:szCs w:val="21"/>
                      <w:lang w:val="en-US" w:eastAsia="zh-CN"/>
                      <w:highlight w:val="none"/>
                    </w:rPr>
                    <w:t>昼夜</w:t>
                  </w:r>
                </w:p>
              </w:tc>
            </w:tr>
          </w:tbl>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firstLineChars="200" w:firstLine="480"/>
              <w:jc w:val="both"/>
              <w:textAlignment w:val="auto"/>
              <w:rPr>
                <w:rFonts w:ascii="Times New Roman" w:eastAsia="宋体" w:cs="Times New Roman" w:hAnsi="Times New Roman"/>
                <w:b/>
                <w:caps w:val="0"/>
                <w:smallCaps w:val="0"/>
                <w:color w:val="auto"/>
                <w:spacing w:val="0"/>
                <w:lang w:val="en-US" w:eastAsia="zh-CN"/>
                <w:highlight w:val="none"/>
              </w:rPr>
            </w:pPr>
            <w:r>
              <w:rPr>
                <w:rFonts w:ascii="Times New Roman" w:eastAsia="宋体" w:cs="Times New Roman" w:hAnsi="Times New Roman"/>
                <w:b/>
                <w:caps w:val="0"/>
                <w:smallCaps w:val="0"/>
                <w:color w:val="auto"/>
                <w:spacing w:val="0"/>
                <w:sz w:val="24"/>
                <w:szCs w:val="20"/>
                <w:lang w:val="en-US" w:eastAsia="zh-CN"/>
                <w:highlight w:val="none"/>
              </w:rPr>
              <w:t>表4-</w:t>
            </w:r>
            <w:r>
              <w:rPr>
                <w:rFonts w:ascii="Times New Roman" w:cs="Times New Roman" w:hAnsi="Times New Roman" w:hint="eastAsia"/>
                <w:b/>
                <w:caps w:val="0"/>
                <w:smallCaps w:val="0"/>
                <w:color w:val="auto"/>
                <w:spacing w:val="0"/>
                <w:sz w:val="24"/>
                <w:szCs w:val="20"/>
                <w:lang w:val="en-US" w:eastAsia="zh-CN"/>
                <w:highlight w:val="none"/>
              </w:rPr>
              <w:t>10</w:t>
            </w:r>
            <w:r>
              <w:rPr>
                <w:rFonts w:ascii="Times New Roman" w:eastAsia="宋体" w:cs="Times New Roman" w:hAnsi="Times New Roman"/>
                <w:b/>
                <w:caps w:val="0"/>
                <w:smallCaps w:val="0"/>
                <w:color w:val="auto"/>
                <w:spacing w:val="0"/>
                <w:sz w:val="24"/>
                <w:szCs w:val="20"/>
                <w:lang w:val="en-US" w:eastAsia="zh-CN"/>
                <w:highlight w:val="none"/>
              </w:rPr>
              <w:t xml:space="preserve">   项目主要噪声源及控制措施一览表（室外声源，坐标原点：厂区西南角）</w:t>
            </w:r>
          </w:p>
          <w:tbl>
            <w:tblPr>
              <w:jc w:val="center"/>
              <w:tblW w:w="50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621"/>
              <w:gridCol w:w="1746"/>
              <w:gridCol w:w="1123"/>
              <w:gridCol w:w="1992"/>
              <w:gridCol w:w="3503"/>
              <w:gridCol w:w="1050"/>
              <w:gridCol w:w="1050"/>
              <w:gridCol w:w="1054"/>
              <w:gridCol w:w="1203"/>
            </w:tblGrid>
            <w:tr>
              <w:trPr>
                <w:trHeight w:val="20"/>
              </w:trPr>
              <w:tc>
                <w:tcPr>
                  <w:tcW w:w="201"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序号</w:t>
                  </w:r>
                </w:p>
              </w:tc>
              <w:tc>
                <w:tcPr>
                  <w:tcW w:w="664"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声源名称</w:t>
                  </w:r>
                </w:p>
              </w:tc>
              <w:tc>
                <w:tcPr>
                  <w:tcW w:w="407"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1"/>
                      <w:szCs w:val="20"/>
                      <w:lang w:val="en-US" w:eastAsia="zh-CN"/>
                      <w:highlight w:val="none"/>
                    </w:rPr>
                    <w:t>型号</w:t>
                  </w:r>
                </w:p>
              </w:tc>
              <w:tc>
                <w:tcPr>
                  <w:tcW w:w="765"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声源源强</w:t>
                  </w:r>
                </w:p>
              </w:tc>
              <w:tc>
                <w:tcPr>
                  <w:tcW w:w="1387"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声源控制措施</w:t>
                  </w:r>
                </w:p>
              </w:tc>
              <w:tc>
                <w:tcPr>
                  <w:tcW w:w="1133" w:type="pct"/>
                  <w:gridSpan w:val="3"/>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1"/>
                      <w:szCs w:val="20"/>
                      <w:lang w:val="en-US" w:eastAsia="zh-CN"/>
                      <w:highlight w:val="none"/>
                    </w:rPr>
                    <w:t>空间相对位置/m</w:t>
                  </w:r>
                </w:p>
              </w:tc>
              <w:tc>
                <w:tcPr>
                  <w:tcW w:w="440" w:type="pct"/>
                  <w:vMerge w:val="restar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w w:val="90"/>
                      <w:lang w:val="en-US" w:eastAsia="zh-CN"/>
                      <w:highlight w:val="none"/>
                    </w:rPr>
                  </w:pPr>
                  <w:r>
                    <w:rPr>
                      <w:rFonts w:ascii="Times New Roman" w:eastAsia="宋体" w:cs="Times New Roman" w:hAnsi="Times New Roman"/>
                      <w:caps w:val="0"/>
                      <w:smallCaps w:val="0"/>
                      <w:color w:val="auto"/>
                      <w:spacing w:val="0"/>
                      <w:w w:val="90"/>
                      <w:sz w:val="21"/>
                      <w:szCs w:val="20"/>
                      <w:lang w:val="en-US" w:eastAsia="zh-CN"/>
                      <w:highlight w:val="none"/>
                    </w:rPr>
                    <w:t>运行时段/h</w:t>
                  </w:r>
                </w:p>
              </w:tc>
            </w:tr>
            <w:tr>
              <w:trPr>
                <w:trHeight w:val="278"/>
              </w:trPr>
              <w:tc>
                <w:tcPr>
                  <w:tcW w:w="201" w:type="pct"/>
                  <w:vMerge/>
                  <w:vAlign w:val="center"/>
                </w:tcPr>
                <w:p/>
              </w:tc>
              <w:tc>
                <w:tcPr>
                  <w:tcW w:w="664" w:type="pct"/>
                  <w:vMerge/>
                  <w:tcBorders>
                    <w:left w:val="single" w:sz="4" w:space="0" w:color="auto"/>
                  </w:tcBorders>
                  <w:vAlign w:val="center"/>
                </w:tcPr>
                <w:p/>
              </w:tc>
              <w:tc>
                <w:tcPr>
                  <w:tcW w:w="407" w:type="pct"/>
                  <w:vMerge/>
                  <w:tcBorders>
                    <w:left w:val="single" w:sz="4" w:space="0" w:color="auto"/>
                  </w:tcBorders>
                  <w:vAlign w:val="center"/>
                </w:tcPr>
                <w:p/>
              </w:tc>
              <w:tc>
                <w:tcPr>
                  <w:tcW w:w="7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lang w:val="en-US" w:eastAsia="zh-CN"/>
                      <w:highlight w:val="none"/>
                    </w:rPr>
                    <w:t>声功率级</w:t>
                  </w:r>
                  <w:r>
                    <w:rPr>
                      <w:rFonts w:ascii="Times New Roman" w:eastAsia="宋体" w:cs="Times New Roman" w:hAnsi="Times New Roman"/>
                      <w:caps w:val="0"/>
                      <w:smallCaps w:val="0"/>
                      <w:color w:val="auto"/>
                      <w:spacing w:val="0"/>
                      <w:sz w:val="21"/>
                      <w:szCs w:val="20"/>
                      <w:highlight w:val="none"/>
                    </w:rPr>
                    <w:t>/dB(A)</w:t>
                  </w:r>
                </w:p>
              </w:tc>
              <w:tc>
                <w:tcPr>
                  <w:tcW w:w="1387" w:type="pct"/>
                  <w:vMerge/>
                  <w:tcBorders>
                    <w:left w:val="single" w:sz="4" w:space="0" w:color="auto"/>
                  </w:tcBorders>
                  <w:vAlign w:val="center"/>
                </w:tcPr>
                <w:p/>
              </w:tc>
              <w:tc>
                <w:tcPr>
                  <w:tcW w:w="377"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X</w:t>
                  </w:r>
                </w:p>
              </w:tc>
              <w:tc>
                <w:tcPr>
                  <w:tcW w:w="377"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Y</w:t>
                  </w:r>
                </w:p>
              </w:tc>
              <w:tc>
                <w:tcPr>
                  <w:tcW w:w="378"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eastAsia="宋体" w:cs="Times New Roman" w:hAnsi="Times New Roman"/>
                      <w:caps w:val="0"/>
                      <w:smallCaps w:val="0"/>
                      <w:color w:val="auto"/>
                      <w:spacing w:val="0"/>
                      <w:sz w:val="21"/>
                      <w:szCs w:val="20"/>
                      <w:highlight w:val="none"/>
                    </w:rPr>
                    <w:t>Z</w:t>
                  </w:r>
                </w:p>
              </w:tc>
              <w:tc>
                <w:tcPr>
                  <w:tcW w:w="440" w:type="pct"/>
                  <w:vMerge/>
                  <w:tcBorders>
                    <w:left w:val="single" w:sz="4" w:space="0" w:color="auto"/>
                  </w:tcBorders>
                  <w:vAlign w:val="center"/>
                </w:tcPr>
                <w:p/>
              </w:tc>
            </w:tr>
            <w:tr>
              <w:trPr>
                <w:trHeight w:val="20"/>
              </w:trPr>
              <w:tc>
                <w:tcPr>
                  <w:tcW w:w="201"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lang w:val="en-US" w:eastAsia="zh-CN"/>
                      <w:highlight w:val="none"/>
                    </w:rPr>
                  </w:pPr>
                  <w:r>
                    <w:rPr>
                      <w:rFonts w:ascii="Times New Roman" w:eastAsia="宋体" w:cs="Times New Roman" w:hAnsi="Times New Roman"/>
                      <w:caps w:val="0"/>
                      <w:smallCaps w:val="0"/>
                      <w:color w:val="auto"/>
                      <w:spacing w:val="0"/>
                      <w:sz w:val="21"/>
                      <w:szCs w:val="20"/>
                      <w:lang w:val="en-US" w:eastAsia="zh-CN"/>
                      <w:highlight w:val="none"/>
                    </w:rPr>
                    <w:t>1</w:t>
                  </w:r>
                </w:p>
              </w:tc>
              <w:tc>
                <w:tcPr>
                  <w:tcW w:w="664" w:type="pct"/>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eastAsia="宋体" w:cs="Times New Roman" w:hAnsi="Times New Roman"/>
                      <w:caps w:val="0"/>
                      <w:smallCaps w:val="0"/>
                      <w:color w:val="auto"/>
                      <w:spacing w:val="0"/>
                      <w:sz w:val="21"/>
                      <w:szCs w:val="20"/>
                      <w:lang w:val="en-US" w:eastAsia="zh-CN"/>
                      <w:highlight w:val="none"/>
                    </w:rPr>
                    <w:t>风机</w:t>
                  </w:r>
                </w:p>
              </w:tc>
              <w:tc>
                <w:tcPr>
                  <w:tcW w:w="407" w:type="pct"/>
                  <w:tcBorders>
                    <w:left w:val="single" w:sz="4" w:space="0" w:color="auto"/>
                  </w:tcBorders>
                  <w:vAlign w:val="center"/>
                </w:tcPr>
                <w:p>
                  <w:pPr>
                    <w:keepNext w:val="0"/>
                    <w:keepLines w:val="0"/>
                    <w:suppressLineNumbers w:val="0"/>
                    <w:kinsoku w:val="0"/>
                    <w:overflowPunct w:val="0"/>
                    <w:autoSpaceDE w:val="0"/>
                    <w:autoSpaceDN w:val="0"/>
                    <w:adjustRightInd w:val="0"/>
                    <w:snapToGrid w:val="0"/>
                    <w:spacing w:before="0" w:beforeAutospacing="0" w:after="0" w:afterAutospacing="0" w:line="240" w:lineRule="auto"/>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eastAsia="宋体" w:cs="Times New Roman" w:hAnsi="Times New Roman"/>
                      <w:color w:val="auto"/>
                      <w:sz w:val="21"/>
                      <w:szCs w:val="21"/>
                      <w:vertAlign w:val="baseline"/>
                      <w:lang w:val="en-US" w:eastAsia="zh-CN"/>
                      <w:highlight w:val="none"/>
                    </w:rPr>
                    <w:t>-</w:t>
                  </w:r>
                </w:p>
              </w:tc>
              <w:tc>
                <w:tcPr>
                  <w:tcW w:w="765"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bCs/>
                      <w:caps w:val="0"/>
                      <w:smallCaps w:val="0"/>
                      <w:color w:val="auto"/>
                      <w:spacing w:val="0"/>
                      <w:kern w:val="2"/>
                      <w:sz w:val="21"/>
                      <w:szCs w:val="20"/>
                      <w:lang w:val="en-US" w:eastAsia="zh-CN" w:bidi="ar-SA"/>
                      <w:highlight w:val="none"/>
                    </w:rPr>
                  </w:pPr>
                  <w:r>
                    <w:rPr>
                      <w:rFonts w:ascii="Times New Roman" w:eastAsia="宋体" w:cs="Times New Roman" w:hAnsi="Times New Roman"/>
                      <w:caps w:val="0"/>
                      <w:smallCaps w:val="0"/>
                      <w:color w:val="auto"/>
                      <w:spacing w:val="0"/>
                      <w:kern w:val="2"/>
                      <w:sz w:val="21"/>
                      <w:szCs w:val="20"/>
                      <w:lang w:val="en-US" w:eastAsia="zh-CN"/>
                      <w:highlight w:val="none"/>
                    </w:rPr>
                    <w:t>95</w:t>
                  </w:r>
                </w:p>
              </w:tc>
              <w:tc>
                <w:tcPr>
                  <w:tcW w:w="1387"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0"/>
                      <w:lang w:val="en-US" w:eastAsia="zh-CN"/>
                      <w:highlight w:val="none"/>
                    </w:rPr>
                    <w:t>加装隔声罩，</w:t>
                  </w:r>
                  <w:r>
                    <w:rPr>
                      <w:rFonts w:ascii="Times New Roman" w:eastAsia="宋体" w:cs="Times New Roman" w:hAnsi="Times New Roman"/>
                      <w:caps w:val="0"/>
                      <w:smallCaps w:val="0"/>
                      <w:color w:val="auto"/>
                      <w:spacing w:val="0"/>
                      <w:sz w:val="21"/>
                      <w:szCs w:val="20"/>
                      <w:highlight w:val="none"/>
                    </w:rPr>
                    <w:t>选用低噪声设备</w:t>
                  </w:r>
                  <w:r>
                    <w:rPr>
                      <w:rFonts w:ascii="Times New Roman" w:eastAsia="宋体" w:cs="Times New Roman" w:hAnsi="Times New Roman"/>
                      <w:caps w:val="0"/>
                      <w:smallCaps w:val="0"/>
                      <w:color w:val="auto"/>
                      <w:spacing w:val="0"/>
                      <w:sz w:val="21"/>
                      <w:szCs w:val="20"/>
                      <w:lang w:eastAsia="zh-CN"/>
                      <w:highlight w:val="none"/>
                    </w:rPr>
                    <w:t>，</w:t>
                  </w:r>
                  <w:r>
                    <w:rPr>
                      <w:rFonts w:ascii="Times New Roman" w:eastAsia="宋体" w:cs="Times New Roman" w:hAnsi="Times New Roman"/>
                      <w:caps w:val="0"/>
                      <w:smallCaps w:val="0"/>
                      <w:color w:val="auto"/>
                      <w:spacing w:val="0"/>
                      <w:sz w:val="21"/>
                      <w:szCs w:val="20"/>
                      <w:highlight w:val="none"/>
                    </w:rPr>
                    <w:t>基础减振等措施</w:t>
                  </w:r>
                </w:p>
              </w:tc>
              <w:tc>
                <w:tcPr>
                  <w:tcW w:w="251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2"/>
                      <w:sz w:val="21"/>
                      <w:szCs w:val="20"/>
                      <w:lang w:val="en-US" w:eastAsia="zh-CN" w:bidi="ar-SA"/>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31.04</w:t>
                  </w:r>
                </w:p>
              </w:tc>
              <w:tc>
                <w:tcPr>
                  <w:tcW w:w="2517"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caps w:val="0"/>
                      <w:smallCaps w:val="0"/>
                      <w:color w:val="auto"/>
                      <w:spacing w:val="0"/>
                      <w:kern w:val="2"/>
                      <w:sz w:val="21"/>
                      <w:szCs w:val="20"/>
                      <w:lang w:val="en-US" w:eastAsia="zh-CN" w:bidi="ar-SA"/>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15.54</w:t>
                  </w:r>
                </w:p>
              </w:tc>
              <w:tc>
                <w:tcPr>
                  <w:tcW w:w="2530"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0"/>
                      <w:lang w:val="en-US" w:eastAsia="zh-CN" w:bidi="ar-SA"/>
                      <w:highlight w:val="none"/>
                    </w:rPr>
                  </w:pPr>
                  <w:r>
                    <w:rPr>
                      <w:rFonts w:ascii="Times New Roman" w:eastAsia="宋体" w:cs="Times New Roman" w:hAnsi="Times New Roman" w:hint="eastAsia"/>
                      <w:caps w:val="0"/>
                      <w:smallCaps w:val="0"/>
                      <w:color w:val="auto"/>
                      <w:spacing w:val="0"/>
                      <w:w w:val="100"/>
                      <w:kern w:val="2"/>
                      <w:sz w:val="21"/>
                      <w:szCs w:val="21"/>
                      <w:lang w:val="en-US" w:eastAsia="zh-CN"/>
                      <w:highlight w:val="none"/>
                    </w:rPr>
                    <w:t>1.5</w:t>
                  </w:r>
                </w:p>
              </w:tc>
              <w:tc>
                <w:tcPr>
                  <w:tcW w:w="440" w:type="pct"/>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4800</w:t>
                  </w:r>
                </w:p>
              </w:tc>
            </w:tr>
          </w:tbl>
          <w:p>
            <w:pPr>
              <w:pStyle w:val="147"/>
              <w:keepNext w:val="0"/>
              <w:keepLines w:val="0"/>
              <w:suppressLineNumbers w:val="0"/>
              <w:spacing w:before="0" w:beforeAutospacing="0" w:after="0" w:afterAutospacing="0"/>
              <w:ind w:left="0" w:right="0"/>
              <w:jc w:val="both"/>
              <w:rPr>
                <w:rFonts w:cs="Times New Roman" w:hint="eastAsia"/>
                <w:caps w:val="0"/>
                <w:smallCaps w:val="0"/>
                <w:color w:val="auto"/>
                <w:spacing w:val="0"/>
                <w:vertAlign w:val="baseline"/>
                <w:lang w:eastAsia="zh-CN"/>
                <w:highlight w:val="none"/>
              </w:rPr>
            </w:pPr>
          </w:p>
          <w:p>
            <w:pPr>
              <w:pStyle w:val="147"/>
              <w:keepNext w:val="0"/>
              <w:keepLines w:val="0"/>
              <w:suppressLineNumbers w:val="0"/>
              <w:spacing w:before="0" w:beforeAutospacing="0" w:after="0" w:afterAutospacing="0"/>
              <w:ind w:left="0" w:right="0"/>
              <w:jc w:val="both"/>
              <w:rPr>
                <w:rFonts w:cs="Times New Roman" w:hint="eastAsia"/>
                <w:caps w:val="0"/>
                <w:smallCaps w:val="0"/>
                <w:color w:val="auto"/>
                <w:spacing w:val="0"/>
                <w:vertAlign w:val="baseline"/>
                <w:lang w:eastAsia="zh-CN"/>
                <w:highlight w:val="none"/>
              </w:rPr>
            </w:pPr>
          </w:p>
          <w:p>
            <w:pPr>
              <w:pStyle w:val="147"/>
              <w:keepNext w:val="0"/>
              <w:keepLines w:val="0"/>
              <w:suppressLineNumbers w:val="0"/>
              <w:spacing w:before="0" w:beforeAutospacing="0" w:after="0" w:afterAutospacing="0"/>
              <w:ind w:left="0" w:right="0"/>
              <w:jc w:val="both"/>
              <w:rPr>
                <w:rFonts w:ascii="Times New Roman" w:eastAsia="宋体" w:cs="Times New Roman" w:hAnsi="Times New Roman" w:hint="eastAsia"/>
                <w:caps w:val="0"/>
                <w:smallCaps w:val="0"/>
                <w:color w:val="auto"/>
                <w:spacing w:val="0"/>
                <w:vertAlign w:val="baseline"/>
                <w:lang w:eastAsia="zh-CN"/>
                <w:highlight w:val="none"/>
              </w:rPr>
            </w:pPr>
          </w:p>
        </w:tc>
      </w:tr>
    </w:tbl>
    <w:p>
      <w:pPr>
        <w:pStyle w:val="14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p>
    <w:p>
      <w:pPr>
        <w:pStyle w:val="15"/>
        <w:keepNext w:val="0"/>
        <w:keepLines w:val="0"/>
        <w:suppressLineNumbers w:val="0"/>
        <w:spacing w:before="0" w:beforeAutospacing="0" w:after="0" w:afterAutospacing="0"/>
        <w:ind w:left="0" w:right="0"/>
        <w:rPr>
          <w:rFonts w:ascii="Times New Roman" w:cs="Times New Roman" w:hAnsi="Times New Roman"/>
          <w:color w:val="auto"/>
          <w:szCs w:val="20"/>
          <w:highlight w:val="none"/>
        </w:rPr>
        <w:sectPr>
          <w:pgSz w:w="16840" w:h="11907" w:orient="landscape"/>
          <w:pgMar w:top="1800" w:right="1440" w:bottom="1800" w:left="1440" w:header="851" w:footer="992" w:gutter="0"/>
          <w:cols w:num="1" w:space="720"/>
          <w:docGrid w:type="linesAndChars" w:linePitch="319" w:charSpace="0"/>
        </w:sectPr>
      </w:pPr>
    </w:p>
    <w:tbl>
      <w:tblPr>
        <w:jc w:val="left"/>
        <w:tblInd w:w="0" w:type="dx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319"/>
        <w:gridCol w:w="8215"/>
      </w:tblGrid>
      <w:tr>
        <w:trPr>
          <w:trHeight w:val="90"/>
        </w:trPr>
        <w:tc>
          <w:tcPr>
            <w:tcW w:w="187" w:type="pct"/>
            <w:vAlign w:val="center"/>
          </w:tcPr>
          <w:p>
            <w:pPr>
              <w:pStyle w:val="16"/>
              <w:keepNext w:val="0"/>
              <w:keepLines w:val="0"/>
              <w:suppressLineNumbers w:val="0"/>
              <w:spacing w:before="0" w:beforeAutospacing="0" w:after="0" w:afterAutospacing="0"/>
              <w:ind w:left="0" w:right="0"/>
              <w:jc w:val="both"/>
              <w:rPr>
                <w:color w:val="auto"/>
                <w:highlight w:val="none"/>
              </w:rPr>
            </w:pPr>
          </w:p>
        </w:tc>
        <w:tc>
          <w:tcPr>
            <w:tcW w:w="4812" w:type="pct"/>
            <w:vAlign w:val="center"/>
          </w:tcPr>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（2）声环境影响预测</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szCs w:val="32"/>
                <w:highlight w:val="none"/>
              </w:rPr>
            </w:pPr>
            <w:r>
              <w:rPr>
                <w:rFonts w:ascii="Times New Roman" w:cs="Times New Roman" w:hAnsi="Times New Roman"/>
                <w:caps w:val="0"/>
                <w:smallCaps w:val="0"/>
                <w:color w:val="auto"/>
                <w:spacing w:val="0"/>
                <w:sz w:val="24"/>
                <w:szCs w:val="32"/>
                <w:highlight w:val="none"/>
              </w:rPr>
              <w:t>1）预测因子、方位</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①预测因子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等效连续A声级。</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②预测位置</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厂区东、西、南、北厂界作为评价点。</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szCs w:val="32"/>
                <w:highlight w:val="none"/>
              </w:rPr>
            </w:pPr>
            <w:r>
              <w:rPr>
                <w:rFonts w:ascii="Times New Roman" w:cs="Times New Roman" w:hAnsi="Times New Roman"/>
                <w:caps w:val="0"/>
                <w:smallCaps w:val="0"/>
                <w:color w:val="auto"/>
                <w:spacing w:val="0"/>
                <w:sz w:val="24"/>
                <w:szCs w:val="32"/>
                <w:highlight w:val="none"/>
              </w:rPr>
              <w:t>2）预测模式</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本次预测采用的《环境影响评价技术导则  声环境》（HJ2.4-2021）附录B中典型行业噪声预测模型进行预测</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具体公式如下：</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①单个室外点声源在预测点产生的声级计算基本公式</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已知声源的倍频带声功率级(从63Hz到8000Hz标称频带中心频率的8个倍频带)</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预测点位置的倍频带声压级</w:t>
            </w:r>
            <w:r>
              <w:rPr>
                <w:rFonts w:ascii="Times New Roman" w:cs="Times New Roman" w:hAnsi="Times New Roman"/>
                <w:caps w:val="0"/>
                <w:smallCaps w:val="0"/>
                <w:color w:val="auto"/>
                <w:spacing w:val="0"/>
                <w:sz w:val="24"/>
                <w:szCs w:val="20"/>
                <w:highlight w:val="none"/>
              </w:rPr>
              <w:drawing>
                <wp:inline distT="0" distB="0" distL="0" distR="0">
                  <wp:extent cx="292100" cy="167280"/>
                  <wp:effectExtent l="0" t="0" r="0" b="0"/>
                  <wp:docPr id="166" name="图片 166"/>
                  <wp:cNvGraphicFramePr>
                    <a:graphicFrameLocks noChangeAspect="1"/>
                  </wp:cNvGraphicFramePr>
                  <a:graphic>
                    <a:graphicData uri="http://schemas.openxmlformats.org/drawingml/2006/picture">
                      <pic:pic>
                        <pic:nvPicPr>
                          <pic:cNvPr id="188" name="图片 188"/>
                          <pic:cNvPicPr/>
                        </pic:nvPicPr>
                        <pic:blipFill>
                          <a:blip r:embed="rId5"/>
                          <a:stretch>
                            <a:fillRect/>
                          </a:stretch>
                        </pic:blipFill>
                        <pic:spPr>
                          <a:xfrm rot="0">
                            <a:off x="0" y="0"/>
                            <a:ext cx="292100" cy="1672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可按下式计算：</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329055" cy="233679"/>
                  <wp:effectExtent l="0" t="0" r="1" b="0"/>
                  <wp:docPr id="167" name="图片 167"/>
                  <wp:cNvGraphicFramePr>
                    <a:graphicFrameLocks noChangeAspect="1"/>
                  </wp:cNvGraphicFramePr>
                  <a:graphic>
                    <a:graphicData uri="http://schemas.openxmlformats.org/drawingml/2006/picture">
                      <pic:pic>
                        <pic:nvPicPr>
                          <pic:cNvPr id="190" name="图片 190"/>
                          <pic:cNvPicPr/>
                        </pic:nvPicPr>
                        <pic:blipFill>
                          <a:blip r:embed="rId6"/>
                          <a:stretch>
                            <a:fillRect/>
                          </a:stretch>
                        </pic:blipFill>
                        <pic:spPr>
                          <a:xfrm rot="0">
                            <a:off x="0" y="0"/>
                            <a:ext cx="1329055" cy="233679"/>
                          </a:xfrm>
                          <a:prstGeom prst="rect"/>
                          <a:noFill/>
                          <a:ln cmpd="sng" cap="flat">
                            <a:noFill/>
                            <a:prstDash val="solid"/>
                            <a:round/>
                          </a:ln>
                        </pic:spPr>
                      </pic:pic>
                    </a:graphicData>
                  </a:graphic>
                </wp:inline>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105025" cy="233679"/>
                  <wp:effectExtent l="0" t="0" r="1" b="0"/>
                  <wp:docPr id="168" name="图片 168"/>
                  <wp:cNvGraphicFramePr>
                    <a:graphicFrameLocks noChangeAspect="1"/>
                  </wp:cNvGraphicFramePr>
                  <a:graphic>
                    <a:graphicData uri="http://schemas.openxmlformats.org/drawingml/2006/picture">
                      <pic:pic>
                        <pic:nvPicPr>
                          <pic:cNvPr id="192" name="图片 192"/>
                          <pic:cNvPicPr/>
                        </pic:nvPicPr>
                        <pic:blipFill>
                          <a:blip r:embed="rId7"/>
                          <a:stretch>
                            <a:fillRect/>
                          </a:stretch>
                        </pic:blipFill>
                        <pic:spPr>
                          <a:xfrm rot="0">
                            <a:off x="0" y="0"/>
                            <a:ext cx="2105025" cy="233679"/>
                          </a:xfrm>
                          <a:prstGeom prst="rect"/>
                          <a:noFill/>
                          <a:ln cmpd="sng" cap="flat">
                            <a:noFill/>
                            <a:prstDash val="solid"/>
                            <a:round/>
                          </a:ln>
                        </pic:spPr>
                      </pic:pic>
                    </a:graphicData>
                  </a:graphic>
                </wp:inline>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caps w:val="0"/>
                <w:smallCaps w:val="0"/>
                <w:color w:val="auto"/>
                <w:spacing w:val="0"/>
                <w:sz w:val="24"/>
                <w:szCs w:val="20"/>
                <w:highlight w:val="none"/>
              </w:rPr>
              <w:drawing>
                <wp:inline distT="0" distB="0" distL="0" distR="0">
                  <wp:extent cx="393700" cy="233679"/>
                  <wp:effectExtent l="0" t="0" r="1" b="0"/>
                  <wp:docPr id="169" name="图片 169"/>
                  <wp:cNvGraphicFramePr>
                    <a:graphicFrameLocks noChangeAspect="1"/>
                  </wp:cNvGraphicFramePr>
                  <a:graphic>
                    <a:graphicData uri="http://schemas.openxmlformats.org/drawingml/2006/picture">
                      <pic:pic>
                        <pic:nvPicPr>
                          <pic:cNvPr id="194" name="图片 194"/>
                          <pic:cNvPicPr/>
                        </pic:nvPicPr>
                        <pic:blipFill>
                          <a:blip r:embed="rId8"/>
                          <a:stretch>
                            <a:fillRect/>
                          </a:stretch>
                        </pic:blipFill>
                        <pic:spPr>
                          <a:xfrm rot="0">
                            <a:off x="0" y="0"/>
                            <a:ext cx="393700"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——距离声源r处的倍频带声压级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01930" cy="223520"/>
                  <wp:effectExtent l="0" t="0" r="1" b="0"/>
                  <wp:docPr id="170" name="图片 170"/>
                  <wp:cNvGraphicFramePr>
                    <a:graphicFrameLocks noChangeAspect="1"/>
                  </wp:cNvGraphicFramePr>
                  <a:graphic>
                    <a:graphicData uri="http://schemas.openxmlformats.org/drawingml/2006/picture">
                      <pic:pic>
                        <pic:nvPicPr>
                          <pic:cNvPr id="196" name="图片 196"/>
                          <pic:cNvPicPr/>
                        </pic:nvPicPr>
                        <pic:blipFill>
                          <a:blip r:embed="rId9"/>
                          <a:stretch>
                            <a:fillRect/>
                          </a:stretch>
                        </pic:blipFill>
                        <pic:spPr>
                          <a:xfrm rot="0">
                            <a:off x="0" y="0"/>
                            <a:ext cx="201930"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——倍频带声功率级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01930" cy="233679"/>
                  <wp:effectExtent l="0" t="0" r="1" b="0"/>
                  <wp:docPr id="171" name="图片 171"/>
                  <wp:cNvGraphicFramePr>
                    <a:graphicFrameLocks noChangeAspect="1"/>
                  </wp:cNvGraphicFramePr>
                  <a:graphic>
                    <a:graphicData uri="http://schemas.openxmlformats.org/drawingml/2006/picture">
                      <pic:pic>
                        <pic:nvPicPr>
                          <pic:cNvPr id="198" name="图片 198"/>
                          <pic:cNvPicPr/>
                        </pic:nvPicPr>
                        <pic:blipFill>
                          <a:blip r:embed="rId10"/>
                          <a:stretch>
                            <a:fillRect/>
                          </a:stretch>
                        </pic:blipFill>
                        <pic:spPr>
                          <a:xfrm rot="0">
                            <a:off x="0" y="0"/>
                            <a:ext cx="201930"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——指向性校正</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48590" cy="170180"/>
                  <wp:effectExtent l="0" t="0" r="0" b="0"/>
                  <wp:docPr id="172" name="图片 172"/>
                  <wp:cNvGraphicFramePr>
                    <a:graphicFrameLocks noChangeAspect="1"/>
                  </wp:cNvGraphicFramePr>
                  <a:graphic>
                    <a:graphicData uri="http://schemas.openxmlformats.org/drawingml/2006/picture">
                      <pic:pic>
                        <pic:nvPicPr>
                          <pic:cNvPr id="200" name="图片 200"/>
                          <pic:cNvPicPr/>
                        </pic:nvPicPr>
                        <pic:blipFill>
                          <a:blip r:embed="rId11"/>
                          <a:stretch>
                            <a:fillRect/>
                          </a:stretch>
                        </pic:blipFill>
                        <pic:spPr>
                          <a:xfrm rot="0">
                            <a:off x="0" y="0"/>
                            <a:ext cx="1485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66065" cy="223520"/>
                  <wp:effectExtent l="0" t="0" r="1" b="0"/>
                  <wp:docPr id="173" name="图片 173"/>
                  <wp:cNvGraphicFramePr>
                    <a:graphicFrameLocks noChangeAspect="1"/>
                  </wp:cNvGraphicFramePr>
                  <a:graphic>
                    <a:graphicData uri="http://schemas.openxmlformats.org/drawingml/2006/picture">
                      <pic:pic>
                        <pic:nvPicPr>
                          <pic:cNvPr id="202" name="图片 202"/>
                          <pic:cNvPicPr/>
                        </pic:nvPicPr>
                        <pic:blipFill>
                          <a:blip r:embed="rId12"/>
                          <a:stretch>
                            <a:fillRect/>
                          </a:stretch>
                        </pic:blipFill>
                        <pic:spPr>
                          <a:xfrm rot="0">
                            <a:off x="0" y="0"/>
                            <a:ext cx="266065"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——几何发散引起的倍频带衰减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33679" cy="255270"/>
                  <wp:effectExtent l="0" t="0" r="0" b="1"/>
                  <wp:docPr id="174" name="图片 174"/>
                  <wp:cNvGraphicFramePr>
                    <a:graphicFrameLocks noChangeAspect="1"/>
                  </wp:cNvGraphicFramePr>
                  <a:graphic>
                    <a:graphicData uri="http://schemas.openxmlformats.org/drawingml/2006/picture">
                      <pic:pic>
                        <pic:nvPicPr>
                          <pic:cNvPr id="204" name="图片 204"/>
                          <pic:cNvPicPr/>
                        </pic:nvPicPr>
                        <pic:blipFill>
                          <a:blip r:embed="rId13"/>
                          <a:stretch>
                            <a:fillRect/>
                          </a:stretch>
                        </pic:blipFill>
                        <pic:spPr>
                          <a:xfrm rot="0">
                            <a:off x="0" y="0"/>
                            <a:ext cx="233679" cy="25527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——地面效应引起的倍频带衰减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76225" cy="223520"/>
                  <wp:effectExtent l="0" t="0" r="0" b="0"/>
                  <wp:docPr id="175" name="图片 175"/>
                  <wp:cNvGraphicFramePr>
                    <a:graphicFrameLocks noChangeAspect="1"/>
                  </wp:cNvGraphicFramePr>
                  <a:graphic>
                    <a:graphicData uri="http://schemas.openxmlformats.org/drawingml/2006/picture">
                      <pic:pic>
                        <pic:nvPicPr>
                          <pic:cNvPr id="206" name="图片 206"/>
                          <pic:cNvPicPr/>
                        </pic:nvPicPr>
                        <pic:blipFill>
                          <a:blip r:embed="rId14"/>
                          <a:stretch>
                            <a:fillRect/>
                          </a:stretch>
                        </pic:blipFill>
                        <pic:spPr>
                          <a:xfrm rot="0">
                            <a:off x="0" y="0"/>
                            <a:ext cx="276225"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——大气吸收引起的倍频带衰减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76225" cy="223520"/>
                  <wp:effectExtent l="0" t="0" r="0" b="0"/>
                  <wp:docPr id="176" name="图片 176"/>
                  <wp:cNvGraphicFramePr>
                    <a:graphicFrameLocks noChangeAspect="1"/>
                  </wp:cNvGraphicFramePr>
                  <a:graphic>
                    <a:graphicData uri="http://schemas.openxmlformats.org/drawingml/2006/picture">
                      <pic:pic>
                        <pic:nvPicPr>
                          <pic:cNvPr id="208" name="图片 208"/>
                          <pic:cNvPicPr/>
                        </pic:nvPicPr>
                        <pic:blipFill>
                          <a:blip r:embed="rId15"/>
                          <a:stretch>
                            <a:fillRect/>
                          </a:stretch>
                        </pic:blipFill>
                        <pic:spPr>
                          <a:xfrm rot="0">
                            <a:off x="0" y="0"/>
                            <a:ext cx="276225"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——声屏障引起的倍频带衰减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318770" cy="223520"/>
                  <wp:effectExtent l="0" t="0" r="0" b="0"/>
                  <wp:docPr id="177" name="图片 177"/>
                  <wp:cNvGraphicFramePr>
                    <a:graphicFrameLocks noChangeAspect="1"/>
                  </wp:cNvGraphicFramePr>
                  <a:graphic>
                    <a:graphicData uri="http://schemas.openxmlformats.org/drawingml/2006/picture">
                      <pic:pic>
                        <pic:nvPicPr>
                          <pic:cNvPr id="210" name="图片 210"/>
                          <pic:cNvPicPr/>
                        </pic:nvPicPr>
                        <pic:blipFill>
                          <a:blip r:embed="rId16"/>
                          <a:stretch>
                            <a:fillRect/>
                          </a:stretch>
                        </pic:blipFill>
                        <pic:spPr>
                          <a:xfrm rot="0">
                            <a:off x="0" y="0"/>
                            <a:ext cx="318770"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——其它多方面效应引起的倍频带衰减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②室内点声源对厂界噪声预测点贡献值预测模式</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室内声源首先换算为等效室外声源</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再按各类声源模式计算。</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A首先计算出某个室内声源靠近围护结构处的倍频带声压级：</w:t>
            </w:r>
          </w:p>
          <w:p>
            <w:pPr>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szCs w:val="20"/>
                <w:highlight w:val="none"/>
              </w:rPr>
            </w:pP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anchor distT="0" distB="0" distL="0" distR="0" simplePos="0" relativeHeight="4" behindDoc="1" locked="0" layoutInCell="1" hidden="0" allowOverlap="1">
                  <wp:simplePos x="0" y="0"/>
                  <wp:positionH relativeFrom="column">
                    <wp:posOffset>304800</wp:posOffset>
                  </wp:positionH>
                  <wp:positionV relativeFrom="paragraph">
                    <wp:posOffset>-176529</wp:posOffset>
                  </wp:positionV>
                  <wp:extent cx="1701165" cy="393700"/>
                  <wp:effectExtent l="0" t="0" r="13335" b="5715"/>
                  <wp:wrapNone/>
                  <wp:docPr id="178" name="图片 178" descr="说明: 形状&#10;&#10;中度可信度描述已自动生成"/>
                  <wp:cNvGraphicFramePr>
                    <a:graphicFrameLocks noChangeAspect="1"/>
                  </wp:cNvGraphicFramePr>
                  <a:graphic>
                    <a:graphicData uri="http://schemas.openxmlformats.org/drawingml/2006/picture">
                      <pic:pic>
                        <pic:nvPicPr>
                          <pic:cNvPr id="212" name="图片 212"/>
                          <pic:cNvPicPr/>
                        </pic:nvPicPr>
                        <pic:blipFill>
                          <a:blip r:embed="rId17"/>
                          <a:stretch>
                            <a:fillRect/>
                          </a:stretch>
                        </pic:blipFill>
                        <pic:spPr>
                          <a:xfrm rot="0">
                            <a:off x="0" y="0"/>
                            <a:ext cx="1701165" cy="393700"/>
                          </a:xfrm>
                          <a:prstGeom prst="rect"/>
                          <a:noFill/>
                          <a:ln cmpd="sng" cap="flat">
                            <a:noFill/>
                            <a:prstDash val="solid"/>
                            <a:round/>
                          </a:ln>
                        </pic:spPr>
                      </pic:pic>
                    </a:graphicData>
                  </a:graphic>
                </wp:anchor>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caps w:val="0"/>
                <w:smallCaps w:val="0"/>
                <w:color w:val="auto"/>
                <w:spacing w:val="0"/>
                <w:sz w:val="24"/>
                <w:szCs w:val="20"/>
                <w:highlight w:val="none"/>
              </w:rPr>
              <w:drawing>
                <wp:inline distT="0" distB="0" distL="0" distR="0">
                  <wp:extent cx="223520" cy="233679"/>
                  <wp:effectExtent l="0" t="0" r="0" b="0"/>
                  <wp:docPr id="179" name="图片 179"/>
                  <wp:cNvGraphicFramePr>
                    <a:graphicFrameLocks noChangeAspect="1"/>
                  </wp:cNvGraphicFramePr>
                  <a:graphic>
                    <a:graphicData uri="http://schemas.openxmlformats.org/drawingml/2006/picture">
                      <pic:pic>
                        <pic:nvPicPr>
                          <pic:cNvPr id="214" name="图片 214"/>
                          <pic:cNvPicPr/>
                        </pic:nvPicPr>
                        <pic:blipFill>
                          <a:blip r:embed="rId18"/>
                          <a:stretch>
                            <a:fillRect/>
                          </a:stretch>
                        </pic:blipFill>
                        <pic:spPr>
                          <a:xfrm rot="0">
                            <a:off x="0" y="0"/>
                            <a:ext cx="223520"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——室内声源在靠近围护结构处产生的倍频带声压级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01930" cy="223520"/>
                  <wp:effectExtent l="0" t="0" r="1" b="0"/>
                  <wp:docPr id="180" name="图片 180"/>
                  <wp:cNvGraphicFramePr>
                    <a:graphicFrameLocks noChangeAspect="1"/>
                  </wp:cNvGraphicFramePr>
                  <a:graphic>
                    <a:graphicData uri="http://schemas.openxmlformats.org/drawingml/2006/picture">
                      <pic:pic>
                        <pic:nvPicPr>
                          <pic:cNvPr id="215" name="图片 215"/>
                          <pic:cNvPicPr/>
                        </pic:nvPicPr>
                        <pic:blipFill>
                          <a:blip r:embed="rId19"/>
                          <a:stretch>
                            <a:fillRect/>
                          </a:stretch>
                        </pic:blipFill>
                        <pic:spPr>
                          <a:xfrm rot="0">
                            <a:off x="0" y="0"/>
                            <a:ext cx="201930" cy="22352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——声源的倍频带声功率级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16839" cy="127635"/>
                  <wp:effectExtent l="0" t="0" r="1" b="0"/>
                  <wp:docPr id="181" name="图片 181"/>
                  <wp:cNvGraphicFramePr>
                    <a:graphicFrameLocks noChangeAspect="1"/>
                  </wp:cNvGraphicFramePr>
                  <a:graphic>
                    <a:graphicData uri="http://schemas.openxmlformats.org/drawingml/2006/picture">
                      <pic:pic>
                        <pic:nvPicPr>
                          <pic:cNvPr id="217" name="图片 217"/>
                          <pic:cNvPicPr/>
                        </pic:nvPicPr>
                        <pic:blipFill>
                          <a:blip r:embed="rId20"/>
                          <a:stretch>
                            <a:fillRect/>
                          </a:stretch>
                        </pic:blipFill>
                        <pic:spPr>
                          <a:xfrm rot="0">
                            <a:off x="0" y="0"/>
                            <a:ext cx="116839" cy="127635"/>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——声源到靠近围护结构某点处的距离</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m；</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48590" cy="201930"/>
                  <wp:effectExtent l="0" t="0" r="0" b="1"/>
                  <wp:docPr id="182" name="图片 182"/>
                  <wp:cNvGraphicFramePr>
                    <a:graphicFrameLocks noChangeAspect="1"/>
                  </wp:cNvGraphicFramePr>
                  <a:graphic>
                    <a:graphicData uri="http://schemas.openxmlformats.org/drawingml/2006/picture">
                      <pic:pic>
                        <pic:nvPicPr>
                          <pic:cNvPr id="219" name="图片 219"/>
                          <pic:cNvPicPr/>
                        </pic:nvPicPr>
                        <pic:blipFill>
                          <a:blip r:embed="rId21"/>
                          <a:stretch>
                            <a:fillRect/>
                          </a:stretch>
                        </pic:blipFill>
                        <pic:spPr>
                          <a:xfrm rot="0">
                            <a:off x="0" y="0"/>
                            <a:ext cx="148590" cy="20193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——指向性因子；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48590" cy="170180"/>
                  <wp:effectExtent l="0" t="0" r="0" b="0"/>
                  <wp:docPr id="183" name="图片 183"/>
                  <wp:cNvGraphicFramePr>
                    <a:graphicFrameLocks noChangeAspect="1"/>
                  </wp:cNvGraphicFramePr>
                  <a:graphic>
                    <a:graphicData uri="http://schemas.openxmlformats.org/drawingml/2006/picture">
                      <pic:pic>
                        <pic:nvPicPr>
                          <pic:cNvPr id="221" name="图片 221"/>
                          <pic:cNvPicPr/>
                        </pic:nvPicPr>
                        <pic:blipFill>
                          <a:blip r:embed="rId22"/>
                          <a:stretch>
                            <a:fillRect/>
                          </a:stretch>
                        </pic:blipFill>
                        <pic:spPr>
                          <a:xfrm rot="0">
                            <a:off x="0" y="0"/>
                            <a:ext cx="1485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——房间常数</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drawing>
                <wp:inline distT="0" distB="0" distL="0" distR="0">
                  <wp:extent cx="876300" cy="182910"/>
                  <wp:effectExtent l="0" t="0" r="0" b="0"/>
                  <wp:docPr id="184" name="图片 184"/>
                  <wp:cNvGraphicFramePr>
                    <a:graphicFrameLocks noChangeAspect="1"/>
                  </wp:cNvGraphicFramePr>
                  <a:graphic>
                    <a:graphicData uri="http://schemas.openxmlformats.org/drawingml/2006/picture">
                      <pic:pic>
                        <pic:nvPicPr>
                          <pic:cNvPr id="223" name="图片 223"/>
                          <pic:cNvPicPr/>
                        </pic:nvPicPr>
                        <pic:blipFill>
                          <a:blip r:embed="rId23"/>
                          <a:stretch>
                            <a:fillRect/>
                          </a:stretch>
                        </pic:blipFill>
                        <pic:spPr>
                          <a:xfrm rot="0">
                            <a:off x="0" y="0"/>
                            <a:ext cx="876300" cy="18291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drawing>
                <wp:inline distT="0" distB="0" distL="0" distR="0">
                  <wp:extent cx="138429" cy="180975"/>
                  <wp:effectExtent l="0" t="0" r="0" b="0"/>
                  <wp:docPr id="185" name="图片 185"/>
                  <wp:cNvGraphicFramePr>
                    <a:graphicFrameLocks noChangeAspect="1"/>
                  </wp:cNvGraphicFramePr>
                  <a:graphic>
                    <a:graphicData uri="http://schemas.openxmlformats.org/drawingml/2006/picture">
                      <pic:pic>
                        <pic:nvPicPr>
                          <pic:cNvPr id="225" name="图片 225"/>
                          <pic:cNvPicPr/>
                        </pic:nvPicPr>
                        <pic:blipFill>
                          <a:blip r:embed="rId24"/>
                          <a:stretch>
                            <a:fillRect/>
                          </a:stretch>
                        </pic:blipFill>
                        <pic:spPr>
                          <a:xfrm rot="0">
                            <a:off x="0" y="0"/>
                            <a:ext cx="138429" cy="180975"/>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为房间内表面面积</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m</w:t>
            </w:r>
            <w:r>
              <w:rPr>
                <w:rFonts w:ascii="Times New Roman" w:cs="Times New Roman" w:hAnsi="Times New Roman"/>
                <w:caps w:val="0"/>
                <w:smallCaps w:val="0"/>
                <w:color w:val="auto"/>
                <w:spacing w:val="0"/>
                <w:sz w:val="24"/>
                <w:szCs w:val="20"/>
                <w:vertAlign w:val="superscript"/>
                <w:highlight w:val="none"/>
              </w:rPr>
              <w:t>2</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drawing>
                <wp:inline distT="0" distB="0" distL="0" distR="0">
                  <wp:extent cx="148590" cy="138429"/>
                  <wp:effectExtent l="0" t="0" r="1" b="0"/>
                  <wp:docPr id="186" name="图片 186"/>
                  <wp:cNvGraphicFramePr>
                    <a:graphicFrameLocks noChangeAspect="1"/>
                  </wp:cNvGraphicFramePr>
                  <a:graphic>
                    <a:graphicData uri="http://schemas.openxmlformats.org/drawingml/2006/picture">
                      <pic:pic>
                        <pic:nvPicPr>
                          <pic:cNvPr id="227" name="图片 227"/>
                          <pic:cNvPicPr/>
                        </pic:nvPicPr>
                        <pic:blipFill>
                          <a:blip r:embed="rId25"/>
                          <a:stretch>
                            <a:fillRect/>
                          </a:stretch>
                        </pic:blipFill>
                        <pic:spPr>
                          <a:xfrm rot="0">
                            <a:off x="0" y="0"/>
                            <a:ext cx="148590" cy="13842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为平均吸声系数。</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B计算出所有室内声源在靠近围护结构处产生的</w:t>
            </w:r>
            <w:r>
              <w:rPr>
                <w:rFonts w:ascii="Times New Roman" w:cs="Times New Roman" w:hAnsi="Times New Roman"/>
                <w:caps w:val="0"/>
                <w:smallCaps w:val="0"/>
                <w:color w:val="auto"/>
                <w:spacing w:val="0"/>
                <w:sz w:val="24"/>
                <w:szCs w:val="20"/>
                <w:highlight w:val="none"/>
              </w:rPr>
              <w:drawing>
                <wp:inline distT="0" distB="0" distL="0" distR="0">
                  <wp:extent cx="85090" cy="170180"/>
                  <wp:effectExtent l="0" t="0" r="1" b="0"/>
                  <wp:docPr id="187" name="图片 187"/>
                  <wp:cNvGraphicFramePr>
                    <a:graphicFrameLocks noChangeAspect="1"/>
                  </wp:cNvGraphicFramePr>
                  <a:graphic>
                    <a:graphicData uri="http://schemas.openxmlformats.org/drawingml/2006/picture">
                      <pic:pic>
                        <pic:nvPicPr>
                          <pic:cNvPr id="229" name="图片 229"/>
                          <pic:cNvPicPr/>
                        </pic:nvPicPr>
                        <pic:blipFill>
                          <a:blip r:embed="rId26"/>
                          <a:stretch>
                            <a:fillRect/>
                          </a:stretch>
                        </pic:blipFill>
                        <pic:spPr>
                          <a:xfrm rot="0">
                            <a:off x="0" y="0"/>
                            <a:ext cx="850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倍频带叠加声压级：</w:t>
            </w:r>
          </w:p>
          <w:p>
            <w:pPr>
              <w:pStyle w:val="43"/>
              <w:keepNext w:val="0"/>
              <w:keepLines w:val="0"/>
              <w:suppressLineNumbers w:val="0"/>
              <w:spacing w:before="0" w:beforeAutospacing="0" w:after="0" w:afterAutospacing="0"/>
              <w:ind w:right="0"/>
              <w:jc w:val="both"/>
              <w:rPr>
                <w:color w:val="auto"/>
                <w:highlight w:val="none"/>
              </w:rPr>
            </w:pP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anchor distT="0" distB="0" distL="0" distR="0" simplePos="0" relativeHeight="2" behindDoc="1" locked="0" layoutInCell="1" hidden="0" allowOverlap="1">
                  <wp:simplePos x="0" y="0"/>
                  <wp:positionH relativeFrom="column">
                    <wp:posOffset>304800</wp:posOffset>
                  </wp:positionH>
                  <wp:positionV relativeFrom="paragraph">
                    <wp:posOffset>-222885</wp:posOffset>
                  </wp:positionV>
                  <wp:extent cx="1658620" cy="446405"/>
                  <wp:effectExtent l="0" t="0" r="0" b="11430"/>
                  <wp:wrapNone/>
                  <wp:docPr id="188" name="图片 188" descr="说明: 形状&#10;&#10;中度可信度描述已自动生成"/>
                  <wp:cNvGraphicFramePr>
                    <a:graphicFrameLocks noChangeAspect="1"/>
                  </wp:cNvGraphicFramePr>
                  <a:graphic>
                    <a:graphicData uri="http://schemas.openxmlformats.org/drawingml/2006/picture">
                      <pic:pic>
                        <pic:nvPicPr>
                          <pic:cNvPr id="231" name="图片 231"/>
                          <pic:cNvPicPr/>
                        </pic:nvPicPr>
                        <pic:blipFill>
                          <a:blip r:embed="rId27"/>
                          <a:stretch>
                            <a:fillRect/>
                          </a:stretch>
                        </pic:blipFill>
                        <pic:spPr>
                          <a:xfrm rot="0">
                            <a:off x="0" y="0"/>
                            <a:ext cx="1658620" cy="446405"/>
                          </a:xfrm>
                          <a:prstGeom prst="rect"/>
                          <a:noFill/>
                          <a:ln cmpd="sng" cap="flat">
                            <a:noFill/>
                            <a:prstDash val="solid"/>
                            <a:round/>
                          </a:ln>
                        </pic:spPr>
                      </pic:pic>
                    </a:graphicData>
                  </a:graphic>
                </wp:anchor>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caps w:val="0"/>
                <w:smallCaps w:val="0"/>
                <w:color w:val="auto"/>
                <w:spacing w:val="0"/>
                <w:sz w:val="24"/>
                <w:szCs w:val="20"/>
                <w:highlight w:val="none"/>
              </w:rPr>
              <w:drawing>
                <wp:inline distT="0" distB="0" distL="0" distR="0">
                  <wp:extent cx="467994" cy="233679"/>
                  <wp:effectExtent l="0" t="0" r="0" b="0"/>
                  <wp:docPr id="189" name="图片 189"/>
                  <wp:cNvGraphicFramePr>
                    <a:graphicFrameLocks noChangeAspect="1"/>
                  </wp:cNvGraphicFramePr>
                  <a:graphic>
                    <a:graphicData uri="http://schemas.openxmlformats.org/drawingml/2006/picture">
                      <pic:pic>
                        <pic:nvPicPr>
                          <pic:cNvPr id="233" name="图片 233"/>
                          <pic:cNvPicPr/>
                        </pic:nvPicPr>
                        <pic:blipFill>
                          <a:blip r:embed="rId28"/>
                          <a:stretch>
                            <a:fillRect/>
                          </a:stretch>
                        </pic:blipFill>
                        <pic:spPr>
                          <a:xfrm rot="0">
                            <a:off x="0" y="0"/>
                            <a:ext cx="467994"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——靠近围护结构处室内N个声源</w:t>
            </w:r>
            <w:r>
              <w:rPr>
                <w:rFonts w:ascii="Times New Roman" w:cs="Times New Roman" w:hAnsi="Times New Roman"/>
                <w:caps w:val="0"/>
                <w:smallCaps w:val="0"/>
                <w:color w:val="auto"/>
                <w:spacing w:val="0"/>
                <w:sz w:val="24"/>
                <w:szCs w:val="20"/>
                <w:highlight w:val="none"/>
              </w:rPr>
              <w:drawing>
                <wp:inline distT="0" distB="0" distL="0" distR="0">
                  <wp:extent cx="85090" cy="170180"/>
                  <wp:effectExtent l="0" t="0" r="1" b="0"/>
                  <wp:docPr id="190" name="图片 190"/>
                  <wp:cNvGraphicFramePr>
                    <a:graphicFrameLocks noChangeAspect="1"/>
                  </wp:cNvGraphicFramePr>
                  <a:graphic>
                    <a:graphicData uri="http://schemas.openxmlformats.org/drawingml/2006/picture">
                      <pic:pic>
                        <pic:nvPicPr>
                          <pic:cNvPr id="234" name="图片 234"/>
                          <pic:cNvPicPr/>
                        </pic:nvPicPr>
                        <pic:blipFill>
                          <a:blip r:embed="rId29"/>
                          <a:stretch>
                            <a:fillRect/>
                          </a:stretch>
                        </pic:blipFill>
                        <pic:spPr>
                          <a:xfrm rot="0">
                            <a:off x="0" y="0"/>
                            <a:ext cx="850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倍频带的叠加声压级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287020" cy="233679"/>
                  <wp:effectExtent l="0" t="0" r="1" b="0"/>
                  <wp:docPr id="191" name="图片 191"/>
                  <wp:cNvGraphicFramePr>
                    <a:graphicFrameLocks noChangeAspect="1"/>
                  </wp:cNvGraphicFramePr>
                  <a:graphic>
                    <a:graphicData uri="http://schemas.openxmlformats.org/drawingml/2006/picture">
                      <pic:pic>
                        <pic:nvPicPr>
                          <pic:cNvPr id="236" name="图片 236"/>
                          <pic:cNvPicPr/>
                        </pic:nvPicPr>
                        <pic:blipFill>
                          <a:blip r:embed="rId30"/>
                          <a:stretch>
                            <a:fillRect/>
                          </a:stretch>
                        </pic:blipFill>
                        <pic:spPr>
                          <a:xfrm rot="0">
                            <a:off x="0" y="0"/>
                            <a:ext cx="287020"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——室内</w:t>
            </w:r>
            <w:r>
              <w:rPr>
                <w:rFonts w:ascii="Times New Roman" w:cs="Times New Roman" w:hAnsi="Times New Roman"/>
                <w:caps w:val="0"/>
                <w:smallCaps w:val="0"/>
                <w:color w:val="auto"/>
                <w:spacing w:val="0"/>
                <w:sz w:val="24"/>
                <w:szCs w:val="20"/>
                <w:highlight w:val="none"/>
              </w:rPr>
              <w:drawing>
                <wp:inline distT="0" distB="0" distL="0" distR="0">
                  <wp:extent cx="127635" cy="191135"/>
                  <wp:effectExtent l="0" t="0" r="1" b="0"/>
                  <wp:docPr id="192" name="图片 192"/>
                  <wp:cNvGraphicFramePr>
                    <a:graphicFrameLocks noChangeAspect="1"/>
                  </wp:cNvGraphicFramePr>
                  <a:graphic>
                    <a:graphicData uri="http://schemas.openxmlformats.org/drawingml/2006/picture">
                      <pic:pic>
                        <pic:nvPicPr>
                          <pic:cNvPr id="238" name="图片 238"/>
                          <pic:cNvPicPr/>
                        </pic:nvPicPr>
                        <pic:blipFill>
                          <a:blip r:embed="rId31"/>
                          <a:stretch>
                            <a:fillRect/>
                          </a:stretch>
                        </pic:blipFill>
                        <pic:spPr>
                          <a:xfrm rot="0">
                            <a:off x="0" y="0"/>
                            <a:ext cx="127635" cy="191135"/>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声源</w:t>
            </w:r>
            <w:r>
              <w:rPr>
                <w:rFonts w:ascii="Times New Roman" w:cs="Times New Roman" w:hAnsi="Times New Roman"/>
                <w:caps w:val="0"/>
                <w:smallCaps w:val="0"/>
                <w:color w:val="auto"/>
                <w:spacing w:val="0"/>
                <w:sz w:val="24"/>
                <w:szCs w:val="20"/>
                <w:highlight w:val="none"/>
              </w:rPr>
              <w:drawing>
                <wp:inline distT="0" distB="0" distL="0" distR="0">
                  <wp:extent cx="85090" cy="170180"/>
                  <wp:effectExtent l="0" t="0" r="0" b="0"/>
                  <wp:docPr id="193" name="图片 193"/>
                  <wp:cNvGraphicFramePr>
                    <a:graphicFrameLocks noChangeAspect="1"/>
                  </wp:cNvGraphicFramePr>
                  <a:graphic>
                    <a:graphicData uri="http://schemas.openxmlformats.org/drawingml/2006/picture">
                      <pic:pic>
                        <pic:nvPicPr>
                          <pic:cNvPr id="239" name="图片 239"/>
                          <pic:cNvPicPr/>
                        </pic:nvPicPr>
                        <pic:blipFill>
                          <a:blip r:embed="rId32"/>
                          <a:stretch>
                            <a:fillRect/>
                          </a:stretch>
                        </pic:blipFill>
                        <pic:spPr>
                          <a:xfrm rot="0">
                            <a:off x="0" y="0"/>
                            <a:ext cx="850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倍频带的声压级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80975" cy="180975"/>
                  <wp:effectExtent l="0" t="0" r="0" b="0"/>
                  <wp:docPr id="194" name="图片 194"/>
                  <wp:cNvGraphicFramePr>
                    <a:graphicFrameLocks noChangeAspect="1"/>
                  </wp:cNvGraphicFramePr>
                  <a:graphic>
                    <a:graphicData uri="http://schemas.openxmlformats.org/drawingml/2006/picture">
                      <pic:pic>
                        <pic:nvPicPr>
                          <pic:cNvPr id="241" name="图片 241"/>
                          <pic:cNvPicPr/>
                        </pic:nvPicPr>
                        <pic:blipFill>
                          <a:blip r:embed="rId33"/>
                          <a:stretch>
                            <a:fillRect/>
                          </a:stretch>
                        </pic:blipFill>
                        <pic:spPr>
                          <a:xfrm rot="0">
                            <a:off x="0" y="0"/>
                            <a:ext cx="180975" cy="180975"/>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——室内声源总数。</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C计算出室外靠近围护结构处的声压级：</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775460" cy="233679"/>
                  <wp:effectExtent l="0" t="0" r="0" b="0"/>
                  <wp:docPr id="195" name="图片 195"/>
                  <wp:cNvGraphicFramePr>
                    <a:graphicFrameLocks noChangeAspect="1"/>
                  </wp:cNvGraphicFramePr>
                  <a:graphic>
                    <a:graphicData uri="http://schemas.openxmlformats.org/drawingml/2006/picture">
                      <pic:pic>
                        <pic:nvPicPr>
                          <pic:cNvPr id="243" name="图片 243"/>
                          <pic:cNvPicPr/>
                        </pic:nvPicPr>
                        <pic:blipFill>
                          <a:blip r:embed="rId34"/>
                          <a:stretch>
                            <a:fillRect/>
                          </a:stretch>
                        </pic:blipFill>
                        <pic:spPr>
                          <a:xfrm rot="0">
                            <a:off x="0" y="0"/>
                            <a:ext cx="1775460" cy="233679"/>
                          </a:xfrm>
                          <a:prstGeom prst="rect"/>
                          <a:noFill/>
                          <a:ln cmpd="sng" cap="flat">
                            <a:noFill/>
                            <a:prstDash val="solid"/>
                            <a:round/>
                          </a:ln>
                        </pic:spPr>
                      </pic:pic>
                    </a:graphicData>
                  </a:graphic>
                </wp:inline>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caps w:val="0"/>
                <w:smallCaps w:val="0"/>
                <w:color w:val="auto"/>
                <w:spacing w:val="0"/>
                <w:sz w:val="24"/>
                <w:szCs w:val="20"/>
                <w:highlight w:val="none"/>
              </w:rPr>
              <w:drawing>
                <wp:inline distT="0" distB="0" distL="0" distR="0">
                  <wp:extent cx="499745" cy="233679"/>
                  <wp:effectExtent l="0" t="0" r="0" b="0"/>
                  <wp:docPr id="196" name="图片 196"/>
                  <wp:cNvGraphicFramePr>
                    <a:graphicFrameLocks noChangeAspect="1"/>
                  </wp:cNvGraphicFramePr>
                  <a:graphic>
                    <a:graphicData uri="http://schemas.openxmlformats.org/drawingml/2006/picture">
                      <pic:pic>
                        <pic:nvPicPr>
                          <pic:cNvPr id="245" name="图片 245"/>
                          <pic:cNvPicPr/>
                        </pic:nvPicPr>
                        <pic:blipFill>
                          <a:blip r:embed="rId35"/>
                          <a:stretch>
                            <a:fillRect/>
                          </a:stretch>
                        </pic:blipFill>
                        <pic:spPr>
                          <a:xfrm rot="0">
                            <a:off x="0" y="0"/>
                            <a:ext cx="499745" cy="233679"/>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——靠近围护结构处室外N个声源</w:t>
            </w:r>
            <w:r>
              <w:rPr>
                <w:rFonts w:ascii="Times New Roman" w:cs="Times New Roman" w:hAnsi="Times New Roman"/>
                <w:caps w:val="0"/>
                <w:smallCaps w:val="0"/>
                <w:color w:val="auto"/>
                <w:spacing w:val="0"/>
                <w:sz w:val="24"/>
                <w:szCs w:val="20"/>
                <w:highlight w:val="none"/>
              </w:rPr>
              <w:drawing>
                <wp:inline distT="0" distB="0" distL="0" distR="0">
                  <wp:extent cx="85090" cy="170180"/>
                  <wp:effectExtent l="0" t="0" r="1" b="0"/>
                  <wp:docPr id="197" name="图片 197"/>
                  <wp:cNvGraphicFramePr>
                    <a:graphicFrameLocks noChangeAspect="1"/>
                  </wp:cNvGraphicFramePr>
                  <a:graphic>
                    <a:graphicData uri="http://schemas.openxmlformats.org/drawingml/2006/picture">
                      <pic:pic>
                        <pic:nvPicPr>
                          <pic:cNvPr id="246" name="图片 246"/>
                          <pic:cNvPicPr/>
                        </pic:nvPicPr>
                        <pic:blipFill>
                          <a:blip r:embed="rId36"/>
                          <a:stretch>
                            <a:fillRect/>
                          </a:stretch>
                        </pic:blipFill>
                        <pic:spPr>
                          <a:xfrm rot="0">
                            <a:off x="0" y="0"/>
                            <a:ext cx="850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倍频带的叠加声压级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TL</w:t>
            </w:r>
            <w:r>
              <w:rPr>
                <w:rFonts w:ascii="Times New Roman" w:cs="Times New Roman" w:hAnsi="Times New Roman"/>
                <w:i/>
                <w:caps w:val="0"/>
                <w:smallCaps w:val="0"/>
                <w:color w:val="auto"/>
                <w:spacing w:val="0"/>
                <w:sz w:val="24"/>
                <w:szCs w:val="20"/>
                <w:vertAlign w:val="subscript"/>
                <w:highlight w:val="none"/>
              </w:rPr>
              <w:t>i</w:t>
            </w:r>
            <w:r>
              <w:rPr>
                <w:rFonts w:ascii="Times New Roman" w:cs="Times New Roman" w:hAnsi="Times New Roman"/>
                <w:caps w:val="0"/>
                <w:smallCaps w:val="0"/>
                <w:color w:val="auto"/>
                <w:spacing w:val="0"/>
                <w:sz w:val="24"/>
                <w:szCs w:val="20"/>
                <w:highlight w:val="none"/>
              </w:rPr>
              <w:t>——围护结构</w:t>
            </w:r>
            <w:r>
              <w:rPr>
                <w:rFonts w:ascii="Times New Roman" w:cs="Times New Roman" w:hAnsi="Times New Roman"/>
                <w:caps w:val="0"/>
                <w:smallCaps w:val="0"/>
                <w:color w:val="auto"/>
                <w:spacing w:val="0"/>
                <w:sz w:val="24"/>
                <w:szCs w:val="20"/>
                <w:highlight w:val="none"/>
              </w:rPr>
              <w:drawing>
                <wp:inline distT="0" distB="0" distL="0" distR="0">
                  <wp:extent cx="85090" cy="170180"/>
                  <wp:effectExtent l="0" t="0" r="0" b="0"/>
                  <wp:docPr id="198" name="图片 198"/>
                  <wp:cNvGraphicFramePr>
                    <a:graphicFrameLocks noChangeAspect="1"/>
                  </wp:cNvGraphicFramePr>
                  <a:graphic>
                    <a:graphicData uri="http://schemas.openxmlformats.org/drawingml/2006/picture">
                      <pic:pic>
                        <pic:nvPicPr>
                          <pic:cNvPr id="247" name="图片 247"/>
                          <pic:cNvPicPr/>
                        </pic:nvPicPr>
                        <pic:blipFill>
                          <a:blip r:embed="rId37"/>
                          <a:stretch>
                            <a:fillRect/>
                          </a:stretch>
                        </pic:blipFill>
                        <pic:spPr>
                          <a:xfrm rot="0">
                            <a:off x="0" y="0"/>
                            <a:ext cx="85090" cy="170180"/>
                          </a:xfrm>
                          <a:prstGeom prst="rect"/>
                          <a:noFill/>
                          <a:ln cmpd="sng" cap="flat">
                            <a:noFill/>
                            <a:prstDash val="solid"/>
                            <a:round/>
                          </a:ln>
                        </pic:spPr>
                      </pic:pic>
                    </a:graphicData>
                  </a:graphic>
                </wp:inline>
              </w:drawing>
            </w:r>
            <w:r>
              <w:rPr>
                <w:rFonts w:ascii="Times New Roman" w:cs="Times New Roman" w:hAnsi="Times New Roman"/>
                <w:caps w:val="0"/>
                <w:smallCaps w:val="0"/>
                <w:color w:val="auto"/>
                <w:spacing w:val="0"/>
                <w:sz w:val="24"/>
                <w:szCs w:val="20"/>
                <w:highlight w:val="none"/>
              </w:rPr>
              <w:t>倍频带的隔声量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D将室外声源的声压级和透过面积换算成等效的室外声源</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计算出中心位置位于透声面积(S)处的等效声源的倍频带声功率级。</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inline distT="0" distB="0" distL="0" distR="0">
                  <wp:extent cx="1339850" cy="233938"/>
                  <wp:effectExtent l="0" t="0" r="0" b="0"/>
                  <wp:docPr id="199" name="图片 199"/>
                  <wp:cNvGraphicFramePr>
                    <a:graphicFrameLocks noChangeAspect="1"/>
                  </wp:cNvGraphicFramePr>
                  <a:graphic>
                    <a:graphicData uri="http://schemas.openxmlformats.org/drawingml/2006/picture">
                      <pic:pic>
                        <pic:nvPicPr>
                          <pic:cNvPr id="249" name="图片 249"/>
                          <pic:cNvPicPr/>
                        </pic:nvPicPr>
                        <pic:blipFill>
                          <a:blip r:embed="rId38"/>
                          <a:stretch>
                            <a:fillRect/>
                          </a:stretch>
                        </pic:blipFill>
                        <pic:spPr>
                          <a:xfrm rot="0">
                            <a:off x="0" y="0"/>
                            <a:ext cx="1339850" cy="233938"/>
                          </a:xfrm>
                          <a:prstGeom prst="rect"/>
                          <a:noFill/>
                          <a:ln cmpd="sng" cap="flat">
                            <a:noFill/>
                            <a:prstDash val="solid"/>
                            <a:round/>
                          </a:ln>
                        </pic:spPr>
                      </pic:pic>
                    </a:graphicData>
                  </a:graphic>
                </wp:inline>
              </w:drawing>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i/>
                <w:iCs/>
                <w:caps w:val="0"/>
                <w:smallCaps w:val="0"/>
                <w:color w:val="auto"/>
                <w:spacing w:val="0"/>
                <w:sz w:val="24"/>
                <w:szCs w:val="20"/>
                <w:highlight w:val="none"/>
              </w:rPr>
              <w:t>L</w:t>
            </w:r>
            <w:r>
              <w:rPr>
                <w:rFonts w:ascii="Times New Roman" w:cs="Times New Roman" w:hAnsi="Times New Roman"/>
                <w:i/>
                <w:iCs/>
                <w:caps w:val="0"/>
                <w:smallCaps w:val="0"/>
                <w:color w:val="auto"/>
                <w:spacing w:val="0"/>
                <w:sz w:val="14"/>
                <w:szCs w:val="14"/>
                <w:highlight w:val="none"/>
              </w:rPr>
              <w:t xml:space="preserve">w </w:t>
            </w:r>
            <w:r>
              <w:rPr>
                <w:rFonts w:ascii="Times New Roman" w:cs="Times New Roman" w:hAnsi="Times New Roman"/>
                <w:caps w:val="0"/>
                <w:smallCaps w:val="0"/>
                <w:color w:val="auto"/>
                <w:spacing w:val="0"/>
                <w:sz w:val="24"/>
                <w:szCs w:val="20"/>
                <w:highlight w:val="none"/>
              </w:rPr>
              <w:t>——中心位置位于透声面积（</w:t>
            </w:r>
            <w:r>
              <w:rPr>
                <w:rFonts w:ascii="Times New Roman" w:cs="Times New Roman" w:hAnsi="Times New Roman"/>
                <w:i/>
                <w:iCs/>
                <w:caps w:val="0"/>
                <w:smallCaps w:val="0"/>
                <w:color w:val="auto"/>
                <w:spacing w:val="0"/>
                <w:sz w:val="24"/>
                <w:szCs w:val="20"/>
                <w:highlight w:val="none"/>
              </w:rPr>
              <w:t>S</w:t>
            </w:r>
            <w:r>
              <w:rPr>
                <w:rFonts w:ascii="Times New Roman" w:cs="Times New Roman" w:hAnsi="Times New Roman"/>
                <w:caps w:val="0"/>
                <w:smallCaps w:val="0"/>
                <w:color w:val="auto"/>
                <w:spacing w:val="0"/>
                <w:sz w:val="24"/>
                <w:szCs w:val="20"/>
                <w:highlight w:val="none"/>
              </w:rPr>
              <w:t>）处的等效声源的倍频带声功率级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iCs/>
                <w:caps w:val="0"/>
                <w:smallCaps w:val="0"/>
                <w:color w:val="auto"/>
                <w:spacing w:val="0"/>
                <w:sz w:val="24"/>
                <w:szCs w:val="20"/>
                <w:highlight w:val="none"/>
              </w:rPr>
              <w:t>L</w:t>
            </w:r>
            <w:r>
              <w:rPr>
                <w:rFonts w:ascii="Times New Roman" w:cs="Times New Roman" w:hAnsi="Times New Roman"/>
                <w:i/>
                <w:iCs/>
                <w:caps w:val="0"/>
                <w:smallCaps w:val="0"/>
                <w:color w:val="auto"/>
                <w:spacing w:val="0"/>
                <w:sz w:val="14"/>
                <w:szCs w:val="14"/>
                <w:highlight w:val="none"/>
              </w:rPr>
              <w:t>p</w:t>
            </w:r>
            <w:r>
              <w:rPr>
                <w:rFonts w:ascii="Times New Roman" w:cs="Times New Roman" w:hAnsi="Times New Roman"/>
                <w:caps w:val="0"/>
                <w:smallCaps w:val="0"/>
                <w:color w:val="auto"/>
                <w:spacing w:val="0"/>
                <w:sz w:val="14"/>
                <w:szCs w:val="14"/>
                <w:highlight w:val="none"/>
              </w:rPr>
              <w:t>2</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i/>
                <w:iCs/>
                <w:caps w:val="0"/>
                <w:smallCaps w:val="0"/>
                <w:color w:val="auto"/>
                <w:spacing w:val="0"/>
                <w:sz w:val="24"/>
                <w:szCs w:val="20"/>
                <w:highlight w:val="none"/>
              </w:rPr>
              <w:t>T</w:t>
            </w:r>
            <w:r>
              <w:rPr>
                <w:rFonts w:ascii="Times New Roman" w:cs="Times New Roman" w:hAnsi="Times New Roman"/>
                <w:caps w:val="0"/>
                <w:smallCaps w:val="0"/>
                <w:color w:val="auto"/>
                <w:spacing w:val="0"/>
                <w:sz w:val="24"/>
                <w:szCs w:val="20"/>
                <w:highlight w:val="none"/>
              </w:rPr>
              <w:t>)——靠近围护结构处室外声源的声压级</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 xml:space="preserve">dB； </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iCs/>
                <w:caps w:val="0"/>
                <w:smallCaps w:val="0"/>
                <w:color w:val="auto"/>
                <w:spacing w:val="0"/>
                <w:sz w:val="24"/>
                <w:szCs w:val="20"/>
                <w:highlight w:val="none"/>
              </w:rPr>
              <w:t>S</w:t>
            </w:r>
            <w:r>
              <w:rPr>
                <w:rFonts w:ascii="Times New Roman" w:cs="Times New Roman" w:hAnsi="Times New Roman"/>
                <w:caps w:val="0"/>
                <w:smallCaps w:val="0"/>
                <w:color w:val="auto"/>
                <w:spacing w:val="0"/>
                <w:sz w:val="24"/>
                <w:szCs w:val="20"/>
                <w:highlight w:val="none"/>
              </w:rPr>
              <w:t>——透声面积</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m</w:t>
            </w:r>
            <w:r>
              <w:rPr>
                <w:rFonts w:ascii="Times New Roman" w:cs="Times New Roman" w:hAnsi="Times New Roman"/>
                <w:caps w:val="0"/>
                <w:smallCaps w:val="0"/>
                <w:color w:val="auto"/>
                <w:spacing w:val="0"/>
                <w:sz w:val="24"/>
                <w:szCs w:val="20"/>
                <w:vertAlign w:val="superscript"/>
                <w:highlight w:val="none"/>
              </w:rPr>
              <w:t>2</w:t>
            </w:r>
            <w:r>
              <w:rPr>
                <w:rFonts w:ascii="Times New Roman" w:cs="Times New Roman" w:hAnsi="Times New Roman"/>
                <w:caps w:val="0"/>
                <w:smallCaps w:val="0"/>
                <w:color w:val="auto"/>
                <w:spacing w:val="0"/>
                <w:sz w:val="24"/>
                <w:szCs w:val="20"/>
                <w:highlight w:val="none"/>
              </w:rPr>
              <w:t xml:space="preserve">。 </w:t>
            </w:r>
          </w:p>
          <w:p>
            <w:pPr>
              <w:pStyle w:val="137"/>
              <w:keepNext w:val="0"/>
              <w:keepLines w:val="0"/>
              <w:suppressLineNumbers w:val="0"/>
              <w:spacing w:before="0" w:beforeAutospacing="0" w:after="0" w:afterAutospacing="0"/>
              <w:ind w:left="0" w:right="0"/>
              <w:jc w:val="both"/>
              <w:rPr>
                <w:rFonts w:ascii="Times New Roman" w:cs="Times New Roman" w:hAnsi="Times New Roman"/>
                <w:bCs/>
                <w:caps w:val="0"/>
                <w:smallCaps w:val="0"/>
                <w:color w:val="auto"/>
                <w:spacing w:val="0"/>
                <w:szCs w:val="32"/>
                <w:highlight w:val="none"/>
              </w:rPr>
            </w:pPr>
            <w:r>
              <w:rPr>
                <w:rFonts w:ascii="Times New Roman" w:cs="Times New Roman" w:hAnsi="Times New Roman"/>
                <w:caps w:val="0"/>
                <w:smallCaps w:val="0"/>
                <w:color w:val="auto"/>
                <w:spacing w:val="0"/>
                <w:sz w:val="24"/>
                <w:szCs w:val="32"/>
                <w:highlight w:val="none"/>
              </w:rPr>
              <w:t>3）预测步骤</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①计算各室外噪声源和各含噪声源厂房对各预测点噪声贡献值</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设第</w:t>
            </w:r>
            <w:r>
              <w:rPr>
                <w:rFonts w:ascii="Times New Roman" w:cs="Times New Roman" w:hAnsi="Times New Roman"/>
                <w:i/>
                <w:caps w:val="0"/>
                <w:smallCaps w:val="0"/>
                <w:color w:val="auto"/>
                <w:spacing w:val="0"/>
                <w:sz w:val="24"/>
                <w:szCs w:val="20"/>
                <w:highlight w:val="none"/>
              </w:rPr>
              <w:t>i</w:t>
            </w:r>
            <w:r>
              <w:rPr>
                <w:rFonts w:ascii="Times New Roman" w:cs="Times New Roman" w:hAnsi="Times New Roman"/>
                <w:caps w:val="0"/>
                <w:smallCaps w:val="0"/>
                <w:color w:val="auto"/>
                <w:spacing w:val="0"/>
                <w:sz w:val="24"/>
                <w:szCs w:val="20"/>
                <w:highlight w:val="none"/>
              </w:rPr>
              <w:t>个室外声源在预测点产生的A声级为</w:t>
            </w: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Aj</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在T时间内该声源工作时间为</w:t>
            </w:r>
            <w:r>
              <w:rPr>
                <w:rFonts w:ascii="Times New Roman" w:cs="Times New Roman" w:hAnsi="Times New Roman"/>
                <w:i/>
                <w:caps w:val="0"/>
                <w:smallCaps w:val="0"/>
                <w:color w:val="auto"/>
                <w:spacing w:val="0"/>
                <w:sz w:val="24"/>
                <w:szCs w:val="20"/>
                <w:highlight w:val="none"/>
              </w:rPr>
              <w:t>t</w:t>
            </w:r>
            <w:r>
              <w:rPr>
                <w:rFonts w:ascii="Times New Roman" w:cs="Times New Roman" w:hAnsi="Times New Roman"/>
                <w:i/>
                <w:caps w:val="0"/>
                <w:smallCaps w:val="0"/>
                <w:color w:val="auto"/>
                <w:spacing w:val="0"/>
                <w:sz w:val="24"/>
                <w:szCs w:val="20"/>
                <w:vertAlign w:val="subscript"/>
                <w:highlight w:val="none"/>
              </w:rPr>
              <w:t>i</w:t>
            </w:r>
            <w:r>
              <w:rPr>
                <w:rFonts w:ascii="Times New Roman" w:cs="Times New Roman" w:hAnsi="Times New Roman"/>
                <w:caps w:val="0"/>
                <w:smallCaps w:val="0"/>
                <w:color w:val="auto"/>
                <w:spacing w:val="0"/>
                <w:sz w:val="24"/>
                <w:szCs w:val="20"/>
                <w:highlight w:val="none"/>
              </w:rPr>
              <w:t>；第</w:t>
            </w:r>
            <w:r>
              <w:rPr>
                <w:rFonts w:ascii="Times New Roman" w:cs="Times New Roman" w:hAnsi="Times New Roman"/>
                <w:i/>
                <w:caps w:val="0"/>
                <w:smallCaps w:val="0"/>
                <w:color w:val="auto"/>
                <w:spacing w:val="0"/>
                <w:sz w:val="24"/>
                <w:szCs w:val="20"/>
                <w:highlight w:val="none"/>
              </w:rPr>
              <w:t>j</w:t>
            </w:r>
            <w:r>
              <w:rPr>
                <w:rFonts w:ascii="Times New Roman" w:cs="Times New Roman" w:hAnsi="Times New Roman"/>
                <w:caps w:val="0"/>
                <w:smallCaps w:val="0"/>
                <w:color w:val="auto"/>
                <w:spacing w:val="0"/>
                <w:sz w:val="24"/>
                <w:szCs w:val="20"/>
                <w:highlight w:val="none"/>
              </w:rPr>
              <w:t>个等效室外声源在预测点产生的A声级为</w:t>
            </w: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Aj</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在T时间内该声源工作时间为</w:t>
            </w:r>
            <w:r>
              <w:rPr>
                <w:rFonts w:ascii="Times New Roman" w:cs="Times New Roman" w:hAnsi="Times New Roman"/>
                <w:i/>
                <w:caps w:val="0"/>
                <w:smallCaps w:val="0"/>
                <w:color w:val="auto"/>
                <w:spacing w:val="0"/>
                <w:sz w:val="24"/>
                <w:szCs w:val="20"/>
                <w:highlight w:val="none"/>
              </w:rPr>
              <w:t>t</w:t>
            </w:r>
            <w:r>
              <w:rPr>
                <w:rFonts w:ascii="Times New Roman" w:cs="Times New Roman" w:hAnsi="Times New Roman"/>
                <w:i/>
                <w:caps w:val="0"/>
                <w:smallCaps w:val="0"/>
                <w:color w:val="auto"/>
                <w:spacing w:val="0"/>
                <w:sz w:val="24"/>
                <w:szCs w:val="20"/>
                <w:vertAlign w:val="subscript"/>
                <w:highlight w:val="none"/>
              </w:rPr>
              <w:t>j</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则本项目声源对预测点产生的贡献值(</w:t>
            </w: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eqg</w:t>
            </w:r>
            <w:r>
              <w:rPr>
                <w:rFonts w:ascii="Times New Roman" w:cs="Times New Roman" w:hAnsi="Times New Roman"/>
                <w:caps w:val="0"/>
                <w:smallCaps w:val="0"/>
                <w:color w:val="auto"/>
                <w:spacing w:val="0"/>
                <w:sz w:val="24"/>
                <w:szCs w:val="20"/>
                <w:highlight w:val="none"/>
              </w:rPr>
              <w:t>)为</w:t>
            </w:r>
            <w:r>
              <w:rPr>
                <w:rFonts w:ascii="Times New Roman" w:cs="Times New Roman" w:hAnsi="Times New Roman"/>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line="240" w:lineRule="auto"/>
              <w:ind w:left="0" w:right="0"/>
              <w:jc w:val="both"/>
              <w:rPr>
                <w:rFonts w:ascii="Times New Roman" w:cs="Times New Roman" w:hAnsi="Times New Roman"/>
                <w:caps w:val="0"/>
                <w:smallCaps w:val="0"/>
                <w:color w:val="auto"/>
                <w:spacing w:val="0"/>
                <w:kern w:val="0"/>
                <w:highlight w:val="none"/>
              </w:rPr>
            </w:pPr>
            <m:oMathPara>
              <m:oMath>
                <m:sSub>
                  <m:sSubPr>
                    <m:ctrlPr>
                      <w:rPr>
                        <w:rFonts w:ascii="Cambria Math" w:cs="Times New Roman" w:hAnsi="Cambria Math"/>
                        <w:caps w:val="0"/>
                        <w:smallCaps w:val="0"/>
                        <w:color w:val="auto"/>
                        <w:spacing w:val="0"/>
                        <w:kern w:val="0"/>
                      </w:rPr>
                    </m:ctrlPr>
                  </m:sSubPr>
                  <m:e>
                    <m:r>
                      <w:rPr>
                        <w:rFonts w:ascii="Cambria Math" w:cs="Times New Roman" w:hAnsi="Cambria Math"/>
                        <w:caps w:val="0"/>
                        <w:smallCaps w:val="0"/>
                        <w:color w:val="auto"/>
                        <w:spacing w:val="0"/>
                        <w:kern w:val="0"/>
                        <w:sz w:val="24"/>
                        <w:szCs w:val="20"/>
                        <w:highlight w:val="none"/>
                      </w:rPr>
                      <m:t>L</m:t>
                    </m:r>
                  </m:e>
                  <m:sub>
                    <m:r>
                      <w:rPr>
                        <w:rFonts w:ascii="Cambria Math" w:cs="Times New Roman" w:hAnsi="Cambria Math"/>
                        <w:caps w:val="0"/>
                        <w:smallCaps w:val="0"/>
                        <w:color w:val="auto"/>
                        <w:spacing w:val="0"/>
                        <w:kern w:val="0"/>
                        <w:sz w:val="24"/>
                        <w:szCs w:val="20"/>
                        <w:highlight w:val="none"/>
                      </w:rPr>
                      <m:t>eqg</m:t>
                    </m:r>
                  </m:sub>
                </m:sSub>
                <m:r>
                  <w:rPr>
                    <w:rFonts w:ascii="Cambria Math" w:cs="Times New Roman" w:hAnsi="Cambria Math"/>
                    <w:caps w:val="0"/>
                    <w:smallCaps w:val="0"/>
                    <w:color w:val="auto"/>
                    <w:spacing w:val="0"/>
                    <w:kern w:val="0"/>
                    <w:sz w:val="24"/>
                    <w:szCs w:val="20"/>
                    <w:highlight w:val="none"/>
                  </w:rPr>
                  <m:t>=10lg</m:t>
                </m:r>
                <m:d>
                  <m:dPr>
                    <m:begChr m:val="["/>
                    <m:endChr m:val="]"/>
                    <m:ctrlPr>
                      <w:rPr>
                        <w:rFonts w:ascii="Cambria Math" w:cs="Times New Roman" w:hAnsi="Cambria Math"/>
                        <w:caps w:val="0"/>
                        <w:smallCaps w:val="0"/>
                        <w:color w:val="auto"/>
                        <w:spacing w:val="0"/>
                        <w:kern w:val="0"/>
                      </w:rPr>
                    </m:ctrlPr>
                  </m:dPr>
                  <m:e>
                    <m:f>
                      <m:fPr>
                        <m:ctrlPr>
                          <w:rPr>
                            <w:rFonts w:ascii="Cambria Math" w:cs="Times New Roman" w:hAnsi="Cambria Math"/>
                            <w:caps w:val="0"/>
                            <w:smallCaps w:val="0"/>
                            <w:color w:val="auto"/>
                            <w:spacing w:val="0"/>
                            <w:kern w:val="0"/>
                          </w:rPr>
                        </m:ctrlPr>
                      </m:fPr>
                      <m:num>
                        <m:r>
                          <w:rPr>
                            <w:rFonts w:ascii="Cambria Math" w:cs="Times New Roman" w:hAnsi="Cambria Math"/>
                            <w:caps w:val="0"/>
                            <w:smallCaps w:val="0"/>
                            <w:color w:val="auto"/>
                            <w:spacing w:val="0"/>
                            <w:kern w:val="0"/>
                            <w:sz w:val="24"/>
                            <w:szCs w:val="20"/>
                            <w:highlight w:val="none"/>
                          </w:rPr>
                          <m:t>1</m:t>
                        </m:r>
                      </m:num>
                      <m:den>
                        <m:r>
                          <w:rPr>
                            <w:rFonts w:ascii="Cambria Math" w:cs="Times New Roman" w:hAnsi="Cambria Math"/>
                            <w:caps w:val="0"/>
                            <w:smallCaps w:val="0"/>
                            <w:color w:val="auto"/>
                            <w:spacing w:val="0"/>
                            <w:kern w:val="0"/>
                            <w:sz w:val="24"/>
                            <w:szCs w:val="20"/>
                            <w:highlight w:val="none"/>
                          </w:rPr>
                          <m:t>T</m:t>
                        </m:r>
                      </m:den>
                    </m:f>
                    <m:d>
                      <m:dPr>
                        <m:ctrlPr>
                          <w:rPr>
                            <w:rFonts w:ascii="Cambria Math" w:cs="Times New Roman" w:hAnsi="Cambria Math"/>
                            <w:caps w:val="0"/>
                            <w:smallCaps w:val="0"/>
                            <w:color w:val="auto"/>
                            <w:spacing w:val="0"/>
                            <w:kern w:val="0"/>
                          </w:rPr>
                        </m:ctrlPr>
                      </m:dPr>
                      <m:e>
                        <m:nary>
                          <m:naryPr>
                            <m:chr m:val="∑"/>
                            <m:limLoc m:val="undOvr"/>
                            <m:ctrlPr>
                              <w:rPr>
                                <w:rFonts w:ascii="Cambria Math" w:cs="Times New Roman" w:hAnsi="Cambria Math"/>
                                <w:caps w:val="0"/>
                                <w:smallCaps w:val="0"/>
                                <w:color w:val="auto"/>
                                <w:spacing w:val="0"/>
                                <w:kern w:val="0"/>
                              </w:rPr>
                            </m:ctrlPr>
                          </m:naryPr>
                          <m:sub>
                            <m:r>
                              <w:rPr>
                                <w:rFonts w:ascii="Cambria Math" w:cs="Times New Roman" w:hAnsi="Cambria Math"/>
                                <w:caps w:val="0"/>
                                <w:smallCaps w:val="0"/>
                                <w:color w:val="auto"/>
                                <w:spacing w:val="0"/>
                                <w:kern w:val="0"/>
                                <w:sz w:val="24"/>
                                <w:szCs w:val="20"/>
                                <w:highlight w:val="none"/>
                              </w:rPr>
                              <m:t>i=1</m:t>
                            </m:r>
                          </m:sub>
                          <m:sup>
                            <m:argPr>
                              <m:argSz m:val="-1"/>
                            </m:argPr>
                            <m:r>
                              <w:rPr>
                                <w:rFonts w:ascii="Cambria Math" w:cs="Times New Roman" w:hAnsi="Cambria Math"/>
                                <w:caps w:val="0"/>
                                <w:smallCaps w:val="0"/>
                                <w:color w:val="auto"/>
                                <w:spacing w:val="0"/>
                                <w:kern w:val="0"/>
                                <w:sz w:val="24"/>
                                <w:szCs w:val="20"/>
                                <w:highlight w:val="none"/>
                              </w:rPr>
                              <m:t>N</m:t>
                            </m:r>
                          </m:sup>
                          <m:e>
                            <m:sSub>
                              <m:sSubPr>
                                <m:ctrlPr>
                                  <w:rPr>
                                    <w:rFonts w:ascii="Cambria Math" w:cs="Times New Roman" w:hAnsi="Cambria Math"/>
                                    <w:caps w:val="0"/>
                                    <w:smallCaps w:val="0"/>
                                    <w:color w:val="auto"/>
                                    <w:spacing w:val="0"/>
                                    <w:kern w:val="0"/>
                                  </w:rPr>
                                </m:ctrlPr>
                              </m:sSubPr>
                              <m:e>
                                <m:r>
                                  <w:rPr>
                                    <w:rFonts w:ascii="Cambria Math" w:cs="Times New Roman" w:hAnsi="Cambria Math"/>
                                    <w:caps w:val="0"/>
                                    <w:smallCaps w:val="0"/>
                                    <w:color w:val="auto"/>
                                    <w:spacing w:val="0"/>
                                    <w:kern w:val="0"/>
                                    <w:sz w:val="24"/>
                                    <w:szCs w:val="20"/>
                                    <w:highlight w:val="none"/>
                                  </w:rPr>
                                  <m:t>t</m:t>
                                </m:r>
                              </m:e>
                              <m:sub>
                                <m:r>
                                  <w:rPr>
                                    <w:rFonts w:ascii="Cambria Math" w:cs="Times New Roman" w:hAnsi="Cambria Math"/>
                                    <w:caps w:val="0"/>
                                    <w:smallCaps w:val="0"/>
                                    <w:color w:val="auto"/>
                                    <w:spacing w:val="0"/>
                                    <w:kern w:val="0"/>
                                    <w:sz w:val="24"/>
                                    <w:szCs w:val="20"/>
                                    <w:highlight w:val="none"/>
                                  </w:rPr>
                                  <m:t>i</m:t>
                                </m:r>
                              </m:sub>
                            </m:sSub>
                          </m:e>
                        </m:nary>
                        <m:sSup>
                          <m:sSupPr>
                            <m:ctrlPr>
                              <w:rPr>
                                <w:rFonts w:ascii="Cambria Math" w:cs="Times New Roman" w:hAnsi="Cambria Math"/>
                                <w:caps w:val="0"/>
                                <w:smallCaps w:val="0"/>
                                <w:color w:val="auto"/>
                                <w:spacing w:val="0"/>
                                <w:kern w:val="0"/>
                              </w:rPr>
                            </m:ctrlPr>
                          </m:sSupPr>
                          <m:e>
                            <m:r>
                              <w:rPr>
                                <w:rFonts w:ascii="Cambria Math" w:cs="Times New Roman" w:hAnsi="Cambria Math"/>
                                <w:caps w:val="0"/>
                                <w:smallCaps w:val="0"/>
                                <w:color w:val="auto"/>
                                <w:spacing w:val="0"/>
                                <w:kern w:val="0"/>
                                <w:sz w:val="24"/>
                                <w:szCs w:val="20"/>
                                <w:highlight w:val="none"/>
                              </w:rPr>
                              <m:t>10</m:t>
                            </m:r>
                          </m:e>
                          <m:sup>
                            <m:sSub>
                              <m:sSubPr>
                                <m:ctrlPr>
                                  <w:rPr>
                                    <w:rFonts w:ascii="Cambria Math" w:cs="Times New Roman" w:hAnsi="Cambria Math"/>
                                    <w:caps w:val="0"/>
                                    <w:smallCaps w:val="0"/>
                                    <w:color w:val="auto"/>
                                    <w:spacing w:val="0"/>
                                    <w:kern w:val="0"/>
                                  </w:rPr>
                                </m:ctrlPr>
                              </m:sSubPr>
                              <m:e>
                                <m:r>
                                  <w:rPr>
                                    <w:rFonts w:ascii="Cambria Math" w:cs="Times New Roman" w:hAnsi="Cambria Math"/>
                                    <w:caps w:val="0"/>
                                    <w:smallCaps w:val="0"/>
                                    <w:color w:val="auto"/>
                                    <w:spacing w:val="0"/>
                                    <w:kern w:val="0"/>
                                    <w:sz w:val="24"/>
                                    <w:szCs w:val="20"/>
                                    <w:highlight w:val="none"/>
                                  </w:rPr>
                                  <m:t>0.1L</m:t>
                                </m:r>
                              </m:e>
                              <m:sub>
                                <m:r>
                                  <w:rPr>
                                    <w:rFonts w:ascii="Cambria Math" w:cs="Times New Roman" w:hAnsi="Cambria Math"/>
                                    <w:caps w:val="0"/>
                                    <w:smallCaps w:val="0"/>
                                    <w:color w:val="auto"/>
                                    <w:spacing w:val="0"/>
                                    <w:kern w:val="0"/>
                                    <w:sz w:val="24"/>
                                    <w:szCs w:val="20"/>
                                    <w:highlight w:val="none"/>
                                  </w:rPr>
                                  <m:t>Ai</m:t>
                                </m:r>
                              </m:sub>
                            </m:sSub>
                          </m:sup>
                        </m:sSup>
                        <m:r>
                          <w:rPr>
                            <w:rFonts w:ascii="Cambria Math" w:cs="Times New Roman" w:hAnsi="Cambria Math"/>
                            <w:caps w:val="0"/>
                            <w:smallCaps w:val="0"/>
                            <w:color w:val="auto"/>
                            <w:spacing w:val="0"/>
                            <w:kern w:val="0"/>
                            <w:sz w:val="24"/>
                            <w:szCs w:val="20"/>
                            <w:highlight w:val="none"/>
                          </w:rPr>
                          <m:t>+</m:t>
                        </m:r>
                        <m:nary>
                          <m:naryPr>
                            <m:chr m:val="∑"/>
                            <m:limLoc m:val="undOvr"/>
                            <m:ctrlPr>
                              <w:rPr>
                                <w:rFonts w:ascii="Cambria Math" w:cs="Times New Roman" w:hAnsi="Cambria Math"/>
                                <w:caps w:val="0"/>
                                <w:smallCaps w:val="0"/>
                                <w:color w:val="auto"/>
                                <w:spacing w:val="0"/>
                                <w:kern w:val="0"/>
                              </w:rPr>
                            </m:ctrlPr>
                          </m:naryPr>
                          <m:sub>
                            <m:r>
                              <w:rPr>
                                <w:rFonts w:ascii="Cambria Math" w:cs="Times New Roman" w:hAnsi="Cambria Math"/>
                                <w:caps w:val="0"/>
                                <w:smallCaps w:val="0"/>
                                <w:color w:val="auto"/>
                                <w:spacing w:val="0"/>
                                <w:kern w:val="0"/>
                                <w:sz w:val="24"/>
                                <w:szCs w:val="20"/>
                                <w:highlight w:val="none"/>
                              </w:rPr>
                              <m:t>j=1</m:t>
                            </m:r>
                          </m:sub>
                          <m:sup>
                            <m:r>
                              <w:rPr>
                                <w:rFonts w:ascii="Cambria Math" w:cs="Times New Roman" w:hAnsi="Cambria Math"/>
                                <w:caps w:val="0"/>
                                <w:smallCaps w:val="0"/>
                                <w:color w:val="auto"/>
                                <w:spacing w:val="0"/>
                                <w:kern w:val="0"/>
                                <w:sz w:val="24"/>
                                <w:szCs w:val="20"/>
                                <w:highlight w:val="none"/>
                              </w:rPr>
                              <m:t>M</m:t>
                            </m:r>
                          </m:sup>
                          <m:e>
                            <m:sSub>
                              <m:sSubPr>
                                <m:ctrlPr>
                                  <w:rPr>
                                    <w:rFonts w:ascii="Cambria Math" w:cs="Times New Roman" w:hAnsi="Cambria Math"/>
                                    <w:caps w:val="0"/>
                                    <w:smallCaps w:val="0"/>
                                    <w:color w:val="auto"/>
                                    <w:spacing w:val="0"/>
                                    <w:kern w:val="0"/>
                                  </w:rPr>
                                </m:ctrlPr>
                              </m:sSubPr>
                              <m:e>
                                <m:r>
                                  <w:rPr>
                                    <w:rFonts w:ascii="Cambria Math" w:cs="Times New Roman" w:hAnsi="Cambria Math"/>
                                    <w:caps w:val="0"/>
                                    <w:smallCaps w:val="0"/>
                                    <w:color w:val="auto"/>
                                    <w:spacing w:val="0"/>
                                    <w:kern w:val="0"/>
                                    <w:sz w:val="24"/>
                                    <w:szCs w:val="20"/>
                                    <w:highlight w:val="none"/>
                                  </w:rPr>
                                  <m:t>t</m:t>
                                </m:r>
                              </m:e>
                              <m:sub>
                                <m:r>
                                  <w:rPr>
                                    <w:rFonts w:ascii="Cambria Math" w:cs="Times New Roman" w:hAnsi="Cambria Math"/>
                                    <w:caps w:val="0"/>
                                    <w:smallCaps w:val="0"/>
                                    <w:color w:val="auto"/>
                                    <w:spacing w:val="0"/>
                                    <w:kern w:val="0"/>
                                    <w:sz w:val="24"/>
                                    <w:szCs w:val="20"/>
                                    <w:highlight w:val="none"/>
                                  </w:rPr>
                                  <m:t>j</m:t>
                                </m:r>
                              </m:sub>
                            </m:sSub>
                          </m:e>
                        </m:nary>
                        <m:sSup>
                          <m:sSupPr>
                            <m:ctrlPr>
                              <w:rPr>
                                <w:rFonts w:ascii="Cambria Math" w:cs="Times New Roman" w:hAnsi="Cambria Math"/>
                                <w:caps w:val="0"/>
                                <w:smallCaps w:val="0"/>
                                <w:color w:val="auto"/>
                                <w:spacing w:val="0"/>
                                <w:kern w:val="0"/>
                              </w:rPr>
                            </m:ctrlPr>
                          </m:sSupPr>
                          <m:e>
                            <m:r>
                              <w:rPr>
                                <w:rFonts w:ascii="Cambria Math" w:cs="Times New Roman" w:hAnsi="Cambria Math"/>
                                <w:caps w:val="0"/>
                                <w:smallCaps w:val="0"/>
                                <w:color w:val="auto"/>
                                <w:spacing w:val="0"/>
                                <w:kern w:val="0"/>
                                <w:sz w:val="24"/>
                                <w:szCs w:val="20"/>
                                <w:highlight w:val="none"/>
                              </w:rPr>
                              <m:t>10</m:t>
                            </m:r>
                          </m:e>
                          <m:sup>
                            <m:sSub>
                              <m:sSubPr>
                                <m:ctrlPr>
                                  <w:rPr>
                                    <w:rFonts w:ascii="Cambria Math" w:cs="Times New Roman" w:hAnsi="Cambria Math"/>
                                    <w:caps w:val="0"/>
                                    <w:smallCaps w:val="0"/>
                                    <w:color w:val="auto"/>
                                    <w:spacing w:val="0"/>
                                    <w:kern w:val="0"/>
                                  </w:rPr>
                                </m:ctrlPr>
                              </m:sSubPr>
                              <m:e>
                                <m:r>
                                  <w:rPr>
                                    <w:rFonts w:ascii="Cambria Math" w:cs="Times New Roman" w:hAnsi="Cambria Math"/>
                                    <w:caps w:val="0"/>
                                    <w:smallCaps w:val="0"/>
                                    <w:color w:val="auto"/>
                                    <w:spacing w:val="0"/>
                                    <w:kern w:val="0"/>
                                    <w:sz w:val="24"/>
                                    <w:szCs w:val="20"/>
                                    <w:highlight w:val="none"/>
                                  </w:rPr>
                                  <m:t>0.1L</m:t>
                                </m:r>
                              </m:e>
                              <m:sub>
                                <m:r>
                                  <w:rPr>
                                    <w:rFonts w:ascii="Cambria Math" w:cs="Times New Roman" w:hAnsi="Cambria Math"/>
                                    <w:caps w:val="0"/>
                                    <w:smallCaps w:val="0"/>
                                    <w:color w:val="auto"/>
                                    <w:spacing w:val="0"/>
                                    <w:kern w:val="0"/>
                                    <w:sz w:val="24"/>
                                    <w:szCs w:val="20"/>
                                    <w:highlight w:val="none"/>
                                  </w:rPr>
                                  <m:t>Aj</m:t>
                                </m:r>
                              </m:sub>
                            </m:sSub>
                          </m:sup>
                        </m:sSup>
                      </m:e>
                    </m:d>
                  </m:e>
                </m:d>
              </m:oMath>
            </m:oMathPara>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eqg</w:t>
            </w:r>
            <w:r>
              <w:rPr>
                <w:rFonts w:ascii="Times New Roman" w:cs="Times New Roman" w:hAnsi="Times New Roman"/>
                <w:caps w:val="0"/>
                <w:smallCaps w:val="0"/>
                <w:color w:val="auto"/>
                <w:spacing w:val="0"/>
                <w:sz w:val="24"/>
                <w:szCs w:val="20"/>
                <w:highlight w:val="none"/>
              </w:rPr>
              <w:t>——建设项目声源在预测点产生的噪声贡献值</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 xml:space="preserve">dB； </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T</w:t>
            </w:r>
            <w:r>
              <w:rPr>
                <w:rFonts w:ascii="Times New Roman" w:cs="Times New Roman" w:hAnsi="Times New Roman"/>
                <w:caps w:val="0"/>
                <w:smallCaps w:val="0"/>
                <w:color w:val="auto"/>
                <w:spacing w:val="0"/>
                <w:sz w:val="24"/>
                <w:szCs w:val="20"/>
                <w:highlight w:val="none"/>
              </w:rPr>
              <w:t xml:space="preserve"> ——用于计算等效声级的时间</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s；</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N</w:t>
            </w:r>
            <w:r>
              <w:rPr>
                <w:rFonts w:ascii="Times New Roman" w:cs="Times New Roman" w:hAnsi="Times New Roman"/>
                <w:caps w:val="0"/>
                <w:smallCaps w:val="0"/>
                <w:color w:val="auto"/>
                <w:spacing w:val="0"/>
                <w:sz w:val="24"/>
                <w:szCs w:val="20"/>
                <w:highlight w:val="none"/>
              </w:rPr>
              <w:t xml:space="preserve"> ——室外声源个数；</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t</w:t>
            </w:r>
            <w:r>
              <w:rPr>
                <w:rFonts w:ascii="Times New Roman" w:cs="Times New Roman" w:hAnsi="Times New Roman"/>
                <w:i/>
                <w:caps w:val="0"/>
                <w:smallCaps w:val="0"/>
                <w:color w:val="auto"/>
                <w:spacing w:val="0"/>
                <w:sz w:val="24"/>
                <w:szCs w:val="20"/>
                <w:vertAlign w:val="subscript"/>
                <w:highlight w:val="none"/>
              </w:rPr>
              <w:t>i</w:t>
            </w:r>
            <w:r>
              <w:rPr>
                <w:rFonts w:ascii="Times New Roman" w:cs="Times New Roman" w:hAnsi="Times New Roman"/>
                <w:caps w:val="0"/>
                <w:smallCaps w:val="0"/>
                <w:color w:val="auto"/>
                <w:spacing w:val="0"/>
                <w:sz w:val="24"/>
                <w:szCs w:val="20"/>
                <w:highlight w:val="none"/>
              </w:rPr>
              <w:t xml:space="preserve"> ——在 T 时间内i声源工作时间</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s；</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M</w:t>
            </w:r>
            <w:r>
              <w:rPr>
                <w:rFonts w:ascii="Times New Roman" w:cs="Times New Roman" w:hAnsi="Times New Roman"/>
                <w:caps w:val="0"/>
                <w:smallCaps w:val="0"/>
                <w:color w:val="auto"/>
                <w:spacing w:val="0"/>
                <w:sz w:val="24"/>
                <w:szCs w:val="20"/>
                <w:highlight w:val="none"/>
              </w:rPr>
              <w:t xml:space="preserve"> ——等效室外声源个数；</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caps w:val="0"/>
                <w:smallCaps w:val="0"/>
                <w:color w:val="auto"/>
                <w:spacing w:val="0"/>
                <w:lang w:eastAsia="zh-CN"/>
                <w:highlight w:val="none"/>
              </w:rPr>
            </w:pPr>
            <w:r>
              <w:rPr>
                <w:rFonts w:ascii="Times New Roman" w:cs="Times New Roman" w:hAnsi="Times New Roman"/>
                <w:i/>
                <w:caps w:val="0"/>
                <w:smallCaps w:val="0"/>
                <w:color w:val="auto"/>
                <w:spacing w:val="0"/>
                <w:sz w:val="24"/>
                <w:szCs w:val="20"/>
                <w:highlight w:val="none"/>
              </w:rPr>
              <w:t>t</w:t>
            </w:r>
            <w:r>
              <w:rPr>
                <w:rFonts w:ascii="Times New Roman" w:cs="Times New Roman" w:hAnsi="Times New Roman"/>
                <w:i/>
                <w:caps w:val="0"/>
                <w:smallCaps w:val="0"/>
                <w:color w:val="auto"/>
                <w:spacing w:val="0"/>
                <w:sz w:val="24"/>
                <w:szCs w:val="20"/>
                <w:vertAlign w:val="subscript"/>
                <w:highlight w:val="none"/>
              </w:rPr>
              <w:t>j</w:t>
            </w:r>
            <w:r>
              <w:rPr>
                <w:rFonts w:ascii="Times New Roman" w:cs="Times New Roman" w:hAnsi="Times New Roman"/>
                <w:caps w:val="0"/>
                <w:smallCaps w:val="0"/>
                <w:color w:val="auto"/>
                <w:spacing w:val="0"/>
                <w:sz w:val="24"/>
                <w:szCs w:val="20"/>
                <w:highlight w:val="none"/>
              </w:rPr>
              <w:t>——在T时间内j声源工作时间</w:t>
            </w:r>
            <w:r>
              <w:rPr>
                <w:rFonts w:ascii="Times New Roman" w:cs="Times New Roman" w:hAnsi="Times New Roman"/>
                <w:caps w:val="0"/>
                <w:smallCaps w:val="0"/>
                <w:color w:val="auto"/>
                <w:spacing w:val="0"/>
                <w:sz w:val="24"/>
                <w:szCs w:val="20"/>
                <w:lang w:eastAsia="zh-CN"/>
                <w:highlight w:val="none"/>
              </w:rPr>
              <w:t>，</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drawing>
                <wp:anchor distT="0" distB="0" distL="114300" distR="114300" simplePos="0" relativeHeight="158" behindDoc="0" locked="0" layoutInCell="1" hidden="0" allowOverlap="1">
                  <wp:simplePos x="0" y="0"/>
                  <wp:positionH relativeFrom="column">
                    <wp:posOffset>427990</wp:posOffset>
                  </wp:positionH>
                  <wp:positionV relativeFrom="paragraph">
                    <wp:posOffset>433705</wp:posOffset>
                  </wp:positionV>
                  <wp:extent cx="1905000" cy="304800"/>
                  <wp:wrapTopAndBottom/>
                  <wp:docPr id="200" name="图片 200"/>
                  <wp:cNvGraphicFramePr>
                    <a:graphicFrameLocks noChangeAspect="1"/>
                  </wp:cNvGraphicFramePr>
                  <a:graphic>
                    <a:graphicData uri="http://schemas.openxmlformats.org/drawingml/2006/picture">
                      <pic:pic>
                        <pic:nvPicPr>
                          <pic:cNvPr id="251" name="图片 251"/>
                          <pic:cNvPicPr/>
                        </pic:nvPicPr>
                        <pic:blipFill>
                          <a:blip r:embed="rId39"/>
                          <a:stretch>
                            <a:fillRect/>
                          </a:stretch>
                        </pic:blipFill>
                        <pic:spPr>
                          <a:xfrm rot="0">
                            <a:off x="0" y="0"/>
                            <a:ext cx="1905000" cy="304800"/>
                          </a:xfrm>
                          <a:prstGeom prst="rect"/>
                          <a:noFill/>
                          <a:ln cmpd="sng" cap="flat">
                            <a:noFill/>
                            <a:prstDash val="solid"/>
                            <a:round/>
                          </a:ln>
                        </pic:spPr>
                      </pic:pic>
                    </a:graphicData>
                  </a:graphic>
                </wp:anchor>
              </w:drawing>
            </w:r>
            <w:r>
              <w:rPr>
                <w:rFonts w:ascii="Times New Roman" w:cs="Times New Roman" w:hAnsi="Times New Roman"/>
                <w:caps w:val="0"/>
                <w:smallCaps w:val="0"/>
                <w:color w:val="auto"/>
                <w:spacing w:val="0"/>
                <w:sz w:val="24"/>
                <w:szCs w:val="20"/>
                <w:highlight w:val="none"/>
              </w:rPr>
              <w:t>②保护目标噪声预测值计算</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将厂址周边噪声环境保护目标现状监测值与噪声贡献值叠加即得噪声预测值。</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式中：</w:t>
            </w: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eq</w:t>
            </w:r>
            <w:r>
              <w:rPr>
                <w:rFonts w:ascii="Times New Roman" w:cs="Times New Roman" w:hAnsi="Times New Roman"/>
                <w:caps w:val="0"/>
                <w:smallCaps w:val="0"/>
                <w:color w:val="auto"/>
                <w:spacing w:val="0"/>
                <w:sz w:val="24"/>
                <w:szCs w:val="20"/>
                <w:highlight w:val="none"/>
              </w:rPr>
              <w:t>——预测点的噪声预测值</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eqg</w:t>
            </w:r>
            <w:r>
              <w:rPr>
                <w:rFonts w:ascii="Times New Roman" w:cs="Times New Roman" w:hAnsi="Times New Roman"/>
                <w:caps w:val="0"/>
                <w:smallCaps w:val="0"/>
                <w:color w:val="auto"/>
                <w:spacing w:val="0"/>
                <w:sz w:val="24"/>
                <w:szCs w:val="20"/>
                <w:highlight w:val="none"/>
              </w:rPr>
              <w:t>——建设项目声源在预测点的等效声级贡献值</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i/>
                <w:caps w:val="0"/>
                <w:smallCaps w:val="0"/>
                <w:color w:val="auto"/>
                <w:spacing w:val="0"/>
                <w:sz w:val="24"/>
                <w:szCs w:val="20"/>
                <w:highlight w:val="none"/>
              </w:rPr>
              <w:t>L</w:t>
            </w:r>
            <w:r>
              <w:rPr>
                <w:rFonts w:ascii="Times New Roman" w:cs="Times New Roman" w:hAnsi="Times New Roman"/>
                <w:i/>
                <w:caps w:val="0"/>
                <w:smallCaps w:val="0"/>
                <w:color w:val="auto"/>
                <w:spacing w:val="0"/>
                <w:sz w:val="24"/>
                <w:szCs w:val="20"/>
                <w:vertAlign w:val="subscript"/>
                <w:highlight w:val="none"/>
              </w:rPr>
              <w:t>eqb</w:t>
            </w:r>
            <w:r>
              <w:rPr>
                <w:rFonts w:ascii="Times New Roman" w:cs="Times New Roman" w:hAnsi="Times New Roman"/>
                <w:caps w:val="0"/>
                <w:smallCaps w:val="0"/>
                <w:color w:val="auto"/>
                <w:spacing w:val="0"/>
                <w:sz w:val="24"/>
                <w:szCs w:val="20"/>
                <w:highlight w:val="none"/>
              </w:rPr>
              <w:t>——预测点的背景值</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dB。</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本项目50m范围内没有声环境保护目标</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因此仅预测厂界贡献值</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不进行声环境保护目标预测。</w:t>
            </w:r>
          </w:p>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（3）预测结果及分析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各预测点噪声预测结果见表4-</w:t>
            </w:r>
            <w:r>
              <w:rPr>
                <w:rFonts w:ascii="Times New Roman" w:cs="Times New Roman" w:hAnsi="Times New Roman" w:hint="eastAsia"/>
                <w:caps w:val="0"/>
                <w:smallCaps w:val="0"/>
                <w:color w:val="auto"/>
                <w:spacing w:val="0"/>
                <w:sz w:val="24"/>
                <w:szCs w:val="20"/>
                <w:lang w:val="en-US" w:eastAsia="zh-CN"/>
                <w:highlight w:val="none"/>
              </w:rPr>
              <w:t>11</w:t>
            </w:r>
            <w:r>
              <w:rPr>
                <w:rFonts w:ascii="Times New Roman" w:cs="Times New Roman" w:hAnsi="Times New Roman"/>
                <w:caps w:val="0"/>
                <w:smallCaps w:val="0"/>
                <w:color w:val="auto"/>
                <w:spacing w:val="0"/>
                <w:sz w:val="24"/>
                <w:szCs w:val="20"/>
                <w:highlight w:val="none"/>
              </w:rPr>
              <w:t>。</w:t>
            </w:r>
          </w:p>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表4-</w:t>
            </w:r>
            <w:r>
              <w:rPr>
                <w:rFonts w:ascii="Times New Roman" w:cs="Times New Roman" w:hAnsi="Times New Roman" w:hint="eastAsia"/>
                <w:caps w:val="0"/>
                <w:smallCaps w:val="0"/>
                <w:color w:val="auto"/>
                <w:spacing w:val="0"/>
                <w:sz w:val="24"/>
                <w:szCs w:val="20"/>
                <w:lang w:val="en-US" w:eastAsia="zh-CN"/>
                <w:highlight w:val="none"/>
              </w:rPr>
              <w:t>11</w:t>
            </w:r>
            <w:r>
              <w:rPr>
                <w:rFonts w:ascii="Times New Roman" w:cs="Times New Roman" w:hAnsi="Times New Roman"/>
                <w:caps w:val="0"/>
                <w:smallCaps w:val="0"/>
                <w:color w:val="auto"/>
                <w:spacing w:val="0"/>
                <w:sz w:val="24"/>
                <w:szCs w:val="20"/>
                <w:highlight w:val="none"/>
              </w:rPr>
              <w:t xml:space="preserve">    预测点噪声预测结果表单位：dB（A）</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317"/>
              <w:gridCol w:w="1263"/>
              <w:gridCol w:w="1380"/>
              <w:gridCol w:w="1375"/>
              <w:gridCol w:w="1323"/>
              <w:gridCol w:w="1327"/>
            </w:tblGrid>
            <w:tr>
              <w:trPr>
                <w:cantSplit/>
                <w:trHeight w:val="340"/>
              </w:trPr>
              <w:tc>
                <w:tcPr>
                  <w:tcW w:w="1415" w:type="pct"/>
                  <w:gridSpan w:val="2"/>
                  <w:vMerge w:val="restart"/>
                  <w:tcBorders>
                    <w:tl2br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 xml:space="preserve">        预测点</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jc w:val="both"/>
                    <w:textAlignment w:val="baseline"/>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时间</w:t>
                  </w:r>
                </w:p>
              </w:tc>
              <w:tc>
                <w:tcPr>
                  <w:tcW w:w="3584" w:type="pct"/>
                  <w:gridSpan w:val="4"/>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0"/>
                      <w:lang w:val="en-US" w:eastAsia="zh-CN"/>
                      <w:highlight w:val="none"/>
                    </w:rPr>
                    <w:t>贡献</w:t>
                  </w:r>
                  <w:r>
                    <w:rPr>
                      <w:rFonts w:ascii="Times New Roman" w:cs="Times New Roman" w:hAnsi="Times New Roman"/>
                      <w:caps w:val="0"/>
                      <w:smallCaps w:val="0"/>
                      <w:color w:val="auto"/>
                      <w:spacing w:val="0"/>
                      <w:sz w:val="21"/>
                      <w:szCs w:val="20"/>
                      <w:highlight w:val="none"/>
                    </w:rPr>
                    <w:t>值</w:t>
                  </w:r>
                </w:p>
              </w:tc>
            </w:tr>
            <w:tr>
              <w:trPr>
                <w:cantSplit/>
                <w:trHeight w:val="340"/>
              </w:trPr>
              <w:tc>
                <w:tcPr>
                  <w:tcW w:w="1415" w:type="pct"/>
                  <w:gridSpan w:val="2"/>
                  <w:vMerge/>
                  <w:tcBorders>
                    <w:tl2br w:val="single" w:sz="4" w:space="0" w:color="auto"/>
                  </w:tcBorders>
                  <w:vAlign w:val="center"/>
                </w:tcPr>
                <w:p/>
              </w:tc>
              <w:tc>
                <w:tcPr>
                  <w:tcW w:w="984"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东厂界</w:t>
                  </w:r>
                </w:p>
              </w:tc>
              <w:tc>
                <w:tcPr>
                  <w:tcW w:w="96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南厂界</w:t>
                  </w:r>
                </w:p>
              </w:tc>
              <w:tc>
                <w:tcPr>
                  <w:tcW w:w="80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西厂界</w:t>
                  </w:r>
                </w:p>
              </w:tc>
              <w:tc>
                <w:tcPr>
                  <w:tcW w:w="82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北厂界</w:t>
                  </w:r>
                </w:p>
              </w:tc>
            </w:tr>
            <w:tr>
              <w:trPr>
                <w:cantSplit/>
                <w:trHeight w:val="333"/>
              </w:trPr>
              <w:tc>
                <w:tcPr>
                  <w:tcW w:w="1415" w:type="pct"/>
                  <w:gridSpan w:val="2"/>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贡献值</w:t>
                  </w:r>
                  <w:r>
                    <w:rPr>
                      <w:rFonts w:ascii="Times New Roman" w:cs="Times New Roman" w:hAnsi="Times New Roman"/>
                      <w:caps w:val="0"/>
                      <w:smallCaps w:val="0"/>
                      <w:color w:val="auto"/>
                      <w:spacing w:val="0"/>
                      <w:sz w:val="21"/>
                      <w:szCs w:val="20"/>
                      <w:highlight w:val="none"/>
                    </w:rPr>
                    <w:t>dB(A)</w:t>
                  </w:r>
                </w:p>
              </w:tc>
              <w:tc>
                <w:tcPr>
                  <w:tcW w:w="984"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47.5</w:t>
                  </w:r>
                </w:p>
              </w:tc>
              <w:tc>
                <w:tcPr>
                  <w:tcW w:w="96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50.13</w:t>
                  </w:r>
                </w:p>
              </w:tc>
              <w:tc>
                <w:tcPr>
                  <w:tcW w:w="80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44.96</w:t>
                  </w:r>
                </w:p>
              </w:tc>
              <w:tc>
                <w:tcPr>
                  <w:tcW w:w="82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cs="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49.97</w:t>
                  </w:r>
                </w:p>
              </w:tc>
            </w:tr>
            <w:tr>
              <w:trPr>
                <w:cantSplit/>
                <w:trHeight w:val="358"/>
              </w:trPr>
              <w:tc>
                <w:tcPr>
                  <w:tcW w:w="791" w:type="pct"/>
                  <w:vMerge w:val="restart"/>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eastAsia="宋体" w:cs="Times New Roman" w:hAnsi="Times New Roman"/>
                      <w:bCs/>
                      <w:caps w:val="0"/>
                      <w:smallCaps w:val="0"/>
                      <w:color w:val="auto"/>
                      <w:spacing w:val="0"/>
                      <w:highlight w:val="none"/>
                    </w:rPr>
                  </w:pPr>
                  <w:r>
                    <w:rPr>
                      <w:rFonts w:ascii="Times New Roman" w:eastAsia="宋体" w:cs="Times New Roman" w:hAnsi="Times New Roman"/>
                      <w:bCs/>
                      <w:caps w:val="0"/>
                      <w:smallCaps w:val="0"/>
                      <w:color w:val="auto"/>
                      <w:spacing w:val="0"/>
                      <w:sz w:val="21"/>
                      <w:szCs w:val="20"/>
                      <w:highlight w:val="none"/>
                    </w:rPr>
                    <w:t>评价标准dB(A)</w:t>
                  </w:r>
                </w:p>
              </w:tc>
              <w:tc>
                <w:tcPr>
                  <w:tcW w:w="623"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eastAsia="宋体" w:cs="Times New Roman" w:hAnsi="Times New Roman"/>
                      <w:bCs/>
                      <w:caps w:val="0"/>
                      <w:smallCaps w:val="0"/>
                      <w:color w:val="auto"/>
                      <w:spacing w:val="0"/>
                      <w:lang w:val="en-US" w:eastAsia="zh-CN"/>
                      <w:highlight w:val="none"/>
                    </w:rPr>
                  </w:pPr>
                  <w:r>
                    <w:rPr>
                      <w:rFonts w:ascii="Times New Roman" w:eastAsia="宋体" w:cs="Times New Roman" w:hAnsi="Times New Roman"/>
                      <w:bCs/>
                      <w:caps w:val="0"/>
                      <w:smallCaps w:val="0"/>
                      <w:color w:val="auto"/>
                      <w:spacing w:val="0"/>
                      <w:sz w:val="21"/>
                      <w:szCs w:val="20"/>
                      <w:lang w:val="en-US" w:eastAsia="zh-CN"/>
                      <w:highlight w:val="none"/>
                    </w:rPr>
                    <w:t>昼间</w:t>
                  </w:r>
                </w:p>
              </w:tc>
              <w:tc>
                <w:tcPr>
                  <w:tcW w:w="984"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65</w:t>
                  </w:r>
                </w:p>
              </w:tc>
              <w:tc>
                <w:tcPr>
                  <w:tcW w:w="3865"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sz w:val="21"/>
                      <w:szCs w:val="20"/>
                      <w:lang w:val="en-US" w:eastAsia="zh-CN"/>
                      <w:highlight w:val="none"/>
                    </w:rPr>
                    <w:t>65</w:t>
                  </w:r>
                </w:p>
              </w:tc>
              <w:tc>
                <w:tcPr>
                  <w:tcW w:w="3227"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65</w:t>
                  </w:r>
                </w:p>
              </w:tc>
              <w:tc>
                <w:tcPr>
                  <w:tcW w:w="3277"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ascii="Times New Roman" w:eastAsia="宋体" w:cs="Times New Roman" w:hAnsi="Times New Roman"/>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65</w:t>
                  </w:r>
                </w:p>
              </w:tc>
            </w:tr>
            <w:tr>
              <w:trPr>
                <w:cantSplit/>
                <w:trHeight w:val="372"/>
              </w:trPr>
              <w:tc>
                <w:tcPr>
                  <w:tcW w:w="791" w:type="pct"/>
                  <w:vMerge/>
                  <w:vAlign w:val="center"/>
                </w:tcPr>
                <w:p/>
              </w:tc>
              <w:tc>
                <w:tcPr>
                  <w:tcW w:w="623"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eastAsia="宋体" w:cs="Times New Roman" w:hAnsi="Times New Roman"/>
                      <w:bCs/>
                      <w:caps w:val="0"/>
                      <w:smallCaps w:val="0"/>
                      <w:color w:val="auto"/>
                      <w:spacing w:val="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夜间</w:t>
                  </w:r>
                </w:p>
              </w:tc>
              <w:tc>
                <w:tcPr>
                  <w:tcW w:w="984"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cs="Times New Roman"/>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55</w:t>
                  </w:r>
                </w:p>
              </w:tc>
              <w:tc>
                <w:tcPr>
                  <w:tcW w:w="3865"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cs="Times New Roman" w:hint="eastAsia"/>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55</w:t>
                  </w:r>
                </w:p>
              </w:tc>
              <w:tc>
                <w:tcPr>
                  <w:tcW w:w="3227"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cs="Times New Roman" w:hint="eastAsia"/>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55</w:t>
                  </w:r>
                </w:p>
              </w:tc>
              <w:tc>
                <w:tcPr>
                  <w:tcW w:w="3277" w:type="pct"/>
                  <w:tcBorders>
                    <w:left w:val="single" w:sz="4" w:space="0" w:color="auto"/>
                  </w:tcBorders>
                  <w:vAlign w:val="center"/>
                </w:tcPr>
                <w:p>
                  <w:pPr>
                    <w:keepNext w:val="0"/>
                    <w:keepLines w:val="0"/>
                    <w:pageBreakBefore w:val="0"/>
                    <w:widowControl w:val="0"/>
                    <w:suppressLineNumbers w:val="0"/>
                    <w:kinsoku/>
                    <w:wordWrap/>
                    <w:overflowPunct/>
                    <w:topLinePunct/>
                    <w:autoSpaceDE w:val="0"/>
                    <w:autoSpaceDN w:val="0"/>
                    <w:bidi w:val="0"/>
                    <w:adjustRightInd w:val="0"/>
                    <w:snapToGrid w:val="0"/>
                    <w:spacing w:before="0" w:beforeAutospacing="0" w:after="0" w:afterAutospacing="0" w:line="360" w:lineRule="exact"/>
                    <w:ind w:left="0" w:right="0"/>
                    <w:jc w:val="center"/>
                    <w:textAlignment w:val="baseline"/>
                    <w:rPr>
                      <w:rFonts w:cs="Times New Roman" w:hint="eastAsia"/>
                      <w:bCs/>
                      <w:caps w:val="0"/>
                      <w:smallCaps w:val="0"/>
                      <w:color w:val="auto"/>
                      <w:spacing w:val="0"/>
                      <w:szCs w:val="20"/>
                      <w:lang w:val="en-US" w:eastAsia="zh-CN"/>
                      <w:highlight w:val="none"/>
                    </w:rPr>
                  </w:pPr>
                  <w:r>
                    <w:rPr>
                      <w:rFonts w:ascii="Times New Roman" w:cs="Times New Roman" w:hAnsi="Times New Roman" w:hint="eastAsia"/>
                      <w:bCs/>
                      <w:caps w:val="0"/>
                      <w:smallCaps w:val="0"/>
                      <w:color w:val="auto"/>
                      <w:spacing w:val="0"/>
                      <w:sz w:val="21"/>
                      <w:szCs w:val="20"/>
                      <w:lang w:val="en-US" w:eastAsia="zh-CN"/>
                      <w:highlight w:val="none"/>
                    </w:rPr>
                    <w:t>55</w:t>
                  </w:r>
                </w:p>
              </w:tc>
            </w:tr>
            <w:tr>
              <w:trPr>
                <w:cantSplit/>
                <w:trHeight w:val="340"/>
              </w:trPr>
              <w:tc>
                <w:tcPr>
                  <w:tcW w:w="1415" w:type="pct"/>
                  <w:gridSpan w:val="2"/>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评价结果</w:t>
                  </w:r>
                </w:p>
              </w:tc>
              <w:tc>
                <w:tcPr>
                  <w:tcW w:w="984"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达标</w:t>
                  </w:r>
                </w:p>
              </w:tc>
              <w:tc>
                <w:tcPr>
                  <w:tcW w:w="96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达标</w:t>
                  </w:r>
                </w:p>
              </w:tc>
              <w:tc>
                <w:tcPr>
                  <w:tcW w:w="809"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达标</w:t>
                  </w:r>
                </w:p>
              </w:tc>
              <w:tc>
                <w:tcPr>
                  <w:tcW w:w="821" w:type="pc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adjustRightInd w:val="0"/>
                    <w:snapToGrid w:val="0"/>
                    <w:spacing w:before="0" w:beforeAutospacing="0" w:after="0" w:afterAutospacing="0" w:line="360" w:lineRule="exact"/>
                    <w:ind w:left="0" w:right="0"/>
                    <w:textAlignment w:val="baseline"/>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达标</w:t>
                  </w:r>
                </w:p>
              </w:tc>
            </w:tr>
          </w:tbl>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根据预测结果可知</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在采取相关防治措施后</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项目运营期间</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厂界噪声</w:t>
            </w:r>
            <w:r>
              <w:rPr>
                <w:rFonts w:ascii="Times New Roman" w:cs="Times New Roman" w:hAnsi="Times New Roman" w:hint="eastAsia"/>
                <w:caps w:val="0"/>
                <w:smallCaps w:val="0"/>
                <w:color w:val="auto"/>
                <w:spacing w:val="0"/>
                <w:sz w:val="24"/>
                <w:szCs w:val="20"/>
                <w:lang w:val="en-US" w:eastAsia="zh-CN"/>
                <w:highlight w:val="none"/>
              </w:rPr>
              <w:t>贡献值</w:t>
            </w:r>
            <w:r>
              <w:rPr>
                <w:rFonts w:ascii="Times New Roman" w:cs="Times New Roman" w:hAnsi="Times New Roman"/>
                <w:caps w:val="0"/>
                <w:smallCaps w:val="0"/>
                <w:color w:val="auto"/>
                <w:spacing w:val="0"/>
                <w:sz w:val="24"/>
                <w:szCs w:val="20"/>
                <w:lang w:val="en-US" w:eastAsia="zh-CN"/>
                <w:highlight w:val="none"/>
              </w:rPr>
              <w:t>为</w:t>
            </w:r>
            <w:r>
              <w:rPr>
                <w:rFonts w:ascii="Times New Roman" w:cs="Times New Roman" w:hAnsi="Times New Roman" w:hint="eastAsia"/>
                <w:caps w:val="0"/>
                <w:smallCaps w:val="0"/>
                <w:color w:val="auto"/>
                <w:spacing w:val="0"/>
                <w:sz w:val="24"/>
                <w:szCs w:val="20"/>
                <w:lang w:val="en-US" w:eastAsia="zh-CN"/>
                <w:highlight w:val="none"/>
              </w:rPr>
              <w:t>44.96~50.13</w:t>
            </w:r>
            <w:r>
              <w:rPr>
                <w:rFonts w:ascii="Times New Roman" w:cs="Times New Roman" w:hAnsi="Times New Roman"/>
                <w:caps w:val="0"/>
                <w:smallCaps w:val="0"/>
                <w:color w:val="auto"/>
                <w:spacing w:val="0"/>
                <w:sz w:val="24"/>
                <w:szCs w:val="20"/>
                <w:lang w:val="en-US" w:eastAsia="zh-CN"/>
                <w:highlight w:val="none"/>
              </w:rPr>
              <w:t>dB(A)，</w:t>
            </w:r>
            <w:r>
              <w:rPr>
                <w:rFonts w:ascii="Times New Roman" w:cs="Times New Roman" w:hAnsi="Times New Roman"/>
                <w:caps w:val="0"/>
                <w:smallCaps w:val="0"/>
                <w:color w:val="auto"/>
                <w:spacing w:val="0"/>
                <w:sz w:val="24"/>
                <w:szCs w:val="20"/>
                <w:highlight w:val="none"/>
              </w:rPr>
              <w:t>满足《工业企业厂界环境噪声排放标准》（GB12348-2008）</w:t>
            </w:r>
            <w:r>
              <w:rPr>
                <w:rFonts w:ascii="Times New Roman" w:cs="Times New Roman" w:hAnsi="Times New Roman" w:hint="eastAsia"/>
                <w:caps w:val="0"/>
                <w:smallCaps w:val="0"/>
                <w:color w:val="auto"/>
                <w:spacing w:val="0"/>
                <w:sz w:val="24"/>
                <w:szCs w:val="20"/>
                <w:lang w:val="en-US" w:eastAsia="zh-CN"/>
                <w:highlight w:val="none"/>
              </w:rPr>
              <w:t>3类</w:t>
            </w:r>
            <w:r>
              <w:rPr>
                <w:rFonts w:ascii="Times New Roman" w:cs="Times New Roman" w:hAnsi="Times New Roman"/>
                <w:caps w:val="0"/>
                <w:smallCaps w:val="0"/>
                <w:color w:val="auto"/>
                <w:spacing w:val="0"/>
                <w:sz w:val="24"/>
                <w:szCs w:val="20"/>
                <w:highlight w:val="none"/>
              </w:rPr>
              <w:t>标准的要求。</w:t>
            </w:r>
          </w:p>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（4）噪声监测计划</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项目噪声监测计划见下表：</w:t>
            </w:r>
          </w:p>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表4-</w:t>
            </w:r>
            <w:r>
              <w:rPr>
                <w:rFonts w:ascii="Times New Roman" w:cs="Times New Roman" w:hAnsi="Times New Roman" w:hint="eastAsia"/>
                <w:caps w:val="0"/>
                <w:smallCaps w:val="0"/>
                <w:color w:val="auto"/>
                <w:spacing w:val="0"/>
                <w:sz w:val="24"/>
                <w:szCs w:val="20"/>
                <w:lang w:val="en-US" w:eastAsia="zh-CN"/>
                <w:highlight w:val="none"/>
              </w:rPr>
              <w:t>12</w:t>
            </w:r>
            <w:r>
              <w:rPr>
                <w:rFonts w:ascii="Times New Roman" w:cs="Times New Roman" w:hAnsi="Times New Roman"/>
                <w:caps w:val="0"/>
                <w:smallCaps w:val="0"/>
                <w:color w:val="auto"/>
                <w:spacing w:val="0"/>
                <w:sz w:val="24"/>
                <w:szCs w:val="20"/>
                <w:highlight w:val="none"/>
              </w:rPr>
              <w:t xml:space="preserve">    噪声监测计划一览表</w:t>
            </w:r>
          </w:p>
          <w:tbl>
            <w:tblPr>
              <w:jc w:val="cente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0" w:type="dxa"/>
                <w:left w:w="0" w:type="dxa"/>
                <w:bottom w:w="0" w:type="dxa"/>
                <w:right w:w="0" w:type="dxa"/>
              </w:tblCellMar>
              <w:tblLook w:val="0600" w:firstRow="0" w:lastRow="0" w:firstColumn="0" w:lastColumn="0" w:noHBand="1" w:noVBand="1"/>
            </w:tblPr>
            <w:tblGrid>
              <w:gridCol w:w="722"/>
              <w:gridCol w:w="1732"/>
              <w:gridCol w:w="1732"/>
              <w:gridCol w:w="2414"/>
              <w:gridCol w:w="1387"/>
            </w:tblGrid>
            <w:tr>
              <w:trPr>
                <w:trHeight w:val="454"/>
              </w:trPr>
              <w:tc>
                <w:tcPr>
                  <w:tcW w:w="452"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序号</w:t>
                  </w:r>
                </w:p>
              </w:tc>
              <w:tc>
                <w:tcPr>
                  <w:tcW w:w="108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监测项目</w:t>
                  </w:r>
                </w:p>
              </w:tc>
              <w:tc>
                <w:tcPr>
                  <w:tcW w:w="1084"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监测因子</w:t>
                  </w:r>
                </w:p>
              </w:tc>
              <w:tc>
                <w:tcPr>
                  <w:tcW w:w="1511"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取样位置</w:t>
                  </w:r>
                </w:p>
              </w:tc>
              <w:tc>
                <w:tcPr>
                  <w:tcW w:w="868"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监测频率</w:t>
                  </w:r>
                </w:p>
              </w:tc>
            </w:tr>
            <w:tr>
              <w:trPr>
                <w:trHeight w:val="454"/>
              </w:trPr>
              <w:tc>
                <w:tcPr>
                  <w:tcW w:w="452" w:type="pct"/>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1</w:t>
                  </w:r>
                </w:p>
              </w:tc>
              <w:tc>
                <w:tcPr>
                  <w:tcW w:w="1084" w:type="pct"/>
                  <w:tcBorders>
                    <w:left w:val="single" w:sz="6"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厂界噪声</w:t>
                  </w:r>
                </w:p>
              </w:tc>
              <w:tc>
                <w:tcPr>
                  <w:tcW w:w="1084" w:type="pct"/>
                  <w:tcBorders>
                    <w:left w:val="single" w:sz="6"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等效声级、最大声级</w:t>
                  </w:r>
                </w:p>
              </w:tc>
              <w:tc>
                <w:tcPr>
                  <w:tcW w:w="1511" w:type="pct"/>
                  <w:tcBorders>
                    <w:left w:val="single" w:sz="6"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厂界外1m处</w:t>
                  </w:r>
                </w:p>
              </w:tc>
              <w:tc>
                <w:tcPr>
                  <w:tcW w:w="868" w:type="pct"/>
                  <w:tcBorders>
                    <w:left w:val="single" w:sz="6"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1次/季度</w:t>
                  </w:r>
                </w:p>
              </w:tc>
            </w:tr>
          </w:tbl>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4、固体废物</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（1）固体废物产生及处置情况</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根据工程分析</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本项目运行期产生的固体废物主要为</w:t>
            </w:r>
            <w:r>
              <w:rPr>
                <w:rFonts w:ascii="Times New Roman" w:cs="Times New Roman" w:hAnsi="Times New Roman" w:hint="eastAsia"/>
                <w:caps w:val="0"/>
                <w:smallCaps w:val="0"/>
                <w:color w:val="auto"/>
                <w:spacing w:val="0"/>
                <w:sz w:val="24"/>
                <w:szCs w:val="20"/>
                <w:lang w:val="en-US" w:eastAsia="zh-CN"/>
                <w:highlight w:val="none"/>
              </w:rPr>
              <w:t>废包装材料、废布袋、除尘灰、废活性炭、废塑料边角料、废切削液、废切削液桶、不合格品、金属下脚料、不合格电极片、含油金属屑、废润滑油、废润滑油桶、含油抹布及废劳保用品和职工生活垃圾</w:t>
            </w:r>
            <w:r>
              <w:rPr>
                <w:rFonts w:ascii="Times New Roman" w:cs="Times New Roman" w:hAnsi="Times New Roman"/>
                <w:caps w:val="0"/>
                <w:smallCaps w:val="0"/>
                <w:color w:val="auto"/>
                <w:spacing w:val="0"/>
                <w:sz w:val="24"/>
                <w:szCs w:val="20"/>
                <w:lang w:val="en-US" w:eastAsia="zh-CN"/>
                <w:highlight w:val="none"/>
              </w:rPr>
              <w:t>。</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4"/>
                <w:szCs w:val="20"/>
                <w:lang w:val="en-US" w:eastAsia="zh-CN"/>
                <w:highlight w:val="none"/>
              </w:rPr>
              <w:t>废包装材料、废塑料边角料、不合格品、金属下脚料、不合格电极片收集后外售；废布袋、除尘灰、废活性炭、废切削液、废切削液桶、含油金属屑、废润滑油、废润滑油桶、含油抹布及废劳保用品，分类收集后暂存于危废间，定期交由有资质的单位处理；职工生活垃圾收集后由环卫部门统一处置</w:t>
            </w:r>
            <w:r>
              <w:rPr>
                <w:rFonts w:ascii="Times New Roman" w:cs="Times New Roman" w:hAnsi="Times New Roman"/>
                <w:caps w:val="0"/>
                <w:smallCaps w:val="0"/>
                <w:color w:val="auto"/>
                <w:spacing w:val="0"/>
                <w:sz w:val="24"/>
                <w:szCs w:val="20"/>
                <w:lang w:val="en-US" w:eastAsia="zh-CN"/>
                <w:highlight w:val="none"/>
              </w:rPr>
              <w:t>。</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highlight w:val="none"/>
              </w:rPr>
              <w:t>1）</w:t>
            </w:r>
            <w:r>
              <w:rPr>
                <w:rFonts w:ascii="Times New Roman" w:cs="Times New Roman" w:hAnsi="Times New Roman" w:hint="eastAsia"/>
                <w:caps w:val="0"/>
                <w:smallCaps w:val="0"/>
                <w:color w:val="auto"/>
                <w:spacing w:val="0"/>
                <w:sz w:val="24"/>
                <w:szCs w:val="20"/>
                <w:lang w:val="en-US" w:eastAsia="zh-CN"/>
                <w:highlight w:val="none"/>
              </w:rPr>
              <w:t>废包装材料</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废包装材料主要为拆包时产生的废包装材料，产生量为0.353t/a，收集后外售</w:t>
            </w:r>
            <w:r>
              <w:rPr>
                <w:rFonts w:ascii="Times New Roman" w:cs="Times New Roman" w:hAnsi="Times New Roman"/>
                <w:caps w:val="0"/>
                <w:smallCaps w:val="0"/>
                <w:color w:val="auto"/>
                <w:spacing w:val="0"/>
                <w:sz w:val="24"/>
                <w:szCs w:val="20"/>
                <w:lang w:val="en-US" w:eastAsia="zh-CN"/>
                <w:highlight w:val="none"/>
              </w:rPr>
              <w:t>。</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caps w:val="0"/>
                <w:smallCaps w:val="0"/>
                <w:color w:val="auto"/>
                <w:spacing w:val="0"/>
                <w:sz w:val="24"/>
                <w:szCs w:val="20"/>
                <w:lang w:val="en-US" w:eastAsia="zh-CN"/>
                <w:highlight w:val="none"/>
              </w:rPr>
              <w:t>2</w:t>
            </w:r>
            <w:r>
              <w:rPr>
                <w:rFonts w:ascii="Times New Roman" w:cs="Times New Roman" w:hAnsi="Times New Roman"/>
                <w:caps w:val="0"/>
                <w:smallCaps w:val="0"/>
                <w:color w:val="auto"/>
                <w:spacing w:val="0"/>
                <w:sz w:val="24"/>
                <w:szCs w:val="20"/>
                <w:highlight w:val="none"/>
              </w:rPr>
              <w:t>）</w:t>
            </w:r>
            <w:r>
              <w:rPr>
                <w:rFonts w:ascii="Times New Roman" w:cs="Times New Roman" w:hAnsi="Times New Roman" w:hint="eastAsia"/>
                <w:caps w:val="0"/>
                <w:smallCaps w:val="0"/>
                <w:color w:val="auto"/>
                <w:spacing w:val="0"/>
                <w:sz w:val="24"/>
                <w:szCs w:val="20"/>
                <w:lang w:val="en-US" w:eastAsia="zh-CN"/>
                <w:highlight w:val="none"/>
              </w:rPr>
              <w:t>废塑料边角料</w:t>
            </w: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注塑时会有少量的边角料产生，产生量为0.1t/a，收集后外售。</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lang w:val="en-US"/>
                <w:highlight w:val="none"/>
              </w:rPr>
            </w:pPr>
            <w:r>
              <w:rPr>
                <w:rFonts w:ascii="Times New Roman" w:cs="Times New Roman" w:hAnsi="Times New Roman" w:hint="eastAsia"/>
                <w:caps w:val="0"/>
                <w:smallCaps w:val="0"/>
                <w:color w:val="auto"/>
                <w:spacing w:val="0"/>
                <w:sz w:val="24"/>
                <w:szCs w:val="20"/>
                <w:lang w:val="en-US" w:eastAsia="zh-CN"/>
                <w:highlight w:val="none"/>
              </w:rPr>
              <w:t>3）不合格品</w:t>
            </w:r>
          </w:p>
          <w:p>
            <w:pPr>
              <w:pStyle w:val="137"/>
              <w:keepNext w:val="0"/>
              <w:keepLines w:val="0"/>
              <w:suppressLineNumbers w:val="0"/>
              <w:spacing w:before="0" w:beforeAutospacing="0" w:after="0" w:afterAutospacing="0"/>
              <w:ind w:left="0" w:right="0"/>
              <w:jc w:val="both"/>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 xml:space="preserve">检验过程会有少量汽车塑料配件不合格品产生，产生量为0.1t/a，收集后外售。 </w:t>
            </w:r>
          </w:p>
          <w:p>
            <w:pPr>
              <w:pStyle w:val="137"/>
              <w:keepNext w:val="0"/>
              <w:keepLines w:val="0"/>
              <w:suppressLineNumbers w:val="0"/>
              <w:spacing w:before="0" w:beforeAutospacing="0" w:after="0" w:afterAutospacing="0"/>
              <w:ind w:left="0" w:right="0"/>
              <w:jc w:val="both"/>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4）金属下脚料</w:t>
            </w:r>
          </w:p>
          <w:p>
            <w:pPr>
              <w:pStyle w:val="137"/>
              <w:keepNext w:val="0"/>
              <w:keepLines w:val="0"/>
              <w:suppressLineNumbers w:val="0"/>
              <w:spacing w:before="0" w:beforeAutospacing="0" w:after="0" w:afterAutospacing="0"/>
              <w:ind w:left="0" w:right="0"/>
              <w:jc w:val="both"/>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剪板过程会有少量金属下脚料产生，产生量为0.03t/a，收集后外售。</w:t>
            </w:r>
          </w:p>
          <w:p>
            <w:pPr>
              <w:pStyle w:val="137"/>
              <w:keepNext w:val="0"/>
              <w:keepLines w:val="0"/>
              <w:suppressLineNumbers w:val="0"/>
              <w:spacing w:before="0" w:beforeAutospacing="0" w:after="0" w:afterAutospacing="0"/>
              <w:ind w:left="0" w:right="0"/>
              <w:jc w:val="both"/>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5）不合格电极片</w:t>
            </w:r>
          </w:p>
          <w:p>
            <w:pPr>
              <w:pStyle w:val="137"/>
              <w:keepNext w:val="0"/>
              <w:keepLines w:val="0"/>
              <w:suppressLineNumbers w:val="0"/>
              <w:spacing w:before="0" w:beforeAutospacing="0" w:after="0" w:afterAutospacing="0"/>
              <w:ind w:left="0" w:right="0"/>
              <w:jc w:val="both"/>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检验过程会有少量不合格电极片产生，产生量为0.03t/a，收集后外售。</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6</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废布袋、除尘灰、废活性炭、废切削液、废切削液桶、含油金属屑、废润滑油、废润滑油桶、含油抹布及废劳保用品</w:t>
            </w:r>
          </w:p>
          <w:p>
            <w:pPr>
              <w:pStyle w:val="137"/>
              <w:keepNext w:val="0"/>
              <w:keepLines w:val="0"/>
              <w:suppressLineNumbers w:val="0"/>
              <w:spacing w:before="0" w:beforeAutospacing="0" w:after="0" w:afterAutospacing="0"/>
              <w:ind w:left="0" w:right="0"/>
              <w:jc w:val="both"/>
              <w:rPr>
                <w:rFonts w:ascii="Times New Roman" w:cs="Times New Roman" w:hAnsi="Times New Roman"/>
                <w:color w:val="auto"/>
                <w:sz w:val="24"/>
                <w:lang w:val="en-US" w:eastAsia="zh-CN"/>
                <w:highlight w:val="none"/>
              </w:rPr>
            </w:pPr>
            <w:r>
              <w:rPr>
                <w:rFonts w:ascii="Times New Roman" w:cs="Times New Roman" w:hAnsi="Times New Roman"/>
                <w:color w:val="auto"/>
                <w:sz w:val="24"/>
                <w:szCs w:val="20"/>
                <w:highlight w:val="none"/>
              </w:rPr>
              <w:t>根据</w:t>
            </w:r>
            <w:r>
              <w:rPr>
                <w:rFonts w:ascii="Times New Roman" w:cs="Times New Roman" w:hAnsi="Times New Roman" w:hint="eastAsia"/>
                <w:color w:val="auto"/>
                <w:sz w:val="24"/>
                <w:szCs w:val="20"/>
                <w:lang w:eastAsia="zh-CN"/>
                <w:highlight w:val="none"/>
              </w:rPr>
              <w:t>《国家危险废物名录》（2025年版）</w:t>
            </w:r>
            <w:r>
              <w:rPr>
                <w:rFonts w:ascii="Times New Roman" w:cs="Times New Roman" w:hAnsi="Times New Roman"/>
                <w:color w:val="auto"/>
                <w:sz w:val="24"/>
                <w:szCs w:val="20"/>
                <w:highlight w:val="none"/>
              </w:rPr>
              <w:t>，设备维护产生的废润滑油（废物类别：HW08废矿物油与含矿物油废物；行业来源：非</w:t>
            </w:r>
            <w:bookmarkStart w:id="10" w:name="_GoBack"/>
            <w:bookmarkEnd w:id="10"/>
            <w:r>
              <w:rPr>
                <w:rFonts w:ascii="Times New Roman" w:cs="Times New Roman" w:hAnsi="Times New Roman"/>
                <w:color w:val="auto"/>
                <w:sz w:val="24"/>
                <w:szCs w:val="20"/>
                <w:highlight w:val="none"/>
              </w:rPr>
              <w:t>特定行业；废物代码：900-217-08）</w:t>
            </w:r>
            <w:r>
              <w:rPr>
                <w:rFonts w:ascii="Times New Roman" w:cs="Times New Roman" w:hAnsi="Times New Roman" w:hint="eastAsia"/>
                <w:color w:val="auto"/>
                <w:sz w:val="24"/>
                <w:szCs w:val="20"/>
                <w:lang w:eastAsia="zh-CN"/>
                <w:highlight w:val="none"/>
              </w:rPr>
              <w:t>；</w:t>
            </w:r>
            <w:r>
              <w:rPr>
                <w:rFonts w:ascii="Times New Roman" w:cs="Times New Roman" w:hAnsi="Times New Roman"/>
                <w:color w:val="auto"/>
                <w:sz w:val="24"/>
                <w:szCs w:val="20"/>
                <w:highlight w:val="none"/>
              </w:rPr>
              <w:t>废润滑油桶（废物类别：HW08废矿物油与含矿物油废物；行业来源：非特定行业；废物代码：900-249-08）</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含油抹布及废劳保用品（废物类别：</w:t>
            </w:r>
            <w:r>
              <w:rPr>
                <w:rFonts w:ascii="Times New Roman" w:cs="Times New Roman" w:hAnsi="Times New Roman"/>
                <w:color w:val="auto"/>
                <w:sz w:val="24"/>
                <w:szCs w:val="20"/>
                <w:highlight w:val="none"/>
              </w:rPr>
              <w:t>HW</w:t>
            </w:r>
            <w:r>
              <w:rPr>
                <w:rFonts w:ascii="Times New Roman" w:cs="Times New Roman" w:hAnsi="Times New Roman" w:hint="eastAsia"/>
                <w:color w:val="auto"/>
                <w:sz w:val="24"/>
                <w:szCs w:val="20"/>
                <w:lang w:val="en-US" w:eastAsia="zh-CN"/>
                <w:highlight w:val="none"/>
              </w:rPr>
              <w:t>49其他废物</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行业来源：非特定行业；废物代码900-041-49）；废布袋（废物类别：</w:t>
            </w:r>
            <w:r>
              <w:rPr>
                <w:rFonts w:ascii="Times New Roman" w:cs="Times New Roman" w:hAnsi="Times New Roman"/>
                <w:color w:val="auto"/>
                <w:sz w:val="24"/>
                <w:szCs w:val="20"/>
                <w:highlight w:val="none"/>
              </w:rPr>
              <w:t>HW</w:t>
            </w:r>
            <w:r>
              <w:rPr>
                <w:rFonts w:ascii="Times New Roman" w:cs="Times New Roman" w:hAnsi="Times New Roman" w:hint="eastAsia"/>
                <w:color w:val="auto"/>
                <w:sz w:val="24"/>
                <w:szCs w:val="20"/>
                <w:lang w:val="en-US" w:eastAsia="zh-CN"/>
                <w:highlight w:val="none"/>
              </w:rPr>
              <w:t>49其他废物</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行业来源：非特定行业；废物代码900-041-49）；除尘灰（废物类别：</w:t>
            </w:r>
            <w:r>
              <w:rPr>
                <w:rFonts w:ascii="Times New Roman" w:cs="Times New Roman" w:hAnsi="Times New Roman"/>
                <w:color w:val="auto"/>
                <w:sz w:val="24"/>
                <w:szCs w:val="20"/>
                <w:highlight w:val="none"/>
              </w:rPr>
              <w:t>HW</w:t>
            </w:r>
            <w:r>
              <w:rPr>
                <w:rFonts w:ascii="Times New Roman" w:cs="Times New Roman" w:hAnsi="Times New Roman" w:hint="eastAsia"/>
                <w:color w:val="auto"/>
                <w:sz w:val="24"/>
                <w:szCs w:val="20"/>
                <w:lang w:val="en-US" w:eastAsia="zh-CN"/>
                <w:highlight w:val="none"/>
              </w:rPr>
              <w:t>49其他废物</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行业来源：非特定行业；废物代码900-041-49）；废活性炭（废物类别：</w:t>
            </w:r>
            <w:r>
              <w:rPr>
                <w:rFonts w:ascii="Times New Roman" w:cs="Times New Roman" w:hAnsi="Times New Roman"/>
                <w:color w:val="auto"/>
                <w:sz w:val="24"/>
                <w:szCs w:val="20"/>
                <w:highlight w:val="none"/>
              </w:rPr>
              <w:t>HW</w:t>
            </w:r>
            <w:r>
              <w:rPr>
                <w:rFonts w:ascii="Times New Roman" w:cs="Times New Roman" w:hAnsi="Times New Roman" w:hint="eastAsia"/>
                <w:color w:val="auto"/>
                <w:sz w:val="24"/>
                <w:szCs w:val="20"/>
                <w:lang w:val="en-US" w:eastAsia="zh-CN"/>
                <w:highlight w:val="none"/>
              </w:rPr>
              <w:t>49其他废物</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行业来源：非特定行业；废物代码900-039-49）、废切削液（废物类别：</w:t>
            </w:r>
            <w:r>
              <w:rPr>
                <w:rFonts w:ascii="Times New Roman" w:cs="Times New Roman" w:hAnsi="Times New Roman"/>
                <w:color w:val="auto"/>
                <w:sz w:val="24"/>
                <w:szCs w:val="20"/>
                <w:highlight w:val="none"/>
              </w:rPr>
              <w:t>HW09油/水、烃/水混合物或者乳化液；</w:t>
            </w:r>
            <w:r>
              <w:rPr>
                <w:rFonts w:ascii="Times New Roman" w:cs="Times New Roman" w:hAnsi="Times New Roman" w:hint="eastAsia"/>
                <w:color w:val="auto"/>
                <w:sz w:val="24"/>
                <w:szCs w:val="20"/>
                <w:lang w:val="en-US" w:eastAsia="zh-CN"/>
                <w:highlight w:val="none"/>
              </w:rPr>
              <w:t>行业来源：非特定行业；废物代码900-006-09）；废切削液桶（废物类别：</w:t>
            </w:r>
            <w:r>
              <w:rPr>
                <w:rFonts w:ascii="Times New Roman" w:cs="Times New Roman" w:hAnsi="Times New Roman"/>
                <w:color w:val="auto"/>
                <w:sz w:val="24"/>
                <w:szCs w:val="20"/>
                <w:highlight w:val="none"/>
              </w:rPr>
              <w:t>HW</w:t>
            </w:r>
            <w:r>
              <w:rPr>
                <w:rFonts w:ascii="Times New Roman" w:cs="Times New Roman" w:hAnsi="Times New Roman" w:hint="eastAsia"/>
                <w:color w:val="auto"/>
                <w:sz w:val="24"/>
                <w:szCs w:val="20"/>
                <w:lang w:val="en-US" w:eastAsia="zh-CN"/>
                <w:highlight w:val="none"/>
              </w:rPr>
              <w:t>49其他废物</w:t>
            </w:r>
            <w:r>
              <w:rPr>
                <w:rFonts w:ascii="Times New Roman" w:cs="Times New Roman" w:hAnsi="Times New Roman"/>
                <w:color w:val="auto"/>
                <w:sz w:val="24"/>
                <w:szCs w:val="20"/>
                <w:highlight w:val="none"/>
              </w:rPr>
              <w:t>；</w:t>
            </w:r>
            <w:r>
              <w:rPr>
                <w:rFonts w:ascii="Times New Roman" w:cs="Times New Roman" w:hAnsi="Times New Roman" w:hint="eastAsia"/>
                <w:color w:val="auto"/>
                <w:sz w:val="24"/>
                <w:szCs w:val="20"/>
                <w:lang w:val="en-US" w:eastAsia="zh-CN"/>
                <w:highlight w:val="none"/>
              </w:rPr>
              <w:t>行业来源：非特定行业；废物代码900-041-49）；含油金属屑（废物类别：</w:t>
            </w:r>
            <w:r>
              <w:rPr>
                <w:rFonts w:ascii="Times New Roman" w:cs="Times New Roman" w:hAnsi="Times New Roman"/>
                <w:color w:val="auto"/>
                <w:sz w:val="24"/>
                <w:szCs w:val="20"/>
                <w:highlight w:val="none"/>
              </w:rPr>
              <w:t>HW08废矿物油与含矿物油废物；</w:t>
            </w:r>
            <w:r>
              <w:rPr>
                <w:rFonts w:ascii="Times New Roman" w:cs="Times New Roman" w:hAnsi="Times New Roman" w:hint="eastAsia"/>
                <w:color w:val="auto"/>
                <w:sz w:val="24"/>
                <w:szCs w:val="20"/>
                <w:lang w:val="en-US" w:eastAsia="zh-CN"/>
                <w:highlight w:val="none"/>
              </w:rPr>
              <w:t>行业来源：非特定行业；废物代码900-200-08）</w:t>
            </w:r>
            <w:r>
              <w:rPr>
                <w:rFonts w:ascii="Times New Roman" w:cs="Times New Roman" w:hAnsi="Times New Roman"/>
                <w:color w:val="auto"/>
                <w:sz w:val="24"/>
                <w:szCs w:val="20"/>
                <w:lang w:eastAsia="zh-CN"/>
                <w:highlight w:val="none"/>
              </w:rPr>
              <w:t>，</w:t>
            </w:r>
            <w:r>
              <w:rPr>
                <w:rFonts w:ascii="Times New Roman" w:cs="Times New Roman" w:hAnsi="Times New Roman"/>
                <w:color w:val="auto"/>
                <w:sz w:val="24"/>
                <w:szCs w:val="20"/>
                <w:lang w:val="en-US" w:eastAsia="zh-CN"/>
                <w:highlight w:val="none"/>
              </w:rPr>
              <w:t>均属于危险废物。</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color w:val="auto"/>
                <w:sz w:val="24"/>
                <w:szCs w:val="20"/>
                <w:lang w:val="en-US" w:eastAsia="zh-CN"/>
                <w:highlight w:val="none"/>
              </w:rPr>
            </w:pPr>
            <w:r>
              <w:rPr>
                <w:rFonts w:ascii="Times New Roman" w:eastAsia="宋体" w:cs="Times New Roman" w:hAnsi="Times New Roman"/>
                <w:color w:val="auto"/>
                <w:sz w:val="24"/>
                <w:szCs w:val="20"/>
                <w:lang w:val="en-US" w:eastAsia="zh-CN"/>
                <w:highlight w:val="none"/>
              </w:rPr>
              <w:t>根据《</w:t>
            </w:r>
            <w:r>
              <w:rPr>
                <w:rFonts w:ascii="Times New Roman" w:eastAsia="宋体" w:cs="Times New Roman" w:hAnsi="Times New Roman" w:hint="eastAsia"/>
                <w:color w:val="auto"/>
                <w:sz w:val="24"/>
                <w:szCs w:val="20"/>
                <w:lang w:val="en-US" w:eastAsia="zh-CN"/>
                <w:highlight w:val="none"/>
              </w:rPr>
              <w:t>河北省涉VOCS工业企业常用治理技术指南</w:t>
            </w:r>
            <w:r>
              <w:rPr>
                <w:rFonts w:ascii="Times New Roman" w:eastAsia="宋体" w:cs="Times New Roman" w:hAnsi="Times New Roman"/>
                <w:color w:val="auto"/>
                <w:sz w:val="24"/>
                <w:szCs w:val="20"/>
                <w:lang w:val="en-US" w:eastAsia="zh-CN"/>
                <w:highlight w:val="none"/>
              </w:rPr>
              <w:t>》</w:t>
            </w:r>
            <w:r>
              <w:rPr>
                <w:rFonts w:ascii="Times New Roman" w:eastAsia="宋体" w:cs="Times New Roman" w:hAnsi="Times New Roman" w:hint="eastAsia"/>
                <w:color w:val="auto"/>
                <w:sz w:val="24"/>
                <w:szCs w:val="20"/>
                <w:lang w:val="en-US" w:eastAsia="zh-CN"/>
                <w:highlight w:val="none"/>
              </w:rPr>
              <w:t>（冀环应急[2022]140号）、</w:t>
            </w:r>
            <w:r>
              <w:rPr>
                <w:rFonts w:ascii="Times New Roman" w:eastAsia="宋体" w:cs="Times New Roman" w:hAnsi="Times New Roman"/>
                <w:color w:val="auto"/>
                <w:sz w:val="24"/>
                <w:szCs w:val="20"/>
                <w:lang w:val="en-US" w:eastAsia="zh-CN"/>
                <w:highlight w:val="none"/>
              </w:rPr>
              <w:fldChar w:fldCharType="begin"/>
            </w:r>
            <w:r>
              <w:instrText>HYPERLINK "http://mp.weixin.qq.com/s?src=11&amp;timestamp=1716271312&amp;ver=5273&amp;signature=8gACGz4yWQlXuVsf3r6RAUHJHzn4tTDTVA5t7uoYCv1WIO**3w8Bx8ICDst6AEZSIteJuyXaKnqdwAe5CMpFON24-Wm4gHSxL6*dYSF635YsxGGwNtUEAymJKC7Rn--W&amp;new=1"</w:instrText>
            </w:r>
            <w:r>
              <w:rPr>
                <w:rFonts w:ascii="Times New Roman" w:eastAsia="宋体" w:cs="Times New Roman" w:hAnsi="Times New Roman"/>
                <w:color w:val="auto"/>
                <w:sz w:val="24"/>
                <w:szCs w:val="20"/>
                <w:lang w:val="en-US" w:eastAsia="zh-CN"/>
                <w:highlight w:val="none"/>
              </w:rPr>
              <w:fldChar w:fldCharType="separate"/>
            </w:r>
            <w:r>
              <w:rPr>
                <w:rFonts w:ascii="Times New Roman" w:eastAsia="宋体" w:cs="Times New Roman" w:hAnsi="Times New Roman"/>
                <w:color w:val="auto"/>
                <w:sz w:val="24"/>
                <w:szCs w:val="20"/>
                <w:lang w:val="en-US" w:eastAsia="zh-CN"/>
                <w:highlight w:val="none"/>
              </w:rPr>
              <w:t>《</w:t>
            </w:r>
            <w:r>
              <w:rPr>
                <w:rFonts w:ascii="Times New Roman" w:eastAsia="宋体" w:cs="Times New Roman" w:hAnsi="Times New Roman" w:hint="eastAsia"/>
                <w:color w:val="auto"/>
                <w:sz w:val="24"/>
                <w:szCs w:val="20"/>
                <w:lang w:val="en-US" w:eastAsia="zh-CN"/>
                <w:highlight w:val="none"/>
              </w:rPr>
              <w:t>石家庄市涉VOCs企业活性炭吸附脱附技术指南》</w:t>
            </w:r>
            <w:r>
              <w:rPr>
                <w:rFonts w:ascii="Times New Roman" w:eastAsia="宋体" w:cs="Times New Roman" w:hAnsi="Times New Roman"/>
                <w:color w:val="auto"/>
                <w:sz w:val="24"/>
                <w:szCs w:val="20"/>
                <w:lang w:val="en-US" w:eastAsia="zh-CN"/>
                <w:highlight w:val="none"/>
              </w:rPr>
              <w:fldChar w:fldCharType="end"/>
            </w:r>
            <w:r>
              <w:rPr>
                <w:rFonts w:ascii="Times New Roman" w:cs="Times New Roman" w:hAnsi="Times New Roman" w:hint="eastAsia"/>
                <w:color w:val="auto"/>
                <w:sz w:val="24"/>
                <w:szCs w:val="20"/>
                <w:lang w:val="en-US" w:eastAsia="zh-CN"/>
                <w:highlight w:val="none"/>
              </w:rPr>
              <w:t>、《石家庄市2025年挥发性有机物治理工作实施方案的通知》</w:t>
            </w:r>
            <w:r>
              <w:rPr>
                <w:rFonts w:ascii="Times New Roman" w:eastAsia="宋体" w:cs="Times New Roman" w:hAnsi="Times New Roman"/>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颗粒</w:t>
            </w:r>
            <w:r>
              <w:rPr>
                <w:rFonts w:ascii="Times New Roman" w:eastAsia="宋体" w:cs="Times New Roman" w:hAnsi="Times New Roman"/>
                <w:color w:val="auto"/>
                <w:sz w:val="24"/>
                <w:szCs w:val="20"/>
                <w:lang w:val="en-US" w:eastAsia="zh-CN"/>
                <w:highlight w:val="none"/>
              </w:rPr>
              <w:t>活性炭每小时废气量体积比应不小于1</w:t>
            </w:r>
            <w:r>
              <w:rPr>
                <w:rFonts w:ascii="Times New Roman" w:eastAsia="宋体" w:cs="Times New Roman" w:hAnsi="Times New Roman" w:hint="eastAsia"/>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5000</w:t>
            </w:r>
            <w:r>
              <w:rPr>
                <w:rFonts w:ascii="Times New Roman" w:eastAsia="宋体" w:cs="Times New Roman" w:hAnsi="Times New Roman"/>
                <w:color w:val="auto"/>
                <w:sz w:val="24"/>
                <w:szCs w:val="20"/>
                <w:lang w:val="en-US" w:eastAsia="zh-CN"/>
                <w:highlight w:val="none"/>
              </w:rPr>
              <w:t>、活性炭碘值≥800mg/g。项目</w:t>
            </w:r>
            <w:r>
              <w:rPr>
                <w:rFonts w:ascii="Times New Roman" w:cs="Times New Roman" w:hAnsi="Times New Roman" w:hint="eastAsia"/>
                <w:color w:val="auto"/>
                <w:sz w:val="24"/>
                <w:szCs w:val="20"/>
                <w:lang w:val="en-US" w:eastAsia="zh-CN"/>
                <w:highlight w:val="none"/>
              </w:rPr>
              <w:t>DA002</w:t>
            </w:r>
            <w:r>
              <w:rPr>
                <w:rFonts w:ascii="Times New Roman" w:eastAsia="宋体" w:cs="Times New Roman" w:hAnsi="Times New Roman"/>
                <w:color w:val="auto"/>
                <w:sz w:val="24"/>
                <w:szCs w:val="20"/>
                <w:lang w:val="en-US" w:eastAsia="zh-CN"/>
                <w:highlight w:val="none"/>
              </w:rPr>
              <w:t>废气量为</w:t>
            </w:r>
            <w:r>
              <w:rPr>
                <w:rFonts w:ascii="Times New Roman" w:cs="Times New Roman" w:hAnsi="Times New Roman" w:hint="eastAsia"/>
                <w:color w:val="auto"/>
                <w:sz w:val="24"/>
                <w:szCs w:val="20"/>
                <w:lang w:val="en-US" w:eastAsia="zh-CN"/>
                <w:highlight w:val="none"/>
              </w:rPr>
              <w:t>10000</w:t>
            </w:r>
            <w:r>
              <w:rPr>
                <w:rFonts w:ascii="Times New Roman" w:eastAsia="宋体" w:cs="Times New Roman" w:hAnsi="Times New Roman"/>
                <w:color w:val="auto"/>
                <w:sz w:val="24"/>
                <w:szCs w:val="20"/>
                <w:lang w:val="en-US" w:eastAsia="zh-CN"/>
                <w:highlight w:val="none"/>
              </w:rPr>
              <w:t>m</w:t>
            </w:r>
            <w:r>
              <w:rPr>
                <w:rFonts w:ascii="Times New Roman" w:eastAsia="宋体" w:cs="Times New Roman" w:hAnsi="Times New Roman"/>
                <w:color w:val="auto"/>
                <w:sz w:val="24"/>
                <w:szCs w:val="20"/>
                <w:vertAlign w:val="superscript"/>
                <w:lang w:val="en-US" w:eastAsia="zh-CN"/>
                <w:highlight w:val="none"/>
              </w:rPr>
              <w:t>3</w:t>
            </w:r>
            <w:r>
              <w:rPr>
                <w:rFonts w:ascii="Times New Roman" w:eastAsia="宋体" w:cs="Times New Roman" w:hAnsi="Times New Roman"/>
                <w:color w:val="auto"/>
                <w:sz w:val="24"/>
                <w:szCs w:val="20"/>
                <w:lang w:val="en-US" w:eastAsia="zh-CN"/>
                <w:highlight w:val="none"/>
              </w:rPr>
              <w:t>/h</w:t>
            </w:r>
            <w:r>
              <w:rPr>
                <w:rFonts w:ascii="Times New Roman" w:eastAsia="宋体" w:cs="Times New Roman" w:hAnsi="Times New Roman" w:hint="eastAsia"/>
                <w:color w:val="auto"/>
                <w:sz w:val="24"/>
                <w:szCs w:val="20"/>
                <w:lang w:val="en-US" w:eastAsia="zh-CN"/>
                <w:highlight w:val="none"/>
              </w:rPr>
              <w:t>，</w:t>
            </w:r>
            <w:r>
              <w:rPr>
                <w:rFonts w:ascii="Times New Roman" w:eastAsia="宋体" w:cs="Times New Roman" w:hAnsi="Times New Roman"/>
                <w:bCs/>
                <w:color w:val="auto"/>
                <w:sz w:val="24"/>
                <w:szCs w:val="24"/>
                <w:lang w:val="en-US" w:eastAsia="zh-CN"/>
                <w:highlight w:val="none"/>
              </w:rPr>
              <w:t>需要活性炭</w:t>
            </w:r>
            <w:r>
              <w:rPr>
                <w:rFonts w:ascii="Times New Roman" w:cs="Times New Roman" w:hAnsi="Times New Roman" w:hint="eastAsia"/>
                <w:bCs/>
                <w:color w:val="auto"/>
                <w:sz w:val="24"/>
                <w:szCs w:val="24"/>
                <w:lang w:val="en-US" w:eastAsia="zh-CN"/>
                <w:highlight w:val="none"/>
              </w:rPr>
              <w:t>2</w:t>
            </w:r>
            <w:r>
              <w:rPr>
                <w:rFonts w:ascii="Times New Roman" w:eastAsia="宋体" w:cs="Times New Roman" w:hAnsi="Times New Roman"/>
                <w:bCs/>
                <w:color w:val="auto"/>
                <w:sz w:val="24"/>
                <w:szCs w:val="24"/>
                <w:lang w:val="en-US" w:eastAsia="zh-CN"/>
                <w:highlight w:val="none"/>
              </w:rPr>
              <w:t>m</w:t>
            </w:r>
            <w:r>
              <w:rPr>
                <w:rFonts w:ascii="Times New Roman" w:eastAsia="宋体" w:cs="Times New Roman" w:hAnsi="Times New Roman"/>
                <w:bCs/>
                <w:color w:val="auto"/>
                <w:sz w:val="24"/>
                <w:szCs w:val="24"/>
                <w:vertAlign w:val="superscript"/>
                <w:lang w:val="en-US" w:eastAsia="zh-CN"/>
                <w:highlight w:val="none"/>
              </w:rPr>
              <w:t>3</w:t>
            </w:r>
            <w:r>
              <w:rPr>
                <w:rFonts w:ascii="Times New Roman" w:eastAsia="宋体" w:cs="Times New Roman" w:hAnsi="Times New Roman" w:hint="eastAsia"/>
                <w:bCs/>
                <w:color w:val="auto"/>
                <w:sz w:val="24"/>
                <w:szCs w:val="24"/>
                <w:lang w:val="en-US" w:eastAsia="zh-CN"/>
                <w:highlight w:val="none"/>
              </w:rPr>
              <w:t>。项目采取“两级活性炭吸附设备”，</w:t>
            </w:r>
            <w:r>
              <w:rPr>
                <w:rFonts w:ascii="Times New Roman" w:eastAsia="宋体" w:cs="Times New Roman" w:hAnsi="Times New Roman"/>
                <w:bCs/>
                <w:color w:val="auto"/>
                <w:sz w:val="24"/>
                <w:szCs w:val="24"/>
                <w:lang w:val="en-US" w:eastAsia="zh-CN"/>
                <w:highlight w:val="none"/>
              </w:rPr>
              <w:t>则需要活性炭</w:t>
            </w:r>
            <w:r>
              <w:rPr>
                <w:rFonts w:ascii="Times New Roman" w:cs="Times New Roman" w:hAnsi="Times New Roman" w:hint="eastAsia"/>
                <w:bCs/>
                <w:color w:val="auto"/>
                <w:sz w:val="24"/>
                <w:szCs w:val="24"/>
                <w:lang w:val="en-US" w:eastAsia="zh-CN"/>
                <w:highlight w:val="none"/>
              </w:rPr>
              <w:t>4</w:t>
            </w:r>
            <w:r>
              <w:rPr>
                <w:rFonts w:ascii="Times New Roman" w:eastAsia="宋体" w:cs="Times New Roman" w:hAnsi="Times New Roman"/>
                <w:bCs/>
                <w:color w:val="auto"/>
                <w:sz w:val="24"/>
                <w:szCs w:val="24"/>
                <w:lang w:val="en-US" w:eastAsia="zh-CN"/>
                <w:highlight w:val="none"/>
              </w:rPr>
              <w:t>m</w:t>
            </w:r>
            <w:r>
              <w:rPr>
                <w:rFonts w:ascii="Times New Roman" w:eastAsia="宋体" w:cs="Times New Roman" w:hAnsi="Times New Roman"/>
                <w:bCs/>
                <w:color w:val="auto"/>
                <w:sz w:val="24"/>
                <w:szCs w:val="24"/>
                <w:vertAlign w:val="superscript"/>
                <w:lang w:val="en-US" w:eastAsia="zh-CN"/>
                <w:highlight w:val="none"/>
              </w:rPr>
              <w:t>3</w:t>
            </w:r>
            <w:r>
              <w:rPr>
                <w:rFonts w:ascii="Times New Roman" w:eastAsia="宋体" w:cs="Times New Roman" w:hAnsi="Times New Roman" w:hint="eastAsia"/>
                <w:bCs/>
                <w:color w:val="auto"/>
                <w:sz w:val="24"/>
                <w:szCs w:val="24"/>
                <w:lang w:val="en-US" w:eastAsia="zh-CN"/>
                <w:highlight w:val="none"/>
              </w:rPr>
              <w:t>。</w:t>
            </w:r>
            <w:r>
              <w:rPr>
                <w:rFonts w:ascii="Times New Roman" w:eastAsia="宋体" w:cs="Times New Roman" w:hAnsi="Times New Roman" w:hint="eastAsia"/>
                <w:color w:val="auto"/>
                <w:sz w:val="24"/>
                <w:szCs w:val="20"/>
                <w:lang w:val="en-US" w:eastAsia="zh-CN"/>
                <w:highlight w:val="none"/>
              </w:rPr>
              <w:t>活性炭密度为650kg/m</w:t>
            </w:r>
            <w:r>
              <w:rPr>
                <w:rFonts w:ascii="Times New Roman" w:eastAsia="宋体" w:cs="Times New Roman" w:hAnsi="Times New Roman" w:hint="eastAsia"/>
                <w:color w:val="auto"/>
                <w:sz w:val="24"/>
                <w:szCs w:val="20"/>
                <w:vertAlign w:val="superscript"/>
                <w:lang w:val="en-US" w:eastAsia="zh-CN"/>
                <w:highlight w:val="none"/>
              </w:rPr>
              <w:t>3</w:t>
            </w:r>
            <w:r>
              <w:rPr>
                <w:rFonts w:ascii="Times New Roman" w:eastAsia="宋体" w:cs="Times New Roman" w:hAnsi="Times New Roman" w:hint="eastAsia"/>
                <w:color w:val="auto"/>
                <w:sz w:val="24"/>
                <w:szCs w:val="20"/>
                <w:vertAlign w:val="baseline"/>
                <w:lang w:val="en-US" w:eastAsia="zh-CN"/>
                <w:highlight w:val="none"/>
              </w:rPr>
              <w:t>，</w:t>
            </w:r>
            <w:r>
              <w:rPr>
                <w:rFonts w:ascii="Times New Roman" w:eastAsia="宋体" w:cs="Times New Roman" w:hAnsi="Times New Roman" w:hint="eastAsia"/>
                <w:color w:val="auto"/>
                <w:sz w:val="24"/>
                <w:szCs w:val="20"/>
                <w:lang w:val="en-US" w:eastAsia="zh-CN"/>
                <w:highlight w:val="none"/>
              </w:rPr>
              <w:t>因此</w:t>
            </w:r>
            <w:r>
              <w:rPr>
                <w:rFonts w:ascii="Times New Roman" w:eastAsia="宋体" w:cs="Times New Roman" w:hAnsi="Times New Roman" w:hint="eastAsia"/>
                <w:bCs/>
                <w:color w:val="auto"/>
                <w:sz w:val="24"/>
                <w:szCs w:val="24"/>
                <w:lang w:val="en-US" w:eastAsia="zh-CN"/>
                <w:highlight w:val="none"/>
              </w:rPr>
              <w:t>“两级活性炭吸附设备”</w:t>
            </w:r>
            <w:r>
              <w:rPr>
                <w:rFonts w:ascii="Times New Roman" w:eastAsia="宋体" w:cs="Times New Roman" w:hAnsi="Times New Roman" w:hint="eastAsia"/>
                <w:color w:val="auto"/>
                <w:sz w:val="24"/>
                <w:szCs w:val="20"/>
                <w:lang w:val="en-US" w:eastAsia="zh-CN"/>
                <w:highlight w:val="none"/>
              </w:rPr>
              <w:t>填充量为</w:t>
            </w:r>
            <w:r>
              <w:rPr>
                <w:rFonts w:ascii="Times New Roman" w:cs="Times New Roman" w:hAnsi="Times New Roman" w:hint="eastAsia"/>
                <w:color w:val="auto"/>
                <w:sz w:val="24"/>
                <w:szCs w:val="20"/>
                <w:lang w:val="en-US" w:eastAsia="zh-CN"/>
                <w:highlight w:val="none"/>
              </w:rPr>
              <w:t>2.6</w:t>
            </w:r>
            <w:r>
              <w:rPr>
                <w:rFonts w:ascii="Times New Roman" w:eastAsia="宋体" w:cs="Times New Roman" w:hAnsi="Times New Roman" w:hint="eastAsia"/>
                <w:color w:val="auto"/>
                <w:sz w:val="24"/>
                <w:szCs w:val="20"/>
                <w:lang w:val="en-US" w:eastAsia="zh-CN"/>
                <w:highlight w:val="none"/>
              </w:rPr>
              <w:t>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根据活性炭更换周期计算公式：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center"/>
              <w:textAlignment w:val="auto"/>
              <w:rPr>
                <w:rFonts w:ascii="Times New Roman" w:eastAsia="宋体" w:cs="Times New Roman" w:hAnsi="Times New Roman"/>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T=G×10%×10</w:t>
            </w:r>
            <w:r>
              <w:rPr>
                <w:rFonts w:ascii="Times New Roman" w:eastAsia="宋体" w:cs="Times New Roman" w:hAnsi="Times New Roman" w:hint="eastAsia"/>
                <w:color w:val="auto"/>
                <w:sz w:val="24"/>
                <w:szCs w:val="20"/>
                <w:vertAlign w:val="superscript"/>
                <w:lang w:val="en-US" w:eastAsia="zh-CN"/>
                <w:highlight w:val="none"/>
              </w:rPr>
              <w:t>9</w:t>
            </w:r>
            <w:r>
              <w:rPr>
                <w:rFonts w:ascii="Times New Roman" w:eastAsia="宋体" w:cs="Times New Roman" w:hAnsi="Times New Roman" w:hint="eastAsia"/>
                <w:color w:val="auto"/>
                <w:sz w:val="24"/>
                <w:szCs w:val="20"/>
                <w:lang w:val="en-US" w:eastAsia="zh-CN"/>
                <w:highlight w:val="none"/>
              </w:rPr>
              <w:t>÷（C×Q×T</w:t>
            </w:r>
            <w:r>
              <w:rPr>
                <w:rFonts w:ascii="Times New Roman" w:eastAsia="宋体" w:cs="Times New Roman" w:hAnsi="Times New Roman" w:hint="eastAsia"/>
                <w:color w:val="auto"/>
                <w:sz w:val="24"/>
                <w:szCs w:val="20"/>
                <w:vertAlign w:val="subscript"/>
                <w:lang w:val="en-US" w:eastAsia="zh-CN"/>
                <w:highlight w:val="none"/>
              </w:rPr>
              <w:t>1</w:t>
            </w:r>
            <w:r>
              <w:rPr>
                <w:rFonts w:ascii="Times New Roman" w:eastAsia="宋体" w:cs="Times New Roman" w:hAnsi="Times New Roman" w:hint="eastAsia"/>
                <w:color w:val="auto"/>
                <w:sz w:val="24"/>
                <w:szCs w:val="20"/>
                <w:lang w:val="en-US" w:eastAsia="zh-CN"/>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式中：T——更换周期，d；</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500" w:firstLine="1200"/>
              <w:jc w:val="both"/>
              <w:textAlignment w:val="auto"/>
              <w:rPr>
                <w:rFonts w:ascii="Times New Roman" w:eastAsia="宋体" w:cs="Times New Roman" w:hAnsi="Times New Roman"/>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G——活性炭的重量，t；项目取值</w:t>
            </w:r>
            <w:r>
              <w:rPr>
                <w:rFonts w:ascii="Times New Roman" w:cs="Times New Roman" w:hAnsi="Times New Roman" w:hint="eastAsia"/>
                <w:color w:val="auto"/>
                <w:sz w:val="24"/>
                <w:szCs w:val="20"/>
                <w:lang w:val="en-US" w:eastAsia="zh-CN"/>
                <w:highlight w:val="none"/>
              </w:rPr>
              <w:t>2.6</w:t>
            </w:r>
            <w:r>
              <w:rPr>
                <w:rFonts w:ascii="Times New Roman" w:eastAsia="宋体" w:cs="Times New Roman" w:hAnsi="Times New Roman" w:hint="eastAsia"/>
                <w:color w:val="auto"/>
                <w:sz w:val="24"/>
                <w:szCs w:val="20"/>
                <w:lang w:val="en-US" w:eastAsia="zh-CN"/>
                <w:highlight w:val="none"/>
              </w:rPr>
              <w:t>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500" w:firstLine="1200"/>
              <w:jc w:val="both"/>
              <w:textAlignment w:val="auto"/>
              <w:rPr>
                <w:rFonts w:ascii="Times New Roman" w:eastAsia="宋体" w:cs="Times New Roman" w:hAnsi="Times New Roman"/>
                <w:bCs/>
                <w:color w:val="auto"/>
                <w:sz w:val="24"/>
                <w:szCs w:val="24"/>
                <w:lang w:val="en-US" w:eastAsia="zh-CN"/>
                <w:highlight w:val="none"/>
              </w:rPr>
            </w:pPr>
            <w:r>
              <w:rPr>
                <w:rFonts w:ascii="Times New Roman" w:eastAsia="宋体" w:cs="Times New Roman" w:hAnsi="Times New Roman" w:hint="eastAsia"/>
                <w:color w:val="auto"/>
                <w:sz w:val="24"/>
                <w:szCs w:val="20"/>
                <w:lang w:val="en-US" w:eastAsia="zh-CN"/>
                <w:highlight w:val="none"/>
              </w:rPr>
              <w:t>C——废气</w:t>
            </w:r>
            <w:r>
              <w:rPr>
                <w:rFonts w:ascii="Times New Roman" w:cs="Times New Roman" w:hAnsi="Times New Roman" w:hint="eastAsia"/>
                <w:color w:val="auto"/>
                <w:sz w:val="24"/>
                <w:szCs w:val="20"/>
                <w:lang w:val="en-US" w:eastAsia="zh-CN"/>
                <w:highlight w:val="none"/>
              </w:rPr>
              <w:t>去除</w:t>
            </w:r>
            <w:r>
              <w:rPr>
                <w:rFonts w:ascii="Times New Roman" w:eastAsia="宋体" w:cs="Times New Roman" w:hAnsi="Times New Roman" w:hint="eastAsia"/>
                <w:color w:val="auto"/>
                <w:sz w:val="24"/>
                <w:szCs w:val="20"/>
                <w:lang w:val="en-US" w:eastAsia="zh-CN"/>
                <w:highlight w:val="none"/>
              </w:rPr>
              <w:t>浓度，mg/m</w:t>
            </w:r>
            <w:r>
              <w:rPr>
                <w:rFonts w:ascii="Times New Roman" w:eastAsia="宋体" w:cs="Times New Roman" w:hAnsi="Times New Roman" w:hint="eastAsia"/>
                <w:color w:val="auto"/>
                <w:sz w:val="24"/>
                <w:szCs w:val="20"/>
                <w:vertAlign w:val="superscript"/>
                <w:lang w:val="en-US" w:eastAsia="zh-CN"/>
                <w:highlight w:val="none"/>
              </w:rPr>
              <w:t>3</w:t>
            </w:r>
            <w:r>
              <w:rPr>
                <w:rFonts w:ascii="Times New Roman" w:eastAsia="宋体" w:cs="Times New Roman" w:hAnsi="Times New Roman" w:hint="eastAsia"/>
                <w:color w:val="auto"/>
                <w:sz w:val="24"/>
                <w:szCs w:val="20"/>
                <w:lang w:val="en-US" w:eastAsia="zh-CN"/>
                <w:highlight w:val="none"/>
              </w:rPr>
              <w:t>；项目</w:t>
            </w:r>
            <w:r>
              <w:rPr>
                <w:rFonts w:ascii="Times New Roman" w:eastAsia="宋体" w:cs="Times New Roman" w:hAnsi="Times New Roman" w:hint="eastAsia"/>
                <w:bCs/>
                <w:color w:val="auto"/>
                <w:sz w:val="24"/>
                <w:szCs w:val="24"/>
                <w:lang w:val="en-US" w:eastAsia="zh-CN"/>
                <w:highlight w:val="none"/>
              </w:rPr>
              <w:t>非甲烷总烃</w:t>
            </w:r>
            <w:r>
              <w:rPr>
                <w:rFonts w:ascii="Times New Roman" w:cs="Times New Roman" w:hAnsi="Times New Roman" w:hint="eastAsia"/>
                <w:bCs/>
                <w:color w:val="auto"/>
                <w:sz w:val="24"/>
                <w:szCs w:val="24"/>
                <w:lang w:val="en-US" w:eastAsia="zh-CN"/>
                <w:highlight w:val="none"/>
              </w:rPr>
              <w:t>去除</w:t>
            </w:r>
            <w:r>
              <w:rPr>
                <w:rFonts w:ascii="Times New Roman" w:eastAsia="宋体" w:cs="Times New Roman" w:hAnsi="Times New Roman" w:hint="eastAsia"/>
                <w:bCs/>
                <w:color w:val="auto"/>
                <w:sz w:val="24"/>
                <w:szCs w:val="24"/>
                <w:lang w:val="en-US" w:eastAsia="zh-CN"/>
                <w:highlight w:val="none"/>
              </w:rPr>
              <w:t>浓度</w:t>
            </w:r>
            <w:r>
              <w:rPr>
                <w:rFonts w:ascii="Times New Roman" w:cs="Times New Roman" w:hAnsi="Times New Roman" w:hint="eastAsia"/>
                <w:color w:val="auto"/>
                <w:sz w:val="24"/>
                <w:szCs w:val="20"/>
                <w:lang w:val="en-US" w:eastAsia="zh-CN"/>
                <w:highlight w:val="none"/>
              </w:rPr>
              <w:t>6.338</w:t>
            </w:r>
            <w:r>
              <w:rPr>
                <w:rFonts w:ascii="Times New Roman" w:eastAsia="宋体" w:cs="Times New Roman" w:hAnsi="Times New Roman" w:hint="eastAsia"/>
                <w:color w:val="auto"/>
                <w:sz w:val="24"/>
                <w:szCs w:val="20"/>
                <w:lang w:val="en-US" w:eastAsia="zh-CN"/>
                <w:highlight w:val="none"/>
              </w:rPr>
              <w:t>mg/m</w:t>
            </w:r>
            <w:r>
              <w:rPr>
                <w:rFonts w:ascii="Times New Roman" w:eastAsia="宋体" w:cs="Times New Roman" w:hAnsi="Times New Roman" w:hint="eastAsia"/>
                <w:color w:val="auto"/>
                <w:sz w:val="24"/>
                <w:szCs w:val="20"/>
                <w:vertAlign w:val="superscript"/>
                <w:lang w:val="en-US" w:eastAsia="zh-CN"/>
                <w:highlight w:val="none"/>
              </w:rPr>
              <w:t>3</w:t>
            </w:r>
            <w:r>
              <w:rPr>
                <w:rFonts w:ascii="Times New Roman" w:eastAsia="宋体" w:cs="Times New Roman" w:hAnsi="Times New Roman" w:hint="eastAsia"/>
                <w:color w:val="auto"/>
                <w:sz w:val="24"/>
                <w:szCs w:val="20"/>
                <w:vertAlign w:val="baseline"/>
                <w:lang w:val="en-US" w:eastAsia="zh-CN"/>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500" w:firstLine="1200"/>
              <w:jc w:val="both"/>
              <w:textAlignment w:val="auto"/>
              <w:rPr>
                <w:rFonts w:ascii="Times New Roman" w:eastAsia="宋体" w:cs="Times New Roman" w:hAnsi="Times New Roman"/>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Q——风量，单位m</w:t>
            </w:r>
            <w:r>
              <w:rPr>
                <w:rFonts w:ascii="Times New Roman" w:eastAsia="宋体" w:cs="Times New Roman" w:hAnsi="Times New Roman" w:hint="eastAsia"/>
                <w:color w:val="auto"/>
                <w:sz w:val="24"/>
                <w:szCs w:val="20"/>
                <w:vertAlign w:val="superscript"/>
                <w:lang w:val="en-US" w:eastAsia="zh-CN"/>
                <w:highlight w:val="none"/>
              </w:rPr>
              <w:t>3</w:t>
            </w:r>
            <w:r>
              <w:rPr>
                <w:rFonts w:ascii="Times New Roman" w:eastAsia="宋体" w:cs="Times New Roman" w:hAnsi="Times New Roman" w:hint="eastAsia"/>
                <w:color w:val="auto"/>
                <w:sz w:val="24"/>
                <w:szCs w:val="20"/>
                <w:lang w:val="en-US" w:eastAsia="zh-CN"/>
                <w:highlight w:val="none"/>
              </w:rPr>
              <w:t>/h；项目取值</w:t>
            </w:r>
            <w:r>
              <w:rPr>
                <w:rFonts w:ascii="Times New Roman" w:cs="Times New Roman" w:hAnsi="Times New Roman" w:hint="eastAsia"/>
                <w:color w:val="auto"/>
                <w:sz w:val="24"/>
                <w:szCs w:val="20"/>
                <w:lang w:val="en-US" w:eastAsia="zh-CN"/>
                <w:highlight w:val="none"/>
              </w:rPr>
              <w:t>10000</w:t>
            </w:r>
            <w:r>
              <w:rPr>
                <w:rFonts w:ascii="Times New Roman" w:eastAsia="宋体" w:cs="Times New Roman" w:hAnsi="Times New Roman" w:hint="eastAsia"/>
                <w:color w:val="auto"/>
                <w:sz w:val="24"/>
                <w:szCs w:val="20"/>
                <w:lang w:val="en-US" w:eastAsia="zh-CN"/>
                <w:highlight w:val="none"/>
              </w:rPr>
              <w:t>m</w:t>
            </w:r>
            <w:r>
              <w:rPr>
                <w:rFonts w:ascii="Times New Roman" w:eastAsia="宋体" w:cs="Times New Roman" w:hAnsi="Times New Roman" w:hint="eastAsia"/>
                <w:color w:val="auto"/>
                <w:sz w:val="24"/>
                <w:szCs w:val="20"/>
                <w:vertAlign w:val="superscript"/>
                <w:lang w:val="en-US" w:eastAsia="zh-CN"/>
                <w:highlight w:val="none"/>
              </w:rPr>
              <w:t>3</w:t>
            </w:r>
            <w:r>
              <w:rPr>
                <w:rFonts w:ascii="Times New Roman" w:eastAsia="宋体" w:cs="Times New Roman" w:hAnsi="Times New Roman" w:hint="eastAsia"/>
                <w:color w:val="auto"/>
                <w:sz w:val="24"/>
                <w:szCs w:val="20"/>
                <w:lang w:val="en-US" w:eastAsia="zh-CN"/>
                <w:highlight w:val="none"/>
              </w:rPr>
              <w:t>/h；</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500" w:firstLine="1200"/>
              <w:jc w:val="both"/>
              <w:textAlignment w:val="auto"/>
              <w:rPr>
                <w:rFonts w:ascii="Times New Roman" w:eastAsia="宋体" w:cs="Times New Roman" w:hAnsi="Times New Roman"/>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T</w:t>
            </w:r>
            <w:r>
              <w:rPr>
                <w:rFonts w:ascii="Times New Roman" w:eastAsia="宋体" w:cs="Times New Roman" w:hAnsi="Times New Roman" w:hint="eastAsia"/>
                <w:color w:val="auto"/>
                <w:sz w:val="24"/>
                <w:szCs w:val="20"/>
                <w:vertAlign w:val="subscript"/>
                <w:lang w:val="en-US" w:eastAsia="zh-CN"/>
                <w:highlight w:val="none"/>
              </w:rPr>
              <w:t>1</w:t>
            </w:r>
            <w:r>
              <w:rPr>
                <w:rFonts w:ascii="Times New Roman" w:eastAsia="宋体" w:cs="Times New Roman" w:hAnsi="Times New Roman" w:hint="eastAsia"/>
                <w:color w:val="auto"/>
                <w:sz w:val="24"/>
                <w:szCs w:val="20"/>
                <w:lang w:val="en-US" w:eastAsia="zh-CN"/>
                <w:highlight w:val="none"/>
              </w:rPr>
              <w:t>——运行时间，单位h/d；项目取值</w:t>
            </w:r>
            <w:r>
              <w:rPr>
                <w:rFonts w:ascii="Times New Roman" w:cs="Times New Roman" w:hAnsi="Times New Roman" w:hint="eastAsia"/>
                <w:color w:val="auto"/>
                <w:sz w:val="24"/>
                <w:szCs w:val="20"/>
                <w:lang w:val="en-US" w:eastAsia="zh-CN"/>
                <w:highlight w:val="none"/>
              </w:rPr>
              <w:t>16</w:t>
            </w:r>
            <w:r>
              <w:rPr>
                <w:rFonts w:ascii="Times New Roman" w:eastAsia="宋体" w:cs="Times New Roman" w:hAnsi="Times New Roman" w:hint="eastAsia"/>
                <w:color w:val="auto"/>
                <w:sz w:val="24"/>
                <w:szCs w:val="20"/>
                <w:lang w:val="en-US" w:eastAsia="zh-CN"/>
                <w:highlight w:val="none"/>
              </w:rPr>
              <w:t>h/d。</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经计算可知：</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hint="eastAsia"/>
                <w:color w:val="auto"/>
                <w:sz w:val="24"/>
                <w:szCs w:val="20"/>
                <w:lang w:val="en-US" w:eastAsia="zh-CN"/>
                <w:highlight w:val="none"/>
              </w:rPr>
            </w:pPr>
            <w:r>
              <w:rPr>
                <w:rFonts w:ascii="Times New Roman" w:eastAsia="宋体" w:cs="Times New Roman" w:hAnsi="Times New Roman" w:hint="eastAsia"/>
                <w:color w:val="auto"/>
                <w:sz w:val="24"/>
                <w:szCs w:val="20"/>
                <w:lang w:val="en-US" w:eastAsia="zh-CN"/>
                <w:highlight w:val="none"/>
              </w:rPr>
              <w:t>T</w:t>
            </w:r>
            <w:r>
              <w:rPr>
                <w:rFonts w:ascii="Times New Roman" w:cs="Times New Roman" w:hAnsi="Times New Roman" w:hint="eastAsia"/>
                <w:color w:val="auto"/>
                <w:sz w:val="24"/>
                <w:szCs w:val="20"/>
                <w:vertAlign w:val="subscript"/>
                <w:lang w:val="en-US" w:eastAsia="zh-CN"/>
                <w:highlight w:val="none"/>
              </w:rPr>
              <w:t>DA002</w:t>
            </w:r>
            <w:r>
              <w:rPr>
                <w:rFonts w:ascii="Times New Roman" w:eastAsia="宋体" w:cs="Times New Roman" w:hAnsi="Times New Roman" w:hint="eastAsia"/>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2.6</w:t>
            </w:r>
            <w:r>
              <w:rPr>
                <w:rFonts w:ascii="Times New Roman" w:eastAsia="宋体" w:cs="Times New Roman" w:hAnsi="Times New Roman" w:hint="eastAsia"/>
                <w:color w:val="auto"/>
                <w:sz w:val="24"/>
                <w:szCs w:val="20"/>
                <w:lang w:val="en-US" w:eastAsia="zh-CN"/>
                <w:highlight w:val="none"/>
              </w:rPr>
              <w:t>×10%×10</w:t>
            </w:r>
            <w:r>
              <w:rPr>
                <w:rFonts w:ascii="Times New Roman" w:eastAsia="宋体" w:cs="Times New Roman" w:hAnsi="Times New Roman" w:hint="eastAsia"/>
                <w:color w:val="auto"/>
                <w:sz w:val="24"/>
                <w:szCs w:val="20"/>
                <w:vertAlign w:val="superscript"/>
                <w:lang w:val="en-US" w:eastAsia="zh-CN"/>
                <w:highlight w:val="none"/>
              </w:rPr>
              <w:t>9</w:t>
            </w:r>
            <w:r>
              <w:rPr>
                <w:rFonts w:ascii="Times New Roman" w:eastAsia="宋体" w:cs="Times New Roman" w:hAnsi="Times New Roman" w:hint="eastAsia"/>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6.338</w:t>
            </w:r>
            <w:r>
              <w:rPr>
                <w:rFonts w:ascii="Times New Roman" w:eastAsia="宋体" w:cs="Times New Roman" w:hAnsi="Times New Roman" w:hint="eastAsia"/>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10</w:t>
            </w:r>
            <w:r>
              <w:rPr>
                <w:rFonts w:ascii="Times New Roman" w:eastAsia="宋体" w:cs="Times New Roman" w:hAnsi="Times New Roman" w:hint="eastAsia"/>
                <w:color w:val="auto"/>
                <w:sz w:val="24"/>
                <w:szCs w:val="20"/>
                <w:lang w:val="en-US" w:eastAsia="zh-CN"/>
                <w:highlight w:val="none"/>
              </w:rPr>
              <w:t>000×</w:t>
            </w:r>
            <w:r>
              <w:rPr>
                <w:rFonts w:ascii="Times New Roman" w:cs="Times New Roman" w:hAnsi="Times New Roman" w:hint="eastAsia"/>
                <w:color w:val="auto"/>
                <w:sz w:val="24"/>
                <w:szCs w:val="20"/>
                <w:lang w:val="en-US" w:eastAsia="zh-CN"/>
                <w:highlight w:val="none"/>
              </w:rPr>
              <w:t>16</w:t>
            </w:r>
            <w:r>
              <w:rPr>
                <w:rFonts w:ascii="Times New Roman" w:eastAsia="宋体" w:cs="Times New Roman" w:hAnsi="Times New Roman" w:hint="eastAsia"/>
                <w:color w:val="auto"/>
                <w:sz w:val="24"/>
                <w:szCs w:val="20"/>
                <w:lang w:val="en-US" w:eastAsia="zh-CN"/>
                <w:highlight w:val="none"/>
              </w:rPr>
              <w:t>）≈</w:t>
            </w:r>
            <w:r>
              <w:rPr>
                <w:rFonts w:ascii="Times New Roman" w:cs="Times New Roman" w:hAnsi="Times New Roman" w:hint="eastAsia"/>
                <w:color w:val="auto"/>
                <w:sz w:val="24"/>
                <w:szCs w:val="20"/>
                <w:lang w:val="en-US" w:eastAsia="zh-CN"/>
                <w:highlight w:val="none"/>
              </w:rPr>
              <w:t>256</w:t>
            </w:r>
            <w:r>
              <w:rPr>
                <w:rFonts w:ascii="Times New Roman" w:eastAsia="宋体" w:cs="Times New Roman" w:hAnsi="Times New Roman" w:hint="eastAsia"/>
                <w:color w:val="auto"/>
                <w:sz w:val="24"/>
                <w:szCs w:val="20"/>
                <w:lang w:val="en-US" w:eastAsia="zh-CN"/>
                <w:highlight w:val="none"/>
              </w:rPr>
              <w:t>天，</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eastAsia="宋体" w:cs="Times New Roman" w:hAnsi="Times New Roman"/>
                <w:bCs/>
                <w:color w:val="auto"/>
                <w:sz w:val="24"/>
                <w:szCs w:val="24"/>
                <w:lang w:val="en-US" w:eastAsia="zh-CN"/>
                <w:highlight w:val="none"/>
              </w:rPr>
            </w:pPr>
            <w:r>
              <w:rPr>
                <w:rFonts w:ascii="Times New Roman" w:eastAsia="宋体" w:cs="Times New Roman" w:hAnsi="Times New Roman" w:hint="eastAsia"/>
                <w:color w:val="auto"/>
                <w:sz w:val="24"/>
                <w:szCs w:val="24"/>
                <w:lang w:val="en-US" w:eastAsia="zh-CN"/>
                <w:highlight w:val="none"/>
              </w:rPr>
              <w:t>活性炭吸附装置需定期更换活性炭，根据上述计算，</w:t>
            </w:r>
            <w:r>
              <w:rPr>
                <w:rFonts w:ascii="Times New Roman" w:eastAsia="宋体" w:cs="Times New Roman" w:hAnsi="Times New Roman" w:hint="eastAsia"/>
                <w:bCs/>
                <w:color w:val="auto"/>
                <w:sz w:val="24"/>
                <w:szCs w:val="24"/>
                <w:lang w:val="en-US" w:eastAsia="zh-CN"/>
                <w:highlight w:val="none"/>
              </w:rPr>
              <w:t>两</w:t>
            </w:r>
            <w:r>
              <w:rPr>
                <w:rFonts w:ascii="Times New Roman" w:eastAsia="宋体" w:cs="Times New Roman" w:hAnsi="Times New Roman" w:hint="eastAsia"/>
                <w:color w:val="auto"/>
                <w:sz w:val="24"/>
                <w:szCs w:val="24"/>
                <w:lang w:val="en-US" w:eastAsia="zh-CN"/>
                <w:highlight w:val="none"/>
              </w:rPr>
              <w:t>级</w:t>
            </w:r>
            <w:r>
              <w:rPr>
                <w:rFonts w:ascii="Times New Roman" w:eastAsia="宋体" w:cs="Times New Roman" w:hAnsi="Times New Roman"/>
                <w:color w:val="auto"/>
                <w:sz w:val="24"/>
                <w:szCs w:val="24"/>
                <w:lang w:val="en-US" w:eastAsia="zh-CN"/>
                <w:highlight w:val="none"/>
              </w:rPr>
              <w:t>活性炭</w:t>
            </w:r>
            <w:r>
              <w:rPr>
                <w:rFonts w:ascii="Times New Roman" w:eastAsia="宋体" w:cs="Times New Roman" w:hAnsi="Times New Roman" w:hint="eastAsia"/>
                <w:color w:val="auto"/>
                <w:sz w:val="24"/>
                <w:szCs w:val="24"/>
                <w:lang w:val="en-US" w:eastAsia="zh-CN"/>
                <w:highlight w:val="none"/>
              </w:rPr>
              <w:t>吸附箱填充量为</w:t>
            </w:r>
            <w:r>
              <w:rPr>
                <w:rFonts w:ascii="Times New Roman" w:cs="Times New Roman" w:hAnsi="Times New Roman" w:hint="eastAsia"/>
                <w:color w:val="auto"/>
                <w:sz w:val="24"/>
                <w:szCs w:val="24"/>
                <w:lang w:val="en-US" w:eastAsia="zh-CN"/>
                <w:highlight w:val="none"/>
              </w:rPr>
              <w:t>2.6</w:t>
            </w:r>
            <w:r>
              <w:rPr>
                <w:rFonts w:ascii="Times New Roman" w:eastAsia="宋体" w:cs="Times New Roman" w:hAnsi="Times New Roman" w:hint="eastAsia"/>
                <w:color w:val="auto"/>
                <w:sz w:val="24"/>
                <w:szCs w:val="24"/>
                <w:lang w:val="en-US" w:eastAsia="zh-CN"/>
                <w:highlight w:val="none"/>
              </w:rPr>
              <w:t>t，则活性炭产生量为</w:t>
            </w:r>
            <w:r>
              <w:rPr>
                <w:rFonts w:ascii="Times New Roman" w:cs="Times New Roman" w:hAnsi="Times New Roman" w:hint="eastAsia"/>
                <w:color w:val="auto"/>
                <w:sz w:val="24"/>
                <w:szCs w:val="24"/>
                <w:lang w:val="en-US" w:eastAsia="zh-CN"/>
                <w:highlight w:val="none"/>
              </w:rPr>
              <w:t>3.047t（2.6t÷256天×300天≈3.047t），活性炭吸附量为0.304t，则废活性炭产生量为3.351t/a</w:t>
            </w:r>
            <w:r>
              <w:rPr>
                <w:rFonts w:ascii="Times New Roman" w:eastAsia="宋体" w:cs="Times New Roman" w:hAnsi="Times New Roman" w:hint="eastAsia"/>
                <w:color w:val="auto"/>
                <w:sz w:val="24"/>
                <w:szCs w:val="24"/>
                <w:lang w:val="en-US" w:eastAsia="zh-CN"/>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60" w:lineRule="exact"/>
              <w:ind w:left="0" w:right="0" w:firstLineChars="200" w:firstLine="480"/>
              <w:jc w:val="both"/>
              <w:textAlignment w:val="auto"/>
              <w:rPr>
                <w:rFonts w:ascii="Times New Roman" w:cs="Times New Roman" w:hAnsi="Times New Roman"/>
                <w:caps w:val="0"/>
                <w:smallCaps w:val="0"/>
                <w:color w:val="auto"/>
                <w:spacing w:val="0"/>
                <w:sz w:val="24"/>
                <w:szCs w:val="24"/>
                <w:highlight w:val="none"/>
              </w:rPr>
            </w:pPr>
            <w:r>
              <w:rPr>
                <w:rFonts w:ascii="Times New Roman" w:cs="Times New Roman" w:hAnsi="Times New Roman" w:hint="eastAsia"/>
                <w:color w:val="auto"/>
                <w:sz w:val="24"/>
                <w:szCs w:val="24"/>
                <w:lang w:val="en-US" w:eastAsia="zh-CN"/>
                <w:highlight w:val="none"/>
              </w:rPr>
              <w:t>废布袋</w:t>
            </w:r>
            <w:r>
              <w:rPr>
                <w:rFonts w:ascii="Times New Roman" w:eastAsia="宋体" w:cs="Times New Roman" w:hAnsi="Times New Roman" w:hint="eastAsia"/>
                <w:color w:val="auto"/>
                <w:sz w:val="24"/>
                <w:szCs w:val="24"/>
                <w:lang w:val="en-US" w:eastAsia="zh-CN"/>
                <w:highlight w:val="none"/>
              </w:rPr>
              <w:t>产生量为</w:t>
            </w:r>
            <w:r>
              <w:rPr>
                <w:rFonts w:ascii="Times New Roman" w:cs="Times New Roman" w:hAnsi="Times New Roman" w:hint="eastAsia"/>
                <w:color w:val="auto"/>
                <w:sz w:val="24"/>
                <w:szCs w:val="24"/>
                <w:lang w:val="en-US" w:eastAsia="zh-CN"/>
                <w:highlight w:val="none"/>
              </w:rPr>
              <w:t>0.131</w:t>
            </w:r>
            <w:r>
              <w:rPr>
                <w:rFonts w:ascii="Times New Roman" w:eastAsia="宋体" w:cs="Times New Roman" w:hAnsi="Times New Roman" w:hint="eastAsia"/>
                <w:color w:val="auto"/>
                <w:sz w:val="24"/>
                <w:szCs w:val="24"/>
                <w:lang w:val="en-US" w:eastAsia="zh-CN"/>
                <w:highlight w:val="none"/>
              </w:rPr>
              <w:t>t/a</w:t>
            </w:r>
            <w:r>
              <w:rPr>
                <w:rFonts w:ascii="Times New Roman" w:cs="Times New Roman" w:hAnsi="Times New Roman" w:hint="eastAsia"/>
                <w:color w:val="auto"/>
                <w:sz w:val="24"/>
                <w:szCs w:val="24"/>
                <w:lang w:val="en-US" w:eastAsia="zh-CN"/>
                <w:highlight w:val="none"/>
              </w:rPr>
              <w:t>，除尘灰产生量为0.225t/a</w:t>
            </w:r>
            <w:r>
              <w:rPr>
                <w:rFonts w:ascii="Times New Roman" w:eastAsia="宋体" w:cs="Times New Roman" w:hAnsi="Times New Roman" w:hint="eastAsia"/>
                <w:color w:val="auto"/>
                <w:sz w:val="24"/>
                <w:szCs w:val="24"/>
                <w:lang w:val="en-US" w:eastAsia="zh-CN"/>
                <w:highlight w:val="none"/>
              </w:rPr>
              <w:t>；</w:t>
            </w:r>
            <w:r>
              <w:rPr>
                <w:rFonts w:ascii="Times New Roman" w:cs="Times New Roman" w:hAnsi="Times New Roman"/>
                <w:color w:val="auto"/>
                <w:sz w:val="24"/>
                <w:szCs w:val="20"/>
                <w:highlight w:val="none"/>
              </w:rPr>
              <w:t>设备维护产生的废润滑油产生量为</w:t>
            </w:r>
            <w:r>
              <w:rPr>
                <w:rFonts w:ascii="Times New Roman" w:cs="Times New Roman" w:hAnsi="Times New Roman" w:hint="eastAsia"/>
                <w:color w:val="auto"/>
                <w:sz w:val="24"/>
                <w:szCs w:val="20"/>
                <w:lang w:val="en-US" w:eastAsia="zh-CN"/>
                <w:highlight w:val="none"/>
              </w:rPr>
              <w:t>0.005</w:t>
            </w:r>
            <w:r>
              <w:rPr>
                <w:rFonts w:ascii="Times New Roman" w:cs="Times New Roman" w:hAnsi="Times New Roman"/>
                <w:color w:val="auto"/>
                <w:sz w:val="24"/>
                <w:szCs w:val="20"/>
                <w:highlight w:val="none"/>
              </w:rPr>
              <w:t>t/a，废润滑油桶产生量为</w:t>
            </w:r>
            <w:r>
              <w:rPr>
                <w:rFonts w:ascii="Times New Roman" w:cs="Times New Roman" w:hAnsi="Times New Roman" w:hint="eastAsia"/>
                <w:color w:val="auto"/>
                <w:sz w:val="24"/>
                <w:szCs w:val="20"/>
                <w:lang w:val="en-US" w:eastAsia="zh-CN"/>
                <w:highlight w:val="none"/>
              </w:rPr>
              <w:t>0.001</w:t>
            </w:r>
            <w:r>
              <w:rPr>
                <w:rFonts w:ascii="Times New Roman" w:cs="Times New Roman" w:hAnsi="Times New Roman"/>
                <w:color w:val="auto"/>
                <w:sz w:val="24"/>
                <w:szCs w:val="20"/>
                <w:highlight w:val="none"/>
              </w:rPr>
              <w:t>t/a</w:t>
            </w:r>
            <w:r>
              <w:rPr>
                <w:rFonts w:ascii="Times New Roman" w:cs="Times New Roman" w:hAnsi="Times New Roman" w:hint="eastAsia"/>
                <w:color w:val="auto"/>
                <w:sz w:val="24"/>
                <w:szCs w:val="20"/>
                <w:lang w:eastAsia="zh-CN"/>
                <w:highlight w:val="none"/>
              </w:rPr>
              <w:t>，含油抹布及废劳保用品</w:t>
            </w:r>
            <w:r>
              <w:rPr>
                <w:rFonts w:ascii="Times New Roman" w:cs="Times New Roman" w:hAnsi="Times New Roman" w:hint="eastAsia"/>
                <w:color w:val="auto"/>
                <w:sz w:val="24"/>
                <w:szCs w:val="20"/>
                <w:lang w:val="en-US" w:eastAsia="zh-CN"/>
                <w:highlight w:val="none"/>
              </w:rPr>
              <w:t>产生量为0.001t/a，废切削液产生量为0.005t/a，废切削液桶桶产生量为0.001t/a，含油金属屑产生量0.005t/a</w:t>
            </w:r>
            <w:r>
              <w:rPr>
                <w:rFonts w:ascii="Times New Roman" w:cs="Times New Roman" w:hAnsi="Times New Roman"/>
                <w:color w:val="auto"/>
                <w:sz w:val="24"/>
                <w:szCs w:val="24"/>
                <w:highlight w:val="none"/>
              </w:rPr>
              <w:t>，</w:t>
            </w:r>
            <w:r>
              <w:rPr>
                <w:rFonts w:ascii="Times New Roman" w:cs="Times New Roman" w:hAnsi="Times New Roman" w:hint="eastAsia"/>
                <w:color w:val="auto"/>
                <w:sz w:val="24"/>
                <w:szCs w:val="24"/>
                <w:highlight w:val="none"/>
              </w:rPr>
              <w:t>分类</w:t>
            </w:r>
            <w:r>
              <w:rPr>
                <w:rFonts w:ascii="Times New Roman" w:cs="Times New Roman" w:hAnsi="Times New Roman" w:hint="eastAsia"/>
                <w:color w:val="auto"/>
                <w:sz w:val="24"/>
                <w:szCs w:val="24"/>
                <w:lang w:val="zh-CN"/>
                <w:highlight w:val="none"/>
              </w:rPr>
              <w:t>收集后暂存于危废间，定期交由有资质的单位处理</w:t>
            </w:r>
            <w:r>
              <w:rPr>
                <w:rFonts w:ascii="Times New Roman" w:cs="Times New Roman" w:hAnsi="Times New Roman"/>
                <w:caps w:val="0"/>
                <w:smallCaps w:val="0"/>
                <w:color w:val="auto"/>
                <w:spacing w:val="0"/>
                <w:sz w:val="24"/>
                <w:szCs w:val="24"/>
                <w:highlight w:val="none"/>
              </w:rPr>
              <w:t>。</w:t>
            </w:r>
          </w:p>
          <w:p>
            <w:pPr>
              <w:pStyle w:val="137"/>
              <w:keepNext w:val="0"/>
              <w:keepLines w:val="0"/>
              <w:suppressLineNumbers w:val="0"/>
              <w:spacing w:before="0" w:beforeAutospacing="0" w:after="0" w:afterAutospacing="0"/>
              <w:ind w:left="0" w:right="0"/>
              <w:jc w:val="both"/>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4"/>
                <w:szCs w:val="20"/>
                <w:lang w:val="en-US" w:eastAsia="zh-CN"/>
                <w:highlight w:val="none"/>
              </w:rPr>
              <w:t>7</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职工生活垃圾</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职工生活垃圾产生量按0.5kg/人·天计算，项目劳动定员</w:t>
            </w:r>
            <w:r>
              <w:rPr>
                <w:rFonts w:ascii="Times New Roman" w:cs="Times New Roman" w:hAnsi="Times New Roman" w:hint="eastAsia"/>
                <w:caps w:val="0"/>
                <w:smallCaps w:val="0"/>
                <w:color w:val="auto"/>
                <w:spacing w:val="0"/>
                <w:sz w:val="24"/>
                <w:szCs w:val="20"/>
                <w:lang w:val="en-US" w:eastAsia="zh-CN"/>
                <w:highlight w:val="none"/>
              </w:rPr>
              <w:t>20</w:t>
            </w:r>
            <w:r>
              <w:rPr>
                <w:rFonts w:ascii="Times New Roman" w:cs="Times New Roman" w:hAnsi="Times New Roman"/>
                <w:caps w:val="0"/>
                <w:smallCaps w:val="0"/>
                <w:color w:val="auto"/>
                <w:spacing w:val="0"/>
                <w:sz w:val="24"/>
                <w:szCs w:val="20"/>
                <w:highlight w:val="none"/>
              </w:rPr>
              <w:t>人，年工作300天，则项目生活垃圾产生量为</w:t>
            </w:r>
            <w:r>
              <w:rPr>
                <w:rFonts w:ascii="Times New Roman" w:cs="Times New Roman" w:hAnsi="Times New Roman" w:hint="eastAsia"/>
                <w:caps w:val="0"/>
                <w:smallCaps w:val="0"/>
                <w:color w:val="auto"/>
                <w:spacing w:val="0"/>
                <w:sz w:val="24"/>
                <w:szCs w:val="20"/>
                <w:lang w:val="en-US" w:eastAsia="zh-CN"/>
                <w:highlight w:val="none"/>
              </w:rPr>
              <w:t>3</w:t>
            </w:r>
            <w:r>
              <w:rPr>
                <w:rFonts w:ascii="Times New Roman" w:cs="Times New Roman" w:hAnsi="Times New Roman"/>
                <w:caps w:val="0"/>
                <w:smallCaps w:val="0"/>
                <w:color w:val="auto"/>
                <w:spacing w:val="0"/>
                <w:sz w:val="24"/>
                <w:szCs w:val="20"/>
                <w:highlight w:val="none"/>
              </w:rPr>
              <w:t>t/a，收集后由环卫部门统一处置。</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本项目固体废物产生与处置情况汇总</w:t>
            </w:r>
            <w:r>
              <w:rPr>
                <w:rFonts w:ascii="Times New Roman" w:cs="Times New Roman" w:hAnsi="Times New Roman"/>
                <w:caps w:val="0"/>
                <w:smallCaps w:val="0"/>
                <w:color w:val="auto"/>
                <w:spacing w:val="0"/>
                <w:sz w:val="24"/>
                <w:szCs w:val="20"/>
                <w:lang w:val="en-US" w:eastAsia="zh-CN"/>
                <w:highlight w:val="none"/>
              </w:rPr>
              <w:t>见下表</w:t>
            </w:r>
            <w:r>
              <w:rPr>
                <w:rFonts w:ascii="Times New Roman" w:cs="Times New Roman" w:hAnsi="Times New Roman"/>
                <w:caps w:val="0"/>
                <w:smallCaps w:val="0"/>
                <w:color w:val="auto"/>
                <w:spacing w:val="0"/>
                <w:sz w:val="24"/>
                <w:szCs w:val="20"/>
                <w:highlight w:val="none"/>
              </w:rPr>
              <w:t>。</w:t>
            </w:r>
          </w:p>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表4-</w:t>
            </w:r>
            <w:r>
              <w:rPr>
                <w:rFonts w:ascii="Times New Roman" w:cs="Times New Roman" w:hAnsi="Times New Roman" w:hint="eastAsia"/>
                <w:caps w:val="0"/>
                <w:smallCaps w:val="0"/>
                <w:color w:val="auto"/>
                <w:spacing w:val="0"/>
                <w:sz w:val="24"/>
                <w:szCs w:val="20"/>
                <w:lang w:val="en-US" w:eastAsia="zh-CN"/>
                <w:highlight w:val="none"/>
              </w:rPr>
              <w:t xml:space="preserve">13 </w:t>
            </w:r>
            <w:r>
              <w:rPr>
                <w:rFonts w:ascii="Times New Roman" w:cs="Times New Roman" w:hAnsi="Times New Roman"/>
                <w:caps w:val="0"/>
                <w:smallCaps w:val="0"/>
                <w:color w:val="auto"/>
                <w:spacing w:val="0"/>
                <w:sz w:val="24"/>
                <w:szCs w:val="20"/>
                <w:highlight w:val="none"/>
              </w:rPr>
              <w:t xml:space="preserve">  </w:t>
            </w:r>
            <w:r>
              <w:rPr>
                <w:rFonts w:ascii="Times New Roman" w:cs="Times New Roman" w:hAnsi="Times New Roman" w:hint="eastAsia"/>
                <w:caps w:val="0"/>
                <w:smallCaps w:val="0"/>
                <w:color w:val="auto"/>
                <w:spacing w:val="0"/>
                <w:sz w:val="24"/>
                <w:szCs w:val="20"/>
                <w:lang w:val="en-US" w:eastAsia="zh-CN"/>
                <w:highlight w:val="none"/>
              </w:rPr>
              <w:t>项目</w:t>
            </w:r>
            <w:r>
              <w:rPr>
                <w:rFonts w:ascii="Times New Roman" w:cs="Times New Roman" w:hAnsi="Times New Roman"/>
                <w:caps w:val="0"/>
                <w:smallCaps w:val="0"/>
                <w:color w:val="auto"/>
                <w:spacing w:val="0"/>
                <w:sz w:val="24"/>
                <w:szCs w:val="20"/>
                <w:highlight w:val="none"/>
              </w:rPr>
              <w:t>固体废物产生量与处置措施一览表</w:t>
            </w:r>
          </w:p>
          <w:tbl>
            <w:tblPr>
              <w:jc w:val="left"/>
              <w:tblInd w:w="0" w:type="dxa"/>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644"/>
              <w:gridCol w:w="1551"/>
              <w:gridCol w:w="1203"/>
              <w:gridCol w:w="791"/>
              <w:gridCol w:w="655"/>
              <w:gridCol w:w="5"/>
              <w:gridCol w:w="1378"/>
              <w:gridCol w:w="1755"/>
            </w:tblGrid>
            <w:tr>
              <w:trPr>
                <w:trHeight w:val="454"/>
              </w:trPr>
              <w:tc>
                <w:tcPr>
                  <w:tcW w:w="40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序号</w:t>
                  </w:r>
                </w:p>
              </w:tc>
              <w:tc>
                <w:tcPr>
                  <w:tcW w:w="97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lang w:val="en-US" w:eastAsia="zh-CN"/>
                      <w:highlight w:val="none"/>
                    </w:rPr>
                    <w:t>污染物</w:t>
                  </w:r>
                </w:p>
              </w:tc>
              <w:tc>
                <w:tcPr>
                  <w:tcW w:w="7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highlight w:val="none"/>
                    </w:rPr>
                    <w:t>产生量</w:t>
                  </w:r>
                </w:p>
              </w:tc>
              <w:tc>
                <w:tcPr>
                  <w:tcW w:w="4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eastAsia="zh-CN"/>
                      <w:highlight w:val="none"/>
                    </w:rPr>
                  </w:pPr>
                  <w:r>
                    <w:rPr>
                      <w:rFonts w:ascii="Times New Roman" w:cs="Times New Roman" w:hAnsi="Times New Roman"/>
                      <w:caps w:val="0"/>
                      <w:smallCaps w:val="0"/>
                      <w:color w:val="auto"/>
                      <w:spacing w:val="0"/>
                      <w:sz w:val="21"/>
                      <w:szCs w:val="21"/>
                      <w:lang w:val="en-US" w:eastAsia="zh-CN"/>
                      <w:highlight w:val="none"/>
                    </w:rPr>
                    <w:t>类别</w:t>
                  </w:r>
                </w:p>
              </w:tc>
              <w:tc>
                <w:tcPr>
                  <w:tcW w:w="1276" w:type="pct"/>
                  <w:gridSpan w:val="3"/>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固废代码</w:t>
                  </w:r>
                </w:p>
              </w:tc>
              <w:tc>
                <w:tcPr>
                  <w:tcW w:w="109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1"/>
                      <w:lang w:val="en-US" w:eastAsia="zh-CN"/>
                      <w:highlight w:val="none"/>
                    </w:rPr>
                    <w:t>处置措施</w:t>
                  </w:r>
                </w:p>
              </w:tc>
            </w:tr>
            <w:tr>
              <w:trPr>
                <w:trHeight w:val="454"/>
              </w:trPr>
              <w:tc>
                <w:tcPr>
                  <w:tcW w:w="40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1</w:t>
                  </w:r>
                </w:p>
              </w:tc>
              <w:tc>
                <w:tcPr>
                  <w:tcW w:w="971"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废包装材料</w:t>
                  </w:r>
                </w:p>
              </w:tc>
              <w:tc>
                <w:tcPr>
                  <w:tcW w:w="75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0.353</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包装袋</w:t>
                  </w:r>
                </w:p>
              </w:tc>
              <w:tc>
                <w:tcPr>
                  <w:tcW w:w="413" w:type="pct"/>
                  <w:gridSpan w:val="2"/>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SW17</w:t>
                  </w:r>
                </w:p>
              </w:tc>
              <w:tc>
                <w:tcPr>
                  <w:tcW w:w="86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900-003-S17</w:t>
                  </w:r>
                </w:p>
              </w:tc>
              <w:tc>
                <w:tcPr>
                  <w:tcW w:w="1099"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收集后外售</w:t>
                  </w:r>
                </w:p>
              </w:tc>
            </w:tr>
            <w:tr>
              <w:trPr>
                <w:trHeight w:val="454"/>
              </w:trPr>
              <w:tc>
                <w:tcPr>
                  <w:tcW w:w="40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2</w:t>
                  </w:r>
                </w:p>
              </w:tc>
              <w:tc>
                <w:tcPr>
                  <w:tcW w:w="971"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废塑料边角料</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塑料</w:t>
                  </w:r>
                </w:p>
              </w:tc>
              <w:tc>
                <w:tcPr>
                  <w:tcW w:w="413" w:type="pct"/>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SW17</w:t>
                  </w:r>
                </w:p>
              </w:tc>
              <w:tc>
                <w:tcPr>
                  <w:tcW w:w="86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900-003-S17</w:t>
                  </w:r>
                </w:p>
              </w:tc>
              <w:tc>
                <w:tcPr>
                  <w:tcW w:w="1099"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收集后外售</w:t>
                  </w: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w:t>
                  </w:r>
                </w:p>
              </w:tc>
              <w:tc>
                <w:tcPr>
                  <w:tcW w:w="971"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不合格品</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0.1t/a</w:t>
                  </w:r>
                </w:p>
              </w:tc>
              <w:tc>
                <w:tcPr>
                  <w:tcW w:w="495" w:type="pct"/>
                  <w:tcBorders>
                    <w:left w:val="single" w:sz="4" w:space="0" w:color="auto"/>
                  </w:tcBorders>
                  <w:vAlign w:val="center"/>
                </w:tcPr>
                <w:p>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塑料</w:t>
                  </w:r>
                </w:p>
              </w:tc>
              <w:tc>
                <w:tcPr>
                  <w:tcW w:w="413" w:type="pct"/>
                  <w:gridSpan w:val="2"/>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SW17</w:t>
                  </w:r>
                </w:p>
              </w:tc>
              <w:tc>
                <w:tcPr>
                  <w:tcW w:w="86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900-003-S17</w:t>
                  </w:r>
                </w:p>
              </w:tc>
              <w:tc>
                <w:tcPr>
                  <w:tcW w:w="1099"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收集后外售</w:t>
                  </w: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4</w:t>
                  </w:r>
                </w:p>
              </w:tc>
              <w:tc>
                <w:tcPr>
                  <w:tcW w:w="971"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金属下脚料</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495" w:type="pct"/>
                  <w:tcBorders>
                    <w:left w:val="single" w:sz="4" w:space="0" w:color="auto"/>
                  </w:tcBorders>
                  <w:vAlign w:val="center"/>
                </w:tcPr>
                <w:p>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w:t>
                  </w:r>
                </w:p>
              </w:tc>
              <w:tc>
                <w:tcPr>
                  <w:tcW w:w="413" w:type="pct"/>
                  <w:gridSpan w:val="2"/>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SW17</w:t>
                  </w:r>
                </w:p>
              </w:tc>
              <w:tc>
                <w:tcPr>
                  <w:tcW w:w="86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900-001-S17</w:t>
                  </w:r>
                </w:p>
              </w:tc>
              <w:tc>
                <w:tcPr>
                  <w:tcW w:w="1099"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收集后外售</w:t>
                  </w: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5</w:t>
                  </w:r>
                </w:p>
              </w:tc>
              <w:tc>
                <w:tcPr>
                  <w:tcW w:w="971"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不合格电极片</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495" w:type="pct"/>
                  <w:tcBorders>
                    <w:left w:val="single" w:sz="4" w:space="0" w:color="auto"/>
                  </w:tcBorders>
                  <w:vAlign w:val="center"/>
                </w:tcPr>
                <w:p>
                  <w:pPr>
                    <w:keepNext w:val="0"/>
                    <w:keepLines w:val="0"/>
                    <w:pageBreakBefore w:val="0"/>
                    <w:widowControl w:val="0"/>
                    <w:suppressLineNumbers w:val="0"/>
                    <w:tabs>
                      <w:tab w:val="left" w:pos="253"/>
                    </w:tabs>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w:t>
                  </w:r>
                </w:p>
              </w:tc>
              <w:tc>
                <w:tcPr>
                  <w:tcW w:w="413" w:type="pct"/>
                  <w:gridSpan w:val="2"/>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SW17</w:t>
                  </w:r>
                </w:p>
              </w:tc>
              <w:tc>
                <w:tcPr>
                  <w:tcW w:w="86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900-001-S17</w:t>
                  </w:r>
                </w:p>
              </w:tc>
              <w:tc>
                <w:tcPr>
                  <w:tcW w:w="1099"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收集后外售</w:t>
                  </w: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6</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w:t>
                  </w:r>
                </w:p>
              </w:tc>
              <w:tc>
                <w:tcPr>
                  <w:tcW w:w="753" w:type="pct"/>
                  <w:tcBorders>
                    <w:left w:val="single" w:sz="4" w:space="0" w:color="auto"/>
                  </w:tcBorders>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矿物油</w:t>
                  </w:r>
                </w:p>
              </w:tc>
              <w:tc>
                <w:tcPr>
                  <w:tcW w:w="410" w:type="pct"/>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HW08</w:t>
                  </w:r>
                </w:p>
              </w:tc>
              <w:tc>
                <w:tcPr>
                  <w:tcW w:w="866" w:type="pct"/>
                  <w:gridSpan w:val="2"/>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217-08</w:t>
                  </w:r>
                </w:p>
              </w:tc>
              <w:tc>
                <w:tcPr>
                  <w:tcW w:w="1099" w:type="pct"/>
                  <w:vMerge w:val="restar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危废间暂存后交由有资质单位处置</w:t>
                  </w: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7</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废润滑油桶</w:t>
                  </w:r>
                </w:p>
              </w:tc>
              <w:tc>
                <w:tcPr>
                  <w:tcW w:w="753" w:type="pct"/>
                  <w:tcBorders>
                    <w:left w:val="single" w:sz="4" w:space="0" w:color="auto"/>
                  </w:tcBorders>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矿物油</w:t>
                  </w:r>
                </w:p>
              </w:tc>
              <w:tc>
                <w:tcPr>
                  <w:tcW w:w="410" w:type="pct"/>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08</w:t>
                  </w:r>
                </w:p>
              </w:tc>
              <w:tc>
                <w:tcPr>
                  <w:tcW w:w="866" w:type="pct"/>
                  <w:gridSpan w:val="2"/>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249</w:t>
                  </w:r>
                  <w:r>
                    <w:rPr>
                      <w:rFonts w:ascii="Times New Roman" w:cs="Times New Roman" w:hAnsi="Times New Roman"/>
                      <w:bCs/>
                      <w:color w:val="auto"/>
                      <w:sz w:val="21"/>
                      <w:szCs w:val="21"/>
                      <w:lang w:val="pt-BR"/>
                      <w:highlight w:val="none"/>
                    </w:rPr>
                    <w:t>-</w:t>
                  </w:r>
                  <w:r>
                    <w:rPr>
                      <w:rFonts w:ascii="Times New Roman" w:cs="Times New Roman" w:hAnsi="Times New Roman" w:hint="eastAsia"/>
                      <w:bCs/>
                      <w:color w:val="auto"/>
                      <w:sz w:val="21"/>
                      <w:szCs w:val="21"/>
                      <w:lang w:val="en-US" w:eastAsia="zh-CN"/>
                      <w:highlight w:val="none"/>
                    </w:rPr>
                    <w:t>08</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8</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含油抹布及废劳保用品</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矿物油</w:t>
                  </w:r>
                </w:p>
              </w:tc>
              <w:tc>
                <w:tcPr>
                  <w:tcW w:w="410" w:type="pct"/>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866" w:type="pct"/>
                  <w:gridSpan w:val="2"/>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900-041-49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9</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含油金属屑</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矿物油</w:t>
                  </w:r>
                </w:p>
              </w:tc>
              <w:tc>
                <w:tcPr>
                  <w:tcW w:w="410" w:type="pct"/>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eastAsia="宋体"/>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HW08</w:t>
                  </w:r>
                </w:p>
              </w:tc>
              <w:tc>
                <w:tcPr>
                  <w:tcW w:w="866" w:type="pct"/>
                  <w:gridSpan w:val="2"/>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eastAsia="宋体"/>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900-200-08</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10</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废切削液</w:t>
                  </w:r>
                </w:p>
              </w:tc>
              <w:tc>
                <w:tcPr>
                  <w:tcW w:w="75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切削液</w:t>
                  </w:r>
                </w:p>
              </w:tc>
              <w:tc>
                <w:tcPr>
                  <w:tcW w:w="410"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09</w:t>
                  </w:r>
                </w:p>
              </w:tc>
              <w:tc>
                <w:tcPr>
                  <w:tcW w:w="866" w:type="pct"/>
                  <w:gridSpan w:val="2"/>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900-006-09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11</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废切削液桶</w:t>
                  </w:r>
                </w:p>
              </w:tc>
              <w:tc>
                <w:tcPr>
                  <w:tcW w:w="753"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切削液</w:t>
                  </w:r>
                </w:p>
              </w:tc>
              <w:tc>
                <w:tcPr>
                  <w:tcW w:w="410"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HW49</w:t>
                  </w:r>
                </w:p>
              </w:tc>
              <w:tc>
                <w:tcPr>
                  <w:tcW w:w="866" w:type="pct"/>
                  <w:gridSpan w:val="2"/>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12</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废布袋</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沾染挥发性有机物</w:t>
                  </w:r>
                </w:p>
              </w:tc>
              <w:tc>
                <w:tcPr>
                  <w:tcW w:w="410"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866" w:type="pct"/>
                  <w:gridSpan w:val="2"/>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13</w:t>
                  </w:r>
                </w:p>
              </w:tc>
              <w:tc>
                <w:tcPr>
                  <w:tcW w:w="971"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除尘灰</w:t>
                  </w:r>
                </w:p>
              </w:tc>
              <w:tc>
                <w:tcPr>
                  <w:tcW w:w="75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W w:w="495"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沾染挥发性有机物</w:t>
                  </w:r>
                </w:p>
              </w:tc>
              <w:tc>
                <w:tcPr>
                  <w:tcW w:w="410"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HW49</w:t>
                  </w:r>
                </w:p>
              </w:tc>
              <w:tc>
                <w:tcPr>
                  <w:tcW w:w="866" w:type="pct"/>
                  <w:gridSpan w:val="2"/>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14</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hint="eastAsia"/>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废活性炭</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沾染挥发性有机物</w:t>
                  </w:r>
                </w:p>
              </w:tc>
              <w:tc>
                <w:tcPr>
                  <w:tcW w:w="410"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eastAsia="宋体"/>
                      <w:bCs/>
                      <w:color w:val="auto"/>
                      <w:sz w:val="21"/>
                      <w:szCs w:val="21"/>
                      <w:lang w:val="en-US" w:eastAsia="zh-CN"/>
                      <w:highlight w:val="none"/>
                    </w:rPr>
                  </w:pPr>
                  <w:r>
                    <w:rPr>
                      <w:rFonts w:ascii="Times New Roman" w:cs="Times New Roman" w:hAnsi="Times New Roman" w:hint="eastAsia"/>
                      <w:bCs/>
                      <w:color w:val="auto"/>
                      <w:sz w:val="21"/>
                      <w:szCs w:val="21"/>
                      <w:lang w:val="en-US" w:eastAsia="zh-CN"/>
                      <w:highlight w:val="none"/>
                    </w:rPr>
                    <w:t>HW49</w:t>
                  </w:r>
                </w:p>
              </w:tc>
              <w:tc>
                <w:tcPr>
                  <w:tcW w:w="866" w:type="pct"/>
                  <w:gridSpan w:val="2"/>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hint="eastAsia"/>
                      <w:bCs/>
                      <w:color w:val="auto"/>
                      <w:sz w:val="21"/>
                      <w:szCs w:val="21"/>
                      <w:lang w:val="pt-BR" w:eastAsia="zh-CN"/>
                      <w:highlight w:val="none"/>
                    </w:rPr>
                  </w:pPr>
                  <w:r>
                    <w:rPr>
                      <w:rFonts w:ascii="Times New Roman" w:cs="Times New Roman" w:hAnsi="Times New Roman"/>
                      <w:bCs/>
                      <w:color w:val="auto"/>
                      <w:sz w:val="21"/>
                      <w:szCs w:val="21"/>
                      <w:lang w:val="pt-BR"/>
                      <w:highlight w:val="none"/>
                    </w:rPr>
                    <w:t>900-0</w:t>
                  </w:r>
                  <w:r>
                    <w:rPr>
                      <w:rFonts w:ascii="Times New Roman" w:cs="Times New Roman" w:hAnsi="Times New Roman" w:hint="eastAsia"/>
                      <w:bCs/>
                      <w:color w:val="auto"/>
                      <w:sz w:val="21"/>
                      <w:szCs w:val="21"/>
                      <w:lang w:val="en-US" w:eastAsia="zh-CN"/>
                      <w:highlight w:val="none"/>
                    </w:rPr>
                    <w:t>39</w:t>
                  </w:r>
                  <w:r>
                    <w:rPr>
                      <w:rFonts w:ascii="Times New Roman" w:cs="Times New Roman" w:hAnsi="Times New Roman"/>
                      <w:bCs/>
                      <w:color w:val="auto"/>
                      <w:sz w:val="21"/>
                      <w:szCs w:val="21"/>
                      <w:lang w:val="pt-BR"/>
                      <w:highlight w:val="none"/>
                    </w:rPr>
                    <w:t>-49</w:t>
                  </w:r>
                </w:p>
              </w:tc>
              <w:tc>
                <w:tcPr>
                  <w:tcW w:w="1099" w:type="pct"/>
                  <w:vMerge/>
                  <w:tcBorders>
                    <w:left w:val="single" w:sz="4" w:space="0" w:color="auto"/>
                  </w:tcBorders>
                  <w:vAlign w:val="center"/>
                </w:tcPr>
                <w:p/>
              </w:tc>
            </w:tr>
            <w:tr>
              <w:trPr>
                <w:trHeight w:val="454"/>
              </w:trPr>
              <w:tc>
                <w:tcPr>
                  <w:tcW w:w="403" w:type="pct"/>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15</w:t>
                  </w:r>
                </w:p>
              </w:tc>
              <w:tc>
                <w:tcPr>
                  <w:tcW w:w="971"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cs="Times New Roman"/>
                      <w:caps w:val="0"/>
                      <w:smallCaps/>
                      <w:color w:val="auto"/>
                      <w:kern w:val="0"/>
                      <w:sz w:val="21"/>
                      <w:szCs w:val="22"/>
                      <w:lang w:val="en-US" w:eastAsia="zh-CN" w:bidi="ar-SA"/>
                      <w:highlight w:val="none"/>
                    </w:rPr>
                  </w:pPr>
                  <w:r>
                    <w:rPr>
                      <w:rFonts w:ascii="Times New Roman" w:cs="Times New Roman" w:hAnsi="Times New Roman" w:hint="eastAsia"/>
                      <w:caps w:val="0"/>
                      <w:smallCaps/>
                      <w:color w:val="auto"/>
                      <w:kern w:val="0"/>
                      <w:sz w:val="21"/>
                      <w:szCs w:val="22"/>
                      <w:lang w:val="en-US" w:eastAsia="zh-CN" w:bidi="ar-SA"/>
                      <w:highlight w:val="none"/>
                    </w:rPr>
                    <w:t>职工生活垃圾</w:t>
                  </w:r>
                </w:p>
              </w:tc>
              <w:tc>
                <w:tcPr>
                  <w:tcW w:w="753"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3t/a</w:t>
                  </w:r>
                </w:p>
              </w:tc>
              <w:tc>
                <w:tcPr>
                  <w:tcW w:w="495"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瓜果皮等</w:t>
                  </w:r>
                </w:p>
              </w:tc>
              <w:tc>
                <w:tcPr>
                  <w:tcW w:w="410" w:type="pct"/>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866" w:type="pct"/>
                  <w:gridSpan w:val="2"/>
                  <w:tcBorders>
                    <w:left w:val="single" w:sz="4" w:space="0" w:color="auto"/>
                  </w:tcBorders>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eastAsia="宋体" w:hint="eastAsia"/>
                      <w:bCs/>
                      <w:color w:val="auto"/>
                      <w:szCs w:val="21"/>
                      <w:lang w:val="en-US" w:eastAsia="zh-CN"/>
                      <w:highlight w:val="none"/>
                    </w:rPr>
                  </w:pPr>
                  <w:r>
                    <w:rPr>
                      <w:rFonts w:ascii="Times New Roman" w:cs="Times New Roman" w:hAnsi="Times New Roman" w:hint="eastAsia"/>
                      <w:bCs/>
                      <w:color w:val="auto"/>
                      <w:sz w:val="21"/>
                      <w:szCs w:val="21"/>
                      <w:lang w:val="en-US" w:eastAsia="zh-CN"/>
                      <w:highlight w:val="none"/>
                    </w:rPr>
                    <w:t>-</w:t>
                  </w:r>
                </w:p>
              </w:tc>
              <w:tc>
                <w:tcPr>
                  <w:tcW w:w="1099" w:type="pc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交由环卫部门统一处理</w:t>
                  </w:r>
                </w:p>
              </w:tc>
            </w:tr>
          </w:tbl>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综上所述，项目固废均得到处理或得到综合利用、无害化处理，不产生二次污染，不会对周围环境造成明显影响。</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（2）固废暂存场所（设施）环境影响分析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A、一般工业固体废物贮存场所（设施）影响分析：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采用库房贮存一般工业固体废物的，贮存过程应满足相应防渗漏、防雨淋、防扬尘等环境保护要求；贮存场、填埋场应设置清晰、完整的—般工业固体废物标志牌等。</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本项目固废暂存区（位于</w:t>
            </w:r>
            <w:r>
              <w:rPr>
                <w:rFonts w:ascii="Times New Roman" w:cs="Times New Roman" w:hAnsi="Times New Roman" w:hint="eastAsia"/>
                <w:caps w:val="0"/>
                <w:smallCaps w:val="0"/>
                <w:color w:val="auto"/>
                <w:spacing w:val="0"/>
                <w:sz w:val="24"/>
                <w:szCs w:val="20"/>
                <w:lang w:val="en-US" w:eastAsia="zh-CN"/>
                <w:highlight w:val="none"/>
              </w:rPr>
              <w:t>生产区北侧</w:t>
            </w:r>
            <w:r>
              <w:rPr>
                <w:rFonts w:ascii="Times New Roman" w:cs="Times New Roman" w:hAnsi="Times New Roman"/>
                <w:caps w:val="0"/>
                <w:smallCaps w:val="0"/>
                <w:color w:val="auto"/>
                <w:spacing w:val="0"/>
                <w:sz w:val="24"/>
                <w:szCs w:val="20"/>
                <w:highlight w:val="none"/>
              </w:rPr>
              <w:t>），占地面积约为</w:t>
            </w:r>
            <w:r>
              <w:rPr>
                <w:rFonts w:ascii="Times New Roman" w:cs="Times New Roman" w:hAnsi="Times New Roman" w:hint="eastAsia"/>
                <w:caps w:val="0"/>
                <w:smallCaps w:val="0"/>
                <w:color w:val="auto"/>
                <w:spacing w:val="0"/>
                <w:sz w:val="24"/>
                <w:szCs w:val="20"/>
                <w:lang w:val="en-US" w:eastAsia="zh-CN"/>
                <w:highlight w:val="none"/>
              </w:rPr>
              <w:t>10</w:t>
            </w:r>
            <w:r>
              <w:rPr>
                <w:rFonts w:ascii="Times New Roman" w:cs="Times New Roman" w:hAnsi="Times New Roman"/>
                <w:caps w:val="0"/>
                <w:smallCaps w:val="0"/>
                <w:color w:val="auto"/>
                <w:spacing w:val="0"/>
                <w:sz w:val="24"/>
                <w:szCs w:val="20"/>
                <w:highlight w:val="none"/>
              </w:rPr>
              <w:t>m</w:t>
            </w:r>
            <w:r>
              <w:rPr>
                <w:rFonts w:ascii="Times New Roman" w:cs="Times New Roman" w:hAnsi="Times New Roman"/>
                <w:caps w:val="0"/>
                <w:smallCaps w:val="0"/>
                <w:color w:val="auto"/>
                <w:spacing w:val="0"/>
                <w:sz w:val="24"/>
                <w:szCs w:val="20"/>
                <w:vertAlign w:val="superscript"/>
                <w:highlight w:val="none"/>
              </w:rPr>
              <w:t>2</w:t>
            </w:r>
            <w:r>
              <w:rPr>
                <w:rFonts w:ascii="Times New Roman" w:cs="Times New Roman" w:hAnsi="Times New Roman"/>
                <w:caps w:val="0"/>
                <w:smallCaps w:val="0"/>
                <w:color w:val="auto"/>
                <w:spacing w:val="0"/>
                <w:sz w:val="24"/>
                <w:szCs w:val="20"/>
                <w:highlight w:val="none"/>
              </w:rPr>
              <w:t>，储量为</w:t>
            </w:r>
            <w:r>
              <w:rPr>
                <w:rFonts w:ascii="Times New Roman" w:cs="Times New Roman" w:hAnsi="Times New Roman" w:hint="eastAsia"/>
                <w:caps w:val="0"/>
                <w:smallCaps w:val="0"/>
                <w:color w:val="auto"/>
                <w:spacing w:val="0"/>
                <w:sz w:val="24"/>
                <w:szCs w:val="20"/>
                <w:lang w:val="en-US" w:eastAsia="zh-CN"/>
                <w:highlight w:val="none"/>
              </w:rPr>
              <w:t>8</w:t>
            </w:r>
            <w:r>
              <w:rPr>
                <w:rFonts w:ascii="Times New Roman" w:cs="Times New Roman" w:hAnsi="Times New Roman"/>
                <w:caps w:val="0"/>
                <w:smallCaps w:val="0"/>
                <w:color w:val="auto"/>
                <w:spacing w:val="0"/>
                <w:sz w:val="24"/>
                <w:szCs w:val="20"/>
                <w:highlight w:val="none"/>
              </w:rPr>
              <w:t>吨。</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排污单位生产运营期间一般工业固体废物自行贮存/利用设施的环境管理和相关设施运行维护要求还应符合GB15562.2、GB 18599、GB 30485和HJ2035等相关标准规范要求。</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B、危险废物贮存场所（设施）环境影响分析</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w:t>
            </w:r>
            <w:r>
              <w:rPr>
                <w:rFonts w:ascii="Times New Roman" w:cs="Times New Roman" w:hAnsi="Times New Roman" w:hint="eastAsia"/>
                <w:caps w:val="0"/>
                <w:smallCaps w:val="0"/>
                <w:color w:val="auto"/>
                <w:spacing w:val="0"/>
                <w:sz w:val="24"/>
                <w:szCs w:val="20"/>
                <w:lang w:val="en-US" w:eastAsia="zh-CN"/>
                <w:highlight w:val="none"/>
              </w:rPr>
              <w:t>利用现有</w:t>
            </w:r>
            <w:r>
              <w:rPr>
                <w:rFonts w:ascii="Times New Roman" w:cs="Times New Roman" w:hAnsi="Times New Roman"/>
                <w:caps w:val="0"/>
                <w:smallCaps w:val="0"/>
                <w:color w:val="auto"/>
                <w:spacing w:val="0"/>
                <w:sz w:val="24"/>
                <w:szCs w:val="20"/>
                <w:highlight w:val="none"/>
              </w:rPr>
              <w:t>1座</w:t>
            </w:r>
            <w:r>
              <w:rPr>
                <w:rFonts w:ascii="Times New Roman" w:cs="Times New Roman" w:hAnsi="Times New Roman" w:hint="eastAsia"/>
                <w:caps w:val="0"/>
                <w:smallCaps w:val="0"/>
                <w:color w:val="auto"/>
                <w:spacing w:val="0"/>
                <w:sz w:val="24"/>
                <w:szCs w:val="20"/>
                <w:lang w:val="en-US" w:eastAsia="zh-CN"/>
                <w:highlight w:val="none"/>
              </w:rPr>
              <w:t>6.21</w:t>
            </w:r>
            <w:r>
              <w:rPr>
                <w:rFonts w:ascii="Times New Roman" w:cs="Times New Roman" w:hAnsi="Times New Roman"/>
                <w:caps w:val="0"/>
                <w:smallCaps w:val="0"/>
                <w:color w:val="auto"/>
                <w:spacing w:val="0"/>
                <w:sz w:val="24"/>
                <w:szCs w:val="20"/>
                <w:highlight w:val="none"/>
              </w:rPr>
              <w:t>m</w:t>
            </w:r>
            <w:r>
              <w:rPr>
                <w:rFonts w:ascii="Times New Roman" w:cs="Times New Roman" w:hAnsi="Times New Roman"/>
                <w:caps w:val="0"/>
                <w:smallCaps w:val="0"/>
                <w:color w:val="auto"/>
                <w:spacing w:val="0"/>
                <w:sz w:val="24"/>
                <w:szCs w:val="20"/>
                <w:vertAlign w:val="superscript"/>
                <w:highlight w:val="none"/>
              </w:rPr>
              <w:t>2</w:t>
            </w:r>
            <w:r>
              <w:rPr>
                <w:rFonts w:ascii="Times New Roman" w:cs="Times New Roman" w:hAnsi="Times New Roman"/>
                <w:caps w:val="0"/>
                <w:smallCaps w:val="0"/>
                <w:color w:val="auto"/>
                <w:spacing w:val="0"/>
                <w:sz w:val="24"/>
                <w:szCs w:val="20"/>
                <w:highlight w:val="none"/>
              </w:rPr>
              <w:t>的危废间</w:t>
            </w:r>
            <w:r>
              <w:rPr>
                <w:rFonts w:ascii="Times New Roman" w:cs="Times New Roman" w:hAnsi="Times New Roman" w:hint="eastAsia"/>
                <w:caps w:val="0"/>
                <w:smallCaps w:val="0"/>
                <w:color w:val="auto"/>
                <w:spacing w:val="0"/>
                <w:sz w:val="24"/>
                <w:szCs w:val="20"/>
                <w:lang w:eastAsia="zh-CN"/>
                <w:highlight w:val="none"/>
              </w:rPr>
              <w:t>，</w:t>
            </w:r>
            <w:r>
              <w:rPr>
                <w:rFonts w:ascii="Times New Roman" w:cs="Times New Roman" w:hAnsi="Times New Roman" w:hint="eastAsia"/>
                <w:caps w:val="0"/>
                <w:smallCaps w:val="0"/>
                <w:color w:val="auto"/>
                <w:spacing w:val="0"/>
                <w:sz w:val="24"/>
                <w:szCs w:val="20"/>
                <w:lang w:val="en-US" w:eastAsia="zh-CN"/>
                <w:highlight w:val="none"/>
              </w:rPr>
              <w:t>位于杂物间东侧</w:t>
            </w:r>
            <w:r>
              <w:rPr>
                <w:rFonts w:ascii="Times New Roman" w:cs="Times New Roman" w:hAnsi="Times New Roman"/>
                <w:caps w:val="0"/>
                <w:smallCaps w:val="0"/>
                <w:color w:val="auto"/>
                <w:spacing w:val="0"/>
                <w:sz w:val="24"/>
                <w:szCs w:val="20"/>
                <w:highlight w:val="none"/>
              </w:rPr>
              <w:t>，用于储存危险废物。</w:t>
            </w:r>
            <w:r>
              <w:rPr>
                <w:rFonts w:ascii="Times New Roman" w:cs="Times New Roman" w:hAnsi="Times New Roman" w:hint="eastAsia"/>
                <w:caps w:val="0"/>
                <w:smallCaps w:val="0"/>
                <w:color w:val="auto"/>
                <w:spacing w:val="0"/>
                <w:sz w:val="24"/>
                <w:szCs w:val="20"/>
                <w:lang w:val="en-US" w:eastAsia="zh-CN"/>
                <w:highlight w:val="none"/>
              </w:rPr>
              <w:t>项目危废间储存废布袋、除尘灰、废活性炭、废切削液、废切削液桶、含油金属屑、废润滑油、废润滑油桶、含油抹布及废劳保用品，最大储存量为4t/a，6.21m</w:t>
            </w:r>
            <w:r>
              <w:rPr>
                <w:rFonts w:ascii="Times New Roman" w:cs="Times New Roman" w:hAnsi="Times New Roman" w:hint="eastAsia"/>
                <w:caps w:val="0"/>
                <w:smallCaps w:val="0"/>
                <w:color w:val="auto"/>
                <w:spacing w:val="0"/>
                <w:sz w:val="24"/>
                <w:szCs w:val="20"/>
                <w:vertAlign w:val="superscript"/>
                <w:lang w:val="en-US" w:eastAsia="zh-CN"/>
                <w:highlight w:val="none"/>
              </w:rPr>
              <w:t>2</w:t>
            </w:r>
            <w:r>
              <w:rPr>
                <w:rFonts w:ascii="Times New Roman" w:cs="Times New Roman" w:hAnsi="Times New Roman" w:hint="eastAsia"/>
                <w:caps w:val="0"/>
                <w:smallCaps w:val="0"/>
                <w:color w:val="auto"/>
                <w:spacing w:val="0"/>
                <w:sz w:val="24"/>
                <w:szCs w:val="20"/>
                <w:lang w:val="en-US" w:eastAsia="zh-CN"/>
                <w:highlight w:val="none"/>
              </w:rPr>
              <w:t>危废间可满足项目危险废物暂存需求，</w:t>
            </w:r>
            <w:r>
              <w:rPr>
                <w:rFonts w:ascii="Times New Roman" w:cs="Times New Roman" w:hAnsi="Times New Roman" w:hint="eastAsia"/>
                <w:caps w:val="0"/>
                <w:smallCaps w:val="0"/>
                <w:color w:val="auto"/>
                <w:spacing w:val="0"/>
                <w:sz w:val="24"/>
                <w:szCs w:val="20"/>
                <w:lang w:eastAsia="zh-CN"/>
                <w:highlight w:val="none"/>
              </w:rPr>
              <w:t>危废间</w:t>
            </w:r>
            <w:r>
              <w:rPr>
                <w:rFonts w:ascii="Times New Roman" w:cs="Times New Roman" w:hAnsi="Times New Roman"/>
                <w:caps w:val="0"/>
                <w:smallCaps w:val="0"/>
                <w:color w:val="auto"/>
                <w:spacing w:val="0"/>
                <w:sz w:val="24"/>
                <w:szCs w:val="20"/>
                <w:highlight w:val="none"/>
              </w:rPr>
              <w:t>进行防渗处理，满足《危险废物贮存污染控制标准》（GB18597-2023）的相关要求。</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（3）危险废物暂存间贮存要求</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项目危险废物收集和临时储存措施按《危险废物贮存污染控制标准》（GB18597-2023）规定进行：</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l）贮存设施应根据危险废物的形态、物理化学性质、包装形式和污染物迁移途径，采取必要的防风、防晒、防雨、防漏、防渗、防腐以及其他环境污染防治措施，不应露天堆放危险废物。</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2）贮存设施应根据危险废物的类别、数量、形态、物理化学性质和污染防治等要求设置必要的贮存分区，避免不相容的危险废物接触、混合。</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3）贮存设施或贮存分区内地面、墙面裙脚、堵截泄漏的围堰、接触危险废物的隔板和墙体等应采用坚固的材料建造，表面无裂缝。</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4）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防渗层为至少1m厚黏土层（渗透系数不大于10</w:t>
            </w:r>
            <w:r>
              <w:rPr>
                <w:rFonts w:ascii="Times New Roman" w:cs="Times New Roman" w:hAnsi="Times New Roman"/>
                <w:caps w:val="0"/>
                <w:smallCaps w:val="0"/>
                <w:color w:val="auto"/>
                <w:spacing w:val="0"/>
                <w:sz w:val="24"/>
                <w:szCs w:val="20"/>
                <w:vertAlign w:val="superscript"/>
                <w:highlight w:val="none"/>
              </w:rPr>
              <w:t>-7</w:t>
            </w:r>
            <w:r>
              <w:rPr>
                <w:rFonts w:ascii="Times New Roman" w:cs="Times New Roman" w:hAnsi="Times New Roman"/>
                <w:caps w:val="0"/>
                <w:smallCaps w:val="0"/>
                <w:color w:val="auto"/>
                <w:spacing w:val="0"/>
                <w:sz w:val="24"/>
                <w:szCs w:val="20"/>
                <w:highlight w:val="none"/>
              </w:rPr>
              <w:t>cm/s），或至少2mm厚高密度聚乙烯膜等人工防渗材料（渗透系数不大于10</w:t>
            </w:r>
            <w:r>
              <w:rPr>
                <w:rFonts w:ascii="Times New Roman" w:cs="Times New Roman" w:hAnsi="Times New Roman"/>
                <w:caps w:val="0"/>
                <w:smallCaps w:val="0"/>
                <w:color w:val="auto"/>
                <w:spacing w:val="0"/>
                <w:sz w:val="24"/>
                <w:szCs w:val="20"/>
                <w:vertAlign w:val="superscript"/>
                <w:highlight w:val="none"/>
              </w:rPr>
              <w:t>-10</w:t>
            </w:r>
            <w:r>
              <w:rPr>
                <w:rFonts w:ascii="Times New Roman" w:cs="Times New Roman" w:hAnsi="Times New Roman"/>
                <w:caps w:val="0"/>
                <w:smallCaps w:val="0"/>
                <w:color w:val="auto"/>
                <w:spacing w:val="0"/>
                <w:sz w:val="24"/>
                <w:szCs w:val="20"/>
                <w:highlight w:val="none"/>
              </w:rPr>
              <w:t>cm/s），或其他防渗性能等效的材料。</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5）同一贮存设施宜采用相同的防渗、防腐工艺（包括防渗、防腐结构或材料），防渗、防腐材料应覆盖所有可能与废物及其渗滤液、渗漏液等接触的构筑物表面；采用不同防渗、防腐工艺应分别建设贮存分区。</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6）贮存设施应采取技术和管理措施防止无关人员进入。</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7）贮存库内不同贮存分区之间应采取隔离措施。隔离措施可根据危险废物特性采用过道、隔板或隔墙等方式。</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8）在贮存库内或通过贮存分区方式贮存液态危险废物的，应具有液体泄漏堵截设施，堵截设施最小容积不应低于对应贮存区域最大液态废物容器容积或液态废物总储量 1/10（二者取较大者）；用于贮存可能产生渗滤液的危险废物的贮存库或贮存分区应设计渗滤液收集设施，收集设施容积应满足渗滤液的收集要求。</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（4）危废外运管理要求</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按照《危险废物转移管理办法》（部令 第23号）中规定。</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第七条：转移危险废物的，应当通过国家危险废物信息管理系统（以下简称信息系统）填写、运行危险废物电子转移联单，并依照国家有关规定公开危险废物转移相关污染环境防治信息。</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第九条 危险废物移出人、危险废物承运人、危险废物接受人（以下分别简称移出人、承运人和接受人）在危险废物转移过程中应当采取防扬散、防流失、防渗漏或者其他防止污染环境的措施，不得擅自倾倒、堆放、丢弃、遗撒危险废物，并对所造成的环境污染及生态破坏依法承担责任。</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 xml:space="preserve"> 移出人、承运人、接受人应当依法制定突发环境事件的防范措施和应急预案，并报有关部门备案；发生危险废物突发环境事件时，应当立即采取有效措施消除或者减轻对环境的污染危害，并按相关规定向事故发生地有关部门报告，接受调查处理。</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第十条  移出人应当履行以下义务：</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一）对承运人或者接受人的主体资格和技术能力进行核实，依法签订书面合同，并在合同中约定运输、贮存、利用、处置危险废物的污染防治要求及相关责任；</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二）制定危险废物管理计划，明确拟转移危险废物的种类、重量（数量）和流向等信息；</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 xml:space="preserve"> 三）建立危险废物管理台账，对转移的危险废物进行计量称重，如实记录、妥善保管转移危险废物的种类、重量（数量）和接受人等相关信息；</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四）填写、运行危险废物转移联单，在危险废物转移联单中如实填写移出人、承运人、接受人信息，转移危险废物的种类、重量（数量）、危险特性等信息，以及突发环境事件的防范措施等；</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五）及时核实接受人贮存、利用或者处置相关危险废物情况；</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六）法律法规规定的其他义务。</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移出人应当按照国家有关要求开展危险废物鉴别。禁止将危险废物以副产品等名义提供或者委托给无危险废物经营许可证的单位或者其他生产经营者从事收集、贮存、利用、处置活动。</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经过采取以上措施，危险废物处理与处置符合《危险废物贮存污染控制标准》（GB18597-2023）有关要求，对环境影响很小，处理与处置措施可行。。</w:t>
            </w:r>
          </w:p>
          <w:p>
            <w:pPr>
              <w:keepNext w:val="0"/>
              <w:keepLines w:val="0"/>
              <w:widowControl/>
              <w:suppressLineNumbers w:val="0"/>
              <w:spacing w:before="0" w:beforeAutospacing="0" w:after="0" w:afterAutospacing="0" w:line="440" w:lineRule="exact"/>
              <w:ind w:left="0" w:right="0" w:firstLineChars="200" w:firstLine="480"/>
              <w:jc w:val="both"/>
              <w:rPr>
                <w:rFonts w:ascii="Times New Roman" w:cs="Times New Roman" w:hAnsi="Times New Roman"/>
                <w:bCs/>
                <w:color w:val="auto"/>
                <w:sz w:val="24"/>
                <w:szCs w:val="20"/>
                <w:highlight w:val="none"/>
              </w:rPr>
            </w:pPr>
            <w:r>
              <w:rPr>
                <w:rFonts w:ascii="Times New Roman" w:cs="Times New Roman" w:hAnsi="Times New Roman"/>
                <w:color w:val="auto"/>
                <w:sz w:val="24"/>
                <w:szCs w:val="20"/>
                <w:highlight w:val="none"/>
              </w:rPr>
              <w:t>根据《建设项目危险废物环境影响评价指南》要求，项目工程分析中危险废物汇总表见表4-</w:t>
            </w:r>
            <w:r>
              <w:rPr>
                <w:rFonts w:ascii="Times New Roman" w:cs="Times New Roman" w:hAnsi="Times New Roman" w:hint="eastAsia"/>
                <w:color w:val="auto"/>
                <w:sz w:val="24"/>
                <w:szCs w:val="20"/>
                <w:lang w:val="en-US" w:eastAsia="zh-CN"/>
                <w:highlight w:val="none"/>
              </w:rPr>
              <w:t>14</w:t>
            </w:r>
            <w:r>
              <w:rPr>
                <w:rFonts w:ascii="Times New Roman" w:cs="Times New Roman" w:hAnsi="Times New Roman"/>
                <w:color w:val="auto"/>
                <w:sz w:val="24"/>
                <w:szCs w:val="20"/>
                <w:highlight w:val="none"/>
              </w:rPr>
              <w:t>。</w:t>
            </w:r>
          </w:p>
          <w:p>
            <w:pPr>
              <w:keepNext w:val="0"/>
              <w:keepLines w:val="0"/>
              <w:widowControl/>
              <w:suppressLineNumbers w:val="0"/>
              <w:spacing w:before="0" w:beforeAutospacing="0" w:after="0" w:afterAutospacing="0" w:line="480" w:lineRule="exact"/>
              <w:ind w:left="0" w:right="0"/>
              <w:jc w:val="center"/>
              <w:textAlignment w:val="baseline"/>
              <w:rPr>
                <w:rFonts w:ascii="Times New Roman" w:cs="Times New Roman" w:hAnsi="Times New Roman"/>
                <w:b/>
                <w:bCs/>
                <w:color w:val="auto"/>
                <w:sz w:val="24"/>
                <w:szCs w:val="20"/>
                <w:highlight w:val="none"/>
              </w:rPr>
            </w:pPr>
            <w:r>
              <w:rPr>
                <w:rFonts w:ascii="Times New Roman" w:cs="Times New Roman" w:hAnsi="Times New Roman"/>
                <w:b/>
                <w:bCs/>
                <w:color w:val="auto"/>
                <w:sz w:val="24"/>
                <w:szCs w:val="20"/>
                <w:highlight w:val="none"/>
              </w:rPr>
              <w:t>表4-</w:t>
            </w:r>
            <w:r>
              <w:rPr>
                <w:rFonts w:ascii="Times New Roman" w:cs="Times New Roman" w:hAnsi="Times New Roman" w:hint="eastAsia"/>
                <w:b/>
                <w:bCs/>
                <w:color w:val="auto"/>
                <w:sz w:val="24"/>
                <w:szCs w:val="20"/>
                <w:lang w:val="en-US" w:eastAsia="zh-CN"/>
                <w:highlight w:val="none"/>
              </w:rPr>
              <w:t>14</w:t>
            </w:r>
            <w:r>
              <w:rPr>
                <w:rFonts w:ascii="Times New Roman" w:cs="Times New Roman" w:hAnsi="Times New Roman"/>
                <w:b/>
                <w:bCs/>
                <w:color w:val="auto"/>
                <w:sz w:val="24"/>
                <w:szCs w:val="20"/>
                <w:highlight w:val="none"/>
              </w:rPr>
              <w:t xml:space="preserve">  项目工程分析中危险废物汇总表</w:t>
            </w:r>
          </w:p>
          <w:tbl>
            <w:tblPr>
              <w:jc w:val="left"/>
              <w:tblInd w:w="0" w:type="dxa"/>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Look w:val="0600" w:firstRow="0" w:lastRow="0" w:firstColumn="0" w:lastColumn="0" w:noHBand="1" w:noVBand="1"/>
            </w:tblPr>
            <w:tblGrid>
              <w:gridCol w:w="273"/>
              <w:gridCol w:w="710"/>
              <w:gridCol w:w="690"/>
              <w:gridCol w:w="1151"/>
              <w:gridCol w:w="798"/>
              <w:gridCol w:w="643"/>
              <w:gridCol w:w="489"/>
              <w:gridCol w:w="565"/>
              <w:gridCol w:w="600"/>
              <w:gridCol w:w="465"/>
              <w:gridCol w:w="615"/>
              <w:gridCol w:w="974"/>
            </w:tblGrid>
            <w:tr>
              <w:tc>
                <w:tcPr>
                  <w:tcW w:w="171"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序号</w:t>
                  </w:r>
                </w:p>
              </w:tc>
              <w:tc>
                <w:tcPr>
                  <w:tcW w:w="445"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危险废物名称</w:t>
                  </w:r>
                </w:p>
              </w:tc>
              <w:tc>
                <w:tcPr>
                  <w:tcW w:w="432"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危险废物类别</w:t>
                  </w:r>
                </w:p>
              </w:tc>
              <w:tc>
                <w:tcPr>
                  <w:tcW w:w="721"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危险废物代码</w:t>
                  </w:r>
                </w:p>
              </w:tc>
              <w:tc>
                <w:tcPr>
                  <w:tcW w:w="500"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产生量</w:t>
                  </w:r>
                </w:p>
              </w:tc>
              <w:tc>
                <w:tcPr>
                  <w:tcW w:w="403"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产生工序及装置</w:t>
                  </w:r>
                </w:p>
              </w:tc>
              <w:tc>
                <w:tcPr>
                  <w:tcW w:w="306"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形态</w:t>
                  </w:r>
                </w:p>
              </w:tc>
              <w:tc>
                <w:tcPr>
                  <w:tcW w:w="354"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主要成分</w:t>
                  </w:r>
                </w:p>
              </w:tc>
              <w:tc>
                <w:tcPr>
                  <w:tcW w:w="376"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有害成分</w:t>
                  </w:r>
                </w:p>
              </w:tc>
              <w:tc>
                <w:tcPr>
                  <w:tcW w:w="291"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产废周期</w:t>
                  </w:r>
                </w:p>
              </w:tc>
              <w:tc>
                <w:tcPr>
                  <w:tcW w:w="385"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危险特性</w:t>
                  </w:r>
                </w:p>
              </w:tc>
              <w:tc>
                <w:tcPr>
                  <w:tcW w:w="610" w:type="pct"/>
                  <w:tcMar>
                    <w:left w:w="6" w:type="dxa"/>
                    <w:right w:w="6"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污染防治措施</w:t>
                  </w: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color w:val="auto"/>
                      <w:sz w:val="21"/>
                      <w:szCs w:val="21"/>
                      <w:lang w:val="en-US" w:eastAsia="zh-CN"/>
                      <w:highlight w:val="none"/>
                    </w:rPr>
                    <w:t>1</w:t>
                  </w:r>
                </w:p>
              </w:tc>
              <w:tc>
                <w:tcPr>
                  <w:tcW w:w="445" w:type="pct"/>
                  <w:tcBorders>
                    <w:left w:val="single" w:sz="4" w:space="0" w:color="auto"/>
                  </w:tcBorders>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废润滑油</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HW08</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217-08</w:t>
                  </w:r>
                </w:p>
              </w:tc>
              <w:tc>
                <w:tcPr>
                  <w:tcW w:w="500"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03" w:type="pct"/>
                  <w:vMerge w:val="restart"/>
                  <w:tcBorders>
                    <w:left w:val="single" w:sz="4" w:space="0" w:color="auto"/>
                  </w:tcBorders>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设备维护</w:t>
                  </w:r>
                </w:p>
              </w:tc>
              <w:tc>
                <w:tcPr>
                  <w:tcW w:w="30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液态</w:t>
                  </w:r>
                </w:p>
              </w:tc>
              <w:tc>
                <w:tcPr>
                  <w:tcW w:w="35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highlight w:val="none"/>
                    </w:rPr>
                  </w:pPr>
                  <w:r>
                    <w:rPr>
                      <w:rFonts w:ascii="Times New Roman" w:eastAsia="宋体" w:cs="Times New Roman" w:hAnsi="Times New Roman" w:hint="eastAsia"/>
                      <w:color w:val="auto"/>
                      <w:sz w:val="21"/>
                      <w:szCs w:val="21"/>
                      <w:lang w:val="en-US" w:eastAsia="zh-CN"/>
                      <w:highlight w:val="none"/>
                    </w:rPr>
                    <w:t>矿物油</w:t>
                  </w:r>
                </w:p>
              </w:tc>
              <w:tc>
                <w:tcPr>
                  <w:tcW w:w="37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highlight w:val="none"/>
                    </w:rPr>
                  </w:pPr>
                  <w:r>
                    <w:rPr>
                      <w:rFonts w:ascii="Times New Roman" w:eastAsia="宋体" w:cs="Times New Roman" w:hAnsi="Times New Roman" w:hint="eastAsia"/>
                      <w:color w:val="auto"/>
                      <w:sz w:val="21"/>
                      <w:szCs w:val="21"/>
                      <w:lang w:val="en-US" w:eastAsia="zh-CN"/>
                      <w:highlight w:val="none"/>
                    </w:rPr>
                    <w:t>矿物油</w:t>
                  </w:r>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color w:val="auto"/>
                      <w:kern w:val="2"/>
                      <w:sz w:val="21"/>
                      <w:szCs w:val="21"/>
                      <w:highlight w:val="none"/>
                    </w:rPr>
                  </w:pPr>
                  <w:bookmarkStart w:id="11" w:name="_Toc14117"/>
                  <w:r>
                    <w:rPr>
                      <w:rFonts w:ascii="Times New Roman" w:eastAsia="宋体" w:cs="Times New Roman" w:hAnsi="Times New Roman" w:hint="eastAsia"/>
                      <w:color w:val="auto"/>
                      <w:kern w:val="2"/>
                      <w:sz w:val="21"/>
                      <w:szCs w:val="21"/>
                      <w:lang w:val="en-US" w:eastAsia="zh-CN"/>
                      <w:highlight w:val="none"/>
                    </w:rPr>
                    <w:t>1</w:t>
                  </w:r>
                  <w:r>
                    <w:rPr>
                      <w:rFonts w:ascii="Times New Roman" w:eastAsia="宋体" w:cs="Times New Roman" w:hAnsi="Times New Roman"/>
                      <w:color w:val="auto"/>
                      <w:kern w:val="2"/>
                      <w:sz w:val="21"/>
                      <w:szCs w:val="21"/>
                      <w:highlight w:val="none"/>
                    </w:rPr>
                    <w:t>次</w:t>
                  </w:r>
                  <w:r>
                    <w:rPr>
                      <w:rFonts w:ascii="Times New Roman" w:eastAsia="宋体" w:cs="Times New Roman" w:hAnsi="Times New Roman" w:hint="eastAsia"/>
                      <w:color w:val="auto"/>
                      <w:kern w:val="2"/>
                      <w:sz w:val="21"/>
                      <w:szCs w:val="21"/>
                      <w:lang w:val="en-US" w:eastAsia="zh-CN"/>
                      <w:highlight w:val="none"/>
                    </w:rPr>
                    <w:t>/半</w:t>
                  </w:r>
                  <w:r>
                    <w:rPr>
                      <w:rFonts w:ascii="Times New Roman" w:eastAsia="宋体" w:cs="Times New Roman" w:hAnsi="Times New Roman"/>
                      <w:color w:val="auto"/>
                      <w:kern w:val="2"/>
                      <w:sz w:val="21"/>
                      <w:szCs w:val="21"/>
                      <w:highlight w:val="none"/>
                    </w:rPr>
                    <w:t>年</w:t>
                  </w:r>
                  <w:bookmarkEnd w:id="11"/>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val="restart"/>
                  <w:tcBorders>
                    <w:left w:val="single" w:sz="4" w:space="0" w:color="auto"/>
                  </w:tcBorders>
                  <w:vAlign w:val="center"/>
                </w:tcPr>
                <w:p>
                  <w:pPr>
                    <w:keepNext w:val="0"/>
                    <w:keepLines w:val="0"/>
                    <w:widowControl/>
                    <w:suppressLineNumbers w:val="0"/>
                    <w:spacing w:before="0" w:beforeAutospacing="0" w:after="0" w:afterAutospacing="0"/>
                    <w:ind w:left="0" w:right="0"/>
                    <w:jc w:val="center"/>
                    <w:rPr>
                      <w:rFonts w:ascii="Times New Roman" w:eastAsia="宋体"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危废间暂存后交由有危废处置资质单位处置</w:t>
                  </w: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lang w:eastAsia="zh-CN"/>
                      <w:highlight w:val="none"/>
                    </w:rPr>
                  </w:pPr>
                  <w:r>
                    <w:rPr>
                      <w:rFonts w:ascii="Times New Roman" w:cs="Times New Roman" w:hAnsi="Times New Roman"/>
                      <w:color w:val="auto"/>
                      <w:sz w:val="21"/>
                      <w:szCs w:val="21"/>
                      <w:lang w:val="en-US" w:eastAsia="zh-CN"/>
                      <w:highlight w:val="none"/>
                    </w:rPr>
                    <w:t>2</w:t>
                  </w:r>
                </w:p>
              </w:tc>
              <w:tc>
                <w:tcPr>
                  <w:tcW w:w="445" w:type="pct"/>
                  <w:tcBorders>
                    <w:left w:val="single" w:sz="4" w:space="0" w:color="auto"/>
                  </w:tcBorders>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废润滑油桶</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08</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249</w:t>
                  </w:r>
                  <w:r>
                    <w:rPr>
                      <w:rFonts w:ascii="Times New Roman" w:cs="Times New Roman" w:hAnsi="Times New Roman"/>
                      <w:bCs/>
                      <w:color w:val="auto"/>
                      <w:sz w:val="21"/>
                      <w:szCs w:val="21"/>
                      <w:lang w:val="pt-BR"/>
                      <w:highlight w:val="none"/>
                    </w:rPr>
                    <w:t>-</w:t>
                  </w:r>
                  <w:r>
                    <w:rPr>
                      <w:rFonts w:ascii="Times New Roman" w:cs="Times New Roman" w:hAnsi="Times New Roman" w:hint="eastAsia"/>
                      <w:bCs/>
                      <w:color w:val="auto"/>
                      <w:sz w:val="21"/>
                      <w:szCs w:val="21"/>
                      <w:lang w:val="en-US" w:eastAsia="zh-CN"/>
                      <w:highlight w:val="none"/>
                    </w:rPr>
                    <w:t>08</w:t>
                  </w:r>
                </w:p>
              </w:tc>
              <w:tc>
                <w:tcPr>
                  <w:tcW w:w="500"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03" w:type="pct"/>
                  <w:vMerge/>
                  <w:tcBorders>
                    <w:left w:val="single" w:sz="4" w:space="0" w:color="auto"/>
                  </w:tcBorders>
                  <w:vAlign w:val="center"/>
                </w:tcPr>
                <w:p/>
              </w:tc>
              <w:tc>
                <w:tcPr>
                  <w:tcW w:w="30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固态</w:t>
                  </w:r>
                </w:p>
              </w:tc>
              <w:tc>
                <w:tcPr>
                  <w:tcW w:w="354"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highlight w:val="none"/>
                    </w:rPr>
                  </w:pPr>
                  <w:r>
                    <w:rPr>
                      <w:rFonts w:ascii="Times New Roman" w:eastAsia="宋体" w:cs="Times New Roman" w:hAnsi="Times New Roman" w:hint="eastAsia"/>
                      <w:color w:val="auto"/>
                      <w:sz w:val="21"/>
                      <w:szCs w:val="21"/>
                      <w:lang w:val="en-US" w:eastAsia="zh-CN"/>
                      <w:highlight w:val="none"/>
                    </w:rPr>
                    <w:t>润滑油桶</w:t>
                  </w:r>
                </w:p>
              </w:tc>
              <w:tc>
                <w:tcPr>
                  <w:tcW w:w="376"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highlight w:val="none"/>
                    </w:rPr>
                  </w:pPr>
                  <w:r>
                    <w:rPr>
                      <w:rFonts w:ascii="Times New Roman" w:eastAsia="宋体" w:cs="Times New Roman" w:hAnsi="Times New Roman" w:hint="eastAsia"/>
                      <w:color w:val="auto"/>
                      <w:sz w:val="21"/>
                      <w:szCs w:val="21"/>
                      <w:lang w:val="en-US" w:eastAsia="zh-CN"/>
                      <w:highlight w:val="none"/>
                    </w:rPr>
                    <w:t>矿物油</w:t>
                  </w:r>
                </w:p>
              </w:tc>
              <w:tc>
                <w:tcPr>
                  <w:tcW w:w="291" w:type="pct"/>
                  <w:tcBorders>
                    <w:left w:val="single" w:sz="4" w:space="0" w:color="auto"/>
                  </w:tcBorders>
                  <w:vAlign w:val="center"/>
                </w:tcPr>
                <w:p>
                  <w:pPr>
                    <w:keepNext w:val="0"/>
                    <w:keepLines w:val="0"/>
                    <w:suppressLineNumbers w:val="0"/>
                    <w:spacing w:before="0" w:beforeAutospacing="0" w:after="0" w:afterAutospacing="0" w:line="240" w:lineRule="auto"/>
                    <w:ind w:left="0" w:right="0"/>
                    <w:rPr>
                      <w:rFonts w:ascii="Times New Roman" w:eastAsia="宋体" w:cs="Times New Roman" w:hAnsi="Times New Roman"/>
                      <w:color w:val="auto"/>
                      <w:kern w:val="2"/>
                      <w:sz w:val="21"/>
                      <w:szCs w:val="21"/>
                      <w:highlight w:val="none"/>
                    </w:rPr>
                  </w:pPr>
                  <w:r>
                    <w:rPr>
                      <w:rFonts w:ascii="Times New Roman" w:eastAsia="宋体" w:cs="Times New Roman" w:hAnsi="Times New Roman" w:hint="eastAsia"/>
                      <w:color w:val="auto"/>
                      <w:kern w:val="2"/>
                      <w:sz w:val="21"/>
                      <w:szCs w:val="21"/>
                      <w:lang w:val="en-US" w:eastAsia="zh-CN"/>
                      <w:highlight w:val="none"/>
                    </w:rPr>
                    <w:t>1</w:t>
                  </w:r>
                  <w:r>
                    <w:rPr>
                      <w:rFonts w:ascii="Times New Roman" w:eastAsia="宋体" w:cs="Times New Roman" w:hAnsi="Times New Roman"/>
                      <w:color w:val="auto"/>
                      <w:kern w:val="2"/>
                      <w:sz w:val="21"/>
                      <w:szCs w:val="21"/>
                      <w:highlight w:val="none"/>
                    </w:rPr>
                    <w:t>次</w:t>
                  </w:r>
                  <w:r>
                    <w:rPr>
                      <w:rFonts w:ascii="Times New Roman" w:eastAsia="宋体" w:cs="Times New Roman" w:hAnsi="Times New Roman" w:hint="eastAsia"/>
                      <w:color w:val="auto"/>
                      <w:kern w:val="2"/>
                      <w:sz w:val="21"/>
                      <w:szCs w:val="21"/>
                      <w:lang w:val="en-US" w:eastAsia="zh-CN"/>
                      <w:highlight w:val="none"/>
                    </w:rPr>
                    <w:t>/半</w:t>
                  </w:r>
                  <w:r>
                    <w:rPr>
                      <w:rFonts w:ascii="Times New Roman" w:eastAsia="宋体" w:cs="Times New Roman" w:hAnsi="Times New Roman"/>
                      <w:color w:val="auto"/>
                      <w:kern w:val="2"/>
                      <w:sz w:val="21"/>
                      <w:szCs w:val="21"/>
                      <w:highlight w:val="none"/>
                    </w:rPr>
                    <w:t>年</w:t>
                  </w:r>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3</w:t>
                  </w:r>
                </w:p>
              </w:tc>
              <w:tc>
                <w:tcPr>
                  <w:tcW w:w="445" w:type="pct"/>
                  <w:tcBorders>
                    <w:left w:val="single" w:sz="4" w:space="0" w:color="auto"/>
                  </w:tcBorders>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eastAsia="宋体" w:cs="Times New Roman" w:hAnsi="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含油抹布及废劳保用品</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900-041-49</w:t>
                  </w:r>
                </w:p>
              </w:tc>
              <w:tc>
                <w:tcPr>
                  <w:tcW w:w="500"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03" w:type="pct"/>
                  <w:vMerge/>
                  <w:tcBorders>
                    <w:left w:val="single" w:sz="4" w:space="0" w:color="auto"/>
                  </w:tcBorders>
                  <w:vAlign w:val="center"/>
                </w:tcP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固态</w:t>
                  </w:r>
                </w:p>
              </w:tc>
              <w:tc>
                <w:tcPr>
                  <w:tcW w:w="35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hint="eastAsia"/>
                      <w:color w:val="auto"/>
                      <w:sz w:val="21"/>
                      <w:szCs w:val="21"/>
                      <w:lang w:val="en-US" w:eastAsia="zh-CN"/>
                      <w:highlight w:val="none"/>
                    </w:rPr>
                    <w:t>抹布及劳保用品</w:t>
                  </w:r>
                </w:p>
              </w:tc>
              <w:tc>
                <w:tcPr>
                  <w:tcW w:w="37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hint="eastAsia"/>
                      <w:color w:val="auto"/>
                      <w:sz w:val="21"/>
                      <w:szCs w:val="21"/>
                      <w:lang w:val="en-US" w:eastAsia="zh-CN"/>
                      <w:highlight w:val="none"/>
                    </w:rPr>
                    <w:t>矿物油</w:t>
                  </w:r>
                </w:p>
              </w:tc>
              <w:tc>
                <w:tcPr>
                  <w:tcW w:w="291" w:type="pct"/>
                  <w:tcBorders>
                    <w:left w:val="single" w:sz="4" w:space="0" w:color="auto"/>
                  </w:tcBorders>
                  <w:vAlign w:val="center"/>
                </w:tcPr>
                <w:p>
                  <w:pPr>
                    <w:keepNext w:val="0"/>
                    <w:keepLines w:val="0"/>
                    <w:suppressLineNumbers w:val="0"/>
                    <w:spacing w:before="0" w:beforeAutospacing="0" w:after="0" w:afterAutospacing="0" w:line="240" w:lineRule="auto"/>
                    <w:ind w:left="0" w:right="0"/>
                    <w:rPr>
                      <w:rFonts w:ascii="Times New Roman" w:eastAsia="宋体" w:cs="Times New Roman" w:hAnsi="Times New Roman"/>
                      <w:color w:val="auto"/>
                      <w:kern w:val="2"/>
                      <w:sz w:val="21"/>
                      <w:szCs w:val="21"/>
                      <w:highlight w:val="none"/>
                    </w:rPr>
                  </w:pPr>
                  <w:r>
                    <w:rPr>
                      <w:rFonts w:ascii="Times New Roman" w:eastAsia="宋体" w:cs="Times New Roman" w:hAnsi="Times New Roman" w:hint="eastAsia"/>
                      <w:color w:val="auto"/>
                      <w:kern w:val="2"/>
                      <w:sz w:val="21"/>
                      <w:szCs w:val="21"/>
                      <w:lang w:val="en-US" w:eastAsia="zh-CN"/>
                      <w:highlight w:val="none"/>
                    </w:rPr>
                    <w:t>1</w:t>
                  </w:r>
                  <w:r>
                    <w:rPr>
                      <w:rFonts w:ascii="Times New Roman" w:eastAsia="宋体" w:cs="Times New Roman" w:hAnsi="Times New Roman"/>
                      <w:color w:val="auto"/>
                      <w:kern w:val="2"/>
                      <w:sz w:val="21"/>
                      <w:szCs w:val="21"/>
                      <w:highlight w:val="none"/>
                    </w:rPr>
                    <w:t>次</w:t>
                  </w:r>
                  <w:r>
                    <w:rPr>
                      <w:rFonts w:ascii="Times New Roman" w:eastAsia="宋体" w:cs="Times New Roman" w:hAnsi="Times New Roman" w:hint="eastAsia"/>
                      <w:color w:val="auto"/>
                      <w:kern w:val="2"/>
                      <w:sz w:val="21"/>
                      <w:szCs w:val="21"/>
                      <w:lang w:val="en-US" w:eastAsia="zh-CN"/>
                      <w:highlight w:val="none"/>
                    </w:rPr>
                    <w:t>/半</w:t>
                  </w:r>
                  <w:r>
                    <w:rPr>
                      <w:rFonts w:ascii="Times New Roman" w:eastAsia="宋体" w:cs="Times New Roman" w:hAnsi="Times New Roman"/>
                      <w:color w:val="auto"/>
                      <w:kern w:val="2"/>
                      <w:sz w:val="21"/>
                      <w:szCs w:val="21"/>
                      <w:highlight w:val="none"/>
                    </w:rPr>
                    <w:t>年</w:t>
                  </w:r>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4</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HW08</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900-200-08</w:t>
                  </w:r>
                </w:p>
              </w:tc>
              <w:tc>
                <w:tcPr>
                  <w:tcW w:w="500"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W w:w="403" w:type="pct"/>
                  <w:vMerge/>
                  <w:tcBorders>
                    <w:left w:val="single" w:sz="4" w:space="0" w:color="auto"/>
                  </w:tcBorders>
                  <w:vAlign w:val="center"/>
                </w:tcP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固态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color w:val="auto"/>
                      <w:sz w:val="21"/>
                      <w:szCs w:val="21"/>
                      <w:lang w:val="en-US" w:eastAsia="zh-CN"/>
                      <w:highlight w:val="none"/>
                    </w:rPr>
                  </w:pPr>
                  <w:bookmarkStart w:id="12" w:name="_Toc24454"/>
                  <w:r>
                    <w:rPr>
                      <w:rFonts w:ascii="Times New Roman" w:eastAsia="宋体" w:cs="Times New Roman" w:hAnsi="Times New Roman" w:hint="eastAsia"/>
                      <w:color w:val="auto"/>
                      <w:sz w:val="21"/>
                      <w:szCs w:val="21"/>
                      <w:lang w:val="en-US" w:eastAsia="zh-CN"/>
                      <w:highlight w:val="none"/>
                    </w:rPr>
                    <w:t>金属</w:t>
                  </w:r>
                  <w:bookmarkEnd w:id="12"/>
                </w:p>
              </w:tc>
              <w:tc>
                <w:tcPr>
                  <w:tcW w:w="37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矿物油</w:t>
                  </w:r>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color w:val="auto"/>
                      <w:kern w:val="2"/>
                      <w:sz w:val="21"/>
                      <w:szCs w:val="21"/>
                      <w:lang w:val="en-US" w:eastAsia="zh-CN"/>
                      <w:highlight w:val="none"/>
                    </w:rPr>
                  </w:pPr>
                  <w:bookmarkStart w:id="13" w:name="_Toc11380"/>
                  <w:r>
                    <w:rPr>
                      <w:rFonts w:ascii="Times New Roman" w:eastAsia="宋体" w:cs="Times New Roman" w:hAnsi="Times New Roman" w:hint="eastAsia"/>
                      <w:color w:val="auto"/>
                      <w:kern w:val="2"/>
                      <w:sz w:val="21"/>
                      <w:szCs w:val="21"/>
                      <w:lang w:val="en-US" w:eastAsia="zh-CN"/>
                      <w:highlight w:val="none"/>
                    </w:rPr>
                    <w:t>随生产产生</w:t>
                  </w:r>
                  <w:bookmarkEnd w:id="13"/>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5</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900-006-09</w:t>
                  </w:r>
                </w:p>
              </w:tc>
              <w:tc>
                <w:tcPr>
                  <w:tcW w:w="500"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03" w:type="pct"/>
                  <w:vMerge/>
                  <w:tcBorders>
                    <w:left w:val="single" w:sz="4" w:space="0" w:color="auto"/>
                  </w:tcBorders>
                  <w:vAlign w:val="center"/>
                </w:tcP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液态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color w:val="auto"/>
                      <w:sz w:val="21"/>
                      <w:szCs w:val="21"/>
                      <w:lang w:val="en-US" w:eastAsia="zh-CN"/>
                      <w:highlight w:val="none"/>
                    </w:rPr>
                  </w:pPr>
                  <w:bookmarkStart w:id="14" w:name="_Toc29226"/>
                  <w:r>
                    <w:rPr>
                      <w:rFonts w:ascii="Times New Roman" w:eastAsia="宋体" w:cs="Times New Roman" w:hAnsi="Times New Roman" w:hint="eastAsia"/>
                      <w:color w:val="auto"/>
                      <w:sz w:val="21"/>
                      <w:szCs w:val="21"/>
                      <w:lang w:val="en-US" w:eastAsia="zh-CN"/>
                      <w:highlight w:val="none"/>
                    </w:rPr>
                    <w:t>切削液</w:t>
                  </w:r>
                  <w:bookmarkEnd w:id="14"/>
                </w:p>
              </w:tc>
              <w:tc>
                <w:tcPr>
                  <w:tcW w:w="376"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hint="eastAsia"/>
                      <w:bCs/>
                      <w:snapToGrid w:val="0"/>
                      <w:color w:val="auto"/>
                      <w:kern w:val="28"/>
                      <w:sz w:val="21"/>
                      <w:szCs w:val="21"/>
                      <w:lang w:val="en-US" w:eastAsia="zh-CN" w:bidi="ar-SA"/>
                      <w:highlight w:val="none"/>
                    </w:rPr>
                  </w:pPr>
                  <w:bookmarkStart w:id="15" w:name="_Toc24441"/>
                  <w:r>
                    <w:rPr>
                      <w:rFonts w:ascii="Times New Roman" w:eastAsia="宋体" w:cs="Times New Roman" w:hAnsi="Times New Roman" w:hint="eastAsia"/>
                      <w:color w:val="auto"/>
                      <w:sz w:val="21"/>
                      <w:szCs w:val="21"/>
                      <w:lang w:val="en-US" w:eastAsia="zh-CN"/>
                      <w:highlight w:val="none"/>
                    </w:rPr>
                    <w:t>切削液</w:t>
                  </w:r>
                  <w:bookmarkEnd w:id="15"/>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color w:val="auto"/>
                      <w:kern w:val="2"/>
                      <w:sz w:val="21"/>
                      <w:szCs w:val="21"/>
                      <w:lang w:val="en-US"/>
                      <w:highlight w:val="none"/>
                    </w:rPr>
                  </w:pPr>
                  <w:bookmarkStart w:id="16" w:name="_Toc20589"/>
                  <w:r>
                    <w:rPr>
                      <w:rFonts w:ascii="Times New Roman" w:eastAsia="宋体" w:cs="Times New Roman" w:hAnsi="Times New Roman" w:hint="eastAsia"/>
                      <w:color w:val="auto"/>
                      <w:kern w:val="2"/>
                      <w:sz w:val="21"/>
                      <w:szCs w:val="21"/>
                      <w:lang w:val="en-US" w:eastAsia="zh-CN"/>
                      <w:highlight w:val="none"/>
                    </w:rPr>
                    <w:t>15个/1天</w:t>
                  </w:r>
                  <w:bookmarkEnd w:id="16"/>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6</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900-041-49</w:t>
                  </w:r>
                </w:p>
              </w:tc>
              <w:tc>
                <w:tcPr>
                  <w:tcW w:w="500"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403" w:type="pct"/>
                  <w:vMerge/>
                  <w:tcBorders>
                    <w:left w:val="single" w:sz="4" w:space="0" w:color="auto"/>
                  </w:tcBorders>
                  <w:vAlign w:val="center"/>
                </w:tcP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固态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bCs/>
                      <w:snapToGrid w:val="0"/>
                      <w:color w:val="auto"/>
                      <w:kern w:val="28"/>
                      <w:sz w:val="21"/>
                      <w:szCs w:val="21"/>
                      <w:lang w:val="en-US" w:eastAsia="zh-CN" w:bidi="ar-SA"/>
                      <w:highlight w:val="none"/>
                    </w:rPr>
                  </w:pPr>
                  <w:bookmarkStart w:id="17" w:name="_Toc13914"/>
                  <w:r>
                    <w:rPr>
                      <w:rFonts w:ascii="Times New Roman" w:eastAsia="宋体" w:cs="Times New Roman" w:hAnsi="Times New Roman" w:hint="eastAsia"/>
                      <w:bCs/>
                      <w:snapToGrid w:val="0"/>
                      <w:color w:val="auto"/>
                      <w:kern w:val="28"/>
                      <w:sz w:val="21"/>
                      <w:szCs w:val="21"/>
                      <w:lang w:val="en-US" w:eastAsia="zh-CN" w:bidi="ar-SA"/>
                      <w:highlight w:val="none"/>
                    </w:rPr>
                    <w:t>切削液桶</w:t>
                  </w:r>
                  <w:bookmarkEnd w:id="17"/>
                </w:p>
              </w:tc>
              <w:tc>
                <w:tcPr>
                  <w:tcW w:w="376"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bCs/>
                      <w:snapToGrid w:val="0"/>
                      <w:color w:val="auto"/>
                      <w:kern w:val="28"/>
                      <w:sz w:val="21"/>
                      <w:szCs w:val="21"/>
                      <w:lang w:val="en-US" w:eastAsia="zh-CN" w:bidi="ar-SA"/>
                      <w:highlight w:val="none"/>
                    </w:rPr>
                  </w:pPr>
                  <w:bookmarkStart w:id="18" w:name="_Toc28647"/>
                  <w:r>
                    <w:rPr>
                      <w:rFonts w:ascii="Times New Roman" w:eastAsia="宋体" w:cs="Times New Roman" w:hAnsi="Times New Roman" w:hint="eastAsia"/>
                      <w:bCs/>
                      <w:snapToGrid w:val="0"/>
                      <w:color w:val="auto"/>
                      <w:kern w:val="28"/>
                      <w:sz w:val="21"/>
                      <w:szCs w:val="21"/>
                      <w:lang w:val="en-US" w:eastAsia="zh-CN" w:bidi="ar-SA"/>
                      <w:highlight w:val="none"/>
                    </w:rPr>
                    <w:t>切削液</w:t>
                  </w:r>
                  <w:bookmarkEnd w:id="18"/>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color w:val="auto"/>
                      <w:kern w:val="2"/>
                      <w:sz w:val="21"/>
                      <w:szCs w:val="21"/>
                      <w:lang w:val="en-US" w:eastAsia="zh-CN"/>
                      <w:highlight w:val="none"/>
                    </w:rPr>
                  </w:pPr>
                  <w:bookmarkStart w:id="19" w:name="_Toc53"/>
                  <w:r>
                    <w:rPr>
                      <w:rFonts w:ascii="Times New Roman" w:eastAsia="宋体" w:cs="Times New Roman" w:hAnsi="Times New Roman" w:hint="eastAsia"/>
                      <w:color w:val="auto"/>
                      <w:kern w:val="2"/>
                      <w:sz w:val="21"/>
                      <w:szCs w:val="21"/>
                      <w:lang w:val="en-US" w:eastAsia="zh-CN"/>
                      <w:highlight w:val="none"/>
                    </w:rPr>
                    <w:t>3个/1天</w:t>
                  </w:r>
                  <w:bookmarkEnd w:id="19"/>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7</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900-041-49</w:t>
                  </w:r>
                </w:p>
              </w:tc>
              <w:tc>
                <w:tcPr>
                  <w:tcW w:w="500"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W w:w="403"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kern w:val="2"/>
                      <w:sz w:val="21"/>
                      <w:szCs w:val="21"/>
                      <w:lang w:val="en-US" w:eastAsia="zh-CN"/>
                      <w:highlight w:val="none"/>
                    </w:rPr>
                  </w:pPr>
                  <w:r>
                    <w:rPr>
                      <w:rFonts w:ascii="Times New Roman" w:cs="Times New Roman" w:hAnsi="Times New Roman" w:hint="eastAsia"/>
                      <w:caps w:val="0"/>
                      <w:smallCaps w:val="0"/>
                      <w:color w:val="auto"/>
                      <w:kern w:val="2"/>
                      <w:sz w:val="21"/>
                      <w:szCs w:val="21"/>
                      <w:lang w:val="en-US" w:eastAsia="zh-CN"/>
                      <w:highlight w:val="none"/>
                    </w:rPr>
                    <w:t>净化设施</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固态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color w:val="auto"/>
                      <w:sz w:val="21"/>
                      <w:szCs w:val="21"/>
                      <w:lang w:val="en-US" w:eastAsia="zh-CN"/>
                      <w:highlight w:val="none"/>
                    </w:rPr>
                  </w:pPr>
                  <w:bookmarkStart w:id="20" w:name="_Toc23447"/>
                  <w:r>
                    <w:rPr>
                      <w:rFonts w:ascii="Times New Roman" w:eastAsia="宋体" w:cs="Times New Roman" w:hAnsi="Times New Roman" w:hint="eastAsia"/>
                      <w:color w:val="auto"/>
                      <w:sz w:val="21"/>
                      <w:szCs w:val="21"/>
                      <w:lang w:val="en-US" w:eastAsia="zh-CN"/>
                      <w:highlight w:val="none"/>
                    </w:rPr>
                    <w:t>纤维</w:t>
                  </w:r>
                  <w:bookmarkEnd w:id="20"/>
                </w:p>
              </w:tc>
              <w:tc>
                <w:tcPr>
                  <w:tcW w:w="376"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color w:val="auto"/>
                      <w:sz w:val="21"/>
                      <w:szCs w:val="21"/>
                      <w:highlight w:val="none"/>
                    </w:rPr>
                  </w:pPr>
                  <w:bookmarkStart w:id="21" w:name="_Toc6912"/>
                  <w:r>
                    <w:rPr>
                      <w:rFonts w:ascii="Times New Roman" w:eastAsia="宋体" w:cs="Times New Roman" w:hAnsi="Times New Roman" w:hint="eastAsia"/>
                      <w:color w:val="auto"/>
                      <w:sz w:val="21"/>
                      <w:szCs w:val="21"/>
                      <w:lang w:val="en-US" w:eastAsia="zh-CN"/>
                      <w:highlight w:val="none"/>
                    </w:rPr>
                    <w:t>挥发性有机物</w:t>
                  </w:r>
                  <w:bookmarkEnd w:id="21"/>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color w:val="auto"/>
                      <w:kern w:val="2"/>
                      <w:sz w:val="21"/>
                      <w:szCs w:val="21"/>
                      <w:lang w:val="en-US" w:eastAsia="zh-CN"/>
                      <w:highlight w:val="none"/>
                    </w:rPr>
                  </w:pPr>
                  <w:bookmarkStart w:id="22" w:name="_Toc17609"/>
                  <w:r>
                    <w:rPr>
                      <w:rFonts w:ascii="Times New Roman" w:eastAsia="宋体" w:cs="Times New Roman" w:hAnsi="Times New Roman" w:hint="eastAsia"/>
                      <w:color w:val="auto"/>
                      <w:kern w:val="2"/>
                      <w:sz w:val="21"/>
                      <w:szCs w:val="21"/>
                      <w:lang w:val="en-US" w:eastAsia="zh-CN"/>
                      <w:highlight w:val="none"/>
                    </w:rPr>
                    <w:t>1次/半年</w:t>
                  </w:r>
                  <w:bookmarkEnd w:id="22"/>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hint="eastAsia"/>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8</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aps w:val="0"/>
                      <w:smallCaps/>
                      <w:color w:val="auto"/>
                      <w:kern w:val="0"/>
                      <w:sz w:val="21"/>
                      <w:szCs w:val="22"/>
                      <w:lang w:val="en-US" w:eastAsia="zh-CN" w:bidi="ar-SA"/>
                      <w:highlight w:val="none"/>
                    </w:rPr>
                    <w:t>除尘灰</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HW49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500"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W w:w="403"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kern w:val="2"/>
                      <w:sz w:val="21"/>
                      <w:szCs w:val="21"/>
                      <w:lang w:val="en-US" w:eastAsia="zh-CN" w:bidi="ar-SA"/>
                      <w:highlight w:val="none"/>
                    </w:rPr>
                  </w:pPr>
                  <w:r>
                    <w:rPr>
                      <w:rFonts w:ascii="Times New Roman" w:cs="Times New Roman" w:hAnsi="Times New Roman" w:hint="eastAsia"/>
                      <w:caps w:val="0"/>
                      <w:smallCaps w:val="0"/>
                      <w:color w:val="auto"/>
                      <w:kern w:val="2"/>
                      <w:sz w:val="21"/>
                      <w:szCs w:val="21"/>
                      <w:lang w:val="en-US" w:eastAsia="zh-CN"/>
                      <w:highlight w:val="none"/>
                    </w:rPr>
                    <w:t>净化设施</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固态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bCs/>
                      <w:snapToGrid w:val="0"/>
                      <w:color w:val="auto"/>
                      <w:kern w:val="28"/>
                      <w:sz w:val="21"/>
                      <w:szCs w:val="21"/>
                      <w:lang w:val="en-US" w:eastAsia="zh-CN" w:bidi="ar-SA"/>
                      <w:highlight w:val="none"/>
                    </w:rPr>
                  </w:pPr>
                  <w:bookmarkStart w:id="23" w:name="_Toc14680"/>
                  <w:r>
                    <w:rPr>
                      <w:rFonts w:ascii="Times New Roman" w:eastAsia="宋体" w:cs="Times New Roman" w:hAnsi="Times New Roman" w:hint="eastAsia"/>
                      <w:color w:val="auto"/>
                      <w:sz w:val="21"/>
                      <w:szCs w:val="21"/>
                      <w:lang w:val="en-US" w:eastAsia="zh-CN"/>
                      <w:highlight w:val="none"/>
                    </w:rPr>
                    <w:t>塑料、金属粉</w:t>
                  </w:r>
                  <w:bookmarkEnd w:id="23"/>
                </w:p>
              </w:tc>
              <w:tc>
                <w:tcPr>
                  <w:tcW w:w="376"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hint="eastAsia"/>
                      <w:bCs/>
                      <w:snapToGrid w:val="0"/>
                      <w:color w:val="auto"/>
                      <w:kern w:val="28"/>
                      <w:sz w:val="21"/>
                      <w:szCs w:val="21"/>
                      <w:lang w:val="en-US" w:eastAsia="zh-CN" w:bidi="ar-SA"/>
                      <w:highlight w:val="none"/>
                    </w:rPr>
                  </w:pPr>
                  <w:bookmarkStart w:id="24" w:name="_Toc18457"/>
                  <w:r>
                    <w:rPr>
                      <w:rFonts w:ascii="Times New Roman" w:eastAsia="宋体" w:cs="Times New Roman" w:hAnsi="Times New Roman" w:hint="eastAsia"/>
                      <w:color w:val="auto"/>
                      <w:sz w:val="21"/>
                      <w:szCs w:val="21"/>
                      <w:lang w:val="en-US" w:eastAsia="zh-CN"/>
                      <w:highlight w:val="none"/>
                    </w:rPr>
                    <w:t>挥发性有机物</w:t>
                  </w:r>
                  <w:bookmarkEnd w:id="24"/>
                </w:p>
              </w:tc>
              <w:tc>
                <w:tcPr>
                  <w:tcW w:w="291" w:type="pct"/>
                  <w:tcBorders>
                    <w:left w:val="single" w:sz="4" w:space="0" w:color="auto"/>
                  </w:tcBorders>
                  <w:shd w:val="clear" w:color="auto" w:fill="auto"/>
                  <w:vAlign w:val="center"/>
                </w:tcPr>
                <w:p>
                  <w:pPr>
                    <w:pStyle w:val="173"/>
                    <w:keepNext w:val="0"/>
                    <w:keepLines w:val="0"/>
                    <w:suppressLineNumbers w:val="0"/>
                    <w:spacing w:beforeAutospacing="0" w:after="0" w:afterAutospacing="0" w:line="240" w:lineRule="auto"/>
                    <w:ind w:left="0" w:right="0"/>
                    <w:rPr>
                      <w:rFonts w:ascii="Times New Roman" w:eastAsia="宋体" w:cs="Times New Roman" w:hAnsi="Times New Roman" w:hint="eastAsia"/>
                      <w:bCs/>
                      <w:snapToGrid w:val="0"/>
                      <w:color w:val="auto"/>
                      <w:kern w:val="2"/>
                      <w:sz w:val="21"/>
                      <w:szCs w:val="21"/>
                      <w:lang w:val="en-US" w:eastAsia="zh-CN" w:bidi="ar-SA"/>
                      <w:highlight w:val="none"/>
                    </w:rPr>
                  </w:pPr>
                  <w:bookmarkStart w:id="25" w:name="_Toc20473"/>
                  <w:r>
                    <w:rPr>
                      <w:rFonts w:ascii="Times New Roman" w:eastAsia="宋体" w:cs="Times New Roman" w:hAnsi="Times New Roman" w:hint="eastAsia"/>
                      <w:color w:val="auto"/>
                      <w:kern w:val="2"/>
                      <w:sz w:val="21"/>
                      <w:szCs w:val="21"/>
                      <w:lang w:val="en-US" w:eastAsia="zh-CN"/>
                      <w:highlight w:val="none"/>
                    </w:rPr>
                    <w:t>1次/半年</w:t>
                  </w:r>
                  <w:bookmarkEnd w:id="25"/>
                </w:p>
              </w:tc>
              <w:tc>
                <w:tcPr>
                  <w:tcW w:w="385"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T，I</w:t>
                  </w:r>
                </w:p>
              </w:tc>
              <w:tc>
                <w:tcPr>
                  <w:tcW w:w="610" w:type="pct"/>
                  <w:vMerge/>
                  <w:tcBorders>
                    <w:left w:val="single" w:sz="4" w:space="0" w:color="auto"/>
                  </w:tcBorders>
                  <w:vAlign w:val="center"/>
                </w:tcPr>
                <w:p/>
              </w:tc>
            </w:tr>
            <w:tr>
              <w:trPr>
                <w:trHeight w:val="90"/>
              </w:trPr>
              <w:tc>
                <w:tcPr>
                  <w:tcW w:w="171" w:type="pct"/>
                  <w:vAlign w:val="center"/>
                </w:tcPr>
                <w:p>
                  <w:pPr>
                    <w:keepNext w:val="0"/>
                    <w:keepLines w:val="0"/>
                    <w:suppressLineNumbers w:val="0"/>
                    <w:spacing w:before="0" w:beforeAutospacing="0" w:after="0" w:afterAutospacing="0"/>
                    <w:ind w:left="0" w:right="0"/>
                    <w:jc w:val="center"/>
                    <w:rPr>
                      <w:rFonts w:cs="Times New Roman"/>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9</w:t>
                  </w:r>
                </w:p>
              </w:tc>
              <w:tc>
                <w:tcPr>
                  <w:tcW w:w="445" w:type="pct"/>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W w:w="432"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hint="eastAsia"/>
                      <w:bCs/>
                      <w:color w:val="auto"/>
                      <w:sz w:val="21"/>
                      <w:szCs w:val="21"/>
                      <w:lang w:val="en-US" w:eastAsia="zh-CN"/>
                      <w:highlight w:val="none"/>
                    </w:rPr>
                    <w:t>HW49</w:t>
                  </w:r>
                </w:p>
              </w:tc>
              <w:tc>
                <w:tcPr>
                  <w:tcW w:w="721" w:type="pct"/>
                  <w:tcBorders>
                    <w:lef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w:t>
                  </w:r>
                  <w:r>
                    <w:rPr>
                      <w:rFonts w:ascii="Times New Roman" w:cs="Times New Roman" w:hAnsi="Times New Roman" w:hint="eastAsia"/>
                      <w:bCs/>
                      <w:color w:val="auto"/>
                      <w:sz w:val="21"/>
                      <w:szCs w:val="21"/>
                      <w:lang w:val="en-US" w:eastAsia="zh-CN"/>
                      <w:highlight w:val="none"/>
                    </w:rPr>
                    <w:t>39</w:t>
                  </w:r>
                  <w:r>
                    <w:rPr>
                      <w:rFonts w:ascii="Times New Roman" w:cs="Times New Roman" w:hAnsi="Times New Roman"/>
                      <w:bCs/>
                      <w:color w:val="auto"/>
                      <w:sz w:val="21"/>
                      <w:szCs w:val="21"/>
                      <w:lang w:val="pt-BR"/>
                      <w:highlight w:val="none"/>
                    </w:rPr>
                    <w:t>-49</w:t>
                  </w:r>
                </w:p>
              </w:tc>
              <w:tc>
                <w:tcPr>
                  <w:tcW w:w="500"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W w:w="403" w:type="pct"/>
                  <w:tcBorders>
                    <w:left w:val="single" w:sz="4" w:space="0" w:color="auto"/>
                  </w:tcBorders>
                  <w:vAlign w:val="center"/>
                </w:tcPr>
                <w:p>
                  <w:pPr>
                    <w:pStyle w:val="43"/>
                    <w:keepNext w:val="0"/>
                    <w:keepLines w:val="0"/>
                    <w:suppressLineNumbers w:val="0"/>
                    <w:spacing w:before="0" w:beforeAutospacing="0" w:after="0" w:afterAutospacing="0" w:line="360" w:lineRule="exact"/>
                    <w:ind w:left="0" w:right="0"/>
                    <w:jc w:val="center"/>
                    <w:rPr>
                      <w:rFonts w:cs="Times New Roman" w:hint="eastAsia"/>
                      <w:caps w:val="0"/>
                      <w:smallCaps w:val="0"/>
                      <w:color w:val="auto"/>
                      <w:kern w:val="2"/>
                      <w:sz w:val="21"/>
                      <w:szCs w:val="21"/>
                      <w:lang w:val="en-US" w:eastAsia="zh-CN"/>
                      <w:highlight w:val="none"/>
                    </w:rPr>
                  </w:pPr>
                  <w:r>
                    <w:rPr>
                      <w:rFonts w:ascii="Times New Roman" w:cs="Times New Roman" w:hAnsi="Times New Roman" w:hint="eastAsia"/>
                      <w:caps w:val="0"/>
                      <w:smallCaps w:val="0"/>
                      <w:color w:val="auto"/>
                      <w:kern w:val="2"/>
                      <w:sz w:val="21"/>
                      <w:szCs w:val="21"/>
                      <w:lang w:val="en-US" w:eastAsia="zh-CN"/>
                      <w:highlight w:val="none"/>
                    </w:rPr>
                    <w:t>净化设施</w:t>
                  </w:r>
                </w:p>
              </w:tc>
              <w:tc>
                <w:tcPr>
                  <w:tcW w:w="30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cs="Times New Roman" w:hint="eastAsia"/>
                      <w:color w:val="auto"/>
                      <w:sz w:val="21"/>
                      <w:szCs w:val="21"/>
                      <w:lang w:val="en-US" w:eastAsia="zh-CN"/>
                      <w:highlight w:val="none"/>
                    </w:rPr>
                  </w:pPr>
                  <w:r>
                    <w:rPr>
                      <w:rFonts w:ascii="Times New Roman" w:cs="Times New Roman" w:hAnsi="Times New Roman" w:hint="eastAsia"/>
                      <w:color w:val="auto"/>
                      <w:sz w:val="21"/>
                      <w:szCs w:val="21"/>
                      <w:lang w:val="en-US" w:eastAsia="zh-CN"/>
                      <w:highlight w:val="none"/>
                    </w:rPr>
                    <w:t>固态</w:t>
                  </w:r>
                </w:p>
              </w:tc>
              <w:tc>
                <w:tcPr>
                  <w:tcW w:w="354" w:type="pct"/>
                  <w:tcBorders>
                    <w:left w:val="single" w:sz="4" w:space="0" w:color="auto"/>
                  </w:tcBorders>
                  <w:shd w:val="clear" w:color="auto" w:fill="auto"/>
                  <w:vAlign w:val="center"/>
                </w:tcPr>
                <w:p>
                  <w:pPr>
                    <w:pStyle w:val="173"/>
                    <w:keepNext w:val="0"/>
                    <w:keepLines w:val="0"/>
                    <w:suppressLineNumbers w:val="0"/>
                    <w:spacing w:beforeAutospacing="0" w:after="0" w:afterAutospacing="0"/>
                    <w:ind w:left="0" w:right="0"/>
                    <w:jc w:val="center"/>
                    <w:rPr>
                      <w:rFonts w:eastAsia="宋体" w:cs="Times New Roman"/>
                      <w:color w:val="auto"/>
                      <w:sz w:val="21"/>
                      <w:szCs w:val="21"/>
                      <w:lang w:val="en-US" w:eastAsia="zh-CN"/>
                      <w:highlight w:val="none"/>
                    </w:rPr>
                  </w:pPr>
                  <w:bookmarkStart w:id="26" w:name="_Toc28581"/>
                  <w:r>
                    <w:rPr>
                      <w:rFonts w:ascii="Times New Roman" w:eastAsia="宋体" w:cs="Times New Roman" w:hAnsi="Times New Roman" w:hint="eastAsia"/>
                      <w:color w:val="auto"/>
                      <w:sz w:val="21"/>
                      <w:szCs w:val="21"/>
                      <w:lang w:val="en-US" w:eastAsia="zh-CN"/>
                      <w:highlight w:val="none"/>
                    </w:rPr>
                    <w:t>活性炭</w:t>
                  </w:r>
                  <w:bookmarkEnd w:id="26"/>
                </w:p>
              </w:tc>
              <w:tc>
                <w:tcPr>
                  <w:tcW w:w="376"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eastAsia="宋体" w:cs="Times New Roman" w:hint="eastAsia"/>
                      <w:color w:val="auto"/>
                      <w:sz w:val="21"/>
                      <w:szCs w:val="21"/>
                      <w:lang w:val="en-US" w:eastAsia="zh-CN"/>
                      <w:highlight w:val="none"/>
                    </w:rPr>
                  </w:pPr>
                  <w:r>
                    <w:rPr>
                      <w:rFonts w:ascii="Times New Roman" w:eastAsia="宋体" w:cs="Times New Roman" w:hAnsi="Times New Roman" w:hint="eastAsia"/>
                      <w:color w:val="auto"/>
                      <w:sz w:val="21"/>
                      <w:szCs w:val="21"/>
                      <w:lang w:val="en-US" w:eastAsia="zh-CN"/>
                      <w:highlight w:val="none"/>
                    </w:rPr>
                    <w:t>挥发性有机物</w:t>
                  </w:r>
                </w:p>
              </w:tc>
              <w:tc>
                <w:tcPr>
                  <w:tcW w:w="291" w:type="pct"/>
                  <w:tcBorders>
                    <w:left w:val="single" w:sz="4" w:space="0" w:color="auto"/>
                  </w:tcBorders>
                  <w:vAlign w:val="center"/>
                </w:tcPr>
                <w:p>
                  <w:pPr>
                    <w:pStyle w:val="173"/>
                    <w:keepNext w:val="0"/>
                    <w:keepLines w:val="0"/>
                    <w:suppressLineNumbers w:val="0"/>
                    <w:spacing w:beforeAutospacing="0" w:after="0" w:afterAutospacing="0" w:line="240" w:lineRule="auto"/>
                    <w:ind w:left="0" w:right="0"/>
                    <w:rPr>
                      <w:rFonts w:eastAsia="宋体" w:cs="Times New Roman" w:hint="eastAsia"/>
                      <w:color w:val="auto"/>
                      <w:kern w:val="2"/>
                      <w:sz w:val="21"/>
                      <w:szCs w:val="21"/>
                      <w:lang w:val="en-US" w:eastAsia="zh-CN"/>
                      <w:highlight w:val="none"/>
                    </w:rPr>
                  </w:pPr>
                  <w:bookmarkStart w:id="27" w:name="_Toc12203"/>
                  <w:r>
                    <w:rPr>
                      <w:rFonts w:ascii="Times New Roman" w:eastAsia="宋体" w:cs="Times New Roman" w:hAnsi="Times New Roman" w:hint="eastAsia"/>
                      <w:color w:val="auto"/>
                      <w:kern w:val="2"/>
                      <w:sz w:val="21"/>
                      <w:szCs w:val="21"/>
                      <w:lang w:val="en-US" w:eastAsia="zh-CN"/>
                      <w:highlight w:val="none"/>
                    </w:rPr>
                    <w:t>1次/半年</w:t>
                  </w:r>
                  <w:bookmarkEnd w:id="27"/>
                </w:p>
              </w:tc>
              <w:tc>
                <w:tcPr>
                  <w:tcW w:w="385" w:type="pct"/>
                  <w:tcBorders>
                    <w:left w:val="single" w:sz="4" w:space="0" w:color="auto"/>
                  </w:tcBorders>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 w:val="21"/>
                      <w:szCs w:val="21"/>
                      <w:highlight w:val="none"/>
                    </w:rPr>
                  </w:pPr>
                  <w:r>
                    <w:rPr>
                      <w:rFonts w:ascii="Times New Roman" w:cs="Times New Roman" w:hAnsi="Times New Roman"/>
                      <w:color w:val="auto"/>
                      <w:sz w:val="21"/>
                      <w:szCs w:val="21"/>
                      <w:highlight w:val="none"/>
                    </w:rPr>
                    <w:t>T</w:t>
                  </w:r>
                </w:p>
              </w:tc>
              <w:tc>
                <w:tcPr>
                  <w:tcW w:w="610" w:type="pct"/>
                  <w:vMerge/>
                  <w:tcBorders>
                    <w:left w:val="single" w:sz="4" w:space="0" w:color="auto"/>
                  </w:tcBorders>
                  <w:vAlign w:val="center"/>
                </w:tcPr>
                <w:p/>
              </w:tc>
            </w:tr>
          </w:tbl>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ascii="Times New Roman" w:eastAsia="宋体" w:cs="Times New Roman" w:hAnsi="Times New Roman"/>
                <w:b/>
                <w:caps w:val="0"/>
                <w:smallCaps w:val="0"/>
                <w:color w:val="auto"/>
                <w:spacing w:val="0"/>
                <w:highlight w:val="none"/>
              </w:rPr>
            </w:pPr>
            <w:r>
              <w:rPr>
                <w:rFonts w:ascii="Times New Roman" w:eastAsia="宋体" w:cs="Times New Roman" w:hAnsi="Times New Roman"/>
                <w:b/>
                <w:caps w:val="0"/>
                <w:smallCaps w:val="0"/>
                <w:color w:val="auto"/>
                <w:spacing w:val="0"/>
                <w:sz w:val="24"/>
                <w:szCs w:val="20"/>
                <w:highlight w:val="none"/>
              </w:rPr>
              <w:t>表</w:t>
            </w:r>
            <w:r>
              <w:rPr>
                <w:rFonts w:ascii="Times New Roman" w:eastAsia="宋体" w:cs="Times New Roman" w:hAnsi="Times New Roman" w:hint="eastAsia"/>
                <w:b/>
                <w:caps w:val="0"/>
                <w:smallCaps w:val="0"/>
                <w:color w:val="auto"/>
                <w:spacing w:val="0"/>
                <w:sz w:val="24"/>
                <w:szCs w:val="20"/>
                <w:lang w:val="en-US" w:eastAsia="zh-CN"/>
                <w:highlight w:val="none"/>
              </w:rPr>
              <w:t>4-</w:t>
            </w:r>
            <w:r>
              <w:rPr>
                <w:rFonts w:ascii="Times New Roman" w:cs="Times New Roman" w:hAnsi="Times New Roman" w:hint="eastAsia"/>
                <w:b/>
                <w:caps w:val="0"/>
                <w:smallCaps w:val="0"/>
                <w:color w:val="auto"/>
                <w:spacing w:val="0"/>
                <w:sz w:val="24"/>
                <w:szCs w:val="20"/>
                <w:lang w:val="en-US" w:eastAsia="zh-CN"/>
                <w:highlight w:val="none"/>
              </w:rPr>
              <w:t>15</w:t>
            </w:r>
            <w:r>
              <w:rPr>
                <w:rFonts w:ascii="Times New Roman" w:eastAsia="宋体" w:cs="Times New Roman" w:hAnsi="Times New Roman"/>
                <w:b/>
                <w:caps w:val="0"/>
                <w:smallCaps w:val="0"/>
                <w:color w:val="auto"/>
                <w:spacing w:val="0"/>
                <w:sz w:val="24"/>
                <w:szCs w:val="20"/>
                <w:highlight w:val="none"/>
              </w:rPr>
              <w:t xml:space="preserve">  </w:t>
            </w:r>
            <w:r>
              <w:rPr>
                <w:rFonts w:ascii="Times New Roman" w:eastAsia="宋体" w:cs="Times New Roman" w:hAnsi="Times New Roman" w:hint="eastAsia"/>
                <w:b/>
                <w:caps w:val="0"/>
                <w:smallCaps w:val="0"/>
                <w:color w:val="auto"/>
                <w:spacing w:val="0"/>
                <w:sz w:val="24"/>
                <w:szCs w:val="20"/>
                <w:highlight w:val="none"/>
              </w:rPr>
              <w:t>项目危险废物贮存场所（设施）基本情况表</w:t>
            </w:r>
          </w:p>
          <w:tbl>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426"/>
              <w:gridCol w:w="641"/>
              <w:gridCol w:w="1378"/>
              <w:gridCol w:w="773"/>
              <w:gridCol w:w="1142"/>
              <w:gridCol w:w="596"/>
              <w:gridCol w:w="817"/>
              <w:gridCol w:w="875"/>
              <w:gridCol w:w="624"/>
              <w:gridCol w:w="708"/>
            </w:tblGrid>
            <w:tr>
              <w:trPr>
                <w:trHeight w:val="56"/>
              </w:trPr>
              <w:tc>
                <w:tcPr>
                  <w:tcW w:w="426"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序号</w:t>
                  </w:r>
                </w:p>
              </w:tc>
              <w:tc>
                <w:tcPr>
                  <w:tcW w:w="641"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贮存场所</w:t>
                  </w:r>
                </w:p>
              </w:tc>
              <w:tc>
                <w:tcPr>
                  <w:tcW w:w="1378"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危险废物名称</w:t>
                  </w:r>
                </w:p>
              </w:tc>
              <w:tc>
                <w:tcPr>
                  <w:tcW w:w="773"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危险废物类别</w:t>
                  </w:r>
                </w:p>
              </w:tc>
              <w:tc>
                <w:tcPr>
                  <w:tcW w:w="1142"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危险废物代码</w:t>
                  </w:r>
                </w:p>
              </w:tc>
              <w:tc>
                <w:tcPr>
                  <w:tcW w:w="596"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位置</w:t>
                  </w:r>
                </w:p>
              </w:tc>
              <w:tc>
                <w:tcPr>
                  <w:tcW w:w="81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占地面积</w:t>
                  </w: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贮存方式</w:t>
                  </w:r>
                </w:p>
              </w:tc>
              <w:tc>
                <w:tcPr>
                  <w:tcW w:w="624"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贮存能力</w:t>
                  </w:r>
                </w:p>
              </w:tc>
              <w:tc>
                <w:tcPr>
                  <w:tcW w:w="708"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贮存周期</w:t>
                  </w:r>
                </w:p>
              </w:tc>
            </w:tr>
            <w:tr>
              <w:trPr>
                <w:trHeight w:val="373"/>
              </w:trPr>
              <w:tc>
                <w:tcPr>
                  <w:tcW w:w="426" w:type="dxa"/>
                  <w:vMerge w:val="restart"/>
                  <w:tcBorders>
                    <w:top w:val="single" w:sz="4" w:space="0" w:color="auto"/>
                    <w:left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1</w:t>
                  </w:r>
                </w:p>
              </w:tc>
              <w:tc>
                <w:tcPr>
                  <w:tcW w:w="641" w:type="dxa"/>
                  <w:vMerge w:val="restart"/>
                  <w:tcBorders>
                    <w:top w:val="single" w:sz="4" w:space="0" w:color="auto"/>
                    <w:left w:val="nil"/>
                    <w:right w:val="single" w:sz="4" w:space="0" w:color="auto"/>
                  </w:tcBorders>
                  <w:vAlign w:val="center"/>
                </w:tcPr>
                <w:p>
                  <w:pPr>
                    <w:keepNext w:val="0"/>
                    <w:keepLines w:val="0"/>
                    <w:suppressLineNumbers w:val="0"/>
                    <w:spacing w:before="0" w:beforeAutospacing="0" w:after="0" w:afterAutospacing="0" w:line="320" w:lineRule="exact"/>
                    <w:ind w:left="0" w:right="0"/>
                    <w:jc w:val="center"/>
                    <w:rPr>
                      <w:rFonts w:eastAsia="宋体" w:hint="eastAsia"/>
                      <w:color w:val="auto"/>
                      <w:szCs w:val="21"/>
                      <w:lang w:eastAsia="zh-CN"/>
                      <w:highlight w:val="none"/>
                    </w:rPr>
                  </w:pPr>
                  <w:r>
                    <w:rPr>
                      <w:rFonts w:ascii="Times New Roman" w:cs="Times New Roman" w:hAnsi="Times New Roman"/>
                      <w:color w:val="auto"/>
                      <w:sz w:val="21"/>
                      <w:szCs w:val="21"/>
                      <w:highlight w:val="none"/>
                    </w:rPr>
                    <w:t>厂区</w:t>
                  </w:r>
                  <w:r>
                    <w:rPr>
                      <w:rFonts w:ascii="Times New Roman" w:cs="Times New Roman" w:hAnsi="Times New Roman" w:hint="eastAsia"/>
                      <w:color w:val="auto"/>
                      <w:sz w:val="21"/>
                      <w:szCs w:val="21"/>
                      <w:lang w:eastAsia="zh-CN"/>
                      <w:highlight w:val="none"/>
                    </w:rPr>
                    <w:t>危废间</w:t>
                  </w:r>
                </w:p>
              </w:tc>
              <w:tc>
                <w:tcPr>
                  <w:tcW w:w="1378"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color w:val="auto"/>
                      <w:sz w:val="21"/>
                      <w:szCs w:val="21"/>
                      <w:highlight w:val="none"/>
                    </w:rPr>
                    <w:t>废润滑油</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HW08</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217-08</w:t>
                  </w:r>
                </w:p>
              </w:tc>
              <w:tc>
                <w:tcPr>
                  <w:tcW w:w="596" w:type="dxa"/>
                  <w:vMerge w:val="restart"/>
                  <w:tcBorders>
                    <w:top w:val="single" w:sz="4" w:space="0" w:color="auto"/>
                    <w:left w:val="nil"/>
                    <w:right w:val="single" w:sz="4" w:space="0" w:color="auto"/>
                  </w:tcBorders>
                  <w:vAlign w:val="center"/>
                </w:tcPr>
                <w:p>
                  <w:pPr>
                    <w:keepNext w:val="0"/>
                    <w:keepLines w:val="0"/>
                    <w:suppressLineNumbers w:val="0"/>
                    <w:spacing w:before="0" w:beforeAutospacing="0" w:after="0" w:afterAutospacing="0" w:line="320" w:lineRule="exact"/>
                    <w:ind w:left="0" w:right="0"/>
                    <w:jc w:val="center"/>
                    <w:rPr>
                      <w:rFonts w:eastAsia="宋体"/>
                      <w:color w:val="auto"/>
                      <w:szCs w:val="21"/>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杂物间东侧</w:t>
                  </w:r>
                </w:p>
              </w:tc>
              <w:tc>
                <w:tcPr>
                  <w:tcW w:w="815" w:type="dxa"/>
                  <w:vMerge w:val="restart"/>
                  <w:tcBorders>
                    <w:top w:val="single" w:sz="4" w:space="0" w:color="auto"/>
                    <w:left w:val="nil"/>
                    <w:right w:val="single" w:sz="4" w:space="0" w:color="auto"/>
                  </w:tcBorders>
                  <w:vAlign w:val="center"/>
                </w:tcPr>
                <w:p>
                  <w:pPr>
                    <w:keepNext w:val="0"/>
                    <w:keepLines w:val="0"/>
                    <w:suppressLineNumbers w:val="0"/>
                    <w:spacing w:before="0" w:beforeAutospacing="0" w:after="0" w:afterAutospacing="0" w:line="320" w:lineRule="exact"/>
                    <w:ind w:left="0" w:right="0"/>
                    <w:jc w:val="center"/>
                    <w:rPr>
                      <w:color w:val="auto"/>
                      <w:szCs w:val="21"/>
                      <w:highlight w:val="none"/>
                    </w:rPr>
                  </w:pPr>
                  <w:r>
                    <w:rPr>
                      <w:rFonts w:ascii="Times New Roman" w:cs="Times New Roman" w:hAnsi="Times New Roman" w:hint="eastAsia"/>
                      <w:color w:val="auto"/>
                      <w:sz w:val="21"/>
                      <w:szCs w:val="21"/>
                      <w:lang w:val="en-US" w:eastAsia="zh-CN"/>
                      <w:highlight w:val="none"/>
                    </w:rPr>
                    <w:t>6.21</w:t>
                  </w:r>
                  <w:r>
                    <w:rPr>
                      <w:rFonts w:ascii="Times New Roman" w:cs="Times New Roman" w:hAnsi="Times New Roman"/>
                      <w:color w:val="auto"/>
                      <w:sz w:val="21"/>
                      <w:szCs w:val="21"/>
                      <w:highlight w:val="none"/>
                    </w:rPr>
                    <w:t>m</w:t>
                  </w:r>
                  <w:r>
                    <w:rPr>
                      <w:rFonts w:ascii="Times New Roman" w:cs="Times New Roman" w:hAnsi="Times New Roman"/>
                      <w:color w:val="auto"/>
                      <w:sz w:val="21"/>
                      <w:szCs w:val="21"/>
                      <w:vertAlign w:val="superscript"/>
                      <w:highlight w:val="none"/>
                    </w:rPr>
                    <w:t>2</w:t>
                  </w: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专用容器</w:t>
                  </w:r>
                </w:p>
              </w:tc>
              <w:tc>
                <w:tcPr>
                  <w:tcW w:w="624" w:type="dxa"/>
                  <w:vMerge w:val="restart"/>
                  <w:tcBorders>
                    <w:top w:val="single" w:sz="4" w:space="0" w:color="auto"/>
                    <w:left w:val="nil"/>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hint="eastAsia"/>
                      <w:color w:val="auto"/>
                      <w:sz w:val="21"/>
                      <w:szCs w:val="21"/>
                      <w:lang w:val="en-US" w:eastAsia="zh-CN"/>
                      <w:highlight w:val="none"/>
                    </w:rPr>
                    <w:t>4</w:t>
                  </w:r>
                  <w:r>
                    <w:rPr>
                      <w:rFonts w:ascii="Times New Roman" w:cs="Times New Roman" w:hAnsi="Times New Roman"/>
                      <w:color w:val="auto"/>
                      <w:sz w:val="21"/>
                      <w:szCs w:val="21"/>
                      <w:highlight w:val="none"/>
                    </w:rPr>
                    <w:t>t</w:t>
                  </w:r>
                </w:p>
              </w:tc>
              <w:tc>
                <w:tcPr>
                  <w:tcW w:w="708" w:type="dxa"/>
                  <w:vMerge w:val="restart"/>
                  <w:tcBorders>
                    <w:top w:val="single" w:sz="4" w:space="0" w:color="auto"/>
                    <w:left w:val="nil"/>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3个月</w:t>
                  </w: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废润滑油桶</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08</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w:t>
                  </w:r>
                  <w:r>
                    <w:rPr>
                      <w:rFonts w:ascii="Times New Roman" w:cs="Times New Roman" w:hAnsi="Times New Roman" w:hint="eastAsia"/>
                      <w:bCs/>
                      <w:color w:val="auto"/>
                      <w:sz w:val="21"/>
                      <w:szCs w:val="21"/>
                      <w:lang w:val="en-US" w:eastAsia="zh-CN"/>
                      <w:highlight w:val="none"/>
                    </w:rPr>
                    <w:t>249</w:t>
                  </w:r>
                  <w:r>
                    <w:rPr>
                      <w:rFonts w:ascii="Times New Roman" w:cs="Times New Roman" w:hAnsi="Times New Roman"/>
                      <w:bCs/>
                      <w:color w:val="auto"/>
                      <w:sz w:val="21"/>
                      <w:szCs w:val="21"/>
                      <w:lang w:val="pt-BR"/>
                      <w:highlight w:val="none"/>
                    </w:rPr>
                    <w:t>-</w:t>
                  </w:r>
                  <w:r>
                    <w:rPr>
                      <w:rFonts w:ascii="Times New Roman" w:cs="Times New Roman" w:hAnsi="Times New Roman" w:hint="eastAsia"/>
                      <w:bCs/>
                      <w:color w:val="auto"/>
                      <w:sz w:val="21"/>
                      <w:szCs w:val="21"/>
                      <w:lang w:val="en-US" w:eastAsia="zh-CN"/>
                      <w:highlight w:val="none"/>
                    </w:rPr>
                    <w:t>08</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abs>
                      <w:tab w:val="center" w:pos="4153"/>
                      <w:tab w:val="right" w:pos="8306"/>
                    </w:tabs>
                    <w:snapToGrid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eastAsia="宋体" w:cs="Times New Roman" w:hAnsi="Times New Roman" w:hint="eastAsia"/>
                      <w:color w:val="auto"/>
                      <w:sz w:val="21"/>
                      <w:szCs w:val="21"/>
                      <w:lang w:val="en-US" w:eastAsia="zh-CN"/>
                      <w:highlight w:val="none"/>
                    </w:rPr>
                    <w:t>含油抹布及废劳保用品</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900-041-49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hint="eastAsia"/>
                      <w:bCs/>
                      <w:color w:val="auto"/>
                      <w:sz w:val="21"/>
                      <w:szCs w:val="21"/>
                      <w:lang w:val="en-US" w:eastAsia="zh-CN"/>
                      <w:highlight w:val="none"/>
                    </w:rPr>
                    <w:t>HW08</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hint="eastAsia"/>
                      <w:bCs/>
                      <w:color w:val="auto"/>
                      <w:sz w:val="21"/>
                      <w:szCs w:val="21"/>
                      <w:lang w:val="en-US" w:eastAsia="zh-CN"/>
                      <w:highlight w:val="none"/>
                    </w:rPr>
                    <w:t>900-200-08</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w:t>
                  </w:r>
                  <w:r>
                    <w:rPr>
                      <w:rFonts w:ascii="Times New Roman" w:cs="Times New Roman" w:hAnsi="Times New Roman" w:hint="eastAsia"/>
                      <w:bCs/>
                      <w:color w:val="auto"/>
                      <w:sz w:val="21"/>
                      <w:szCs w:val="21"/>
                      <w:lang w:val="en-US" w:eastAsia="zh-CN"/>
                      <w:highlight w:val="none"/>
                    </w:rPr>
                    <w:t>09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hint="eastAsia"/>
                      <w:bCs/>
                      <w:color w:val="auto"/>
                      <w:sz w:val="21"/>
                      <w:szCs w:val="21"/>
                      <w:lang w:val="en-US" w:eastAsia="zh-CN"/>
                      <w:highlight w:val="none"/>
                    </w:rPr>
                    <w:t>900-006-09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rFonts w:eastAsia="宋体" w:hint="eastAsia"/>
                      <w:color w:val="auto"/>
                      <w:szCs w:val="21"/>
                      <w:lang w:val="en-US" w:eastAsia="zh-CN"/>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HW49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en-US" w:eastAsia="zh-CN" w:bidi="ar-SA"/>
                      <w:highlight w:val="none"/>
                    </w:rPr>
                  </w:pPr>
                  <w:r>
                    <w:rPr>
                      <w:rFonts w:ascii="Times New Roman" w:cs="Times New Roman" w:hAnsi="Times New Roman"/>
                      <w:bCs/>
                      <w:color w:val="auto"/>
                      <w:sz w:val="21"/>
                      <w:szCs w:val="21"/>
                      <w:lang w:val="pt-BR"/>
                      <w:highlight w:val="none"/>
                    </w:rPr>
                    <w:t>HW49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aps w:val="0"/>
                      <w:smallCaps/>
                      <w:color w:val="auto"/>
                      <w:kern w:val="0"/>
                      <w:sz w:val="21"/>
                      <w:szCs w:val="22"/>
                      <w:lang w:val="en-US" w:eastAsia="zh-CN" w:bidi="ar-SA"/>
                      <w:highlight w:val="none"/>
                    </w:rPr>
                    <w:t>除尘灰</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HW49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900-041-49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r>
              <w:trPr>
                <w:trHeight w:val="373"/>
              </w:trPr>
              <w:tc>
                <w:tcPr>
                  <w:tcW w:w="426" w:type="dxa"/>
                  <w:vMerge/>
                  <w:tcBorders>
                    <w:left w:val="single" w:sz="4" w:space="0" w:color="auto"/>
                    <w:right w:val="single" w:sz="4" w:space="0" w:color="auto"/>
                  </w:tcBorders>
                  <w:vAlign w:val="center"/>
                </w:tcPr>
                <w:p/>
              </w:tc>
              <w:tc>
                <w:tcPr>
                  <w:tcW w:w="641" w:type="dxa"/>
                  <w:vMerge/>
                  <w:tcBorders>
                    <w:left w:val="nil"/>
                    <w:right w:val="single" w:sz="4" w:space="0" w:color="auto"/>
                  </w:tcBorders>
                  <w:vAlign w:val="center"/>
                </w:tcPr>
                <w:p/>
              </w:tc>
              <w:tc>
                <w:tcPr>
                  <w:tcW w:w="1378" w:type="dxa"/>
                  <w:tcBorders>
                    <w:top w:val="single" w:sz="4" w:space="0" w:color="auto"/>
                    <w:left w:val="nil"/>
                    <w:bottom w:val="single" w:sz="4" w:space="0" w:color="auto"/>
                    <w:righ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W w:w="773"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bCs/>
                      <w:color w:val="auto"/>
                      <w:kern w:val="2"/>
                      <w:sz w:val="21"/>
                      <w:szCs w:val="21"/>
                      <w:lang w:val="pt-BR" w:eastAsia="zh-CN" w:bidi="ar-SA"/>
                      <w:highlight w:val="none"/>
                    </w:rPr>
                  </w:pPr>
                  <w:r>
                    <w:rPr>
                      <w:rFonts w:ascii="Times New Roman" w:cs="Times New Roman" w:hAnsi="Times New Roman" w:hint="eastAsia"/>
                      <w:bCs/>
                      <w:color w:val="auto"/>
                      <w:sz w:val="21"/>
                      <w:szCs w:val="21"/>
                      <w:lang w:val="en-US" w:eastAsia="zh-CN"/>
                      <w:highlight w:val="none"/>
                    </w:rPr>
                    <w:t>HW49</w:t>
                  </w:r>
                </w:p>
              </w:tc>
              <w:tc>
                <w:tcPr>
                  <w:tcW w:w="1142" w:type="dxa"/>
                  <w:tcBorders>
                    <w:top w:val="single" w:sz="4" w:space="0" w:color="auto"/>
                    <w:left w:val="nil"/>
                    <w:bottom w:val="single" w:sz="4" w:space="0" w:color="auto"/>
                    <w:right w:val="single" w:sz="4" w:space="0" w:color="auto"/>
                  </w:tcBorders>
                  <w:shd w:val="clear" w:color="auto" w:fill="auto"/>
                  <w:vAlign w:val="center"/>
                </w:tcPr>
                <w:p>
                  <w:pPr>
                    <w:keepNext w:val="0"/>
                    <w:keepLines w:val="0"/>
                    <w:suppressLineNumbers w:val="0"/>
                    <w:topLinePunct/>
                    <w:adjustRightInd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bCs/>
                      <w:color w:val="auto"/>
                      <w:kern w:val="2"/>
                      <w:sz w:val="21"/>
                      <w:szCs w:val="21"/>
                      <w:lang w:val="pt-BR" w:eastAsia="zh-CN" w:bidi="ar-SA"/>
                      <w:highlight w:val="none"/>
                    </w:rPr>
                  </w:pPr>
                  <w:r>
                    <w:rPr>
                      <w:rFonts w:ascii="Times New Roman" w:cs="Times New Roman" w:hAnsi="Times New Roman"/>
                      <w:bCs/>
                      <w:color w:val="auto"/>
                      <w:sz w:val="21"/>
                      <w:szCs w:val="21"/>
                      <w:lang w:val="pt-BR"/>
                      <w:highlight w:val="none"/>
                    </w:rPr>
                    <w:t>900-0</w:t>
                  </w:r>
                  <w:r>
                    <w:rPr>
                      <w:rFonts w:ascii="Times New Roman" w:cs="Times New Roman" w:hAnsi="Times New Roman" w:hint="eastAsia"/>
                      <w:bCs/>
                      <w:color w:val="auto"/>
                      <w:sz w:val="21"/>
                      <w:szCs w:val="21"/>
                      <w:lang w:val="en-US" w:eastAsia="zh-CN"/>
                      <w:highlight w:val="none"/>
                    </w:rPr>
                    <w:t>39</w:t>
                  </w:r>
                  <w:r>
                    <w:rPr>
                      <w:rFonts w:ascii="Times New Roman" w:cs="Times New Roman" w:hAnsi="Times New Roman"/>
                      <w:bCs/>
                      <w:color w:val="auto"/>
                      <w:sz w:val="21"/>
                      <w:szCs w:val="21"/>
                      <w:lang w:val="pt-BR"/>
                      <w:highlight w:val="none"/>
                    </w:rPr>
                    <w:t>-49</w:t>
                  </w:r>
                </w:p>
              </w:tc>
              <w:tc>
                <w:tcPr>
                  <w:tcW w:w="596" w:type="dxa"/>
                  <w:vMerge/>
                  <w:tcBorders>
                    <w:left w:val="nil"/>
                    <w:right w:val="single" w:sz="4" w:space="0" w:color="auto"/>
                  </w:tcBorders>
                  <w:vAlign w:val="center"/>
                </w:tcPr>
                <w:p/>
              </w:tc>
              <w:tc>
                <w:tcPr>
                  <w:tcW w:w="815" w:type="dxa"/>
                  <w:vMerge/>
                  <w:tcBorders>
                    <w:left w:val="nil"/>
                    <w:right w:val="single" w:sz="4" w:space="0" w:color="auto"/>
                  </w:tcBorders>
                  <w:vAlign w:val="center"/>
                </w:tcPr>
                <w:p/>
              </w:tc>
              <w:tc>
                <w:tcPr>
                  <w:tcW w:w="875" w:type="dxa"/>
                  <w:tcBorders>
                    <w:top w:val="single" w:sz="4" w:space="0" w:color="auto"/>
                    <w:left w:val="nil"/>
                    <w:bottom w:val="single" w:sz="4" w:space="0" w:color="auto"/>
                    <w:right w:val="single" w:sz="4" w:space="0" w:color="auto"/>
                  </w:tcBorders>
                  <w:vAlign w:val="center"/>
                </w:tcPr>
                <w:p>
                  <w:pPr>
                    <w:keepNext w:val="0"/>
                    <w:keepLines w:val="0"/>
                    <w:suppressLineNumbers w:val="0"/>
                    <w:spacing w:before="0" w:beforeAutospacing="0" w:after="0" w:afterAutospacing="0" w:line="320" w:lineRule="exact"/>
                    <w:ind w:left="0" w:right="0"/>
                    <w:jc w:val="center"/>
                    <w:textAlignment w:val="baseline"/>
                    <w:rPr>
                      <w:color w:val="auto"/>
                      <w:szCs w:val="21"/>
                      <w:highlight w:val="none"/>
                    </w:rPr>
                  </w:pPr>
                  <w:r>
                    <w:rPr>
                      <w:rFonts w:ascii="Times New Roman" w:cs="Times New Roman" w:hAnsi="Times New Roman"/>
                      <w:color w:val="auto"/>
                      <w:sz w:val="21"/>
                      <w:szCs w:val="21"/>
                      <w:highlight w:val="none"/>
                    </w:rPr>
                    <w:t>专用容器</w:t>
                  </w:r>
                </w:p>
              </w:tc>
              <w:tc>
                <w:tcPr>
                  <w:tcW w:w="624" w:type="dxa"/>
                  <w:vMerge/>
                  <w:tcBorders>
                    <w:left w:val="nil"/>
                    <w:right w:val="single" w:sz="4" w:space="0" w:color="auto"/>
                  </w:tcBorders>
                  <w:vAlign w:val="center"/>
                </w:tcPr>
                <w:p/>
              </w:tc>
              <w:tc>
                <w:tcPr>
                  <w:tcW w:w="708" w:type="dxa"/>
                  <w:vMerge/>
                  <w:tcBorders>
                    <w:left w:val="nil"/>
                    <w:right w:val="single" w:sz="4" w:space="0" w:color="auto"/>
                  </w:tcBorders>
                  <w:vAlign w:val="center"/>
                </w:tcPr>
                <w:p/>
              </w:tc>
            </w:tr>
          </w:tbl>
          <w:p>
            <w:pPr>
              <w:pStyle w:val="137"/>
              <w:keepNext w:val="0"/>
              <w:keepLines w:val="0"/>
              <w:suppressLineNumbers w:val="0"/>
              <w:spacing w:before="0" w:beforeAutospacing="0" w:after="0" w:afterAutospacing="0"/>
              <w:ind w:left="0" w:right="0"/>
              <w:jc w:val="both"/>
              <w:rPr>
                <w:rFonts w:ascii="Times New Roman" w:cs="Times New Roman" w:hAnsi="Times New Roman"/>
                <w:b/>
                <w:bCs/>
                <w:caps w:val="0"/>
                <w:smallCaps w:val="0"/>
                <w:color w:val="auto"/>
                <w:spacing w:val="0"/>
                <w:highlight w:val="none"/>
              </w:rPr>
            </w:pPr>
            <w:r>
              <w:rPr>
                <w:rFonts w:ascii="Times New Roman" w:cs="Times New Roman" w:hAnsi="Times New Roman"/>
                <w:b/>
                <w:bCs/>
                <w:caps w:val="0"/>
                <w:smallCaps w:val="0"/>
                <w:color w:val="auto"/>
                <w:spacing w:val="0"/>
                <w:sz w:val="24"/>
                <w:szCs w:val="20"/>
                <w:highlight w:val="none"/>
              </w:rPr>
              <w:t>5、土壤及地下水</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正常情况下，项目物料全部在生产车间内暂存，不存在地表漫流和垂直入渗的污染途径。因此正常工况下不具备地下水和土壤污染途径，污染物不会对该区域土壤和地下水产生影响。对地下水可能造成污染的途径或方式主要有：非正常情况下，地面的防渗措施破损可能导致污染物下渗，从而污染地下水和土壤。</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本项目将按照分区防控要求采取相应的防渗措施</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具体见下表。</w:t>
            </w:r>
          </w:p>
          <w:p>
            <w:pPr>
              <w:pStyle w:val="14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表4-</w:t>
            </w:r>
            <w:r>
              <w:rPr>
                <w:rFonts w:ascii="Times New Roman" w:cs="Times New Roman" w:hAnsi="Times New Roman" w:hint="eastAsia"/>
                <w:caps w:val="0"/>
                <w:smallCaps w:val="0"/>
                <w:color w:val="auto"/>
                <w:spacing w:val="0"/>
                <w:sz w:val="24"/>
                <w:szCs w:val="20"/>
                <w:lang w:val="en-US" w:eastAsia="zh-CN"/>
                <w:highlight w:val="none"/>
              </w:rPr>
              <w:t>16</w:t>
            </w:r>
            <w:r>
              <w:rPr>
                <w:rFonts w:ascii="Times New Roman" w:cs="Times New Roman" w:hAnsi="Times New Roman"/>
                <w:caps w:val="0"/>
                <w:smallCaps w:val="0"/>
                <w:color w:val="auto"/>
                <w:spacing w:val="0"/>
                <w:sz w:val="24"/>
                <w:szCs w:val="20"/>
                <w:highlight w:val="none"/>
              </w:rPr>
              <w:t xml:space="preserve">  项目厂区分区防渗一览表</w:t>
            </w:r>
          </w:p>
          <w:tbl>
            <w:tblPr>
              <w:jc w:val="left"/>
              <w:tblInd w:w="11" w:type="dxa"/>
              <w:tblW w:w="7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267"/>
              <w:gridCol w:w="2968"/>
              <w:gridCol w:w="3743"/>
            </w:tblGrid>
            <w:tr>
              <w:trPr>
                <w:trHeight w:val="454"/>
              </w:trPr>
              <w:tc>
                <w:tcPr>
                  <w:tcW w:w="1267"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防渗级别</w:t>
                  </w:r>
                </w:p>
              </w:tc>
              <w:tc>
                <w:tcPr>
                  <w:tcW w:w="2968"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防渗区域</w:t>
                  </w:r>
                </w:p>
              </w:tc>
              <w:tc>
                <w:tcPr>
                  <w:tcW w:w="3743"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防渗技术要求</w:t>
                  </w:r>
                </w:p>
              </w:tc>
            </w:tr>
            <w:tr>
              <w:trPr>
                <w:trHeight w:val="454"/>
              </w:trPr>
              <w:tc>
                <w:tcPr>
                  <w:tcW w:w="1267"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sz w:val="21"/>
                      <w:szCs w:val="21"/>
                      <w:highlight w:val="none"/>
                    </w:rPr>
                  </w:pPr>
                  <w:r>
                    <w:rPr>
                      <w:rFonts w:ascii="Times New Roman" w:cs="Times New Roman" w:hAnsi="Times New Roman" w:hint="eastAsia"/>
                      <w:caps w:val="0"/>
                      <w:smallCaps w:val="0"/>
                      <w:color w:val="auto"/>
                      <w:spacing w:val="0"/>
                      <w:sz w:val="21"/>
                      <w:szCs w:val="21"/>
                      <w:lang w:val="en-US" w:eastAsia="zh-CN"/>
                      <w:highlight w:val="none"/>
                    </w:rPr>
                    <w:t>重点防渗区</w:t>
                  </w:r>
                </w:p>
              </w:tc>
              <w:tc>
                <w:tcPr>
                  <w:tcW w:w="2968"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危废间</w:t>
                  </w:r>
                </w:p>
              </w:tc>
              <w:tc>
                <w:tcPr>
                  <w:tcW w:w="3743"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1"/>
                      <w:lang w:val="en-US" w:eastAsia="zh-CN"/>
                      <w:highlight w:val="none"/>
                    </w:rPr>
                    <w:t>利用现有水泥硬化，铺设HDPE防渗层，铺设环氧树脂，等效黏土防渗层 Mb≥6.0m，K≤1.0×10</w:t>
                  </w:r>
                  <w:r>
                    <w:rPr>
                      <w:rFonts w:ascii="Times New Roman" w:cs="Times New Roman" w:hAnsi="Times New Roman" w:hint="eastAsia"/>
                      <w:caps w:val="0"/>
                      <w:smallCaps w:val="0"/>
                      <w:color w:val="auto"/>
                      <w:spacing w:val="0"/>
                      <w:sz w:val="21"/>
                      <w:szCs w:val="21"/>
                      <w:vertAlign w:val="superscript"/>
                      <w:lang w:val="en-US" w:eastAsia="zh-CN"/>
                      <w:highlight w:val="none"/>
                    </w:rPr>
                    <w:t>-7</w:t>
                  </w:r>
                  <w:r>
                    <w:rPr>
                      <w:rFonts w:ascii="Times New Roman" w:cs="Times New Roman" w:hAnsi="Times New Roman" w:hint="eastAsia"/>
                      <w:caps w:val="0"/>
                      <w:smallCaps w:val="0"/>
                      <w:color w:val="auto"/>
                      <w:spacing w:val="0"/>
                      <w:sz w:val="21"/>
                      <w:szCs w:val="21"/>
                      <w:lang w:val="en-US" w:eastAsia="zh-CN"/>
                      <w:highlight w:val="none"/>
                    </w:rPr>
                    <w:t>cm/s</w:t>
                  </w:r>
                </w:p>
              </w:tc>
            </w:tr>
            <w:tr>
              <w:trPr>
                <w:trHeight w:val="454"/>
              </w:trPr>
              <w:tc>
                <w:tcPr>
                  <w:tcW w:w="1267"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sz w:val="21"/>
                      <w:szCs w:val="21"/>
                      <w:highlight w:val="none"/>
                    </w:rPr>
                  </w:pPr>
                  <w:r>
                    <w:rPr>
                      <w:rFonts w:ascii="Times New Roman" w:cs="Times New Roman" w:hAnsi="Times New Roman"/>
                      <w:caps w:val="0"/>
                      <w:smallCaps w:val="0"/>
                      <w:color w:val="auto"/>
                      <w:spacing w:val="0"/>
                      <w:sz w:val="21"/>
                      <w:szCs w:val="21"/>
                      <w:highlight w:val="none"/>
                    </w:rPr>
                    <w:t>一般防渗区</w:t>
                  </w:r>
                </w:p>
              </w:tc>
              <w:tc>
                <w:tcPr>
                  <w:tcW w:w="2968"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0"/>
                      <w:lang w:eastAsia="zh-CN"/>
                      <w:highlight w:val="none"/>
                    </w:rPr>
                    <w:t>生产区、机加工区</w:t>
                  </w:r>
                </w:p>
              </w:tc>
              <w:tc>
                <w:tcPr>
                  <w:tcW w:w="3743"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0"/>
                      <w:lang w:eastAsia="zh-CN"/>
                      <w:highlight w:val="none"/>
                    </w:rPr>
                    <w:t>利用现有</w:t>
                  </w:r>
                  <w:r>
                    <w:rPr>
                      <w:rFonts w:ascii="Times New Roman" w:cs="Times New Roman" w:hAnsi="Times New Roman"/>
                      <w:caps w:val="0"/>
                      <w:smallCaps w:val="0"/>
                      <w:color w:val="auto"/>
                      <w:spacing w:val="0"/>
                      <w:sz w:val="21"/>
                      <w:szCs w:val="20"/>
                      <w:highlight w:val="none"/>
                    </w:rPr>
                    <w:t>防渗措施</w:t>
                  </w:r>
                  <w:r>
                    <w:rPr>
                      <w:rFonts w:ascii="Times New Roman" w:cs="Times New Roman" w:hAnsi="Times New Roman" w:hint="eastAsia"/>
                      <w:caps w:val="0"/>
                      <w:smallCaps w:val="0"/>
                      <w:color w:val="auto"/>
                      <w:spacing w:val="0"/>
                      <w:sz w:val="21"/>
                      <w:szCs w:val="20"/>
                      <w:lang w:eastAsia="zh-CN"/>
                      <w:highlight w:val="none"/>
                    </w:rPr>
                    <w:t>，</w:t>
                  </w:r>
                  <w:r>
                    <w:rPr>
                      <w:rFonts w:ascii="Times New Roman" w:cs="Times New Roman" w:hAnsi="Times New Roman" w:hint="eastAsia"/>
                      <w:caps w:val="0"/>
                      <w:smallCaps w:val="0"/>
                      <w:color w:val="auto"/>
                      <w:spacing w:val="0"/>
                      <w:sz w:val="21"/>
                      <w:szCs w:val="20"/>
                      <w:lang w:val="en-US" w:eastAsia="zh-CN"/>
                      <w:highlight w:val="none"/>
                    </w:rPr>
                    <w:t>水泥硬化后涂抹防水砂浆</w:t>
                  </w:r>
                  <w:r>
                    <w:rPr>
                      <w:rFonts w:ascii="Times New Roman" w:cs="Times New Roman" w:hAnsi="Times New Roman"/>
                      <w:caps w:val="0"/>
                      <w:smallCaps w:val="0"/>
                      <w:color w:val="auto"/>
                      <w:spacing w:val="0"/>
                      <w:sz w:val="21"/>
                      <w:szCs w:val="20"/>
                      <w:highlight w:val="none"/>
                    </w:rPr>
                    <w:t>，其等效黏土防渗层Mb≥1.5m，渗透系数≤10</w:t>
                  </w:r>
                  <w:r>
                    <w:rPr>
                      <w:rFonts w:ascii="Times New Roman" w:cs="Times New Roman" w:hAnsi="Times New Roman"/>
                      <w:caps w:val="0"/>
                      <w:smallCaps w:val="0"/>
                      <w:color w:val="auto"/>
                      <w:spacing w:val="0"/>
                      <w:sz w:val="21"/>
                      <w:szCs w:val="20"/>
                      <w:vertAlign w:val="superscript"/>
                      <w:highlight w:val="none"/>
                    </w:rPr>
                    <w:t>-7</w:t>
                  </w:r>
                  <w:r>
                    <w:rPr>
                      <w:rFonts w:ascii="Times New Roman" w:cs="Times New Roman" w:hAnsi="Times New Roman"/>
                      <w:caps w:val="0"/>
                      <w:smallCaps w:val="0"/>
                      <w:color w:val="auto"/>
                      <w:spacing w:val="0"/>
                      <w:sz w:val="21"/>
                      <w:szCs w:val="20"/>
                      <w:highlight w:val="none"/>
                    </w:rPr>
                    <w:t>cm/s；</w:t>
                  </w:r>
                </w:p>
              </w:tc>
            </w:tr>
            <w:tr>
              <w:trPr>
                <w:trHeight w:val="454"/>
              </w:trPr>
              <w:tc>
                <w:tcPr>
                  <w:tcW w:w="1267" w:type="dxa"/>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简单防渗区</w:t>
                  </w:r>
                </w:p>
              </w:tc>
              <w:tc>
                <w:tcPr>
                  <w:tcW w:w="2968"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办公室、杂物间、模具暂存区、原料区、成品区、人工组装区其他区域</w:t>
                  </w:r>
                </w:p>
              </w:tc>
              <w:tc>
                <w:tcPr>
                  <w:tcW w:w="3743"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hint="eastAsia"/>
                      <w:caps w:val="0"/>
                      <w:smallCaps w:val="0"/>
                      <w:color w:val="auto"/>
                      <w:spacing w:val="0"/>
                      <w:sz w:val="21"/>
                      <w:szCs w:val="20"/>
                      <w:lang w:val="en-US" w:eastAsia="zh-CN"/>
                      <w:highlight w:val="none"/>
                    </w:rPr>
                    <w:t>利用现有</w:t>
                  </w:r>
                  <w:r>
                    <w:rPr>
                      <w:rFonts w:ascii="Times New Roman" w:cs="Times New Roman" w:hAnsi="Times New Roman"/>
                      <w:caps w:val="0"/>
                      <w:smallCaps w:val="0"/>
                      <w:color w:val="auto"/>
                      <w:spacing w:val="0"/>
                      <w:sz w:val="21"/>
                      <w:szCs w:val="20"/>
                      <w:highlight w:val="none"/>
                    </w:rPr>
                    <w:t>水泥硬化简单防渗措施</w:t>
                  </w:r>
                </w:p>
              </w:tc>
            </w:tr>
          </w:tbl>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caps w:val="0"/>
                <w:smallCaps w:val="0"/>
                <w:color w:val="auto"/>
                <w:spacing w:val="0"/>
                <w:sz w:val="24"/>
                <w:szCs w:val="20"/>
                <w:lang w:val="en-US" w:eastAsia="zh-CN"/>
                <w:highlight w:val="none"/>
              </w:rPr>
              <w:t>项目主要为</w:t>
            </w:r>
            <w:r>
              <w:rPr>
                <w:rFonts w:ascii="Times New Roman" w:cs="Times New Roman" w:hAnsi="Times New Roman" w:hint="eastAsia"/>
                <w:caps w:val="0"/>
                <w:smallCaps w:val="0"/>
                <w:color w:val="auto"/>
                <w:spacing w:val="0"/>
                <w:sz w:val="24"/>
                <w:szCs w:val="20"/>
                <w:lang w:val="en-US" w:eastAsia="zh-CN"/>
                <w:highlight w:val="none"/>
              </w:rPr>
              <w:t>内部装修及</w:t>
            </w:r>
            <w:r>
              <w:rPr>
                <w:rFonts w:ascii="Times New Roman" w:cs="Times New Roman" w:hAnsi="Times New Roman"/>
                <w:caps w:val="0"/>
                <w:smallCaps w:val="0"/>
                <w:color w:val="auto"/>
                <w:spacing w:val="0"/>
                <w:sz w:val="24"/>
                <w:szCs w:val="20"/>
                <w:lang w:val="en-US" w:eastAsia="zh-CN"/>
                <w:highlight w:val="none"/>
              </w:rPr>
              <w:t>设备安装，现有防渗措施完好，无破损，本项目</w:t>
            </w:r>
            <w:r>
              <w:rPr>
                <w:rFonts w:ascii="Times New Roman" w:cs="Times New Roman" w:hAnsi="Times New Roman" w:hint="eastAsia"/>
                <w:caps w:val="0"/>
                <w:smallCaps w:val="0"/>
                <w:color w:val="auto"/>
                <w:spacing w:val="0"/>
                <w:sz w:val="24"/>
                <w:szCs w:val="20"/>
                <w:lang w:val="en-US" w:eastAsia="zh-CN"/>
                <w:highlight w:val="none"/>
              </w:rPr>
              <w:t>利用现有</w:t>
            </w:r>
            <w:r>
              <w:rPr>
                <w:rFonts w:ascii="Times New Roman" w:cs="Times New Roman" w:hAnsi="Times New Roman"/>
                <w:caps w:val="0"/>
                <w:smallCaps w:val="0"/>
                <w:color w:val="auto"/>
                <w:spacing w:val="0"/>
                <w:sz w:val="24"/>
                <w:szCs w:val="20"/>
                <w:lang w:val="en-US" w:eastAsia="zh-CN"/>
                <w:highlight w:val="none"/>
              </w:rPr>
              <w:t>防渗措施可行</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项目建设对地下水和土壤环境影响较小。</w:t>
            </w:r>
          </w:p>
          <w:p>
            <w:pPr>
              <w:pStyle w:val="137"/>
              <w:keepNext w:val="0"/>
              <w:keepLines w:val="0"/>
              <w:suppressLineNumbers w:val="0"/>
              <w:spacing w:before="0" w:beforeAutospacing="0" w:after="0" w:afterAutospacing="0"/>
              <w:ind w:left="0" w:right="0"/>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6、生态环境</w:t>
            </w:r>
          </w:p>
          <w:p>
            <w:pPr>
              <w:pStyle w:val="137"/>
              <w:keepNext w:val="0"/>
              <w:keepLines w:val="0"/>
              <w:suppressLineNumbers w:val="0"/>
              <w:spacing w:before="0" w:beforeAutospacing="0" w:after="0" w:afterAutospacing="0"/>
              <w:ind w:left="0" w:right="0"/>
              <w:jc w:val="both"/>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位于</w:t>
            </w:r>
            <w:r>
              <w:rPr>
                <w:rFonts w:ascii="Times New Roman" w:cs="Times New Roman" w:hAnsi="Times New Roman" w:hint="eastAsia"/>
                <w:caps w:val="0"/>
                <w:smallCaps w:val="0"/>
                <w:color w:val="auto"/>
                <w:spacing w:val="0"/>
                <w:sz w:val="24"/>
                <w:szCs w:val="20"/>
                <w:lang w:eastAsia="zh-CN"/>
                <w:highlight w:val="none"/>
              </w:rPr>
              <w:t>河北省石家庄市栾城区窦妪村装备制造产业园区奥翔街6-1号（院内3号房）</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不会对生态环境产生影响。</w:t>
            </w:r>
          </w:p>
          <w:p>
            <w:pPr>
              <w:pStyle w:val="137"/>
              <w:keepNext w:val="0"/>
              <w:keepLines w:val="0"/>
              <w:suppressLineNumbers w:val="0"/>
              <w:spacing w:before="0" w:beforeAutospacing="0" w:after="0" w:afterAutospacing="0"/>
              <w:ind w:left="0" w:right="0" w:firstLineChars="182" w:firstLine="437"/>
              <w:jc w:val="both"/>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7、环境风险</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Chars="200" w:firstLine="480"/>
              <w:jc w:val="left"/>
              <w:textAlignment w:val="auto"/>
              <w:rPr>
                <w:rFonts w:ascii="Times New Roman" w:eastAsia="宋体" w:cs="Times New Roman" w:hAnsi="Times New Roman"/>
                <w:caps w:val="0"/>
                <w:smallCaps w:val="0"/>
                <w:color w:val="auto"/>
                <w:spacing w:val="0"/>
                <w:sz w:val="24"/>
                <w:szCs w:val="24"/>
                <w:highlight w:val="none"/>
              </w:rPr>
            </w:pPr>
            <w:r>
              <w:rPr>
                <w:rFonts w:ascii="Times New Roman" w:eastAsia="宋体" w:cs="Times New Roman" w:hAnsi="Times New Roman"/>
                <w:caps w:val="0"/>
                <w:smallCaps w:val="0"/>
                <w:color w:val="auto"/>
                <w:spacing w:val="0"/>
                <w:sz w:val="24"/>
                <w:szCs w:val="24"/>
                <w:highlight w:val="none"/>
              </w:rPr>
              <w:t>根据原国家环保部《关于进一步加强环境影响评价管理防范环境风险的通知》（国家环保部环发[2012]77号）及生态环境部发布的《建设项目环境风险评价技术导则》（HJ 169-2018）要求，对于涉及有毒有害和易燃易爆物质的生产、使用、储存（包括使用管线输运）的建设项目进行风险评价。</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Chars="200" w:firstLine="480"/>
              <w:jc w:val="left"/>
              <w:textAlignment w:val="auto"/>
              <w:rPr>
                <w:rFonts w:ascii="Times New Roman" w:eastAsia="宋体" w:cs="Times New Roman" w:hAnsi="Times New Roman"/>
                <w:caps w:val="0"/>
                <w:smallCaps w:val="0"/>
                <w:color w:val="auto"/>
                <w:spacing w:val="0"/>
                <w:sz w:val="24"/>
                <w:szCs w:val="24"/>
                <w:lang w:eastAsia="zh-CN"/>
                <w:highlight w:val="none"/>
              </w:rPr>
            </w:pPr>
            <w:r>
              <w:rPr>
                <w:rFonts w:ascii="Times New Roman" w:eastAsia="宋体" w:cs="Times New Roman" w:hAnsi="Times New Roman"/>
                <w:caps w:val="0"/>
                <w:smallCaps w:val="0"/>
                <w:color w:val="auto"/>
                <w:spacing w:val="0"/>
                <w:sz w:val="24"/>
                <w:szCs w:val="24"/>
                <w:lang w:eastAsia="zh-CN"/>
                <w:highlight w:val="none"/>
              </w:rPr>
              <w:t>（1）环境风险物质识别</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440" w:lineRule="exact"/>
              <w:ind w:left="0" w:right="0" w:firstLineChars="200" w:firstLine="480"/>
              <w:jc w:val="left"/>
              <w:textAlignment w:val="auto"/>
              <w:rPr>
                <w:rFonts w:ascii="Times New Roman" w:eastAsia="宋体" w:cs="Times New Roman" w:hAnsi="Times New Roman"/>
                <w:caps w:val="0"/>
                <w:smallCaps w:val="0"/>
                <w:color w:val="auto"/>
                <w:spacing w:val="0"/>
                <w:sz w:val="24"/>
                <w:szCs w:val="24"/>
                <w:lang w:eastAsia="zh-CN"/>
                <w:highlight w:val="none"/>
              </w:rPr>
            </w:pPr>
            <w:r>
              <w:rPr>
                <w:rFonts w:ascii="Times New Roman" w:eastAsia="宋体" w:cs="Times New Roman" w:hAnsi="Times New Roman"/>
                <w:caps w:val="0"/>
                <w:smallCaps w:val="0"/>
                <w:color w:val="auto"/>
                <w:spacing w:val="0"/>
                <w:sz w:val="24"/>
                <w:szCs w:val="24"/>
                <w:lang w:eastAsia="zh-CN"/>
                <w:highlight w:val="none"/>
              </w:rPr>
              <w:t>经对照《建设项目环境风险评价技术导则》（HJ169-2018）附录B，项目危险物质为</w:t>
            </w:r>
            <w:r>
              <w:rPr>
                <w:rFonts w:ascii="Times New Roman" w:cs="Times New Roman" w:hAnsi="Times New Roman" w:hint="eastAsia"/>
                <w:caps w:val="0"/>
                <w:smallCaps w:val="0"/>
                <w:color w:val="auto"/>
                <w:spacing w:val="0"/>
                <w:sz w:val="24"/>
                <w:szCs w:val="24"/>
                <w:lang w:val="en-US" w:eastAsia="zh-CN"/>
                <w:highlight w:val="none"/>
              </w:rPr>
              <w:t>切削液、</w:t>
            </w:r>
            <w:r>
              <w:rPr>
                <w:rFonts w:ascii="Times New Roman" w:cs="Times New Roman" w:hAnsi="Times New Roman" w:hint="eastAsia"/>
                <w:caps w:val="0"/>
                <w:smallCaps w:val="0"/>
                <w:color w:val="auto"/>
                <w:spacing w:val="0"/>
                <w:sz w:val="24"/>
                <w:szCs w:val="24"/>
                <w:lang w:eastAsia="zh-CN"/>
                <w:highlight w:val="none"/>
              </w:rPr>
              <w:t>润滑油</w:t>
            </w:r>
            <w:r>
              <w:rPr>
                <w:rFonts w:ascii="Times New Roman" w:eastAsia="宋体" w:cs="Times New Roman" w:hAnsi="Times New Roman"/>
                <w:caps w:val="0"/>
                <w:smallCaps w:val="0"/>
                <w:color w:val="auto"/>
                <w:spacing w:val="0"/>
                <w:sz w:val="24"/>
                <w:szCs w:val="24"/>
                <w:lang w:eastAsia="zh-CN"/>
                <w:highlight w:val="none"/>
              </w:rPr>
              <w:t>及危险废物（</w:t>
            </w:r>
            <w:r>
              <w:rPr>
                <w:rFonts w:ascii="Times New Roman" w:cs="Times New Roman" w:hAnsi="Times New Roman" w:hint="eastAsia"/>
                <w:caps w:val="0"/>
                <w:smallCaps w:val="0"/>
                <w:color w:val="auto"/>
                <w:spacing w:val="0"/>
                <w:sz w:val="24"/>
                <w:szCs w:val="24"/>
                <w:lang w:eastAsia="zh-CN"/>
                <w:highlight w:val="none"/>
              </w:rPr>
              <w:t>废布袋、</w:t>
            </w:r>
            <w:r>
              <w:rPr>
                <w:rFonts w:ascii="Times New Roman" w:cs="Times New Roman" w:hAnsi="Times New Roman" w:hint="eastAsia"/>
                <w:caps w:val="0"/>
                <w:smallCaps w:val="0"/>
                <w:color w:val="auto"/>
                <w:spacing w:val="0"/>
                <w:sz w:val="24"/>
                <w:szCs w:val="24"/>
                <w:lang w:val="en-US" w:eastAsia="zh-CN"/>
                <w:highlight w:val="none"/>
              </w:rPr>
              <w:t>除尘灰</w:t>
            </w:r>
            <w:r>
              <w:rPr>
                <w:rFonts w:ascii="Times New Roman" w:cs="Times New Roman" w:hAnsi="Times New Roman" w:hint="eastAsia"/>
                <w:caps w:val="0"/>
                <w:smallCaps w:val="0"/>
                <w:color w:val="auto"/>
                <w:spacing w:val="0"/>
                <w:sz w:val="24"/>
                <w:szCs w:val="24"/>
                <w:lang w:eastAsia="zh-CN"/>
                <w:highlight w:val="none"/>
              </w:rPr>
              <w:t>、废活性炭、废切削液、废切削液桶、含油金属屑、废润滑油、废润滑油桶、含油抹布及废劳保用品</w:t>
            </w:r>
            <w:r>
              <w:rPr>
                <w:rFonts w:ascii="Times New Roman" w:eastAsia="宋体" w:cs="Times New Roman" w:hAnsi="Times New Roman"/>
                <w:caps w:val="0"/>
                <w:smallCaps w:val="0"/>
                <w:color w:val="auto"/>
                <w:spacing w:val="0"/>
                <w:sz w:val="24"/>
                <w:szCs w:val="24"/>
                <w:lang w:eastAsia="zh-CN"/>
                <w:highlight w:val="none"/>
              </w:rPr>
              <w:t>）。</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（2）环境风险识别</w:t>
            </w:r>
          </w:p>
          <w:p>
            <w:pPr>
              <w:keepNext w:val="0"/>
              <w:keepLines w:val="0"/>
              <w:suppressLineNumbers w:val="0"/>
              <w:tabs>
                <w:tab w:val="left" w:pos="6240"/>
              </w:tabs>
              <w:spacing w:before="0" w:beforeAutospacing="0" w:after="0" w:afterAutospacing="0" w:line="480" w:lineRule="exact"/>
              <w:ind w:left="0" w:right="0" w:firstLine="480"/>
              <w:jc w:val="both"/>
              <w:rPr>
                <w:rFonts w:ascii="Times New Roman" w:cs="Times New Roman" w:hAnsi="Times New Roman"/>
                <w:b/>
                <w:color w:val="auto"/>
                <w:sz w:val="24"/>
                <w:szCs w:val="20"/>
                <w:highlight w:val="none"/>
              </w:rPr>
            </w:pPr>
            <w:r>
              <w:rPr>
                <w:rFonts w:ascii="Times New Roman" w:cs="Times New Roman" w:hAnsi="Times New Roman"/>
                <w:color w:val="auto"/>
                <w:sz w:val="24"/>
                <w:szCs w:val="20"/>
                <w:highlight w:val="none"/>
              </w:rPr>
              <w:t>对项目主要危险物质及分布情况、环境风险类型及可能影响环境的途径进行识别，详见表4-</w:t>
            </w:r>
            <w:r>
              <w:rPr>
                <w:rFonts w:ascii="Times New Roman" w:cs="Times New Roman" w:hAnsi="Times New Roman" w:hint="eastAsia"/>
                <w:color w:val="auto"/>
                <w:sz w:val="24"/>
                <w:szCs w:val="20"/>
                <w:lang w:val="en-US" w:eastAsia="zh-CN"/>
                <w:highlight w:val="none"/>
              </w:rPr>
              <w:t>17</w:t>
            </w:r>
            <w:r>
              <w:rPr>
                <w:rFonts w:ascii="Times New Roman" w:cs="Times New Roman" w:hAnsi="Times New Roman"/>
                <w:color w:val="auto"/>
                <w:sz w:val="24"/>
                <w:szCs w:val="20"/>
                <w:highlight w:val="none"/>
              </w:rPr>
              <w:t>。</w:t>
            </w:r>
          </w:p>
          <w:p>
            <w:pPr>
              <w:keepNext w:val="0"/>
              <w:keepLines w:val="0"/>
              <w:suppressLineNumbers w:val="0"/>
              <w:tabs>
                <w:tab w:val="left" w:pos="6240"/>
              </w:tabs>
              <w:spacing w:before="0" w:beforeAutospacing="0" w:after="0" w:afterAutospacing="0" w:line="480" w:lineRule="exact"/>
              <w:ind w:left="0" w:right="0"/>
              <w:jc w:val="center"/>
              <w:rPr>
                <w:rFonts w:ascii="Times New Roman" w:cs="Times New Roman" w:hAnsi="Times New Roman"/>
                <w:b/>
                <w:color w:val="auto"/>
                <w:sz w:val="24"/>
                <w:szCs w:val="20"/>
                <w:highlight w:val="none"/>
              </w:rPr>
            </w:pPr>
            <w:r>
              <w:rPr>
                <w:rFonts w:ascii="Times New Roman" w:cs="Times New Roman" w:hAnsi="Times New Roman"/>
                <w:b/>
                <w:color w:val="auto"/>
                <w:sz w:val="24"/>
                <w:szCs w:val="20"/>
                <w:highlight w:val="none"/>
              </w:rPr>
              <w:t>表4-</w:t>
            </w:r>
            <w:r>
              <w:rPr>
                <w:rFonts w:ascii="Times New Roman" w:cs="Times New Roman" w:hAnsi="Times New Roman" w:hint="eastAsia"/>
                <w:b/>
                <w:color w:val="auto"/>
                <w:sz w:val="24"/>
                <w:szCs w:val="20"/>
                <w:lang w:val="en-US" w:eastAsia="zh-CN"/>
                <w:highlight w:val="none"/>
              </w:rPr>
              <w:t>17</w:t>
            </w:r>
            <w:r>
              <w:rPr>
                <w:rFonts w:ascii="Times New Roman" w:cs="Times New Roman" w:hAnsi="Times New Roman"/>
                <w:b/>
                <w:color w:val="auto"/>
                <w:sz w:val="24"/>
                <w:szCs w:val="20"/>
                <w:highlight w:val="none"/>
              </w:rPr>
              <w:t xml:space="preserve">  环境风险识别表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505"/>
              <w:gridCol w:w="1629"/>
              <w:gridCol w:w="3159"/>
              <w:gridCol w:w="2691"/>
            </w:tblGrid>
            <w:tr>
              <w:trPr>
                <w:trHeight w:val="90"/>
              </w:trPr>
              <w:tc>
                <w:tcPr>
                  <w:tcW w:w="316"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序号</w:t>
                  </w:r>
                </w:p>
              </w:tc>
              <w:tc>
                <w:tcPr>
                  <w:tcW w:w="1020"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风险单元</w:t>
                  </w:r>
                </w:p>
              </w:tc>
              <w:tc>
                <w:tcPr>
                  <w:tcW w:w="1978"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涉及风险物质</w:t>
                  </w:r>
                </w:p>
              </w:tc>
              <w:tc>
                <w:tcPr>
                  <w:tcW w:w="1685"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可能影响环境的途径</w:t>
                  </w:r>
                </w:p>
              </w:tc>
            </w:tr>
            <w:tr>
              <w:trPr>
                <w:trHeight w:val="227"/>
              </w:trPr>
              <w:tc>
                <w:tcPr>
                  <w:tcW w:w="316"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1</w:t>
                  </w:r>
                </w:p>
              </w:tc>
              <w:tc>
                <w:tcPr>
                  <w:tcW w:w="1020"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原料区</w:t>
                  </w:r>
                </w:p>
              </w:tc>
              <w:tc>
                <w:tcPr>
                  <w:tcW w:w="1978"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切削液、润滑油</w:t>
                  </w:r>
                </w:p>
              </w:tc>
              <w:tc>
                <w:tcPr>
                  <w:tcW w:w="1685"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rPr>
                      <w:rFonts w:ascii="Times New Roman" w:eastAsia="宋体" w:cs="Times New Roman" w:hAnsi="Times New Roman"/>
                      <w:color w:val="auto"/>
                      <w:kern w:val="0"/>
                      <w:sz w:val="21"/>
                      <w:szCs w:val="21"/>
                      <w:lang w:val="en-US" w:eastAsia="zh-CN"/>
                      <w:highlight w:val="none"/>
                    </w:rPr>
                  </w:pPr>
                  <w:r>
                    <w:rPr>
                      <w:rFonts w:ascii="Times New Roman" w:cs="Times New Roman" w:hAnsi="Times New Roman"/>
                      <w:color w:val="auto"/>
                      <w:sz w:val="21"/>
                      <w:szCs w:val="21"/>
                      <w:highlight w:val="none"/>
                    </w:rPr>
                    <w:t>大气、土壤、地下水环境</w:t>
                  </w:r>
                </w:p>
              </w:tc>
            </w:tr>
            <w:tr>
              <w:trPr>
                <w:trHeight w:val="227"/>
              </w:trPr>
              <w:tc>
                <w:tcPr>
                  <w:tcW w:w="316"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2</w:t>
                  </w:r>
                </w:p>
              </w:tc>
              <w:tc>
                <w:tcPr>
                  <w:tcW w:w="1020"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危废间</w:t>
                  </w:r>
                </w:p>
              </w:tc>
              <w:tc>
                <w:tcPr>
                  <w:tcW w:w="1978"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szCs w:val="21"/>
                      <w:lang w:val="en-US" w:eastAsia="zh-CN"/>
                      <w:highlight w:val="none"/>
                    </w:rPr>
                  </w:pPr>
                  <w:r>
                    <w:rPr>
                      <w:rFonts w:ascii="Times New Roman" w:cs="Times New Roman" w:hAnsi="Times New Roman" w:hint="eastAsia"/>
                      <w:color w:val="auto"/>
                      <w:sz w:val="21"/>
                      <w:szCs w:val="21"/>
                      <w:lang w:eastAsia="zh-CN"/>
                      <w:highlight w:val="none"/>
                    </w:rPr>
                    <w:t>废布袋、</w:t>
                  </w:r>
                  <w:r>
                    <w:rPr>
                      <w:rFonts w:ascii="Times New Roman" w:cs="Times New Roman" w:hAnsi="Times New Roman" w:hint="eastAsia"/>
                      <w:color w:val="auto"/>
                      <w:sz w:val="21"/>
                      <w:szCs w:val="21"/>
                      <w:lang w:val="en-US" w:eastAsia="zh-CN"/>
                      <w:highlight w:val="none"/>
                    </w:rPr>
                    <w:t>除尘灰</w:t>
                  </w:r>
                  <w:r>
                    <w:rPr>
                      <w:rFonts w:ascii="Times New Roman" w:cs="Times New Roman" w:hAnsi="Times New Roman" w:hint="eastAsia"/>
                      <w:color w:val="auto"/>
                      <w:sz w:val="21"/>
                      <w:szCs w:val="21"/>
                      <w:lang w:eastAsia="zh-CN"/>
                      <w:highlight w:val="none"/>
                    </w:rPr>
                    <w:t>、废活性炭、废切削液、废切削液桶、含油金属屑、废润滑油、废润滑油桶、含油抹布及废劳保用品</w:t>
                  </w:r>
                </w:p>
              </w:tc>
              <w:tc>
                <w:tcPr>
                  <w:tcW w:w="1685"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rPr>
                      <w:rFonts w:ascii="Times New Roman" w:cs="Times New Roman" w:hAnsi="Times New Roman"/>
                      <w:color w:val="auto"/>
                      <w:kern w:val="0"/>
                      <w:szCs w:val="21"/>
                      <w:highlight w:val="none"/>
                    </w:rPr>
                  </w:pPr>
                  <w:r>
                    <w:rPr>
                      <w:rFonts w:ascii="Times New Roman" w:cs="Times New Roman" w:hAnsi="Times New Roman"/>
                      <w:color w:val="auto"/>
                      <w:sz w:val="21"/>
                      <w:szCs w:val="21"/>
                      <w:highlight w:val="none"/>
                    </w:rPr>
                    <w:t>大气、土壤、地下水环境</w:t>
                  </w:r>
                </w:p>
              </w:tc>
            </w:tr>
          </w:tbl>
          <w:p>
            <w:pPr>
              <w:keepNext w:val="0"/>
              <w:keepLines w:val="0"/>
              <w:suppressLineNumbers w:val="0"/>
              <w:tabs>
                <w:tab w:val="left" w:pos="6240"/>
              </w:tabs>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对项目危险物质数量与临界量比值，详见表4-</w:t>
            </w:r>
            <w:r>
              <w:rPr>
                <w:rFonts w:ascii="Times New Roman" w:cs="Times New Roman" w:hAnsi="Times New Roman" w:hint="eastAsia"/>
                <w:color w:val="auto"/>
                <w:sz w:val="24"/>
                <w:szCs w:val="20"/>
                <w:lang w:val="en-US" w:eastAsia="zh-CN"/>
                <w:highlight w:val="none"/>
              </w:rPr>
              <w:t>18</w:t>
            </w:r>
            <w:r>
              <w:rPr>
                <w:rFonts w:ascii="Times New Roman" w:cs="Times New Roman" w:hAnsi="Times New Roman"/>
                <w:color w:val="auto"/>
                <w:sz w:val="24"/>
                <w:szCs w:val="20"/>
                <w:highlight w:val="none"/>
              </w:rPr>
              <w:t>。</w:t>
            </w:r>
          </w:p>
          <w:p>
            <w:pPr>
              <w:keepNext w:val="0"/>
              <w:keepLines w:val="0"/>
              <w:suppressLineNumbers w:val="0"/>
              <w:tabs>
                <w:tab w:val="left" w:pos="6240"/>
              </w:tabs>
              <w:spacing w:before="0" w:beforeAutospacing="0" w:after="0" w:afterAutospacing="0" w:line="480" w:lineRule="exact"/>
              <w:ind w:left="0" w:right="0"/>
              <w:jc w:val="center"/>
              <w:rPr>
                <w:rFonts w:ascii="Times New Roman" w:cs="Times New Roman" w:hAnsi="Times New Roman"/>
                <w:b/>
                <w:color w:val="auto"/>
                <w:sz w:val="24"/>
                <w:szCs w:val="20"/>
                <w:highlight w:val="none"/>
              </w:rPr>
            </w:pPr>
            <w:r>
              <w:rPr>
                <w:rFonts w:ascii="Times New Roman" w:cs="Times New Roman" w:hAnsi="Times New Roman"/>
                <w:b/>
                <w:color w:val="auto"/>
                <w:sz w:val="24"/>
                <w:szCs w:val="20"/>
                <w:highlight w:val="none"/>
              </w:rPr>
              <w:t>表4-</w:t>
            </w:r>
            <w:r>
              <w:rPr>
                <w:rFonts w:ascii="Times New Roman" w:cs="Times New Roman" w:hAnsi="Times New Roman" w:hint="eastAsia"/>
                <w:b/>
                <w:color w:val="auto"/>
                <w:sz w:val="24"/>
                <w:szCs w:val="20"/>
                <w:lang w:val="en-US" w:eastAsia="zh-CN"/>
                <w:highlight w:val="none"/>
              </w:rPr>
              <w:t xml:space="preserve">18 </w:t>
            </w:r>
            <w:r>
              <w:rPr>
                <w:rFonts w:ascii="Times New Roman" w:cs="Times New Roman" w:hAnsi="Times New Roman"/>
                <w:b/>
                <w:color w:val="auto"/>
                <w:sz w:val="24"/>
                <w:szCs w:val="20"/>
                <w:highlight w:val="none"/>
              </w:rPr>
              <w:t xml:space="preserve"> 环境风险识别表</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124"/>
              <w:gridCol w:w="2287"/>
              <w:gridCol w:w="1428"/>
              <w:gridCol w:w="1573"/>
              <w:gridCol w:w="1574"/>
            </w:tblGrid>
            <w:tr>
              <w:trPr>
                <w:trHeight w:val="216"/>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序号</w:t>
                  </w:r>
                </w:p>
              </w:tc>
              <w:tc>
                <w:tcPr>
                  <w:tcW w:w="1499"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涉及风险物质</w:t>
                  </w:r>
                </w:p>
              </w:tc>
              <w:tc>
                <w:tcPr>
                  <w:tcW w:w="87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最大储存量t/a</w:t>
                  </w:r>
                </w:p>
              </w:tc>
              <w:tc>
                <w:tcPr>
                  <w:tcW w:w="982"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临界量t/a</w:t>
                  </w:r>
                </w:p>
              </w:tc>
              <w:tc>
                <w:tcPr>
                  <w:tcW w:w="983"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lang w:val="en-US" w:eastAsia="zh-CN"/>
                      <w:highlight w:val="none"/>
                    </w:rPr>
                    <w:t>全厂</w:t>
                  </w:r>
                  <w:r>
                    <w:rPr>
                      <w:rFonts w:ascii="Times New Roman" w:cs="Times New Roman" w:hAnsi="Times New Roman"/>
                      <w:color w:val="auto"/>
                      <w:sz w:val="21"/>
                      <w:szCs w:val="21"/>
                      <w:highlight w:val="none"/>
                    </w:rPr>
                    <w:t>Q/q</w:t>
                  </w:r>
                </w:p>
              </w:tc>
            </w:tr>
            <w:tr>
              <w:trPr>
                <w:trHeight w:val="486"/>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color w:val="auto"/>
                      <w:sz w:val="21"/>
                      <w:szCs w:val="21"/>
                      <w:lang w:val="en-US" w:eastAsia="zh-CN"/>
                      <w:highlight w:val="none"/>
                    </w:rPr>
                    <w:t>1</w:t>
                  </w:r>
                </w:p>
              </w:tc>
              <w:tc>
                <w:tcPr>
                  <w:tcW w:w="1499"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szCs w:val="21"/>
                      <w:lang w:eastAsia="zh-CN"/>
                      <w:highlight w:val="none"/>
                    </w:rPr>
                  </w:pPr>
                  <w:r>
                    <w:rPr>
                      <w:rFonts w:ascii="Times New Roman" w:cs="Times New Roman" w:hAnsi="Times New Roman" w:hint="eastAsia"/>
                      <w:color w:val="auto"/>
                      <w:sz w:val="21"/>
                      <w:szCs w:val="21"/>
                      <w:lang w:val="en-US" w:eastAsia="zh-CN"/>
                      <w:highlight w:val="none"/>
                    </w:rPr>
                    <w:t>切削液</w:t>
                  </w:r>
                </w:p>
              </w:tc>
              <w:tc>
                <w:tcPr>
                  <w:tcW w:w="877"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bCs/>
                      <w:snapToGrid w:val="0"/>
                      <w:color w:val="auto"/>
                      <w:kern w:val="2"/>
                      <w:sz w:val="21"/>
                      <w:szCs w:val="21"/>
                      <w:lang w:val="en-US" w:eastAsia="zh-CN" w:bidi="ar-SA"/>
                      <w:highlight w:val="none"/>
                    </w:rPr>
                  </w:pPr>
                  <w:bookmarkStart w:id="28" w:name="_Toc938"/>
                  <w:r>
                    <w:rPr>
                      <w:rFonts w:ascii="Times New Roman" w:eastAsia="宋体" w:cs="Times New Roman" w:hAnsi="Times New Roman" w:hint="eastAsia"/>
                      <w:bCs/>
                      <w:snapToGrid w:val="0"/>
                      <w:color w:val="auto"/>
                      <w:kern w:val="2"/>
                      <w:sz w:val="21"/>
                      <w:szCs w:val="21"/>
                      <w:lang w:val="en-US" w:eastAsia="zh-CN" w:bidi="ar-SA"/>
                      <w:highlight w:val="none"/>
                    </w:rPr>
                    <w:t>0.015</w:t>
                  </w:r>
                  <w:bookmarkEnd w:id="28"/>
                </w:p>
              </w:tc>
              <w:tc>
                <w:tcPr>
                  <w:tcW w:w="982"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29" w:name="_Toc14315"/>
                  <w:r>
                    <w:rPr>
                      <w:rFonts w:ascii="Times New Roman" w:eastAsia="宋体" w:cs="Times New Roman" w:hAnsi="Times New Roman" w:hint="eastAsia"/>
                      <w:bCs/>
                      <w:snapToGrid w:val="0"/>
                      <w:color w:val="auto"/>
                      <w:kern w:val="2"/>
                      <w:sz w:val="21"/>
                      <w:szCs w:val="21"/>
                      <w:lang w:val="en-US" w:eastAsia="zh-CN" w:bidi="ar-SA"/>
                      <w:highlight w:val="none"/>
                    </w:rPr>
                    <w:t>2500</w:t>
                  </w:r>
                  <w:bookmarkEnd w:id="29"/>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0.000006</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2</w:t>
                  </w:r>
                </w:p>
              </w:tc>
              <w:tc>
                <w:tcPr>
                  <w:tcW w:w="1499"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润滑油</w:t>
                  </w:r>
                </w:p>
              </w:tc>
              <w:tc>
                <w:tcPr>
                  <w:tcW w:w="877"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30" w:name="_Toc1307"/>
                  <w:r>
                    <w:rPr>
                      <w:rFonts w:ascii="Times New Roman" w:eastAsia="宋体" w:cs="Times New Roman" w:hAnsi="Times New Roman" w:hint="eastAsia"/>
                      <w:bCs/>
                      <w:snapToGrid w:val="0"/>
                      <w:color w:val="auto"/>
                      <w:kern w:val="2"/>
                      <w:sz w:val="21"/>
                      <w:szCs w:val="21"/>
                      <w:lang w:val="en-US" w:eastAsia="zh-CN" w:bidi="ar-SA"/>
                      <w:highlight w:val="none"/>
                    </w:rPr>
                    <w:t>0.03</w:t>
                  </w:r>
                  <w:bookmarkEnd w:id="30"/>
                </w:p>
              </w:tc>
              <w:tc>
                <w:tcPr>
                  <w:tcW w:w="982"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hint="eastAsia"/>
                      <w:bCs/>
                      <w:snapToGrid w:val="0"/>
                      <w:color w:val="auto"/>
                      <w:kern w:val="2"/>
                      <w:sz w:val="21"/>
                      <w:szCs w:val="21"/>
                      <w:lang w:val="en-US" w:eastAsia="zh-CN" w:bidi="ar-SA"/>
                      <w:highlight w:val="none"/>
                    </w:rPr>
                  </w:pPr>
                  <w:bookmarkStart w:id="31" w:name="_Toc12193"/>
                  <w:r>
                    <w:rPr>
                      <w:rFonts w:ascii="Times New Roman" w:eastAsia="宋体" w:cs="Times New Roman" w:hAnsi="Times New Roman" w:hint="eastAsia"/>
                      <w:bCs/>
                      <w:snapToGrid w:val="0"/>
                      <w:color w:val="auto"/>
                      <w:kern w:val="2"/>
                      <w:sz w:val="21"/>
                      <w:szCs w:val="21"/>
                      <w:lang w:val="en-US" w:eastAsia="zh-CN" w:bidi="ar-SA"/>
                      <w:highlight w:val="none"/>
                    </w:rPr>
                    <w:t>2500</w:t>
                  </w:r>
                  <w:bookmarkEnd w:id="31"/>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0.000012</w:t>
                  </w:r>
                </w:p>
              </w:tc>
            </w:tr>
            <w:tr>
              <w:trPr>
                <w:trHeight w:val="227"/>
              </w:trPr>
              <w:tc>
                <w:tcPr>
                  <w:tcW w:w="657" w:type="pct"/>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color w:val="auto"/>
                      <w:sz w:val="21"/>
                      <w:szCs w:val="21"/>
                      <w:lang w:val="en-US" w:eastAsia="zh-CN"/>
                      <w:highlight w:val="none"/>
                    </w:rPr>
                    <w:t>3</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w:t>
                  </w:r>
                </w:p>
              </w:tc>
              <w:tc>
                <w:tcPr>
                  <w:tcW w:w="877"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p>
              </w:tc>
              <w:tc>
                <w:tcPr>
                  <w:tcW w:w="982"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32" w:name="_Toc18940"/>
                  <w:r>
                    <w:rPr>
                      <w:rFonts w:ascii="Times New Roman" w:eastAsia="宋体" w:cs="Times New Roman" w:hAnsi="Times New Roman"/>
                      <w:bCs/>
                      <w:snapToGrid w:val="0"/>
                      <w:color w:val="auto"/>
                      <w:kern w:val="2"/>
                      <w:sz w:val="21"/>
                      <w:szCs w:val="21"/>
                      <w:lang w:val="en-US" w:eastAsia="zh-CN" w:bidi="ar-SA"/>
                      <w:highlight w:val="none"/>
                    </w:rPr>
                    <w:t>50</w:t>
                  </w:r>
                  <w:bookmarkEnd w:id="32"/>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0.0001</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4</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废润滑油桶</w:t>
                  </w:r>
                </w:p>
              </w:tc>
              <w:tc>
                <w:tcPr>
                  <w:tcW w:w="877"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p>
              </w:tc>
              <w:tc>
                <w:tcPr>
                  <w:tcW w:w="982"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33" w:name="_Toc31892"/>
                  <w:r>
                    <w:rPr>
                      <w:rFonts w:ascii="Times New Roman" w:eastAsia="宋体" w:cs="Times New Roman" w:hAnsi="Times New Roman"/>
                      <w:bCs/>
                      <w:snapToGrid w:val="0"/>
                      <w:color w:val="auto"/>
                      <w:kern w:val="2"/>
                      <w:sz w:val="21"/>
                      <w:szCs w:val="21"/>
                      <w:lang w:val="en-US" w:eastAsia="zh-CN" w:bidi="ar-SA"/>
                      <w:highlight w:val="none"/>
                    </w:rPr>
                    <w:t>50</w:t>
                  </w:r>
                  <w:bookmarkEnd w:id="33"/>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0.00002</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5</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含油抹布及废劳保用品</w:t>
                  </w:r>
                </w:p>
              </w:tc>
              <w:tc>
                <w:tcPr>
                  <w:tcW w:w="877"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p>
              </w:tc>
              <w:tc>
                <w:tcPr>
                  <w:tcW w:w="982" w:type="pct"/>
                  <w:tcBorders>
                    <w:left w:val="single" w:sz="4" w:space="0" w:color="auto"/>
                  </w:tcBorders>
                  <w:shd w:val="clear" w:color="auto" w:fill="auto"/>
                  <w:tcMar>
                    <w:left w:w="28" w:type="dxa"/>
                    <w:right w:w="28" w:type="dxa"/>
                  </w:tcMar>
                  <w:vAlign w:val="center"/>
                </w:tcPr>
                <w:p>
                  <w:pPr>
                    <w:pStyle w:val="173"/>
                    <w:keepNext w:val="0"/>
                    <w:keepLines w:val="0"/>
                    <w:suppressLineNumbers w:val="0"/>
                    <w:spacing w:beforeAutospacing="0" w:after="0" w:afterAutospacing="0"/>
                    <w:ind w:left="0" w:right="0"/>
                    <w:jc w:val="center"/>
                    <w:rPr>
                      <w:rFonts w:ascii="Times New Roman" w:eastAsia="宋体" w:cs="Times New Roman" w:hAnsi="Times New Roman"/>
                      <w:bCs/>
                      <w:snapToGrid w:val="0"/>
                      <w:color w:val="auto"/>
                      <w:kern w:val="2"/>
                      <w:sz w:val="21"/>
                      <w:szCs w:val="21"/>
                      <w:lang w:val="en-US" w:eastAsia="zh-CN" w:bidi="ar-SA"/>
                      <w:highlight w:val="none"/>
                    </w:rPr>
                  </w:pPr>
                  <w:bookmarkStart w:id="34" w:name="_Toc12675"/>
                  <w:r>
                    <w:rPr>
                      <w:rFonts w:ascii="Times New Roman" w:eastAsia="宋体" w:cs="Times New Roman" w:hAnsi="Times New Roman" w:hint="eastAsia"/>
                      <w:bCs/>
                      <w:snapToGrid w:val="0"/>
                      <w:color w:val="auto"/>
                      <w:kern w:val="2"/>
                      <w:sz w:val="21"/>
                      <w:szCs w:val="21"/>
                      <w:lang w:val="en-US" w:eastAsia="zh-CN" w:bidi="ar-SA"/>
                      <w:highlight w:val="none"/>
                    </w:rPr>
                    <w:t>50</w:t>
                  </w:r>
                  <w:bookmarkEnd w:id="34"/>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hint="eastAsia"/>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0.00002</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6</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W w:w="877"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p>
              </w:tc>
              <w:tc>
                <w:tcPr>
                  <w:tcW w:w="982" w:type="pct"/>
                  <w:tcBorders>
                    <w:left w:val="single" w:sz="4" w:space="0" w:color="auto"/>
                  </w:tcBorders>
                  <w:shd w:val="clear" w:color="auto" w:fill="auto"/>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35" w:name="_Toc30594"/>
                  <w:r>
                    <w:rPr>
                      <w:rFonts w:ascii="Times New Roman" w:eastAsia="宋体" w:cs="Times New Roman" w:hAnsi="Times New Roman" w:hint="eastAsia"/>
                      <w:bCs/>
                      <w:snapToGrid w:val="0"/>
                      <w:color w:val="auto"/>
                      <w:kern w:val="2"/>
                      <w:sz w:val="21"/>
                      <w:szCs w:val="21"/>
                      <w:lang w:val="en-US" w:eastAsia="zh-CN" w:bidi="ar-SA"/>
                      <w:highlight w:val="none"/>
                    </w:rPr>
                    <w:t>50</w:t>
                  </w:r>
                  <w:bookmarkEnd w:id="35"/>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0.0001</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7</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W w:w="877"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p>
              </w:tc>
              <w:tc>
                <w:tcPr>
                  <w:tcW w:w="982"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hint="eastAsia"/>
                      <w:bCs/>
                      <w:snapToGrid w:val="0"/>
                      <w:color w:val="auto"/>
                      <w:kern w:val="2"/>
                      <w:sz w:val="21"/>
                      <w:szCs w:val="21"/>
                      <w:lang w:val="en-US" w:eastAsia="zh-CN" w:bidi="ar-SA"/>
                      <w:highlight w:val="none"/>
                    </w:rPr>
                    <w:t>50</w:t>
                  </w:r>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0.0001</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8</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W w:w="877"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p>
              </w:tc>
              <w:tc>
                <w:tcPr>
                  <w:tcW w:w="982"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hint="eastAsia"/>
                      <w:bCs/>
                      <w:snapToGrid w:val="0"/>
                      <w:color w:val="auto"/>
                      <w:kern w:val="2"/>
                      <w:sz w:val="21"/>
                      <w:szCs w:val="21"/>
                      <w:lang w:val="en-US" w:eastAsia="zh-CN" w:bidi="ar-SA"/>
                      <w:highlight w:val="none"/>
                    </w:rPr>
                    <w:t>50</w:t>
                  </w:r>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0.00002</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9</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W w:w="877"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w:t>
                  </w:r>
                </w:p>
              </w:tc>
              <w:tc>
                <w:tcPr>
                  <w:tcW w:w="982"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hint="eastAsia"/>
                      <w:bCs/>
                      <w:snapToGrid w:val="0"/>
                      <w:color w:val="auto"/>
                      <w:kern w:val="2"/>
                      <w:sz w:val="21"/>
                      <w:szCs w:val="21"/>
                      <w:lang w:val="en-US" w:eastAsia="zh-CN" w:bidi="ar-SA"/>
                      <w:highlight w:val="none"/>
                    </w:rPr>
                    <w:t>50</w:t>
                  </w:r>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0.00262</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10</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除尘灰</w:t>
                  </w:r>
                </w:p>
              </w:tc>
              <w:tc>
                <w:tcPr>
                  <w:tcW w:w="877"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w:t>
                  </w:r>
                </w:p>
              </w:tc>
              <w:tc>
                <w:tcPr>
                  <w:tcW w:w="982"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s="Times New Roman"/>
                      <w:bCs/>
                      <w:snapToGrid w:val="0"/>
                      <w:color w:val="auto"/>
                      <w:kern w:val="2"/>
                      <w:sz w:val="21"/>
                      <w:szCs w:val="21"/>
                      <w:lang w:val="en-US" w:eastAsia="zh-CN" w:bidi="ar-SA"/>
                      <w:highlight w:val="none"/>
                    </w:rPr>
                  </w:pPr>
                  <w:r>
                    <w:rPr>
                      <w:rFonts w:ascii="Times New Roman" w:cs="Times New Roman" w:hAnsi="Times New Roman" w:hint="eastAsia"/>
                      <w:bCs/>
                      <w:snapToGrid w:val="0"/>
                      <w:color w:val="auto"/>
                      <w:kern w:val="2"/>
                      <w:sz w:val="21"/>
                      <w:szCs w:val="21"/>
                      <w:lang w:val="en-US" w:eastAsia="zh-CN" w:bidi="ar-SA"/>
                      <w:highlight w:val="none"/>
                    </w:rPr>
                    <w:t>50</w:t>
                  </w:r>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0.0045</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cs="Times New Roman"/>
                      <w:color w:val="auto"/>
                      <w:szCs w:val="21"/>
                      <w:lang w:val="en-US" w:eastAsia="zh-CN"/>
                      <w:highlight w:val="none"/>
                    </w:rPr>
                  </w:pPr>
                  <w:r>
                    <w:rPr>
                      <w:rFonts w:ascii="Times New Roman" w:cs="Times New Roman" w:hAnsi="Times New Roman" w:hint="eastAsia"/>
                      <w:color w:val="auto"/>
                      <w:sz w:val="21"/>
                      <w:szCs w:val="21"/>
                      <w:lang w:val="en-US" w:eastAsia="zh-CN"/>
                      <w:highlight w:val="none"/>
                    </w:rPr>
                    <w:t>11</w:t>
                  </w:r>
                </w:p>
              </w:tc>
              <w:tc>
                <w:tcPr>
                  <w:tcW w:w="1499" w:type="pct"/>
                  <w:tcBorders>
                    <w:left w:val="single" w:sz="4" w:space="0" w:color="auto"/>
                  </w:tcBorders>
                  <w:shd w:val="clear" w:color="auto" w:fill="auto"/>
                  <w:tcMar>
                    <w:left w:w="28" w:type="dxa"/>
                    <w:right w:w="28" w:type="dxa"/>
                  </w:tcMar>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W w:w="877"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3.486</w:t>
                  </w:r>
                </w:p>
              </w:tc>
              <w:tc>
                <w:tcPr>
                  <w:tcW w:w="982" w:type="pct"/>
                  <w:tcBorders>
                    <w:left w:val="single" w:sz="4" w:space="0" w:color="auto"/>
                  </w:tcBorders>
                  <w:shd w:val="clear" w:color="auto" w:fill="auto"/>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s="Times New Roman" w:hint="eastAsia"/>
                      <w:bCs/>
                      <w:snapToGrid w:val="0"/>
                      <w:color w:val="auto"/>
                      <w:kern w:val="2"/>
                      <w:sz w:val="21"/>
                      <w:szCs w:val="21"/>
                      <w:lang w:val="en-US" w:eastAsia="zh-CN" w:bidi="ar-SA"/>
                      <w:highlight w:val="none"/>
                    </w:rPr>
                  </w:pPr>
                  <w:r>
                    <w:rPr>
                      <w:rFonts w:ascii="Times New Roman" w:eastAsia="宋体" w:cs="Times New Roman" w:hAnsi="Times New Roman" w:hint="eastAsia"/>
                      <w:bCs/>
                      <w:snapToGrid w:val="0"/>
                      <w:color w:val="auto"/>
                      <w:kern w:val="2"/>
                      <w:sz w:val="21"/>
                      <w:szCs w:val="21"/>
                      <w:lang w:val="en-US" w:eastAsia="zh-CN" w:bidi="ar-SA"/>
                      <w:highlight w:val="none"/>
                    </w:rPr>
                    <w:t>50</w:t>
                  </w:r>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0.06972</w:t>
                  </w:r>
                </w:p>
              </w:tc>
            </w:tr>
            <w:tr>
              <w:trPr>
                <w:trHeight w:val="227"/>
              </w:trPr>
              <w:tc>
                <w:tcPr>
                  <w:tcW w:w="657" w:type="pct"/>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cs="Times New Roman" w:hAnsi="Times New Roman"/>
                      <w:color w:val="auto"/>
                      <w:szCs w:val="21"/>
                      <w:highlight w:val="none"/>
                    </w:rPr>
                  </w:pPr>
                  <w:r>
                    <w:rPr>
                      <w:rFonts w:ascii="Times New Roman" w:cs="Times New Roman" w:hAnsi="Times New Roman"/>
                      <w:color w:val="auto"/>
                      <w:sz w:val="21"/>
                      <w:szCs w:val="21"/>
                      <w:highlight w:val="none"/>
                    </w:rPr>
                    <w:t>合计</w:t>
                  </w:r>
                </w:p>
              </w:tc>
              <w:tc>
                <w:tcPr>
                  <w:tcW w:w="1499"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olor w:val="auto"/>
                      <w:szCs w:val="21"/>
                      <w:lang w:val="en-US" w:eastAsia="zh-CN"/>
                      <w:highlight w:val="none"/>
                    </w:rPr>
                  </w:pPr>
                  <w:r>
                    <w:rPr>
                      <w:rFonts w:ascii="Times New Roman" w:cs="Times New Roman" w:hAnsi="Times New Roman"/>
                      <w:color w:val="auto"/>
                      <w:sz w:val="21"/>
                      <w:szCs w:val="21"/>
                      <w:lang w:val="en-US" w:eastAsia="zh-CN"/>
                      <w:highlight w:val="none"/>
                    </w:rPr>
                    <w:t>-</w:t>
                  </w:r>
                </w:p>
              </w:tc>
              <w:tc>
                <w:tcPr>
                  <w:tcW w:w="877" w:type="pct"/>
                  <w:tcBorders>
                    <w:left w:val="single" w:sz="4" w:space="0" w:color="auto"/>
                  </w:tcBorders>
                  <w:tcMar>
                    <w:left w:w="28" w:type="dxa"/>
                    <w:right w:w="28" w:type="dxa"/>
                  </w:tcMar>
                  <w:vAlign w:val="center"/>
                </w:tcPr>
                <w:p>
                  <w:pPr>
                    <w:keepNext w:val="0"/>
                    <w:keepLines w:val="0"/>
                    <w:suppressLineNumbers w:val="0"/>
                    <w:spacing w:before="0" w:beforeAutospacing="0" w:after="0" w:afterAutospacing="0"/>
                    <w:ind w:left="0" w:right="0"/>
                    <w:jc w:val="center"/>
                    <w:outlineLvl w:val="9"/>
                    <w:rPr>
                      <w:rFonts w:ascii="Times New Roman" w:cs="Times New Roman" w:hAnsi="Times New Roman"/>
                      <w:color w:val="auto"/>
                      <w:sz w:val="21"/>
                      <w:szCs w:val="21"/>
                      <w:highlight w:val="none"/>
                    </w:rPr>
                  </w:pPr>
                  <w:r>
                    <w:rPr>
                      <w:rFonts w:ascii="Times New Roman" w:cs="Times New Roman" w:hAnsi="Times New Roman"/>
                      <w:color w:val="auto"/>
                      <w:sz w:val="21"/>
                      <w:szCs w:val="21"/>
                      <w:lang w:val="en-US" w:eastAsia="zh-CN"/>
                      <w:highlight w:val="none"/>
                    </w:rPr>
                    <w:t>-</w:t>
                  </w:r>
                </w:p>
              </w:tc>
              <w:tc>
                <w:tcPr>
                  <w:tcW w:w="982" w:type="pct"/>
                  <w:tcBorders>
                    <w:left w:val="single" w:sz="4" w:space="0" w:color="auto"/>
                  </w:tcBorders>
                  <w:tcMar>
                    <w:left w:w="28" w:type="dxa"/>
                    <w:right w:w="28" w:type="dxa"/>
                  </w:tcMar>
                  <w:vAlign w:val="center"/>
                </w:tcPr>
                <w:p>
                  <w:pPr>
                    <w:pStyle w:val="173"/>
                    <w:keepNext w:val="0"/>
                    <w:keepLines w:val="0"/>
                    <w:suppressLineNumbers w:val="0"/>
                    <w:spacing w:beforeAutospacing="0" w:after="0" w:afterAutospacing="0"/>
                    <w:ind w:left="0" w:right="0"/>
                    <w:jc w:val="center"/>
                    <w:rPr>
                      <w:rFonts w:eastAsia="宋体" w:cs="Times New Roman"/>
                      <w:bCs/>
                      <w:snapToGrid w:val="0"/>
                      <w:color w:val="auto"/>
                      <w:kern w:val="2"/>
                      <w:sz w:val="21"/>
                      <w:szCs w:val="21"/>
                      <w:lang w:val="en-US" w:eastAsia="zh-CN" w:bidi="ar-SA"/>
                      <w:highlight w:val="none"/>
                    </w:rPr>
                  </w:pPr>
                  <w:bookmarkStart w:id="36" w:name="_Toc22093"/>
                  <w:r>
                    <w:rPr>
                      <w:rFonts w:ascii="Times New Roman" w:eastAsia="宋体" w:cs="Times New Roman" w:hAnsi="Times New Roman"/>
                      <w:bCs/>
                      <w:snapToGrid w:val="0"/>
                      <w:color w:val="auto"/>
                      <w:kern w:val="2"/>
                      <w:sz w:val="21"/>
                      <w:szCs w:val="21"/>
                      <w:lang w:val="en-US" w:eastAsia="zh-CN" w:bidi="ar-SA"/>
                      <w:highlight w:val="none"/>
                    </w:rPr>
                    <w:t>-</w:t>
                  </w:r>
                  <w:bookmarkEnd w:id="36"/>
                </w:p>
              </w:tc>
              <w:tc>
                <w:tcPr>
                  <w:tcW w:w="3922" w:type="pct"/>
                  <w:tcBorders>
                    <w:left w:val="single" w:sz="4" w:space="0" w:color="auto"/>
                  </w:tcBorders>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eastAsia="宋体" w:cs="Times New Roman"/>
                      <w:bCs/>
                      <w:snapToGrid w:val="0"/>
                      <w:color w:val="auto"/>
                      <w:kern w:val="2"/>
                      <w:sz w:val="21"/>
                      <w:szCs w:val="21"/>
                      <w:lang w:val="en-US" w:eastAsia="zh-CN" w:bidi="ar-SA"/>
                      <w:highlight w:val="none"/>
                    </w:rPr>
                  </w:pPr>
                  <w:r>
                    <w:rPr>
                      <w:rFonts w:ascii="Times New Roman" w:cs="Times New Roman" w:hAnsi="Times New Roman" w:hint="eastAsia"/>
                      <w:i w:val="0"/>
                      <w:iCs w:val="0"/>
                      <w:color w:val="auto"/>
                      <w:kern w:val="0"/>
                      <w:sz w:val="21"/>
                      <w:szCs w:val="21"/>
                      <w:u w:val="none"/>
                      <w:lang w:val="en-US" w:eastAsia="zh-CN"/>
                      <w:highlight w:val="none"/>
                    </w:rPr>
                    <w:t>0.077218</w:t>
                  </w:r>
                </w:p>
              </w:tc>
            </w:tr>
          </w:tbl>
          <w:p>
            <w:pPr>
              <w:keepNext w:val="0"/>
              <w:keepLines w:val="0"/>
              <w:suppressLineNumbers w:val="0"/>
              <w:tabs>
                <w:tab w:val="left" w:pos="6240"/>
              </w:tabs>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本项目Q</w:t>
            </w:r>
            <w:r>
              <w:rPr>
                <w:rFonts w:ascii="Times New Roman" w:cs="Times New Roman" w:hAnsi="Times New Roman" w:hint="eastAsia"/>
                <w:color w:val="auto"/>
                <w:sz w:val="24"/>
                <w:szCs w:val="20"/>
                <w:lang w:val="en-US" w:eastAsia="zh-CN"/>
                <w:highlight w:val="none"/>
              </w:rPr>
              <w:t>=0.077218</w:t>
            </w:r>
            <w:r>
              <w:rPr>
                <w:rFonts w:ascii="Times New Roman" w:cs="Times New Roman" w:hAnsi="Times New Roman"/>
                <w:color w:val="auto"/>
                <w:sz w:val="24"/>
                <w:szCs w:val="20"/>
                <w:highlight w:val="none"/>
              </w:rPr>
              <w:t>＜1，环境风险潜势为I。</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（3）突发环境事件类型及环境风险影响分析</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①风险事故情形设定</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根据前述环境风险识别，项目主要存在的事故类型有：</w:t>
            </w:r>
            <w:r>
              <w:rPr>
                <w:rFonts w:ascii="Times New Roman" w:cs="Times New Roman" w:hAnsi="Times New Roman" w:hint="eastAsia"/>
                <w:color w:val="auto"/>
                <w:sz w:val="24"/>
                <w:szCs w:val="20"/>
                <w:lang w:val="en-US" w:eastAsia="zh-CN"/>
                <w:highlight w:val="none"/>
              </w:rPr>
              <w:t>切削液、润滑油、废布袋、除尘灰、废活性炭、废切削液、废切削液桶、含油金属屑、废润滑油、废润滑油桶、含油抹布及废劳保用品</w:t>
            </w:r>
            <w:r>
              <w:rPr>
                <w:rFonts w:ascii="Times New Roman" w:cs="Times New Roman" w:hAnsi="Times New Roman"/>
                <w:color w:val="auto"/>
                <w:sz w:val="24"/>
                <w:szCs w:val="20"/>
                <w:lang w:val="en-US" w:eastAsia="zh-CN"/>
                <w:highlight w:val="none"/>
              </w:rPr>
              <w:t>在包装破损时</w:t>
            </w:r>
            <w:r>
              <w:rPr>
                <w:rFonts w:ascii="Times New Roman" w:cs="Times New Roman" w:hAnsi="Times New Roman"/>
                <w:color w:val="auto"/>
                <w:sz w:val="24"/>
                <w:szCs w:val="20"/>
                <w:highlight w:val="none"/>
              </w:rPr>
              <w:t>发生泄漏和遇明火发生火灾爆炸事故等。</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②项目最大可信事故</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最大可信事故是指在所有预测的概率不为零的事故中，对环境（或健康）危害最严重的重大事故。最大可信事故确定的目的是针对典型事故进行环境风险分析，并不意味着其它事故不具环境风险。在项目生产、贮存、运输等过程中，存在诸多事故风险因素，风险评价不可能</w:t>
            </w:r>
            <w:r>
              <w:rPr>
                <w:rFonts w:ascii="Times New Roman" w:cs="Times New Roman" w:hAnsi="Times New Roman"/>
                <w:color w:val="auto"/>
                <w:sz w:val="24"/>
                <w:szCs w:val="20"/>
                <w:highlight w:val="none"/>
              </w:rPr>
              <w:t>面面俱到</w:t>
            </w:r>
            <w:r>
              <w:rPr>
                <w:rFonts w:ascii="Times New Roman" w:cs="Times New Roman" w:hAnsi="Times New Roman"/>
                <w:color w:val="auto"/>
                <w:sz w:val="24"/>
                <w:szCs w:val="20"/>
                <w:highlight w:val="none"/>
              </w:rPr>
              <w:t>，只能考虑对环境危害最大的事故风险。本次风险评价不考虑工程外部事故风险因素（如地震、雷电、战争、人为蓄意破坏等），主要考虑可能对厂区外周围环境造成污染危害的事故。</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根据项目风险识别，项目最大可信事故为润滑油发生泄漏事故。</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次生/伴生影响分析：当</w:t>
            </w:r>
            <w:r>
              <w:rPr>
                <w:rFonts w:ascii="Times New Roman" w:cs="Times New Roman" w:hAnsi="Times New Roman" w:hint="eastAsia"/>
                <w:color w:val="auto"/>
                <w:sz w:val="24"/>
                <w:szCs w:val="20"/>
                <w:lang w:eastAsia="zh-CN"/>
                <w:highlight w:val="none"/>
              </w:rPr>
              <w:t>润滑油</w:t>
            </w:r>
            <w:r>
              <w:rPr>
                <w:rFonts w:ascii="Times New Roman" w:cs="Times New Roman" w:hAnsi="Times New Roman"/>
                <w:color w:val="auto"/>
                <w:sz w:val="24"/>
                <w:szCs w:val="20"/>
                <w:highlight w:val="none"/>
              </w:rPr>
              <w:t>发生泄漏遇明火燃烧时，均会发生爆炸会产生一氧化碳、二氧化碳等气体，如处置不当，会对周边大气环境造成危害</w:t>
            </w:r>
            <w:r>
              <w:rPr>
                <w:rFonts w:ascii="Times New Roman" w:cs="Times New Roman" w:hAnsi="Times New Roman" w:hint="eastAsia"/>
                <w:color w:val="auto"/>
                <w:sz w:val="24"/>
                <w:szCs w:val="20"/>
                <w:lang w:eastAsia="zh-CN"/>
                <w:highlight w:val="none"/>
              </w:rPr>
              <w:t>；</w:t>
            </w:r>
            <w:r>
              <w:rPr>
                <w:rFonts w:ascii="Times New Roman" w:cs="Times New Roman" w:hAnsi="Times New Roman" w:hint="eastAsia"/>
                <w:color w:val="auto"/>
                <w:sz w:val="24"/>
                <w:szCs w:val="20"/>
                <w:lang w:val="en-US" w:eastAsia="zh-CN"/>
                <w:highlight w:val="none"/>
              </w:rPr>
              <w:t>灭火时不能采用水灭火，需采用泡沫灭火器灭火，灭火后产生的消防危废交由有资质单位处置，如处置不当，会对周围土壤、地下水造成危害，本项目不涉及消防废水</w:t>
            </w:r>
            <w:r>
              <w:rPr>
                <w:rFonts w:ascii="Times New Roman" w:cs="Times New Roman" w:hAnsi="Times New Roman"/>
                <w:color w:val="auto"/>
                <w:sz w:val="24"/>
                <w:szCs w:val="20"/>
                <w:highlight w:val="none"/>
              </w:rPr>
              <w:t>。</w:t>
            </w:r>
          </w:p>
          <w:p>
            <w:pPr>
              <w:keepNext w:val="0"/>
              <w:keepLines w:val="0"/>
              <w:suppressLineNumbers w:val="0"/>
              <w:spacing w:before="0" w:beforeAutospacing="0" w:after="0" w:afterAutospacing="0" w:line="480" w:lineRule="exact"/>
              <w:ind w:left="0" w:right="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③环境风险影响分析</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火灾主要由于</w:t>
            </w:r>
            <w:r>
              <w:rPr>
                <w:rFonts w:ascii="Times New Roman" w:cs="Times New Roman" w:hAnsi="Times New Roman" w:hint="eastAsia"/>
                <w:color w:val="auto"/>
                <w:sz w:val="24"/>
                <w:szCs w:val="20"/>
                <w:lang w:eastAsia="zh-CN"/>
                <w:highlight w:val="none"/>
              </w:rPr>
              <w:t>润滑油</w:t>
            </w:r>
            <w:r>
              <w:rPr>
                <w:rFonts w:ascii="Times New Roman" w:cs="Times New Roman" w:hAnsi="Times New Roman"/>
                <w:color w:val="auto"/>
                <w:sz w:val="24"/>
                <w:szCs w:val="20"/>
                <w:highlight w:val="none"/>
              </w:rPr>
              <w:t>泄漏遇明火或高温引起的火灾事故。此类火灾发生时，在热辐射的作用下，人或设备、设施、建筑物都有可能遭受不同程度的伤害和破坏。同时，在燃烧时会形成烟尘扩散，引起大气环境的污染。</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（4）环境风险防范措施及应急要求</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1）环境风险防范措施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①总图布置和建筑安全防范措施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总图布置严格执行相关规范要求，所有</w:t>
            </w:r>
            <w:r>
              <w:rPr>
                <w:rFonts w:ascii="Times New Roman" w:cs="Times New Roman" w:hAnsi="Times New Roman" w:hint="eastAsia"/>
                <w:color w:val="auto"/>
                <w:sz w:val="24"/>
                <w:szCs w:val="20"/>
                <w:lang w:val="en-US" w:eastAsia="zh-CN"/>
                <w:highlight w:val="none"/>
              </w:rPr>
              <w:t>区域</w:t>
            </w:r>
            <w:r>
              <w:rPr>
                <w:rFonts w:ascii="Times New Roman" w:cs="Times New Roman" w:hAnsi="Times New Roman"/>
                <w:color w:val="auto"/>
                <w:sz w:val="24"/>
                <w:szCs w:val="20"/>
                <w:highlight w:val="none"/>
              </w:rPr>
              <w:t>之间或与其它场所之间留有足够的防火间距，防止在火灾或爆炸时相互影响；严格按工艺处理物料特性，对厂房区域进行危险区划分。厂房区域实行人、货流分开；在厂房总平面布置中配套建设应急救援设施、救援通道、应急疏散避难所等防护设施。按《安全标志》规定在装置区设置有关的安全标志。</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根据火灾危险性等级和防火、防爆要求，建筑物的防火等级均应采用国家现行规范要求按一、二级耐火等级设计，满足建筑防火要求。凡禁火区均设置明显标志牌。各种易燃易爆物料均储存在阴凉、通风处，远离火源，避免与强氧化剂接触；安放易发生爆炸设备的房间，不允许任何人员随便入内。</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②生产过程中的风险防范措施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Ⅰ、根据公司实际情况，建立安全生产岗位责任制，制定安全生产规章制度、安全操作规程。如生产过程必须有全套切实可行的安全操作规程，有专人负责检查安全操作规程的执行、安全设备及防护设备的使用情况；厂房应配备急救设备和药品；作业人员应学会自救和互救。</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Ⅱ、凡容易发生事故或危及生命安全的场所、设备以及需要提醒操作人员注意的地方，应设置安全标志；在各区域设置毒物周知卡；装置设物料走向、厂区设风向标等工艺技术设计安全防范措施。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Ⅲ、项目所用的电源应设在防火区域以外；所有金属设备都应接地可靠，防止静电积聚和静电放电；生产线内严禁烟火，不许带火柴，打火机等火种进入生产线。</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Ⅳ、加强工艺管理，严格控制工艺指标。加强安全教育，安全生产教育包括厂级、生产线、班组三级安全教育、特殊工种安全教育、日常安全教育、装置开前安全教育和外来人员安全教育五部分内容。让所有员工了解本厂各种原辅材料、化学制品以及固体废物的物理、化学和生理特性及其毒性，所有防护措施、环境影响等。</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Ⅴ、加强对各生产设备、设施等定期检查，及时发现隐患，维护维修，关键设备实行定期大修制度。</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Ⅵ、原辅材料转移、计量、调配等过程应进行重点防范，避免由于操作失误造成物料泄漏。所有存放原辅材料的容器，除正在使用中外，均需保持紧盖。</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Ⅶ、若由于包装破裂、倾倒或生产装置阀门损坏造成物料泄漏，应在第一时间按照泄漏物质相应的应急处理措施进行处理，泄漏的物料回收利用妥善处置。</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Ⅷ、生产车间内一般区域采用水泥硬化地面，储存区和生产区长期配备足够的应急物资，确保泄漏物料及时收集、转移。</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③暂存过程中的风险防范措施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Ⅰ、物料存放时，应保持通风、干燥、防止日光直接照射，并应隔绝火源、远离热源。设置禁火标志及防静电措施等，配备有完善的防火及灭火装备。暂存区应具有良好的排风通风措施。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Ⅱ、地面硬化且采取防腐防渗处理，并设置防风、防雨、防晒、防流失等措施，防止各种液体类原辅料漫流或泄漏。</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Ⅲ、车间内配备足够的应急物资，确保泄漏物料及时收集、转移。</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项目生产过程中涉及的主要危险化学品储存严格按照《危险化学品安全技术手册》、《危险化学品安全技术说明书》、《危险货物运输包装通用技术条件》等相关要求执行。</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④其它风险防范措施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根据相关事故案例分析，管理混乱、物料装卸不规范等也是导致风险事故的常见原因，故建设单位一定要采取相应措施防范此类事故发生。</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Ⅰ、加强巡检，定期对设备、阀门进行检查、维修。</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Ⅱ、加强对废包装桶等危险废物的管理，废弃包装桶应收集并</w:t>
            </w:r>
            <w:r>
              <w:rPr>
                <w:rFonts w:ascii="Times New Roman" w:cs="Times New Roman" w:hAnsi="Times New Roman"/>
                <w:color w:val="auto"/>
                <w:sz w:val="24"/>
                <w:szCs w:val="20"/>
                <w:lang w:val="en-US" w:eastAsia="zh-CN"/>
                <w:highlight w:val="none"/>
              </w:rPr>
              <w:t>即产即清</w:t>
            </w:r>
            <w:r>
              <w:rPr>
                <w:rFonts w:ascii="Times New Roman" w:cs="Times New Roman" w:hAnsi="Times New Roman"/>
                <w:color w:val="auto"/>
                <w:sz w:val="24"/>
                <w:szCs w:val="20"/>
                <w:highlight w:val="none"/>
              </w:rPr>
              <w:t>，交有资质的单位处理。</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Ⅲ、发生泄漏后，事故处置过程中产生的含物料沙土、废棉纱等及时有效收集并送有资质单位进行处置。</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2）事故应急预案</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为更好的做好项目的事故防范工作，应严格执行事故应急预案，并定期组织演练，具体如下：</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①建立内部救援队伍</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建立事故应急救援指挥领导小组，由企业法人、及</w:t>
            </w:r>
            <w:r>
              <w:rPr>
                <w:rFonts w:ascii="Times New Roman" w:cs="Times New Roman" w:hAnsi="Times New Roman" w:hint="eastAsia"/>
                <w:color w:val="auto"/>
                <w:sz w:val="24"/>
                <w:szCs w:val="20"/>
                <w:lang w:val="en-US" w:eastAsia="zh-CN"/>
                <w:highlight w:val="none"/>
              </w:rPr>
              <w:t>车间主任</w:t>
            </w:r>
            <w:r>
              <w:rPr>
                <w:rFonts w:ascii="Times New Roman" w:cs="Times New Roman" w:hAnsi="Times New Roman"/>
                <w:color w:val="auto"/>
                <w:sz w:val="24"/>
                <w:szCs w:val="20"/>
                <w:highlight w:val="none"/>
              </w:rPr>
              <w:t>等部门负责人组成。</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成立事故应急救援指挥部，负责一旦发生事故时的全厂应急救援的组织和指挥，企业法人任总指挥，若企业法人不在时，应明确有关领导全权负责应急救援工作。组织机构包括应急处置行动组、通讯联络组、疏散引导组、安全防护救护组等。</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指挥领导小组应负责企业事故应急预案的制定、修订；组建应急救业队伍，组织预案实施和演练；检查督促做好危险源事故的预防措施和应急救援的准备工作，一旦发生事故，按照应急救援预案实施救援。</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②泄漏事故处置方案</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Ⅰ、停止使用，关闭有关设备和系统，立即向应急救援指挥部报告；</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Ⅱ、事故现场严禁明火，切断电源，迅速撤离泄漏区人员至上风向安全处。同时在事故现场设置隔离区，禁止无关人员进入；</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Ⅲ、应急处理人员必须配备必要的个人防护器具，严禁单独行动；</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Ⅳ、用预先确定的堵漏方式尽快堵漏，切断或控制泄漏源。尽快收集泄漏物料。</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Ⅴ、迅速撤离泄漏污染区的工作人员至安全区，并进行隔离，脱去被污染的衣着，用流动清水冲洗。</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Ⅵ、在厂房内设置疏散工作指示方向标识。</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③火灾应急措施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Ⅰ、发现起火，立即报警，通过消防灭火，采用抗溶性泡沫、干粉、二氧化碳等灭火器灭火。</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Ⅱ、切断火势蔓延的途径，冷却和疏散受火势威胁的密闭容器和可燃物，控制燃烧范围，并积极抢救受伤和被困人员；</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Ⅲ、通知安全、消防、救护等相关部门人员，启动相应的应急救护程序；</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Ⅳ、组织救援小组，封锁现场，疏散人员；</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Ⅴ、灭火工作结束后，对现场进行恢复清理；</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Ⅵ、调查和鉴定事故原因，提出事故评估报告，补充或修改事故防范措施和应急方案。</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④急救措施</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皮肤接触：脱去污染的衣着，用流动清水冲洗。</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眼睛接触：提起眼睑，用流动清水或生理盐水冲洗，就医。</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highlight w:val="none"/>
              </w:rPr>
            </w:pPr>
            <w:r>
              <w:rPr>
                <w:rFonts w:ascii="Times New Roman" w:cs="Times New Roman" w:hAnsi="Times New Roman"/>
                <w:color w:val="auto"/>
                <w:sz w:val="24"/>
                <w:szCs w:val="20"/>
                <w:highlight w:val="none"/>
              </w:rPr>
              <w:t>吸入：脱离现场至空气新鲜处，保持呼吸道通畅；如呼吸困难，给输氧；如呼吸停止，立即进行人工呼吸，就医。</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z w:val="24"/>
                <w:szCs w:val="20"/>
                <w:lang w:eastAsia="zh-CN"/>
                <w:highlight w:val="none"/>
              </w:rPr>
            </w:pPr>
            <w:r>
              <w:rPr>
                <w:rFonts w:ascii="Times New Roman" w:cs="Times New Roman" w:hAnsi="Times New Roman"/>
                <w:color w:val="auto"/>
                <w:sz w:val="24"/>
                <w:szCs w:val="20"/>
                <w:highlight w:val="none"/>
              </w:rPr>
              <w:t>食入：饮足量温水，催吐，就医</w:t>
            </w:r>
            <w:r>
              <w:rPr>
                <w:rFonts w:ascii="Times New Roman" w:cs="Times New Roman" w:hAnsi="Times New Roman"/>
                <w:color w:val="auto"/>
                <w:sz w:val="24"/>
                <w:szCs w:val="20"/>
                <w:lang w:eastAsia="zh-CN"/>
                <w:highlight w:val="none"/>
              </w:rPr>
              <w:t>。</w:t>
            </w:r>
          </w:p>
          <w:p>
            <w:pPr>
              <w:keepNext w:val="0"/>
              <w:keepLines w:val="0"/>
              <w:suppressLineNumbers w:val="0"/>
              <w:spacing w:before="0" w:beforeAutospacing="0" w:after="0" w:afterAutospacing="0" w:line="480" w:lineRule="exact"/>
              <w:ind w:left="0" w:right="0" w:firstLineChars="200" w:firstLine="480"/>
              <w:jc w:val="both"/>
              <w:rPr>
                <w:rFonts w:ascii="Times New Roman" w:eastAsia="宋体" w:cs="Times New Roman" w:hAnsi="Times New Roman"/>
                <w:color w:val="auto"/>
                <w:sz w:val="24"/>
                <w:szCs w:val="20"/>
                <w:lang w:val="en-US" w:eastAsia="zh-CN"/>
                <w:highlight w:val="none"/>
              </w:rPr>
            </w:pPr>
            <w:r>
              <w:rPr>
                <w:rFonts w:ascii="Times New Roman" w:cs="Times New Roman" w:hAnsi="Times New Roman"/>
                <w:color w:val="auto"/>
                <w:sz w:val="24"/>
                <w:szCs w:val="20"/>
                <w:lang w:eastAsia="zh-CN"/>
                <w:highlight w:val="none"/>
              </w:rPr>
              <w:t>（</w:t>
            </w:r>
            <w:r>
              <w:rPr>
                <w:rFonts w:ascii="Times New Roman" w:cs="Times New Roman" w:hAnsi="Times New Roman"/>
                <w:color w:val="auto"/>
                <w:sz w:val="24"/>
                <w:szCs w:val="20"/>
                <w:lang w:val="en-US" w:eastAsia="zh-CN"/>
                <w:highlight w:val="none"/>
              </w:rPr>
              <w:t>5</w:t>
            </w:r>
            <w:r>
              <w:rPr>
                <w:rFonts w:ascii="Times New Roman" w:cs="Times New Roman" w:hAnsi="Times New Roman"/>
                <w:color w:val="auto"/>
                <w:sz w:val="24"/>
                <w:szCs w:val="20"/>
                <w:lang w:eastAsia="zh-CN"/>
                <w:highlight w:val="none"/>
              </w:rPr>
              <w:t>）</w:t>
            </w:r>
            <w:r>
              <w:rPr>
                <w:rFonts w:ascii="Times New Roman" w:cs="Times New Roman" w:hAnsi="Times New Roman"/>
                <w:color w:val="auto"/>
                <w:sz w:val="24"/>
                <w:szCs w:val="20"/>
                <w:lang w:val="en-US" w:eastAsia="zh-CN"/>
                <w:highlight w:val="none"/>
              </w:rPr>
              <w:t>结论</w:t>
            </w:r>
          </w:p>
          <w:p>
            <w:pPr>
              <w:keepNext w:val="0"/>
              <w:keepLines w:val="0"/>
              <w:suppressLineNumbers w:val="0"/>
              <w:spacing w:before="0" w:beforeAutospacing="0" w:after="0" w:afterAutospacing="0" w:line="480" w:lineRule="exact"/>
              <w:ind w:left="0" w:right="0" w:firstLineChars="200" w:firstLine="480"/>
              <w:jc w:val="both"/>
              <w:rPr>
                <w:rFonts w:ascii="Times New Roman" w:cs="Times New Roman" w:hAnsi="Times New Roman"/>
                <w:color w:val="auto"/>
                <w:spacing w:val="-4"/>
                <w:sz w:val="24"/>
                <w:szCs w:val="20"/>
                <w:highlight w:val="none"/>
              </w:rPr>
            </w:pPr>
            <w:r>
              <w:rPr>
                <w:rFonts w:ascii="Times New Roman" w:cs="Times New Roman" w:hAnsi="Times New Roman"/>
                <w:color w:val="auto"/>
                <w:sz w:val="24"/>
                <w:szCs w:val="20"/>
                <w:lang w:val="en-US" w:eastAsia="zh-CN"/>
                <w:highlight w:val="none"/>
              </w:rPr>
              <w:t>综上所述，在采取以上防范措施的情况下，可保证环境风险水平降至最低，项目环境风险可控</w:t>
            </w:r>
            <w:r>
              <w:rPr>
                <w:rFonts w:ascii="Times New Roman" w:cs="Times New Roman" w:hAnsi="Times New Roman"/>
                <w:color w:val="auto"/>
                <w:sz w:val="24"/>
                <w:szCs w:val="20"/>
                <w:highlight w:val="none"/>
              </w:rPr>
              <w:t>。</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8、电磁辐射</w:t>
            </w:r>
          </w:p>
          <w:p>
            <w:pPr>
              <w:pStyle w:val="137"/>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本项目不涉及电磁辐射。</w:t>
            </w:r>
          </w:p>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cs="Times New Roman" w:hAnsi="Times New Roman"/>
                <w:b/>
                <w:caps w:val="0"/>
                <w:smallCaps w:val="0"/>
                <w:color w:val="auto"/>
                <w:spacing w:val="0"/>
                <w:highlight w:val="none"/>
              </w:rPr>
            </w:pPr>
            <w:r>
              <w:rPr>
                <w:rFonts w:ascii="Times New Roman" w:cs="Times New Roman" w:hAnsi="Times New Roman"/>
                <w:b/>
                <w:caps w:val="0"/>
                <w:smallCaps w:val="0"/>
                <w:color w:val="auto"/>
                <w:spacing w:val="0"/>
                <w:sz w:val="24"/>
                <w:szCs w:val="20"/>
                <w:highlight w:val="none"/>
              </w:rPr>
              <w:t>9、监测计划</w:t>
            </w:r>
          </w:p>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lang w:eastAsia="zh-CN"/>
                <w:highlight w:val="none"/>
              </w:rPr>
              <w:t>（1）环境监测计划</w:t>
            </w:r>
          </w:p>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cs="Times New Roman" w:hAnsi="Times New Roman"/>
                <w:caps w:val="0"/>
                <w:smallCaps w:val="0"/>
                <w:color w:val="auto"/>
                <w:spacing w:val="0"/>
                <w:lang w:eastAsia="zh-CN"/>
                <w:highlight w:val="none"/>
              </w:rPr>
            </w:pPr>
            <w:r>
              <w:rPr>
                <w:rFonts w:ascii="Times New Roman" w:cs="Times New Roman" w:hAnsi="Times New Roman"/>
                <w:caps w:val="0"/>
                <w:smallCaps w:val="0"/>
                <w:color w:val="auto"/>
                <w:spacing w:val="0"/>
                <w:sz w:val="24"/>
                <w:szCs w:val="20"/>
                <w:lang w:eastAsia="zh-CN"/>
                <w:highlight w:val="none"/>
              </w:rPr>
              <w:t>环境监测是环境管理的依据和基础，为环境统计和环境定量评价提供科学依据，并据此制定污染防治对策和规划。</w:t>
            </w:r>
            <w:r>
              <w:rPr>
                <w:rFonts w:ascii="Times New Roman" w:cs="Times New Roman" w:hAnsi="Times New Roman" w:hint="eastAsia"/>
                <w:b w:val="0"/>
                <w:bCs/>
                <w:color w:val="auto"/>
                <w:sz w:val="24"/>
                <w:szCs w:val="24"/>
                <w:highlight w:val="none"/>
              </w:rPr>
              <w:t>根据</w:t>
            </w:r>
            <w:r>
              <w:rPr>
                <w:rFonts w:ascii="Times New Roman" w:cs="Times New Roman" w:hAnsi="Times New Roman"/>
                <w:b w:val="0"/>
                <w:bCs/>
                <w:color w:val="auto"/>
                <w:sz w:val="24"/>
                <w:szCs w:val="20"/>
                <w:lang w:val="zh-CN"/>
                <w:highlight w:val="none"/>
              </w:rPr>
              <w:t>《</w:t>
            </w:r>
            <w:r>
              <w:rPr>
                <w:rFonts w:ascii="Times New Roman" w:cs="Times New Roman" w:hAnsi="Times New Roman" w:hint="eastAsia"/>
                <w:b w:val="0"/>
                <w:bCs/>
                <w:color w:val="auto"/>
                <w:sz w:val="24"/>
                <w:szCs w:val="20"/>
                <w:lang w:val="zh-CN"/>
                <w:highlight w:val="none"/>
              </w:rPr>
              <w:t>排污单位自行监测技术指南 橡胶和塑料制品</w:t>
            </w:r>
            <w:r>
              <w:rPr>
                <w:rFonts w:ascii="Times New Roman" w:cs="Times New Roman" w:hAnsi="Times New Roman"/>
                <w:b w:val="0"/>
                <w:bCs/>
                <w:color w:val="auto"/>
                <w:sz w:val="24"/>
                <w:szCs w:val="20"/>
                <w:lang w:val="zh-CN"/>
                <w:highlight w:val="none"/>
              </w:rPr>
              <w:t>》（</w:t>
            </w:r>
            <w:r>
              <w:rPr>
                <w:rFonts w:ascii="Times New Roman" w:cs="Times New Roman" w:hAnsi="Times New Roman" w:hint="eastAsia"/>
                <w:b w:val="0"/>
                <w:bCs/>
                <w:color w:val="auto"/>
                <w:sz w:val="24"/>
                <w:szCs w:val="20"/>
                <w:lang w:val="zh-CN"/>
                <w:highlight w:val="none"/>
              </w:rPr>
              <w:t>HJ1207-2021</w:t>
            </w:r>
            <w:r>
              <w:rPr>
                <w:rFonts w:ascii="Times New Roman" w:cs="Times New Roman" w:hAnsi="Times New Roman"/>
                <w:b w:val="0"/>
                <w:bCs/>
                <w:color w:val="auto"/>
                <w:sz w:val="24"/>
                <w:szCs w:val="20"/>
                <w:lang w:val="zh-CN"/>
                <w:highlight w:val="none"/>
              </w:rPr>
              <w:t>）</w:t>
            </w:r>
            <w:r>
              <w:rPr>
                <w:rFonts w:ascii="Times New Roman" w:cs="Times New Roman" w:hAnsi="Times New Roman"/>
                <w:caps w:val="0"/>
                <w:smallCaps w:val="0"/>
                <w:color w:val="auto"/>
                <w:spacing w:val="0"/>
                <w:sz w:val="24"/>
                <w:szCs w:val="20"/>
                <w:lang w:eastAsia="zh-CN"/>
                <w:highlight w:val="none"/>
              </w:rPr>
              <w:t>的相关规定以及本项目污染物排放情况，制定本项目运行期监测计划，见下表。</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ascii="Times New Roman" w:eastAsia="宋体" w:cs="Times New Roman" w:hAnsi="Times New Roman"/>
                <w:b/>
                <w:caps w:val="0"/>
                <w:smallCaps w:val="0"/>
                <w:color w:val="auto"/>
                <w:spacing w:val="0"/>
                <w:lang w:val="en-US" w:eastAsia="zh-CN"/>
                <w:highlight w:val="none"/>
              </w:rPr>
            </w:pPr>
            <w:r>
              <w:rPr>
                <w:rFonts w:ascii="Times New Roman" w:eastAsia="宋体" w:cs="Times New Roman" w:hAnsi="Times New Roman"/>
                <w:b/>
                <w:caps w:val="0"/>
                <w:smallCaps w:val="0"/>
                <w:color w:val="auto"/>
                <w:spacing w:val="0"/>
                <w:sz w:val="24"/>
                <w:szCs w:val="20"/>
                <w:lang w:val="en-US" w:eastAsia="zh-CN"/>
                <w:highlight w:val="none"/>
              </w:rPr>
              <w:t>表4-</w:t>
            </w:r>
            <w:r>
              <w:rPr>
                <w:rFonts w:ascii="Times New Roman" w:cs="Times New Roman" w:hAnsi="Times New Roman" w:hint="eastAsia"/>
                <w:b/>
                <w:caps w:val="0"/>
                <w:smallCaps w:val="0"/>
                <w:color w:val="auto"/>
                <w:spacing w:val="0"/>
                <w:sz w:val="24"/>
                <w:szCs w:val="20"/>
                <w:lang w:val="en-US" w:eastAsia="zh-CN"/>
                <w:highlight w:val="none"/>
              </w:rPr>
              <w:t>19</w:t>
            </w:r>
            <w:r>
              <w:rPr>
                <w:rFonts w:ascii="Times New Roman" w:eastAsia="宋体" w:cs="Times New Roman" w:hAnsi="Times New Roman"/>
                <w:b/>
                <w:caps w:val="0"/>
                <w:smallCaps w:val="0"/>
                <w:color w:val="auto"/>
                <w:spacing w:val="0"/>
                <w:sz w:val="24"/>
                <w:szCs w:val="20"/>
                <w:lang w:val="en-US" w:eastAsia="zh-CN"/>
                <w:highlight w:val="none"/>
              </w:rPr>
              <w:t xml:space="preserve">    环境监测计划一览表</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28" w:type="dxa"/>
                <w:bottom w:w="0" w:type="dxa"/>
                <w:right w:w="28" w:type="dxa"/>
              </w:tblCellMar>
              <w:tblLook w:val="0600" w:firstRow="0" w:lastRow="0" w:firstColumn="0" w:lastColumn="0" w:noHBand="1" w:noVBand="1"/>
            </w:tblPr>
            <w:tblGrid>
              <w:gridCol w:w="266"/>
              <w:gridCol w:w="1027"/>
              <w:gridCol w:w="1301"/>
              <w:gridCol w:w="1118"/>
              <w:gridCol w:w="1152"/>
              <w:gridCol w:w="3122"/>
            </w:tblGrid>
            <w:tr>
              <w:trPr>
                <w:trHeight w:val="449"/>
              </w:trPr>
              <w:tc>
                <w:tcPr>
                  <w:tcW w:w="166"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序号</w:t>
                  </w:r>
                </w:p>
              </w:tc>
              <w:tc>
                <w:tcPr>
                  <w:tcW w:w="643"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污染类型</w:t>
                  </w:r>
                </w:p>
              </w:tc>
              <w:tc>
                <w:tcPr>
                  <w:tcW w:w="814"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监测项目</w:t>
                  </w:r>
                </w:p>
              </w:tc>
              <w:tc>
                <w:tcPr>
                  <w:tcW w:w="700"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监测点位置</w:t>
                  </w:r>
                </w:p>
              </w:tc>
              <w:tc>
                <w:tcPr>
                  <w:tcW w:w="721"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最低监测频率</w:t>
                  </w:r>
                </w:p>
              </w:tc>
              <w:tc>
                <w:tcPr>
                  <w:tcW w:w="1954"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执行标准</w:t>
                  </w:r>
                </w:p>
              </w:tc>
            </w:tr>
            <w:tr>
              <w:trPr>
                <w:trHeight w:val="936"/>
              </w:trPr>
              <w:tc>
                <w:tcPr>
                  <w:tcW w:w="166" w:type="pct"/>
                  <w:vMerge w:val="restart"/>
                  <w:shd w:val="clear" w:color="auto" w:fill="auto"/>
                  <w:vAlign w:val="center"/>
                </w:tcPr>
                <w:p>
                  <w:pPr>
                    <w:keepNext w:val="0"/>
                    <w:keepLines w:val="0"/>
                    <w:suppressLineNumbers w:val="0"/>
                    <w:spacing w:before="0" w:beforeAutospacing="0" w:after="0" w:afterAutospacing="0" w:line="360" w:lineRule="exact"/>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1</w:t>
                  </w:r>
                </w:p>
              </w:tc>
              <w:tc>
                <w:tcPr>
                  <w:tcW w:w="643" w:type="pct"/>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olor w:val="auto"/>
                      <w:spacing w:val="-12"/>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拆包、投料、烘干、注塑废气排放口</w:t>
                  </w:r>
                </w:p>
              </w:tc>
              <w:tc>
                <w:tcPr>
                  <w:tcW w:w="81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700" w:type="pct"/>
                  <w:vMerge w:val="restart"/>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line="360" w:lineRule="exact"/>
                    <w:ind w:left="0" w:right="0"/>
                    <w:jc w:val="center"/>
                    <w:rPr>
                      <w:rFonts w:ascii="Times New Roman" w:eastAsia="宋体" w:cs="Times New Roman" w:hAnsi="Times New Roman"/>
                      <w:bCs/>
                      <w:color w:val="auto"/>
                      <w:spacing w:val="0"/>
                      <w:kern w:val="0"/>
                      <w:sz w:val="21"/>
                      <w:szCs w:val="21"/>
                      <w:lang w:val="en-US" w:eastAsia="zh-CN" w:bidi="ar-SA"/>
                      <w:highlight w:val="none"/>
                    </w:rPr>
                  </w:pPr>
                  <w:r>
                    <w:rPr>
                      <w:rFonts w:ascii="Times New Roman" w:cs="Times New Roman" w:hAnsi="Times New Roman"/>
                      <w:color w:val="auto"/>
                      <w:spacing w:val="0"/>
                      <w:sz w:val="21"/>
                      <w:szCs w:val="21"/>
                      <w:highlight w:val="none"/>
                    </w:rPr>
                    <w:t>排气筒出口</w:t>
                  </w:r>
                </w:p>
              </w:tc>
              <w:tc>
                <w:tcPr>
                  <w:tcW w:w="721"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olor w:val="auto"/>
                      <w:spacing w:val="-12"/>
                      <w:kern w:val="0"/>
                      <w:sz w:val="21"/>
                      <w:szCs w:val="21"/>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1次/半年</w:t>
                  </w: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700" w:type="pct"/>
                  <w:vMerge/>
                  <w:tcBorders>
                    <w:left w:val="single" w:sz="4" w:space="0" w:color="auto"/>
                  </w:tcBorders>
                  <w:shd w:val="clear" w:color="auto" w:fill="auto"/>
                  <w:vAlign w:val="center"/>
                </w:tcPr>
                <w:p/>
              </w:tc>
              <w:tc>
                <w:tcPr>
                  <w:tcW w:w="721"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954" w:type="pct"/>
                  <w:vMerge w:val="restar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700" w:type="pct"/>
                  <w:vMerge/>
                  <w:tcBorders>
                    <w:left w:val="single" w:sz="4" w:space="0" w:color="auto"/>
                  </w:tcBorders>
                  <w:shd w:val="clear" w:color="auto" w:fill="auto"/>
                  <w:vAlign w:val="center"/>
                </w:tcPr>
                <w:p/>
              </w:tc>
              <w:tc>
                <w:tcPr>
                  <w:tcW w:w="721" w:type="pct"/>
                  <w:tcBorders>
                    <w:left w:val="single" w:sz="4" w:space="0" w:color="auto"/>
                  </w:tcBorders>
                  <w:shd w:val="clear" w:color="auto" w:fill="auto"/>
                  <w:vAlign w:val="center"/>
                </w:tcPr>
                <w:p>
                  <w:pPr>
                    <w:keepNext w:val="0"/>
                    <w:keepLines w:val="0"/>
                    <w:pageBreakBefore w:val="0"/>
                    <w:suppressLineNumbers w:val="0"/>
                    <w:wordWrap/>
                    <w:bidi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954" w:type="pct"/>
                  <w:vMerge/>
                  <w:tcBorders>
                    <w:left w:val="single" w:sz="4" w:space="0" w:color="auto"/>
                  </w:tcBorders>
                  <w:shd w:val="clear" w:color="auto" w:fill="auto"/>
                  <w:vAlign w:val="center"/>
                </w:tcP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700" w:type="pct"/>
                  <w:vMerge/>
                  <w:tcBorders>
                    <w:left w:val="single" w:sz="4" w:space="0" w:color="auto"/>
                  </w:tcBorders>
                  <w:shd w:val="clear" w:color="auto" w:fill="auto"/>
                  <w:vAlign w:val="center"/>
                </w:tcPr>
                <w:p/>
              </w:tc>
              <w:tc>
                <w:tcPr>
                  <w:tcW w:w="721" w:type="pct"/>
                  <w:tcBorders>
                    <w:left w:val="single" w:sz="4" w:space="0" w:color="auto"/>
                  </w:tcBorders>
                  <w:shd w:val="clear" w:color="auto" w:fill="auto"/>
                  <w:vAlign w:val="center"/>
                </w:tcPr>
                <w:p>
                  <w:pPr>
                    <w:keepNext w:val="0"/>
                    <w:keepLines w:val="0"/>
                    <w:pageBreakBefore w:val="0"/>
                    <w:suppressLineNumbers w:val="0"/>
                    <w:wordWrap/>
                    <w:bidi w:val="0"/>
                    <w:spacing w:before="0" w:beforeAutospacing="0" w:after="0" w:afterAutospacing="0" w:line="360" w:lineRule="exact"/>
                    <w:ind w:left="0" w:right="0"/>
                    <w:jc w:val="center"/>
                    <w:rPr>
                      <w:rFonts w:ascii="Times New Roman" w:eastAsia="宋体" w:cs="Times New Roman" w:hAnsi="Times New Roman" w:hint="eastAsia"/>
                      <w:caps w:val="0"/>
                      <w:smallCaps w:val="0"/>
                      <w:color w:val="auto"/>
                      <w:spacing w:val="0"/>
                      <w:kern w:val="2"/>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《恶臭污染物排放标准》（GB14554-93）表2标准</w:t>
                  </w:r>
                </w:p>
              </w:tc>
            </w:tr>
            <w:tr>
              <w:trPr>
                <w:trHeight w:val="936"/>
              </w:trPr>
              <w:tc>
                <w:tcPr>
                  <w:tcW w:w="166" w:type="pct"/>
                  <w:vMerge w:val="restart"/>
                  <w:shd w:val="clear" w:color="auto" w:fill="auto"/>
                  <w:vAlign w:val="center"/>
                </w:tcPr>
                <w:p>
                  <w:pPr>
                    <w:keepNext w:val="0"/>
                    <w:keepLines w:val="0"/>
                    <w:suppressLineNumbers w:val="0"/>
                    <w:spacing w:before="0" w:beforeAutospacing="0" w:after="0" w:afterAutospacing="0" w:line="360" w:lineRule="exact"/>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2</w:t>
                  </w:r>
                </w:p>
              </w:tc>
              <w:tc>
                <w:tcPr>
                  <w:tcW w:w="643" w:type="pct"/>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无组织</w:t>
                  </w:r>
                </w:p>
              </w:tc>
              <w:tc>
                <w:tcPr>
                  <w:tcW w:w="81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700" w:type="pct"/>
                  <w:vMerge w:val="restart"/>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line="360" w:lineRule="exact"/>
                    <w:ind w:left="0" w:right="0"/>
                    <w:jc w:val="center"/>
                    <w:rPr>
                      <w:rFonts w:ascii="Times New Roman" w:eastAsia="宋体" w:cs="Times New Roman" w:hAnsi="Times New Roman"/>
                      <w:bCs/>
                      <w:color w:val="auto"/>
                      <w:spacing w:val="0"/>
                      <w:kern w:val="0"/>
                      <w:sz w:val="21"/>
                      <w:szCs w:val="21"/>
                      <w:lang w:val="en-US" w:eastAsia="zh-CN" w:bidi="ar-SA"/>
                      <w:highlight w:val="none"/>
                    </w:rPr>
                  </w:pPr>
                  <w:r>
                    <w:rPr>
                      <w:rFonts w:ascii="Times New Roman" w:cs="Times New Roman" w:hAnsi="Times New Roman" w:hint="eastAsia"/>
                      <w:color w:val="auto"/>
                      <w:spacing w:val="0"/>
                      <w:sz w:val="21"/>
                      <w:szCs w:val="21"/>
                      <w:lang w:val="en-US" w:eastAsia="zh-CN"/>
                      <w:highlight w:val="none"/>
                    </w:rPr>
                    <w:t>厂界</w:t>
                  </w:r>
                </w:p>
              </w:tc>
              <w:tc>
                <w:tcPr>
                  <w:tcW w:w="721" w:type="pct"/>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olor w:val="auto"/>
                      <w:spacing w:val="-12"/>
                      <w:kern w:val="0"/>
                      <w:sz w:val="21"/>
                      <w:szCs w:val="21"/>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w:t>
                  </w:r>
                  <w:r>
                    <w:rPr>
                      <w:rFonts w:ascii="Times New Roman" w:cs="Times New Roman" w:hAnsi="Times New Roman" w:hint="eastAsia"/>
                      <w:caps w:val="0"/>
                      <w:smallCaps w:val="0"/>
                      <w:color w:val="auto"/>
                      <w:spacing w:val="0"/>
                      <w:sz w:val="21"/>
                      <w:szCs w:val="21"/>
                      <w:lang w:val="en-US" w:eastAsia="zh-CN"/>
                      <w:highlight w:val="none"/>
                    </w:rPr>
                    <w:t>9</w:t>
                  </w:r>
                  <w:r>
                    <w:rPr>
                      <w:rFonts w:ascii="Times New Roman" w:cs="Times New Roman" w:hAnsi="Times New Roman" w:hint="eastAsia"/>
                      <w:caps w:val="0"/>
                      <w:smallCaps w:val="0"/>
                      <w:color w:val="auto"/>
                      <w:spacing w:val="0"/>
                      <w:sz w:val="21"/>
                      <w:szCs w:val="21"/>
                      <w:lang w:eastAsia="zh-CN"/>
                      <w:highlight w:val="none"/>
                    </w:rPr>
                    <w:t>标准</w:t>
                  </w: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700" w:type="pct"/>
                  <w:vMerge/>
                  <w:tcBorders>
                    <w:left w:val="single" w:sz="4" w:space="0" w:color="auto"/>
                  </w:tcBorders>
                  <w:shd w:val="clear" w:color="auto" w:fill="auto"/>
                  <w:vAlign w:val="center"/>
                </w:tcPr>
                <w:p/>
              </w:tc>
              <w:tc>
                <w:tcPr>
                  <w:tcW w:w="721" w:type="pct"/>
                  <w:vMerge/>
                  <w:tcBorders>
                    <w:left w:val="single" w:sz="4" w:space="0" w:color="auto"/>
                  </w:tcBorders>
                  <w:shd w:val="clear" w:color="auto" w:fill="auto"/>
                  <w:vAlign w:val="center"/>
                </w:tcP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700" w:type="pct"/>
                  <w:vMerge/>
                  <w:tcBorders>
                    <w:left w:val="single" w:sz="4" w:space="0" w:color="auto"/>
                  </w:tcBorders>
                  <w:shd w:val="clear" w:color="auto" w:fill="auto"/>
                  <w:vAlign w:val="center"/>
                </w:tcPr>
                <w:p/>
              </w:tc>
              <w:tc>
                <w:tcPr>
                  <w:tcW w:w="721" w:type="pct"/>
                  <w:vMerge/>
                  <w:tcBorders>
                    <w:left w:val="single" w:sz="4" w:space="0" w:color="auto"/>
                  </w:tcBorders>
                  <w:shd w:val="clear" w:color="auto" w:fill="auto"/>
                  <w:vAlign w:val="center"/>
                </w:tcP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936"/>
              </w:trPr>
              <w:tc>
                <w:tcPr>
                  <w:tcW w:w="166" w:type="pct"/>
                  <w:vMerge/>
                  <w:shd w:val="clear" w:color="auto" w:fill="auto"/>
                  <w:vAlign w:val="center"/>
                </w:tcPr>
                <w:p/>
              </w:tc>
              <w:tc>
                <w:tcPr>
                  <w:tcW w:w="643" w:type="pct"/>
                  <w:vMerge/>
                  <w:tcBorders>
                    <w:left w:val="single" w:sz="4" w:space="0" w:color="auto"/>
                  </w:tcBorders>
                  <w:shd w:val="clear" w:color="auto" w:fill="auto"/>
                  <w:vAlign w:val="center"/>
                </w:tcPr>
                <w:p/>
              </w:tc>
              <w:tc>
                <w:tcPr>
                  <w:tcW w:w="814"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非甲烷总烃</w:t>
                  </w:r>
                </w:p>
              </w:tc>
              <w:tc>
                <w:tcPr>
                  <w:tcW w:w="700" w:type="pct"/>
                  <w:vMerge/>
                  <w:tcBorders>
                    <w:left w:val="single" w:sz="4" w:space="0" w:color="auto"/>
                  </w:tcBorders>
                  <w:shd w:val="clear" w:color="auto" w:fill="auto"/>
                  <w:vAlign w:val="center"/>
                </w:tcPr>
                <w:p/>
              </w:tc>
              <w:tc>
                <w:tcPr>
                  <w:tcW w:w="721" w:type="pc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olor w:val="auto"/>
                      <w:spacing w:val="-12"/>
                      <w:kern w:val="0"/>
                      <w:sz w:val="21"/>
                      <w:szCs w:val="21"/>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1次/年</w:t>
                  </w:r>
                </w:p>
              </w:tc>
              <w:tc>
                <w:tcPr>
                  <w:tcW w:w="1954" w:type="pc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《工业企业挥发性有机物排放控制标准》（DB13/2322-20</w:t>
                  </w:r>
                  <w:r>
                    <w:rPr>
                      <w:rFonts w:ascii="Times New Roman" w:cs="Times New Roman" w:hAnsi="Times New Roman" w:hint="eastAsia"/>
                      <w:caps w:val="0"/>
                      <w:smallCaps w:val="0"/>
                      <w:color w:val="auto"/>
                      <w:spacing w:val="0"/>
                      <w:sz w:val="21"/>
                      <w:szCs w:val="21"/>
                      <w:lang w:val="en-US" w:eastAsia="zh-CN"/>
                      <w:highlight w:val="none"/>
                    </w:rPr>
                    <w:t>16</w:t>
                  </w:r>
                  <w:r>
                    <w:rPr>
                      <w:rFonts w:ascii="Times New Roman" w:cs="Times New Roman" w:hAnsi="Times New Roman" w:hint="eastAsia"/>
                      <w:caps w:val="0"/>
                      <w:smallCaps w:val="0"/>
                      <w:color w:val="auto"/>
                      <w:spacing w:val="0"/>
                      <w:sz w:val="21"/>
                      <w:szCs w:val="21"/>
                      <w:lang w:eastAsia="zh-CN"/>
                      <w:highlight w:val="none"/>
                    </w:rPr>
                    <w:t>）表2标准</w:t>
                  </w:r>
                </w:p>
              </w:tc>
            </w:tr>
            <w:tr>
              <w:trPr>
                <w:trHeight w:val="462"/>
              </w:trPr>
              <w:tc>
                <w:tcPr>
                  <w:tcW w:w="166" w:type="pct"/>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3</w:t>
                  </w:r>
                </w:p>
              </w:tc>
              <w:tc>
                <w:tcPr>
                  <w:tcW w:w="643"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噪声</w:t>
                  </w:r>
                </w:p>
              </w:tc>
              <w:tc>
                <w:tcPr>
                  <w:tcW w:w="814"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等效连续A声级</w:t>
                  </w:r>
                </w:p>
              </w:tc>
              <w:tc>
                <w:tcPr>
                  <w:tcW w:w="700"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lang w:val="en-US"/>
                      <w:highlight w:val="none"/>
                    </w:rPr>
                  </w:pPr>
                  <w:r>
                    <w:rPr>
                      <w:rFonts w:ascii="Times New Roman" w:cs="Times New Roman" w:hAnsi="Times New Roman"/>
                      <w:caps w:val="0"/>
                      <w:smallCaps w:val="0"/>
                      <w:color w:val="auto"/>
                      <w:spacing w:val="0"/>
                      <w:sz w:val="21"/>
                      <w:szCs w:val="20"/>
                      <w:lang w:val="en-US" w:eastAsia="zh-CN"/>
                      <w:highlight w:val="none"/>
                    </w:rPr>
                    <w:t>厂界</w:t>
                  </w:r>
                </w:p>
              </w:tc>
              <w:tc>
                <w:tcPr>
                  <w:tcW w:w="721"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1"/>
                      <w:szCs w:val="20"/>
                      <w:highlight w:val="none"/>
                    </w:rPr>
                    <w:t>1次/季度</w:t>
                  </w:r>
                </w:p>
              </w:tc>
              <w:tc>
                <w:tcPr>
                  <w:tcW w:w="1954" w:type="pct"/>
                  <w:tcBorders>
                    <w:left w:val="single" w:sz="4" w:space="0" w:color="auto"/>
                  </w:tcBorders>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0"/>
                      <w:highlight w:val="none"/>
                    </w:rPr>
                    <w:t>《工业企业厂界环境噪声排放标准》（GB12348－2008）</w:t>
                  </w:r>
                  <w:r>
                    <w:rPr>
                      <w:rFonts w:ascii="Times New Roman" w:cs="Times New Roman" w:hAnsi="Times New Roman" w:hint="eastAsia"/>
                      <w:caps w:val="0"/>
                      <w:smallCaps w:val="0"/>
                      <w:color w:val="auto"/>
                      <w:spacing w:val="0"/>
                      <w:sz w:val="21"/>
                      <w:szCs w:val="20"/>
                      <w:lang w:val="en-US" w:eastAsia="zh-CN"/>
                      <w:highlight w:val="none"/>
                    </w:rPr>
                    <w:t>3类</w:t>
                  </w:r>
                  <w:r>
                    <w:rPr>
                      <w:rFonts w:ascii="Times New Roman" w:cs="Times New Roman" w:hAnsi="Times New Roman"/>
                      <w:caps w:val="0"/>
                      <w:smallCaps w:val="0"/>
                      <w:color w:val="auto"/>
                      <w:spacing w:val="0"/>
                      <w:sz w:val="21"/>
                      <w:szCs w:val="20"/>
                      <w:highlight w:val="none"/>
                    </w:rPr>
                    <w:t>标准</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Chars="200" w:firstLine="480"/>
              <w:jc w:val="both"/>
              <w:textAlignment w:val="auto"/>
              <w:outlineLvl w:val="9"/>
              <w:rPr>
                <w:rFonts w:ascii="Times New Roman" w:eastAsia="宋体" w:cs="Times New Roman" w:hAnsi="Times New Roman"/>
                <w:color w:val="auto"/>
                <w:kern w:val="2"/>
                <w:sz w:val="24"/>
                <w:szCs w:val="24"/>
                <w:lang w:val="en-US" w:eastAsia="zh-CN" w:bidi="ar-SA"/>
                <w:highlight w:val="none"/>
              </w:rPr>
            </w:pPr>
            <w:r>
              <w:rPr>
                <w:rFonts w:ascii="Times New Roman" w:eastAsia="宋体" w:cs="Times New Roman" w:hAnsi="Times New Roman"/>
                <w:color w:val="auto"/>
                <w:kern w:val="2"/>
                <w:sz w:val="24"/>
                <w:szCs w:val="24"/>
                <w:lang w:val="en-US" w:eastAsia="zh-CN" w:bidi="ar-SA"/>
                <w:highlight w:val="none"/>
              </w:rPr>
              <w:t>（</w:t>
            </w:r>
            <w:r>
              <w:rPr>
                <w:rFonts w:ascii="Times New Roman" w:cs="Times New Roman" w:hAnsi="Times New Roman" w:hint="eastAsia"/>
                <w:color w:val="auto"/>
                <w:kern w:val="2"/>
                <w:sz w:val="24"/>
                <w:szCs w:val="24"/>
                <w:lang w:val="en-US" w:eastAsia="zh-CN" w:bidi="ar-SA"/>
                <w:highlight w:val="none"/>
              </w:rPr>
              <w:t>2</w:t>
            </w:r>
            <w:r>
              <w:rPr>
                <w:rFonts w:ascii="Times New Roman" w:eastAsia="宋体" w:cs="Times New Roman" w:hAnsi="Times New Roman"/>
                <w:color w:val="auto"/>
                <w:kern w:val="2"/>
                <w:sz w:val="24"/>
                <w:szCs w:val="24"/>
                <w:lang w:val="en-US" w:eastAsia="zh-CN" w:bidi="ar-SA"/>
                <w:highlight w:val="none"/>
              </w:rPr>
              <w:t>）排污口规范化管理</w:t>
            </w:r>
          </w:p>
          <w:p>
            <w:pPr>
              <w:pStyle w:val="2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Chars="200" w:firstLine="480"/>
              <w:jc w:val="both"/>
              <w:textAlignment w:val="auto"/>
              <w:outlineLvl w:val="9"/>
              <w:rPr>
                <w:rFonts w:ascii="Times New Roman" w:eastAsia="宋体" w:cs="Times New Roman" w:hAnsi="Times New Roman"/>
                <w:color w:val="auto"/>
                <w:kern w:val="2"/>
                <w:sz w:val="24"/>
                <w:szCs w:val="24"/>
                <w:lang w:val="en-US" w:eastAsia="zh-CN" w:bidi="ar-SA"/>
                <w:highlight w:val="none"/>
              </w:rPr>
            </w:pPr>
            <w:r>
              <w:rPr>
                <w:rFonts w:ascii="Times New Roman" w:eastAsia="宋体" w:cs="Times New Roman" w:hAnsi="Times New Roman"/>
                <w:color w:val="auto"/>
                <w:kern w:val="2"/>
                <w:sz w:val="24"/>
                <w:szCs w:val="24"/>
                <w:lang w:val="en-US" w:eastAsia="zh-CN" w:bidi="ar-SA"/>
                <w:highlight w:val="none"/>
              </w:rPr>
              <w:t>排污口是项目投产后污染物进入环境、对环境产生影响的通道，强化排污口的管理是实施污染物总量控制的基础工作之一，也是区域环境管理逐步实现污染物排放科学化、定量化的重要手段。</w:t>
            </w:r>
          </w:p>
          <w:p>
            <w:pPr>
              <w:pStyle w:val="2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Chars="200" w:firstLine="480"/>
              <w:jc w:val="both"/>
              <w:textAlignment w:val="auto"/>
              <w:outlineLvl w:val="9"/>
              <w:rPr>
                <w:rFonts w:ascii="Times New Roman" w:eastAsia="宋体" w:cs="Times New Roman" w:hAnsi="Times New Roman"/>
                <w:color w:val="auto"/>
                <w:kern w:val="2"/>
                <w:sz w:val="24"/>
                <w:szCs w:val="24"/>
                <w:lang w:val="en-US" w:eastAsia="zh-CN" w:bidi="ar-SA"/>
                <w:highlight w:val="none"/>
              </w:rPr>
            </w:pPr>
            <w:r>
              <w:rPr>
                <w:rFonts w:ascii="Times New Roman" w:eastAsia="宋体" w:cs="Times New Roman" w:hAnsi="Times New Roman"/>
                <w:color w:val="auto"/>
                <w:kern w:val="2"/>
                <w:sz w:val="24"/>
                <w:szCs w:val="24"/>
                <w:lang w:val="en-US" w:eastAsia="zh-CN" w:bidi="ar-SA"/>
                <w:highlight w:val="none"/>
              </w:rPr>
              <w:t>1）排污口标识</w:t>
            </w:r>
          </w:p>
          <w:p>
            <w:pPr>
              <w:pStyle w:val="2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Chars="200" w:firstLine="480"/>
              <w:jc w:val="both"/>
              <w:textAlignment w:val="auto"/>
              <w:outlineLvl w:val="9"/>
              <w:rPr>
                <w:rFonts w:ascii="Times New Roman" w:eastAsia="宋体" w:cs="Times New Roman" w:hAnsi="Times New Roman"/>
                <w:color w:val="auto"/>
                <w:kern w:val="2"/>
                <w:sz w:val="24"/>
                <w:szCs w:val="24"/>
                <w:lang w:val="en-US" w:eastAsia="zh-CN" w:bidi="ar-SA"/>
                <w:highlight w:val="none"/>
              </w:rPr>
            </w:pPr>
            <w:r>
              <w:rPr>
                <w:rFonts w:ascii="Times New Roman" w:eastAsia="宋体" w:cs="Times New Roman" w:hAnsi="Times New Roman"/>
                <w:color w:val="auto"/>
                <w:kern w:val="2"/>
                <w:sz w:val="24"/>
                <w:szCs w:val="24"/>
                <w:lang w:val="en-US" w:eastAsia="zh-CN" w:bidi="ar-SA"/>
                <w:highlight w:val="none"/>
              </w:rPr>
              <w:t>污染物排放口应严格按照《环境保护图形标志—排放口（源）》 （GB1556.1- 1995）、《环境保护图形标志-固体废物贮存（处置）场》（GB15562.2- 1995）</w:t>
            </w:r>
            <w:r>
              <w:rPr>
                <w:rFonts w:ascii="Times New Roman" w:cs="Times New Roman" w:hAnsi="Times New Roman" w:hint="eastAsia"/>
                <w:color w:val="auto"/>
                <w:kern w:val="2"/>
                <w:sz w:val="24"/>
                <w:szCs w:val="24"/>
                <w:lang w:val="en-US" w:eastAsia="zh-CN" w:bidi="ar-SA"/>
                <w:highlight w:val="none"/>
              </w:rPr>
              <w:t>及修改单、《排污单位污染物排放口监测点位设施技术规范》（HJ1405-2024）、《危险废物识别标志设置技术规范》（HJ1276-2022）</w:t>
            </w:r>
            <w:r>
              <w:rPr>
                <w:rFonts w:ascii="Times New Roman" w:eastAsia="宋体" w:cs="Times New Roman" w:hAnsi="Times New Roman"/>
                <w:color w:val="auto"/>
                <w:kern w:val="2"/>
                <w:sz w:val="24"/>
                <w:szCs w:val="24"/>
                <w:lang w:val="en-US" w:eastAsia="zh-CN" w:bidi="ar-SA"/>
                <w:highlight w:val="none"/>
              </w:rPr>
              <w:t>中有关规定执行，在废气排放口、噪声排放源、固废堆场设置环境保护图形标志，便于加强对污染物排放口（源）的监督管理以及常规监测工作的进行。一般性污染物排放口或固体废气贮存、处置场设置提示性环境保护 图形标志牌，排放对人体有严重危害的排污口和危废暂存库，设置警告性环境保护图形标志牌。标志牌应设在与之功能相应的醒目处，并保持清晰、完整。图形符号及说明见</w:t>
            </w:r>
            <w:r>
              <w:rPr>
                <w:rFonts w:ascii="Times New Roman" w:cs="Times New Roman" w:hAnsi="Times New Roman" w:hint="eastAsia"/>
                <w:color w:val="auto"/>
                <w:kern w:val="2"/>
                <w:sz w:val="24"/>
                <w:szCs w:val="24"/>
                <w:lang w:val="en-US" w:eastAsia="zh-CN" w:bidi="ar-SA"/>
                <w:highlight w:val="none"/>
              </w:rPr>
              <w:t>表</w:t>
            </w:r>
            <w:r>
              <w:rPr>
                <w:rFonts w:ascii="Times New Roman" w:eastAsia="宋体" w:cs="Times New Roman" w:hAnsi="Times New Roman"/>
                <w:color w:val="auto"/>
                <w:kern w:val="2"/>
                <w:sz w:val="24"/>
                <w:szCs w:val="24"/>
                <w:lang w:val="en-US" w:eastAsia="zh-CN" w:bidi="ar-SA"/>
                <w:highlight w:val="none"/>
              </w:rPr>
              <w:t>4-</w:t>
            </w:r>
            <w:r>
              <w:rPr>
                <w:rFonts w:ascii="Times New Roman" w:cs="Times New Roman" w:hAnsi="Times New Roman" w:hint="eastAsia"/>
                <w:color w:val="auto"/>
                <w:kern w:val="2"/>
                <w:sz w:val="24"/>
                <w:szCs w:val="24"/>
                <w:lang w:val="en-US" w:eastAsia="zh-CN" w:bidi="ar-SA"/>
                <w:highlight w:val="none"/>
              </w:rPr>
              <w:t>20</w:t>
            </w:r>
            <w:r>
              <w:rPr>
                <w:rFonts w:ascii="Times New Roman" w:eastAsia="宋体" w:cs="Times New Roman" w:hAnsi="Times New Roman"/>
                <w:color w:val="auto"/>
                <w:kern w:val="2"/>
                <w:sz w:val="24"/>
                <w:szCs w:val="24"/>
                <w:lang w:val="en-US" w:eastAsia="zh-CN" w:bidi="ar-SA"/>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ascii="Times New Roman" w:eastAsia="宋体" w:cs="Times New Roman" w:hAnsi="Times New Roman"/>
                <w:b/>
                <w:caps w:val="0"/>
                <w:smallCaps w:val="0"/>
                <w:color w:val="auto"/>
                <w:spacing w:val="0"/>
                <w:lang w:val="en-US" w:eastAsia="zh-CN"/>
                <w:highlight w:val="none"/>
              </w:rPr>
            </w:pPr>
            <w:r>
              <w:rPr>
                <w:rFonts w:ascii="Times New Roman" w:cs="Times New Roman" w:hAnsi="Times New Roman" w:hint="eastAsia"/>
                <w:b/>
                <w:caps w:val="0"/>
                <w:smallCaps w:val="0"/>
                <w:color w:val="auto"/>
                <w:spacing w:val="0"/>
                <w:sz w:val="24"/>
                <w:szCs w:val="20"/>
                <w:lang w:val="en-US" w:eastAsia="zh-CN"/>
                <w:highlight w:val="none"/>
              </w:rPr>
              <w:t>表</w:t>
            </w:r>
            <w:r>
              <w:rPr>
                <w:rFonts w:ascii="Times New Roman" w:eastAsia="宋体" w:cs="Times New Roman" w:hAnsi="Times New Roman"/>
                <w:b/>
                <w:caps w:val="0"/>
                <w:smallCaps w:val="0"/>
                <w:color w:val="auto"/>
                <w:spacing w:val="0"/>
                <w:sz w:val="24"/>
                <w:szCs w:val="20"/>
                <w:lang w:val="en-US" w:eastAsia="zh-CN"/>
                <w:highlight w:val="none"/>
              </w:rPr>
              <w:t>4-</w:t>
            </w:r>
            <w:r>
              <w:rPr>
                <w:rFonts w:ascii="Times New Roman" w:cs="Times New Roman" w:hAnsi="Times New Roman" w:hint="eastAsia"/>
                <w:b/>
                <w:caps w:val="0"/>
                <w:smallCaps w:val="0"/>
                <w:color w:val="auto"/>
                <w:spacing w:val="0"/>
                <w:sz w:val="24"/>
                <w:szCs w:val="20"/>
                <w:lang w:val="en-US" w:eastAsia="zh-CN"/>
                <w:highlight w:val="none"/>
              </w:rPr>
              <w:t>20</w:t>
            </w:r>
            <w:r>
              <w:rPr>
                <w:rFonts w:ascii="Times New Roman" w:eastAsia="宋体" w:cs="Times New Roman" w:hAnsi="Times New Roman"/>
                <w:b/>
                <w:caps w:val="0"/>
                <w:smallCaps w:val="0"/>
                <w:color w:val="auto"/>
                <w:spacing w:val="0"/>
                <w:sz w:val="24"/>
                <w:szCs w:val="20"/>
                <w:lang w:val="en-US" w:eastAsia="zh-CN"/>
                <w:highlight w:val="none"/>
              </w:rPr>
              <w:t xml:space="preserve">  环境保护图形标志-排放口（源）</w:t>
            </w:r>
          </w:p>
          <w:tbl>
            <w:tblPr>
              <w:jc w:val="center"/>
              <w:tblW w:w="4998"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0" w:type="dxa"/>
                <w:left w:w="0" w:type="dxa"/>
                <w:bottom w:w="0" w:type="dxa"/>
                <w:right w:w="0" w:type="dxa"/>
              </w:tblCellMar>
              <w:tblLook w:val="0600" w:firstRow="0" w:lastRow="0" w:firstColumn="0" w:lastColumn="0" w:noHBand="1" w:noVBand="1"/>
            </w:tblPr>
            <w:tblGrid>
              <w:gridCol w:w="411"/>
              <w:gridCol w:w="863"/>
              <w:gridCol w:w="922"/>
              <w:gridCol w:w="1776"/>
              <w:gridCol w:w="1843"/>
              <w:gridCol w:w="2175"/>
            </w:tblGrid>
            <w:tr>
              <w:trPr>
                <w:trHeight w:val="340"/>
              </w:trPr>
              <w:tc>
                <w:tcPr>
                  <w:tcW w:w="257"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排放口</w:t>
                  </w:r>
                </w:p>
              </w:tc>
              <w:tc>
                <w:tcPr>
                  <w:tcW w:w="1117" w:type="pct"/>
                  <w:gridSpan w:val="2"/>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废气排放口</w:t>
                  </w:r>
                </w:p>
              </w:tc>
              <w:tc>
                <w:tcPr>
                  <w:tcW w:w="111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废水排放口</w:t>
                  </w:r>
                </w:p>
              </w:tc>
              <w:tc>
                <w:tcPr>
                  <w:tcW w:w="1153" w:type="pct"/>
                  <w:shd w:val="clear" w:color="auto" w:fill="auto"/>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噪声排放源</w:t>
                  </w:r>
                </w:p>
              </w:tc>
              <w:tc>
                <w:tcPr>
                  <w:tcW w:w="1359" w:type="pct"/>
                  <w:shd w:val="clear" w:color="auto" w:fill="auto"/>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一般固体废物</w:t>
                  </w:r>
                </w:p>
              </w:tc>
            </w:tr>
            <w:tr>
              <w:trPr>
                <w:trHeight w:val="340"/>
              </w:trPr>
              <w:tc>
                <w:tcPr>
                  <w:tcW w:w="257"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p>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提示标志图形</w:t>
                  </w:r>
                </w:p>
              </w:tc>
              <w:tc>
                <w:tcPr>
                  <w:tcW w:w="1117" w:type="pct"/>
                  <w:gridSpan w:val="2"/>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128"/>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1010285" cy="819785"/>
                        <wp:effectExtent l="0" t="0" r="0" b="0"/>
                        <wp:docPr id="201" name="图片 10"/>
                        <wp:cNvGraphicFramePr>
                          <a:graphicFrameLocks noChangeAspect="0"/>
                        </wp:cNvGraphicFramePr>
                        <a:graphic>
                          <a:graphicData uri="http://schemas.openxmlformats.org/drawingml/2006/picture">
                            <pic:pic>
                              <pic:nvPicPr>
                                <pic:cNvPr id="253" name="图片 10 253"/>
                                <pic:cNvPicPr/>
                              </pic:nvPicPr>
                              <pic:blipFill>
                                <a:blip r:embed="rId40"/>
                                <a:stretch>
                                  <a:fillRect/>
                                </a:stretch>
                              </pic:blipFill>
                              <pic:spPr>
                                <a:xfrm rot="0">
                                  <a:off x="0" y="0"/>
                                  <a:ext cx="1010285" cy="819785"/>
                                </a:xfrm>
                                <a:prstGeom prst="rect"/>
                                <a:noFill/>
                                <a:ln cmpd="sng" cap="flat">
                                  <a:noFill/>
                                  <a:prstDash val="solid"/>
                                  <a:round/>
                                </a:ln>
                              </pic:spPr>
                            </pic:pic>
                          </a:graphicData>
                        </a:graphic>
                      </wp:inline>
                    </w:drawing>
                  </w:r>
                </w:p>
              </w:tc>
              <w:tc>
                <w:tcPr>
                  <w:tcW w:w="1111" w:type="pct"/>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113"/>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等线" w:eastAsia="等线" w:cs="Arial" w:hAnsi="等线"/>
                      <w:color w:val="auto"/>
                      <w:sz w:val="22"/>
                      <w:szCs w:val="22"/>
                      <w:highlight w:val="none"/>
                    </w:rPr>
                    <w:drawing>
                      <wp:inline distT="0" distB="0" distL="114300" distR="114300">
                        <wp:extent cx="913130" cy="821055"/>
                        <wp:effectExtent l="0" t="0" r="0" b="1"/>
                        <wp:docPr id="202" name="图片 1"/>
                        <wp:cNvGraphicFramePr>
                          <a:graphicFrameLocks noChangeAspect="1"/>
                        </wp:cNvGraphicFramePr>
                        <a:graphic>
                          <a:graphicData uri="http://schemas.openxmlformats.org/drawingml/2006/picture">
                            <pic:pic>
                              <pic:nvPicPr>
                                <pic:cNvPr id="255" name="图片 1 255"/>
                                <pic:cNvPicPr/>
                              </pic:nvPicPr>
                              <pic:blipFill>
                                <a:blip r:embed="rId41"/>
                                <a:stretch>
                                  <a:fillRect/>
                                </a:stretch>
                              </pic:blipFill>
                              <pic:spPr>
                                <a:xfrm rot="0">
                                  <a:off x="0" y="0"/>
                                  <a:ext cx="913130" cy="821055"/>
                                </a:xfrm>
                                <a:prstGeom prst="rect"/>
                                <a:noFill/>
                                <a:ln cmpd="sng" cap="flat">
                                  <a:noFill/>
                                  <a:prstDash val="solid"/>
                                  <a:round/>
                                </a:ln>
                              </pic:spPr>
                            </pic:pic>
                          </a:graphicData>
                        </a:graphic>
                      </wp:inline>
                    </w:drawing>
                  </w:r>
                </w:p>
              </w:tc>
              <w:tc>
                <w:tcPr>
                  <w:tcW w:w="1153" w:type="pct"/>
                  <w:tcBorders>
                    <w:left w:val="single" w:sz="2" w:space="0" w:color="00000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113"/>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1028700" cy="838200"/>
                        <wp:effectExtent l="0" t="0" r="1" b="0"/>
                        <wp:docPr id="203" name="图片 11"/>
                        <wp:cNvGraphicFramePr>
                          <a:graphicFrameLocks noChangeAspect="0"/>
                        </wp:cNvGraphicFramePr>
                        <a:graphic>
                          <a:graphicData uri="http://schemas.openxmlformats.org/drawingml/2006/picture">
                            <pic:pic>
                              <pic:nvPicPr>
                                <pic:cNvPr id="257" name="图片 11 257"/>
                                <pic:cNvPicPr/>
                              </pic:nvPicPr>
                              <pic:blipFill>
                                <a:blip r:embed="rId42"/>
                                <a:stretch>
                                  <a:fillRect/>
                                </a:stretch>
                              </pic:blipFill>
                              <pic:spPr>
                                <a:xfrm rot="0">
                                  <a:off x="0" y="0"/>
                                  <a:ext cx="1028700" cy="838200"/>
                                </a:xfrm>
                                <a:prstGeom prst="rect"/>
                                <a:noFill/>
                                <a:ln cmpd="sng" cap="flat">
                                  <a:noFill/>
                                  <a:prstDash val="solid"/>
                                  <a:round/>
                                </a:ln>
                              </pic:spPr>
                            </pic:pic>
                          </a:graphicData>
                        </a:graphic>
                      </wp:inline>
                    </w:drawing>
                  </w:r>
                </w:p>
              </w:tc>
              <w:tc>
                <w:tcPr>
                  <w:tcW w:w="1359" w:type="pct"/>
                  <w:tcBorders>
                    <w:left w:val="single" w:sz="2" w:space="0" w:color="00000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149"/>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1010285" cy="819785"/>
                        <wp:effectExtent l="0" t="0" r="0" b="0"/>
                        <wp:docPr id="204" name="图片 12"/>
                        <wp:cNvGraphicFramePr>
                          <a:graphicFrameLocks noChangeAspect="0"/>
                        </wp:cNvGraphicFramePr>
                        <a:graphic>
                          <a:graphicData uri="http://schemas.openxmlformats.org/drawingml/2006/picture">
                            <pic:pic>
                              <pic:nvPicPr>
                                <pic:cNvPr id="259" name="图片 12 259"/>
                                <pic:cNvPicPr/>
                              </pic:nvPicPr>
                              <pic:blipFill>
                                <a:blip r:embed="rId43"/>
                                <a:stretch>
                                  <a:fillRect/>
                                </a:stretch>
                              </pic:blipFill>
                              <pic:spPr>
                                <a:xfrm rot="0">
                                  <a:off x="0" y="0"/>
                                  <a:ext cx="1010285" cy="819785"/>
                                </a:xfrm>
                                <a:prstGeom prst="rect"/>
                                <a:noFill/>
                                <a:ln cmpd="sng" cap="flat">
                                  <a:noFill/>
                                  <a:prstDash val="solid"/>
                                  <a:round/>
                                </a:ln>
                              </pic:spPr>
                            </pic:pic>
                          </a:graphicData>
                        </a:graphic>
                      </wp:inline>
                    </w:drawing>
                  </w:r>
                </w:p>
              </w:tc>
            </w:tr>
            <w:tr>
              <w:trPr>
                <w:trHeight w:val="340"/>
              </w:trPr>
              <w:tc>
                <w:tcPr>
                  <w:tcW w:w="257"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p>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警告标志图形</w:t>
                  </w:r>
                </w:p>
              </w:tc>
              <w:tc>
                <w:tcPr>
                  <w:tcW w:w="1117" w:type="pct"/>
                  <w:gridSpan w:val="2"/>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68"/>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1077594" cy="876300"/>
                        <wp:effectExtent l="0" t="0" r="1" b="0"/>
                        <wp:docPr id="205" name="图片 14"/>
                        <wp:cNvGraphicFramePr>
                          <a:graphicFrameLocks noChangeAspect="0"/>
                        </wp:cNvGraphicFramePr>
                        <a:graphic>
                          <a:graphicData uri="http://schemas.openxmlformats.org/drawingml/2006/picture">
                            <pic:pic>
                              <pic:nvPicPr>
                                <pic:cNvPr id="261" name="图片 14 261"/>
                                <pic:cNvPicPr/>
                              </pic:nvPicPr>
                              <pic:blipFill>
                                <a:blip r:embed="rId44"/>
                                <a:stretch>
                                  <a:fillRect/>
                                </a:stretch>
                              </pic:blipFill>
                              <pic:spPr>
                                <a:xfrm rot="0">
                                  <a:off x="0" y="0"/>
                                  <a:ext cx="1077594" cy="876300"/>
                                </a:xfrm>
                                <a:prstGeom prst="rect"/>
                                <a:noFill/>
                                <a:ln cmpd="sng" cap="flat">
                                  <a:noFill/>
                                  <a:prstDash val="solid"/>
                                  <a:round/>
                                </a:ln>
                              </pic:spPr>
                            </pic:pic>
                          </a:graphicData>
                        </a:graphic>
                      </wp:inline>
                    </w:drawing>
                  </w:r>
                </w:p>
              </w:tc>
              <w:tc>
                <w:tcPr>
                  <w:tcW w:w="1111" w:type="pct"/>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67"/>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等线" w:eastAsia="等线" w:cs="Arial" w:hAnsi="等线"/>
                      <w:color w:val="auto"/>
                      <w:sz w:val="22"/>
                      <w:szCs w:val="22"/>
                      <w:highlight w:val="none"/>
                    </w:rPr>
                    <w:drawing>
                      <wp:inline distT="0" distB="0" distL="114300" distR="114300">
                        <wp:extent cx="972819" cy="875030"/>
                        <wp:effectExtent l="0" t="0" r="0" b="0"/>
                        <wp:docPr id="206" name="图片 2"/>
                        <wp:cNvGraphicFramePr>
                          <a:graphicFrameLocks noChangeAspect="1"/>
                        </wp:cNvGraphicFramePr>
                        <a:graphic>
                          <a:graphicData uri="http://schemas.openxmlformats.org/drawingml/2006/picture">
                            <pic:pic>
                              <pic:nvPicPr>
                                <pic:cNvPr id="263" name="图片 2 263"/>
                                <pic:cNvPicPr/>
                              </pic:nvPicPr>
                              <pic:blipFill>
                                <a:blip r:embed="rId45"/>
                                <a:stretch>
                                  <a:fillRect/>
                                </a:stretch>
                              </pic:blipFill>
                              <pic:spPr>
                                <a:xfrm rot="0">
                                  <a:off x="0" y="0"/>
                                  <a:ext cx="972819" cy="875030"/>
                                </a:xfrm>
                                <a:prstGeom prst="rect"/>
                                <a:noFill/>
                                <a:ln cmpd="sng" cap="flat">
                                  <a:noFill/>
                                  <a:prstDash val="solid"/>
                                  <a:round/>
                                </a:ln>
                              </pic:spPr>
                            </pic:pic>
                          </a:graphicData>
                        </a:graphic>
                      </wp:inline>
                    </w:drawing>
                  </w:r>
                </w:p>
              </w:tc>
              <w:tc>
                <w:tcPr>
                  <w:tcW w:w="1153" w:type="pct"/>
                  <w:tcBorders>
                    <w:left w:val="single" w:sz="2" w:space="0" w:color="00000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67"/>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1049019" cy="894715"/>
                        <wp:effectExtent l="0" t="0" r="0" b="0"/>
                        <wp:docPr id="207" name="图片 15"/>
                        <wp:cNvGraphicFramePr>
                          <a:graphicFrameLocks noChangeAspect="0"/>
                        </wp:cNvGraphicFramePr>
                        <a:graphic>
                          <a:graphicData uri="http://schemas.openxmlformats.org/drawingml/2006/picture">
                            <pic:pic>
                              <pic:nvPicPr>
                                <pic:cNvPr id="265" name="图片 15 265"/>
                                <pic:cNvPicPr/>
                              </pic:nvPicPr>
                              <pic:blipFill>
                                <a:blip r:embed="rId46"/>
                                <a:stretch>
                                  <a:fillRect/>
                                </a:stretch>
                              </pic:blipFill>
                              <pic:spPr>
                                <a:xfrm rot="0">
                                  <a:off x="0" y="0"/>
                                  <a:ext cx="1049019" cy="894715"/>
                                </a:xfrm>
                                <a:prstGeom prst="rect"/>
                                <a:noFill/>
                                <a:ln cmpd="sng" cap="flat">
                                  <a:noFill/>
                                  <a:prstDash val="solid"/>
                                  <a:round/>
                                </a:ln>
                              </pic:spPr>
                            </pic:pic>
                          </a:graphicData>
                        </a:graphic>
                      </wp:inline>
                    </w:drawing>
                  </w:r>
                </w:p>
              </w:tc>
              <w:tc>
                <w:tcPr>
                  <w:tcW w:w="1359" w:type="pct"/>
                  <w:tcBorders>
                    <w:left w:val="single" w:sz="2" w:space="0" w:color="00000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89"/>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drawing>
                      <wp:inline distT="0" distB="0" distL="114300" distR="114300">
                        <wp:extent cx="991235" cy="943610"/>
                        <wp:effectExtent l="0" t="0" r="0" b="0"/>
                        <wp:docPr id="208" name="图片 16"/>
                        <wp:cNvGraphicFramePr>
                          <a:graphicFrameLocks noChangeAspect="0"/>
                        </wp:cNvGraphicFramePr>
                        <a:graphic>
                          <a:graphicData uri="http://schemas.openxmlformats.org/drawingml/2006/picture">
                            <pic:pic>
                              <pic:nvPicPr>
                                <pic:cNvPr id="267" name="图片 16 267"/>
                                <pic:cNvPicPr/>
                              </pic:nvPicPr>
                              <pic:blipFill>
                                <a:blip r:embed="rId47"/>
                                <a:stretch>
                                  <a:fillRect/>
                                </a:stretch>
                              </pic:blipFill>
                              <pic:spPr>
                                <a:xfrm rot="0">
                                  <a:off x="0" y="0"/>
                                  <a:ext cx="991235" cy="943610"/>
                                </a:xfrm>
                                <a:prstGeom prst="rect"/>
                                <a:noFill/>
                                <a:ln cmpd="sng" cap="flat">
                                  <a:noFill/>
                                  <a:prstDash val="solid"/>
                                  <a:round/>
                                </a:ln>
                              </pic:spPr>
                            </pic:pic>
                          </a:graphicData>
                        </a:graphic>
                      </wp:inline>
                    </w:drawing>
                  </w:r>
                </w:p>
              </w:tc>
            </w:tr>
            <w:tr>
              <w:trPr>
                <w:trHeight w:val="340"/>
              </w:trPr>
              <w:tc>
                <w:tcPr>
                  <w:tcW w:w="797" w:type="pct"/>
                  <w:gridSpan w:val="2"/>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排放口</w:t>
                  </w:r>
                </w:p>
              </w:tc>
              <w:tc>
                <w:tcPr>
                  <w:tcW w:w="4202" w:type="pct"/>
                  <w:gridSpan w:val="4"/>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危险废物</w:t>
                  </w:r>
                </w:p>
              </w:tc>
            </w:tr>
            <w:tr>
              <w:trPr>
                <w:trHeight w:val="340"/>
              </w:trPr>
              <w:tc>
                <w:tcPr>
                  <w:tcW w:w="797"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p>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提示标志图形</w:t>
                  </w:r>
                </w:p>
              </w:tc>
              <w:tc>
                <w:tcPr>
                  <w:tcW w:w="4202" w:type="pct"/>
                  <w:gridSpan w:val="4"/>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149"/>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等线" w:eastAsia="等线" w:cs="Arial" w:hAnsi="等线"/>
                      <w:color w:val="auto"/>
                      <w:sz w:val="22"/>
                      <w:szCs w:val="22"/>
                      <w:highlight w:val="none"/>
                    </w:rPr>
                    <w:drawing>
                      <wp:inline distT="0" distB="0" distL="114300" distR="114300">
                        <wp:extent cx="1275080" cy="821055"/>
                        <wp:effectExtent l="0" t="0" r="1" b="0"/>
                        <wp:docPr id="209" name="图片 1"/>
                        <wp:cNvGraphicFramePr>
                          <a:graphicFrameLocks noChangeAspect="1"/>
                        </wp:cNvGraphicFramePr>
                        <a:graphic>
                          <a:graphicData uri="http://schemas.openxmlformats.org/drawingml/2006/picture">
                            <pic:pic>
                              <pic:nvPicPr>
                                <pic:cNvPr id="269" name="图片 1 269"/>
                                <pic:cNvPicPr/>
                              </pic:nvPicPr>
                              <pic:blipFill>
                                <a:blip r:embed="rId48"/>
                                <a:stretch>
                                  <a:fillRect/>
                                </a:stretch>
                              </pic:blipFill>
                              <pic:spPr>
                                <a:xfrm rot="0">
                                  <a:off x="0" y="0"/>
                                  <a:ext cx="1275080" cy="821055"/>
                                </a:xfrm>
                                <a:prstGeom prst="rect"/>
                                <a:noFill/>
                                <a:ln cmpd="sng" cap="flat">
                                  <a:noFill/>
                                  <a:prstDash val="solid"/>
                                  <a:round/>
                                </a:ln>
                              </pic:spPr>
                            </pic:pic>
                          </a:graphicData>
                        </a:graphic>
                      </wp:inline>
                    </w:drawing>
                  </w:r>
                </w:p>
              </w:tc>
            </w:tr>
            <w:tr>
              <w:trPr>
                <w:trHeight w:val="340"/>
              </w:trPr>
              <w:tc>
                <w:tcPr>
                  <w:tcW w:w="797"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p>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宋体" w:cs="Times New Roman" w:hAnsi="Times New Roman"/>
                      <w:color w:val="auto"/>
                      <w:w w:val="100"/>
                      <w:kern w:val="2"/>
                      <w:sz w:val="21"/>
                      <w:szCs w:val="21"/>
                      <w:lang w:val="en-US" w:eastAsia="zh-CN" w:bidi="ar-SA"/>
                      <w:highlight w:val="none"/>
                    </w:rPr>
                    <w:t>警告标志图形</w:t>
                  </w:r>
                </w:p>
              </w:tc>
              <w:tc>
                <w:tcPr>
                  <w:tcW w:w="4202" w:type="pct"/>
                  <w:gridSpan w:val="4"/>
                  <w:tcBorders>
                    <w:left w:val="single" w:sz="2" w:space="0" w:color="00000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89"/>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等线" w:eastAsia="等线" w:cs="Times New Roman" w:hAnsi="等线" w:hint="eastAsia"/>
                      <w:color w:val="auto"/>
                      <w:w w:val="100"/>
                      <w:kern w:val="2"/>
                      <w:sz w:val="21"/>
                      <w:szCs w:val="21"/>
                      <w:lang w:val="en-US" w:eastAsia="zh-CN" w:bidi="ar-SA"/>
                      <w:highlight w:val="none"/>
                    </w:rPr>
                    <w:t>-</w:t>
                  </w:r>
                </w:p>
              </w:tc>
            </w:tr>
          </w:tbl>
          <w:p>
            <w:pPr>
              <w:pStyle w:val="17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eastAsia="宋体" w:cs="Times New Roman" w:hAnsi="Times New Roman"/>
                <w:color w:val="auto"/>
                <w:sz w:val="24"/>
                <w:szCs w:val="24"/>
                <w:lang w:eastAsia="zh-CN"/>
                <w:highlight w:val="none"/>
              </w:rPr>
            </w:pPr>
            <w:r>
              <w:rPr>
                <w:rFonts w:ascii="Times New Roman" w:cs="Times New Roman" w:hAnsi="Times New Roman"/>
                <w:color w:val="auto"/>
                <w:spacing w:val="-1"/>
                <w:sz w:val="24"/>
                <w:szCs w:val="20"/>
                <w:highlight w:val="none"/>
              </w:rPr>
              <w:t>环境保护图形标志</w:t>
            </w:r>
            <w:r>
              <w:rPr>
                <w:rFonts w:ascii="Times New Roman" w:eastAsia="Times New Roman" w:cs="Times New Roman" w:hAnsi="Times New Roman"/>
                <w:color w:val="auto"/>
                <w:spacing w:val="-1"/>
                <w:sz w:val="24"/>
                <w:szCs w:val="20"/>
                <w:highlight w:val="none"/>
              </w:rPr>
              <w:t>--</w:t>
            </w:r>
            <w:r>
              <w:rPr>
                <w:rFonts w:ascii="Times New Roman" w:cs="Times New Roman" w:hAnsi="Times New Roman"/>
                <w:color w:val="auto"/>
                <w:spacing w:val="-1"/>
                <w:sz w:val="24"/>
                <w:szCs w:val="20"/>
                <w:highlight w:val="none"/>
              </w:rPr>
              <w:t>排放口（源）的形状及颜色见下表</w:t>
            </w:r>
            <w:r>
              <w:rPr>
                <w:rFonts w:ascii="Times New Roman" w:cs="Times New Roman" w:hAnsi="Times New Roman"/>
                <w:color w:val="auto"/>
                <w:spacing w:val="-1"/>
                <w:sz w:val="24"/>
                <w:szCs w:val="20"/>
                <w:lang w:eastAsia="zh-CN"/>
                <w:highlight w:val="none"/>
              </w:rPr>
              <w:t>：</w:t>
            </w:r>
          </w:p>
          <w:p>
            <w:pPr>
              <w:pStyle w:val="147"/>
              <w:keepNext w:val="0"/>
              <w:keepLines w:val="0"/>
              <w:pageBreakBefore w:val="0"/>
              <w:suppressLineNumbers w:val="0"/>
              <w:tabs>
                <w:tab w:val="left" w:pos="6521"/>
              </w:tabs>
              <w:kinsoku/>
              <w:wordWrap/>
              <w:overflowPunct/>
              <w:topLinePunct w:val="0"/>
              <w:autoSpaceDE/>
              <w:autoSpaceDN/>
              <w:bidi w:val="0"/>
              <w:adjustRightInd/>
              <w:snapToGrid/>
              <w:spacing w:before="0" w:beforeAutospacing="0" w:after="0" w:afterAutospacing="0" w:line="480" w:lineRule="exact"/>
              <w:ind w:left="0" w:right="0"/>
              <w:jc w:val="center"/>
              <w:textAlignment w:val="auto"/>
              <w:rPr>
                <w:rFonts w:ascii="Times New Roman" w:eastAsia="宋体" w:cs="Times New Roman" w:hAnsi="Times New Roman"/>
                <w:b/>
                <w:caps w:val="0"/>
                <w:smallCaps w:val="0"/>
                <w:color w:val="auto"/>
                <w:spacing w:val="0"/>
                <w:lang w:val="en-US" w:eastAsia="zh-CN"/>
                <w:highlight w:val="none"/>
              </w:rPr>
            </w:pPr>
            <w:r>
              <w:rPr>
                <w:rFonts w:ascii="Times New Roman" w:cs="Times New Roman" w:hAnsi="Times New Roman" w:hint="eastAsia"/>
                <w:b/>
                <w:caps w:val="0"/>
                <w:smallCaps w:val="0"/>
                <w:color w:val="auto"/>
                <w:spacing w:val="0"/>
                <w:sz w:val="24"/>
                <w:szCs w:val="20"/>
                <w:lang w:val="en-US" w:eastAsia="zh-CN"/>
                <w:highlight w:val="none"/>
              </w:rPr>
              <w:t>表</w:t>
            </w:r>
            <w:r>
              <w:rPr>
                <w:rFonts w:ascii="Times New Roman" w:eastAsia="宋体" w:cs="Times New Roman" w:hAnsi="Times New Roman"/>
                <w:b/>
                <w:caps w:val="0"/>
                <w:smallCaps w:val="0"/>
                <w:color w:val="auto"/>
                <w:spacing w:val="0"/>
                <w:sz w:val="24"/>
                <w:szCs w:val="20"/>
                <w:lang w:val="en-US" w:eastAsia="zh-CN"/>
                <w:highlight w:val="none"/>
              </w:rPr>
              <w:t>4-</w:t>
            </w:r>
            <w:r>
              <w:rPr>
                <w:rFonts w:ascii="Times New Roman" w:cs="Times New Roman" w:hAnsi="Times New Roman" w:hint="eastAsia"/>
                <w:b/>
                <w:caps w:val="0"/>
                <w:smallCaps w:val="0"/>
                <w:color w:val="auto"/>
                <w:spacing w:val="0"/>
                <w:sz w:val="24"/>
                <w:szCs w:val="20"/>
                <w:lang w:val="en-US" w:eastAsia="zh-CN"/>
                <w:highlight w:val="none"/>
              </w:rPr>
              <w:t>21</w:t>
            </w:r>
            <w:r>
              <w:rPr>
                <w:rFonts w:ascii="Times New Roman" w:eastAsia="宋体" w:cs="Times New Roman" w:hAnsi="Times New Roman"/>
                <w:b/>
                <w:caps w:val="0"/>
                <w:smallCaps w:val="0"/>
                <w:color w:val="auto"/>
                <w:spacing w:val="0"/>
                <w:sz w:val="24"/>
                <w:szCs w:val="20"/>
                <w:lang w:val="en-US" w:eastAsia="zh-CN"/>
                <w:highlight w:val="none"/>
              </w:rPr>
              <w:t xml:space="preserve"> 环境保护图形标志-排放口（源）</w:t>
            </w:r>
          </w:p>
          <w:tbl>
            <w:tblPr>
              <w:jc w:val="center"/>
              <w:tblW w:w="4996"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0" w:type="dxa"/>
                <w:left w:w="0" w:type="dxa"/>
                <w:bottom w:w="0" w:type="dxa"/>
                <w:right w:w="0" w:type="dxa"/>
              </w:tblCellMar>
              <w:tblLook w:val="0600" w:firstRow="0" w:lastRow="0" w:firstColumn="0" w:lastColumn="0" w:noHBand="1" w:noVBand="1"/>
            </w:tblPr>
            <w:tblGrid>
              <w:gridCol w:w="1423"/>
              <w:gridCol w:w="1959"/>
              <w:gridCol w:w="2302"/>
              <w:gridCol w:w="2300"/>
            </w:tblGrid>
            <w:tr>
              <w:trPr>
                <w:trHeight w:val="340"/>
              </w:trPr>
              <w:tc>
                <w:tcPr>
                  <w:tcW w:w="89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废气、噪声、一般固废标识牌</w:t>
                  </w:r>
                </w:p>
              </w:tc>
              <w:tc>
                <w:tcPr>
                  <w:tcW w:w="1226"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形状</w:t>
                  </w:r>
                </w:p>
              </w:tc>
              <w:tc>
                <w:tcPr>
                  <w:tcW w:w="144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背景颜色</w:t>
                  </w:r>
                </w:p>
              </w:tc>
              <w:tc>
                <w:tcPr>
                  <w:tcW w:w="1440"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图形颜色</w:t>
                  </w:r>
                </w:p>
              </w:tc>
            </w:tr>
            <w:tr>
              <w:trPr>
                <w:trHeight w:val="340"/>
              </w:trPr>
              <w:tc>
                <w:tcPr>
                  <w:tcW w:w="89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警告标志</w:t>
                  </w:r>
                </w:p>
              </w:tc>
              <w:tc>
                <w:tcPr>
                  <w:tcW w:w="1226"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三角形边框</w:t>
                  </w:r>
                </w:p>
              </w:tc>
              <w:tc>
                <w:tcPr>
                  <w:tcW w:w="1441"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黄色</w:t>
                  </w:r>
                </w:p>
              </w:tc>
              <w:tc>
                <w:tcPr>
                  <w:tcW w:w="1440"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黑色</w:t>
                  </w:r>
                </w:p>
              </w:tc>
            </w:tr>
            <w:tr>
              <w:trPr>
                <w:trHeight w:val="340"/>
              </w:trPr>
              <w:tc>
                <w:tcPr>
                  <w:tcW w:w="89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提示标志</w:t>
                  </w:r>
                </w:p>
              </w:tc>
              <w:tc>
                <w:tcPr>
                  <w:tcW w:w="1226"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正方形边框</w:t>
                  </w:r>
                </w:p>
              </w:tc>
              <w:tc>
                <w:tcPr>
                  <w:tcW w:w="1441"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绿色</w:t>
                  </w:r>
                </w:p>
              </w:tc>
              <w:tc>
                <w:tcPr>
                  <w:tcW w:w="1440"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白色</w:t>
                  </w:r>
                </w:p>
              </w:tc>
            </w:tr>
            <w:tr>
              <w:trPr>
                <w:trHeight w:val="340"/>
              </w:trPr>
              <w:tc>
                <w:tcPr>
                  <w:tcW w:w="89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危险废物标识牌</w:t>
                  </w:r>
                </w:p>
              </w:tc>
              <w:tc>
                <w:tcPr>
                  <w:tcW w:w="1226"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形状</w:t>
                  </w:r>
                </w:p>
              </w:tc>
              <w:tc>
                <w:tcPr>
                  <w:tcW w:w="1441"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背景颜色</w:t>
                  </w:r>
                </w:p>
              </w:tc>
              <w:tc>
                <w:tcPr>
                  <w:tcW w:w="1440"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eastAsia="宋体"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图形颜色</w:t>
                  </w:r>
                </w:p>
              </w:tc>
            </w:tr>
            <w:tr>
              <w:trPr>
                <w:trHeight w:val="340"/>
              </w:trPr>
              <w:tc>
                <w:tcPr>
                  <w:tcW w:w="891" w:type="pct"/>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提示标志</w:t>
                  </w:r>
                </w:p>
              </w:tc>
              <w:tc>
                <w:tcPr>
                  <w:tcW w:w="1226"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auto"/>
                      <w:w w:val="100"/>
                      <w:kern w:val="2"/>
                      <w:sz w:val="21"/>
                      <w:szCs w:val="21"/>
                      <w:lang w:val="en-US" w:eastAsia="zh-CN" w:bidi="ar-SA"/>
                      <w:highlight w:val="none"/>
                    </w:rPr>
                  </w:pPr>
                  <w:r>
                    <w:rPr>
                      <w:rFonts w:ascii="Times New Roman" w:eastAsia="等线" w:cs="Times New Roman" w:hAnsi="Times New Roman"/>
                      <w:color w:val="auto"/>
                      <w:w w:val="100"/>
                      <w:kern w:val="2"/>
                      <w:sz w:val="21"/>
                      <w:szCs w:val="21"/>
                      <w:lang w:val="en-US" w:eastAsia="zh-CN" w:bidi="ar-SA"/>
                      <w:highlight w:val="none"/>
                    </w:rPr>
                    <w:t>正方形边框</w:t>
                  </w:r>
                </w:p>
              </w:tc>
              <w:tc>
                <w:tcPr>
                  <w:tcW w:w="1441"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黄色</w:t>
                  </w:r>
                </w:p>
              </w:tc>
              <w:tc>
                <w:tcPr>
                  <w:tcW w:w="1440" w:type="pct"/>
                  <w:tcBorders>
                    <w:left w:val="single" w:sz="2" w:space="0" w:color="000000"/>
                  </w:tcBorders>
                  <w:vAlign w:val="center"/>
                </w:tcPr>
                <w:p>
                  <w:pPr>
                    <w:pStyle w:val="17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cs="Times New Roman" w:hAnsi="Times New Roman"/>
                      <w:color w:val="auto"/>
                      <w:w w:val="100"/>
                      <w:kern w:val="2"/>
                      <w:sz w:val="21"/>
                      <w:szCs w:val="21"/>
                      <w:lang w:val="en-US" w:eastAsia="zh-CN" w:bidi="ar-SA"/>
                      <w:highlight w:val="none"/>
                    </w:rPr>
                  </w:pPr>
                  <w:r>
                    <w:rPr>
                      <w:rFonts w:ascii="Times New Roman" w:eastAsia="等线" w:cs="Times New Roman" w:hAnsi="Times New Roman" w:hint="eastAsia"/>
                      <w:color w:val="auto"/>
                      <w:w w:val="100"/>
                      <w:kern w:val="2"/>
                      <w:sz w:val="21"/>
                      <w:szCs w:val="21"/>
                      <w:lang w:val="en-US" w:eastAsia="zh-CN" w:bidi="ar-SA"/>
                      <w:highlight w:val="none"/>
                    </w:rPr>
                    <w:t>黑色</w:t>
                  </w:r>
                </w:p>
              </w:tc>
            </w:tr>
          </w:tbl>
          <w:p>
            <w:pPr>
              <w:pStyle w:val="23"/>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480" w:lineRule="exact"/>
              <w:ind w:left="0" w:right="0" w:firstLineChars="200" w:firstLine="476"/>
              <w:jc w:val="both"/>
              <w:textAlignment w:val="auto"/>
              <w:rPr>
                <w:rFonts w:ascii="Times New Roman" w:eastAsia="宋体" w:cs="Times New Roman" w:hAnsi="Times New Roman"/>
                <w:color w:val="auto"/>
                <w:spacing w:val="-1"/>
                <w:kern w:val="2"/>
                <w:sz w:val="24"/>
                <w:szCs w:val="24"/>
                <w:lang w:val="en-US" w:eastAsia="zh-CN" w:bidi="ar-SA"/>
                <w:highlight w:val="none"/>
              </w:rPr>
            </w:pPr>
            <w:r>
              <w:rPr>
                <w:rFonts w:ascii="Times New Roman" w:eastAsia="宋体" w:cs="Times New Roman" w:hAnsi="Times New Roman"/>
                <w:color w:val="auto"/>
                <w:spacing w:val="-1"/>
                <w:kern w:val="2"/>
                <w:sz w:val="24"/>
                <w:szCs w:val="24"/>
                <w:lang w:val="en-US" w:eastAsia="zh-CN" w:bidi="ar-SA"/>
                <w:highlight w:val="none"/>
              </w:rPr>
              <w:t>2）污染物排放口的环境保护图形标志牌应设置在靠近采样点的醒目处，标志牌设置高度为其上缘距地面约2m。</w:t>
            </w:r>
          </w:p>
          <w:p>
            <w:pPr>
              <w:pStyle w:val="137"/>
              <w:keepNext w:val="0"/>
              <w:keepLines w:val="0"/>
              <w:suppressLineNumbers w:val="0"/>
              <w:spacing w:before="0" w:beforeAutospacing="0" w:after="0" w:afterAutospacing="0"/>
              <w:ind w:left="0" w:right="0"/>
              <w:jc w:val="both"/>
              <w:rPr>
                <w:rFonts w:cs="Times New Roman" w:hint="eastAsia"/>
                <w:color w:val="auto"/>
                <w:spacing w:val="-1"/>
                <w:kern w:val="2"/>
                <w:sz w:val="24"/>
                <w:szCs w:val="24"/>
                <w:lang w:val="en-US" w:eastAsia="zh-CN" w:bidi="ar-SA"/>
                <w:highlight w:val="none"/>
              </w:rPr>
            </w:pPr>
            <w:r>
              <w:rPr>
                <w:rFonts w:ascii="Times New Roman" w:eastAsia="宋体" w:cs="Times New Roman" w:hAnsi="Times New Roman"/>
                <w:color w:val="auto"/>
                <w:spacing w:val="-1"/>
                <w:kern w:val="2"/>
                <w:sz w:val="24"/>
                <w:szCs w:val="24"/>
                <w:lang w:val="en-US" w:eastAsia="zh-CN" w:bidi="ar-SA"/>
                <w:highlight w:val="none"/>
              </w:rPr>
              <w:t>3）排污口及采样点设置在厂界附近，采样点设置应符合HJ/T91的规定，确保公众及环保执法人员可在排污口清楚地看到污染源的排污情况并且不受限制地进行水质采样</w:t>
            </w:r>
            <w:r>
              <w:rPr>
                <w:rFonts w:ascii="Times New Roman" w:cs="Times New Roman" w:hAnsi="Times New Roman" w:hint="eastAsia"/>
                <w:color w:val="auto"/>
                <w:spacing w:val="-1"/>
                <w:kern w:val="2"/>
                <w:sz w:val="24"/>
                <w:szCs w:val="24"/>
                <w:lang w:val="en-US" w:eastAsia="zh-CN" w:bidi="ar-SA"/>
                <w:highlight w:val="none"/>
              </w:rPr>
              <w:t>。有组织废气采样口应按照前4后2原则，监孔≥80mm，监测断面距离坠落高度基准面2 m以上时，应配套工作平台，工作平台宜设置在监测孔的正下方1.2 m~1.3 m处；超过0.5 m且不足2 m 时，应按要求设置固定式钢梯；超过2 m时，应安装钢斜梯、转梯。梯高大于6 m 时，应设置梯间平台。斜梯、转梯的材料、载荷、制造安装等按要求执行</w:t>
            </w:r>
            <w:r>
              <w:rPr>
                <w:rFonts w:ascii="Times New Roman" w:eastAsia="宋体" w:cs="Times New Roman" w:hAnsi="Times New Roman"/>
                <w:color w:val="auto"/>
                <w:spacing w:val="-1"/>
                <w:kern w:val="2"/>
                <w:sz w:val="24"/>
                <w:szCs w:val="24"/>
                <w:lang w:val="en-US" w:eastAsia="zh-CN" w:bidi="ar-SA"/>
                <w:highlight w:val="none"/>
              </w:rPr>
              <w:t>。排污口和采样点处水深一般情况下应&lt;1.2m，周围应设置既能方便采样，又能保障人员安全的护栏等设施；排污口和采样点处水深≥1.2m的，应设置水深警告标志，并强化安全防护设施设置</w:t>
            </w:r>
            <w:r>
              <w:rPr>
                <w:rFonts w:ascii="Times New Roman" w:cs="Times New Roman" w:hAnsi="Times New Roman" w:hint="eastAsia"/>
                <w:color w:val="auto"/>
                <w:spacing w:val="-1"/>
                <w:kern w:val="2"/>
                <w:sz w:val="24"/>
                <w:szCs w:val="24"/>
                <w:lang w:val="en-US" w:eastAsia="zh-CN" w:bidi="ar-SA"/>
                <w:highlight w:val="none"/>
              </w:rPr>
              <w:t>。</w:t>
            </w:r>
          </w:p>
          <w:p>
            <w:pPr>
              <w:pStyle w:val="13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jc w:val="both"/>
              <w:textAlignment w:val="auto"/>
              <w:rPr>
                <w:rFonts w:ascii="Times New Roman" w:eastAsia="宋体" w:cs="Times New Roman" w:hAnsi="Times New Roman"/>
                <w:b/>
                <w:caps w:val="0"/>
                <w:smallCaps w:val="0"/>
                <w:color w:val="auto"/>
                <w:spacing w:val="0"/>
                <w:lang w:val="en-US" w:eastAsia="zh-CN"/>
                <w:highlight w:val="none"/>
              </w:rPr>
            </w:pPr>
            <w:r>
              <w:rPr>
                <w:rFonts w:ascii="Times New Roman" w:cs="Times New Roman" w:hAnsi="Times New Roman" w:hint="eastAsia"/>
                <w:b/>
                <w:caps w:val="0"/>
                <w:smallCaps w:val="0"/>
                <w:color w:val="auto"/>
                <w:spacing w:val="0"/>
                <w:sz w:val="24"/>
                <w:szCs w:val="20"/>
                <w:lang w:val="en-US" w:eastAsia="zh-CN"/>
                <w:highlight w:val="none"/>
              </w:rPr>
              <w:t>10</w:t>
            </w:r>
            <w:r>
              <w:rPr>
                <w:rFonts w:ascii="Times New Roman" w:cs="Times New Roman" w:hAnsi="Times New Roman"/>
                <w:b/>
                <w:caps w:val="0"/>
                <w:smallCaps w:val="0"/>
                <w:color w:val="auto"/>
                <w:spacing w:val="0"/>
                <w:sz w:val="24"/>
                <w:szCs w:val="20"/>
                <w:highlight w:val="none"/>
              </w:rPr>
              <w:t>、</w:t>
            </w:r>
            <w:r>
              <w:rPr>
                <w:rFonts w:ascii="Times New Roman" w:cs="Times New Roman" w:hAnsi="Times New Roman" w:hint="eastAsia"/>
                <w:b/>
                <w:caps w:val="0"/>
                <w:smallCaps w:val="0"/>
                <w:color w:val="auto"/>
                <w:spacing w:val="0"/>
                <w:sz w:val="24"/>
                <w:szCs w:val="20"/>
                <w:lang w:val="en-US" w:eastAsia="zh-CN"/>
                <w:highlight w:val="none"/>
              </w:rPr>
              <w:t>新老污染物三本账</w:t>
            </w:r>
          </w:p>
          <w:p>
            <w:pPr>
              <w:keepNext w:val="0"/>
              <w:keepLines w:val="0"/>
              <w:suppressLineNumbers w:val="0"/>
              <w:tabs>
                <w:tab w:val="left" w:pos="6240"/>
              </w:tabs>
              <w:spacing w:before="0" w:beforeAutospacing="0" w:after="0" w:afterAutospacing="0" w:line="480" w:lineRule="exact"/>
              <w:ind w:left="0" w:right="0"/>
              <w:jc w:val="center"/>
              <w:rPr>
                <w:rFonts w:eastAsia="宋体"/>
                <w:b/>
                <w:color w:val="auto"/>
                <w:sz w:val="24"/>
                <w:szCs w:val="20"/>
                <w:lang w:val="en-US" w:eastAsia="zh-CN"/>
                <w:highlight w:val="none"/>
              </w:rPr>
            </w:pPr>
            <w:r>
              <w:rPr>
                <w:rFonts w:ascii="Times New Roman" w:cs="Times New Roman" w:hAnsi="Times New Roman"/>
                <w:b/>
                <w:color w:val="auto"/>
                <w:sz w:val="24"/>
                <w:szCs w:val="20"/>
                <w:highlight w:val="none"/>
              </w:rPr>
              <w:t>表</w:t>
            </w:r>
            <w:r>
              <w:rPr>
                <w:rFonts w:ascii="Times New Roman" w:cs="Times New Roman" w:hAnsi="Times New Roman" w:hint="eastAsia"/>
                <w:b/>
                <w:color w:val="auto"/>
                <w:sz w:val="24"/>
                <w:szCs w:val="20"/>
                <w:lang w:val="en-US" w:eastAsia="zh-CN"/>
                <w:highlight w:val="none"/>
              </w:rPr>
              <w:t xml:space="preserve">4-22 </w:t>
            </w:r>
            <w:r>
              <w:rPr>
                <w:rFonts w:ascii="Times New Roman" w:cs="Times New Roman" w:hAnsi="Times New Roman"/>
                <w:b/>
                <w:color w:val="auto"/>
                <w:sz w:val="24"/>
                <w:szCs w:val="20"/>
                <w:highlight w:val="none"/>
              </w:rPr>
              <w:t xml:space="preserve"> </w:t>
            </w:r>
            <w:r>
              <w:rPr>
                <w:rFonts w:ascii="Times New Roman" w:cs="Times New Roman" w:hAnsi="Times New Roman" w:hint="eastAsia"/>
                <w:b/>
                <w:color w:val="auto"/>
                <w:sz w:val="24"/>
                <w:szCs w:val="20"/>
                <w:lang w:val="en-US" w:eastAsia="zh-CN"/>
                <w:highlight w:val="none"/>
              </w:rPr>
              <w:t>新老污染物“三本账”</w:t>
            </w:r>
          </w:p>
          <w:tbl>
            <w:tblPr>
              <w:jc w:val="cent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934"/>
              <w:gridCol w:w="936"/>
              <w:gridCol w:w="1266"/>
              <w:gridCol w:w="1148"/>
              <w:gridCol w:w="1266"/>
              <w:gridCol w:w="1148"/>
              <w:gridCol w:w="1281"/>
            </w:tblGrid>
            <w:tr>
              <w:trPr>
                <w:trHeight w:val="369"/>
              </w:trPr>
              <w:tc>
                <w:tcPr>
                  <w:tcW w:w="585"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污染源</w:t>
                  </w:r>
                </w:p>
              </w:tc>
              <w:tc>
                <w:tcPr>
                  <w:tcW w:w="586"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污染物</w:t>
                  </w:r>
                </w:p>
              </w:tc>
              <w:tc>
                <w:tcPr>
                  <w:tcW w:w="793"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现有工程排放量</w:t>
                  </w:r>
                </w:p>
              </w:tc>
              <w:tc>
                <w:tcPr>
                  <w:tcW w:w="719"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本项目排放量</w:t>
                  </w:r>
                </w:p>
              </w:tc>
              <w:tc>
                <w:tcPr>
                  <w:tcW w:w="793"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以新带老排放量</w:t>
                  </w:r>
                </w:p>
              </w:tc>
              <w:tc>
                <w:tcPr>
                  <w:tcW w:w="719"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本项目建成后全厂排放量</w:t>
                  </w:r>
                </w:p>
              </w:tc>
              <w:tc>
                <w:tcPr>
                  <w:tcW w:w="802"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变化量</w:t>
                  </w:r>
                </w:p>
              </w:tc>
            </w:tr>
            <w:tr>
              <w:trPr>
                <w:trHeight w:val="369"/>
              </w:trPr>
              <w:tc>
                <w:tcPr>
                  <w:tcW w:w="585" w:type="pct"/>
                  <w:vMerge w:val="restart"/>
                  <w:shd w:val="clear" w:color="auto" w:fill="auto"/>
                  <w:tcMar>
                    <w:left w:w="28" w:type="dxa"/>
                    <w:right w:w="28" w:type="dxa"/>
                  </w:tcMar>
                  <w:vAlign w:val="center"/>
                </w:tcPr>
                <w:p>
                  <w:pPr>
                    <w:pStyle w:val="101"/>
                    <w:keepNext w:val="0"/>
                    <w:keepLines w:val="0"/>
                    <w:suppressLineNumbers w:val="0"/>
                    <w:spacing w:before="0" w:beforeAutospacing="0" w:after="0" w:afterAutospacing="0" w:line="320" w:lineRule="exact"/>
                    <w:ind w:left="0" w:right="0" w:firstLineChars="0" w:firstLine="0"/>
                    <w:jc w:val="center"/>
                    <w:rPr>
                      <w:rFonts w:ascii="Times New Roman" w:eastAsia="宋体" w:cs="Times New Roman" w:hAnsi="Calibri" w:hint="eastAsia"/>
                      <w:snapToGrid w:val="0"/>
                      <w:color w:val="auto"/>
                      <w:kern w:val="21"/>
                      <w:sz w:val="21"/>
                      <w:szCs w:val="21"/>
                      <w:lang w:val="en-US" w:eastAsia="zh-CN" w:bidi="ar-SA"/>
                      <w:highlight w:val="none"/>
                    </w:rPr>
                  </w:pPr>
                  <w:r>
                    <w:rPr>
                      <w:rFonts w:ascii="Times New Roman" w:cs="Times New Roman" w:hAnsi="Calibri"/>
                      <w:snapToGrid w:val="0"/>
                      <w:color w:val="auto"/>
                      <w:kern w:val="21"/>
                      <w:sz w:val="21"/>
                      <w:szCs w:val="21"/>
                      <w:lang w:val="en-US" w:eastAsia="zh-CN"/>
                      <w:highlight w:val="none"/>
                    </w:rPr>
                    <w:t>废气</w:t>
                  </w:r>
                </w:p>
              </w:tc>
              <w:tc>
                <w:tcPr>
                  <w:tcW w:w="586" w:type="pct"/>
                  <w:tcBorders>
                    <w:left w:val="single" w:sz="4" w:space="0" w:color="auto"/>
                  </w:tcBorders>
                  <w:shd w:val="clear" w:color="auto" w:fill="auto"/>
                  <w:tcMar>
                    <w:left w:w="28" w:type="dxa"/>
                    <w:right w:w="28" w:type="dxa"/>
                  </w:tcMar>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bCs/>
                      <w:caps w:val="0"/>
                      <w:smallCaps w:val="0"/>
                      <w:color w:val="auto"/>
                      <w:spacing w:val="0"/>
                      <w:kern w:val="0"/>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颗粒物</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0.411</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0.225</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0.411</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0.225</w:t>
                  </w:r>
                </w:p>
              </w:tc>
              <w:tc>
                <w:tcPr>
                  <w:tcW w:w="802"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-0.186</w:t>
                  </w:r>
                </w:p>
              </w:tc>
            </w:tr>
            <w:tr>
              <w:trPr>
                <w:trHeight w:val="369"/>
              </w:trPr>
              <w:tc>
                <w:tcPr>
                  <w:tcW w:w="585" w:type="pct"/>
                  <w:vMerge/>
                  <w:tcMar>
                    <w:left w:w="28" w:type="dxa"/>
                    <w:right w:w="28" w:type="dxa"/>
                  </w:tcMar>
                  <w:vAlign w:val="center"/>
                </w:tcPr>
                <w:p/>
              </w:tc>
              <w:tc>
                <w:tcPr>
                  <w:tcW w:w="586" w:type="pct"/>
                  <w:tcBorders>
                    <w:left w:val="single" w:sz="4" w:space="0" w:color="auto"/>
                  </w:tcBorders>
                  <w:shd w:val="clear" w:color="auto" w:fill="auto"/>
                  <w:tcMar>
                    <w:left w:w="28" w:type="dxa"/>
                    <w:right w:w="28" w:type="dxa"/>
                  </w:tcMar>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氨</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0.127</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0.125</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0.127</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0.125</w:t>
                  </w:r>
                </w:p>
              </w:tc>
              <w:tc>
                <w:tcPr>
                  <w:tcW w:w="802" w:type="pct"/>
                  <w:tcBorders>
                    <w:left w:val="single" w:sz="4" w:space="0" w:color="auto"/>
                  </w:tcBorders>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-0.002</w:t>
                  </w:r>
                </w:p>
              </w:tc>
            </w:tr>
            <w:tr>
              <w:trPr>
                <w:trHeight w:val="90"/>
              </w:trPr>
              <w:tc>
                <w:tcPr>
                  <w:tcW w:w="585" w:type="pct"/>
                  <w:vMerge/>
                  <w:tcMar>
                    <w:left w:w="28" w:type="dxa"/>
                    <w:right w:w="28" w:type="dxa"/>
                  </w:tcMar>
                  <w:vAlign w:val="center"/>
                </w:tcPr>
                <w:p/>
              </w:tc>
              <w:tc>
                <w:tcPr>
                  <w:tcW w:w="586" w:type="pct"/>
                  <w:tcBorders>
                    <w:left w:val="single" w:sz="4" w:space="0" w:color="auto"/>
                  </w:tcBorders>
                  <w:shd w:val="clear" w:color="auto" w:fill="auto"/>
                  <w:tcMar>
                    <w:left w:w="28" w:type="dxa"/>
                    <w:right w:w="28" w:type="dxa"/>
                  </w:tcMar>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非甲烷总烃</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0.152</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0.076</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0.152</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0.076</w:t>
                  </w:r>
                </w:p>
              </w:tc>
              <w:tc>
                <w:tcPr>
                  <w:tcW w:w="802" w:type="pct"/>
                  <w:tcBorders>
                    <w:left w:val="single" w:sz="4" w:space="0" w:color="auto"/>
                  </w:tcBorders>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-0.076</w:t>
                  </w:r>
                </w:p>
              </w:tc>
            </w:tr>
            <w:tr>
              <w:trPr>
                <w:trHeight w:val="369"/>
              </w:trPr>
              <w:tc>
                <w:tcPr>
                  <w:tcW w:w="585" w:type="pct"/>
                  <w:vMerge w:val="restart"/>
                  <w:shd w:val="clear" w:color="auto" w:fill="auto"/>
                  <w:tcMar>
                    <w:left w:w="28" w:type="dxa"/>
                    <w:right w:w="28" w:type="dxa"/>
                  </w:tcMar>
                  <w:vAlign w:val="center"/>
                </w:tcPr>
                <w:p>
                  <w:pPr>
                    <w:pStyle w:val="101"/>
                    <w:keepNext w:val="0"/>
                    <w:keepLines w:val="0"/>
                    <w:suppressLineNumbers w:val="0"/>
                    <w:spacing w:before="0" w:beforeAutospacing="0" w:after="0" w:afterAutospacing="0" w:line="320" w:lineRule="exact"/>
                    <w:ind w:left="0" w:right="0" w:firstLineChars="0" w:firstLine="0"/>
                    <w:jc w:val="center"/>
                    <w:rPr>
                      <w:rFonts w:ascii="Times New Roman" w:eastAsia="宋体" w:cs="Times New Roman" w:hAnsi="Calibri" w:hint="eastAsia"/>
                      <w:snapToGrid w:val="0"/>
                      <w:color w:val="auto"/>
                      <w:kern w:val="21"/>
                      <w:sz w:val="21"/>
                      <w:szCs w:val="21"/>
                      <w:lang w:val="en-US" w:eastAsia="zh-CN" w:bidi="ar-SA"/>
                      <w:highlight w:val="none"/>
                    </w:rPr>
                  </w:pPr>
                  <w:r>
                    <w:rPr>
                      <w:rFonts w:ascii="Times New Roman" w:cs="Times New Roman" w:hAnsi="Calibri" w:hint="eastAsia"/>
                      <w:snapToGrid w:val="0"/>
                      <w:color w:val="auto"/>
                      <w:kern w:val="21"/>
                      <w:sz w:val="21"/>
                      <w:szCs w:val="21"/>
                      <w:lang w:val="en-US" w:eastAsia="zh-CN"/>
                      <w:highlight w:val="none"/>
                    </w:rPr>
                    <w:t>废水</w:t>
                  </w:r>
                </w:p>
              </w:tc>
              <w:tc>
                <w:tcPr>
                  <w:tcW w:w="586"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pH</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802" w:type="pct"/>
                  <w:tcBorders>
                    <w:left w:val="single" w:sz="4" w:space="0" w:color="auto"/>
                  </w:tcBorders>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r>
            <w:tr>
              <w:trPr>
                <w:trHeight w:val="369"/>
              </w:trPr>
              <w:tc>
                <w:tcPr>
                  <w:tcW w:w="585" w:type="pct"/>
                  <w:vMerge/>
                  <w:tcMar>
                    <w:left w:w="28" w:type="dxa"/>
                    <w:right w:w="28" w:type="dxa"/>
                  </w:tcMar>
                  <w:vAlign w:val="center"/>
                </w:tcPr>
                <w:p/>
              </w:tc>
              <w:tc>
                <w:tcPr>
                  <w:tcW w:w="586"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悬浮物</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w:t>
                  </w:r>
                </w:p>
              </w:tc>
              <w:tc>
                <w:tcPr>
                  <w:tcW w:w="719"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0.020</w:t>
                  </w:r>
                </w:p>
              </w:tc>
              <w:tc>
                <w:tcPr>
                  <w:tcW w:w="7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w:t>
                  </w:r>
                </w:p>
              </w:tc>
              <w:tc>
                <w:tcPr>
                  <w:tcW w:w="719" w:type="pct"/>
                  <w:tcBorders>
                    <w:left w:val="single" w:sz="4" w:space="0" w:color="auto"/>
                  </w:tcBorders>
                  <w:shd w:val="clear" w:color="auto" w:fill="auto"/>
                  <w:tcMar>
                    <w:left w:w="28" w:type="dxa"/>
                    <w:right w:w="28" w:type="dxa"/>
                  </w:tcMar>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0.020</w:t>
                  </w:r>
                </w:p>
              </w:tc>
              <w:tc>
                <w:tcPr>
                  <w:tcW w:w="802" w:type="pct"/>
                  <w:tcBorders>
                    <w:left w:val="single" w:sz="4" w:space="0" w:color="auto"/>
                  </w:tcBorders>
                  <w:tcMar>
                    <w:left w:w="28" w:type="dxa"/>
                    <w:right w:w="28" w:type="dxa"/>
                  </w:tcMar>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0.014</w:t>
                  </w:r>
                </w:p>
              </w:tc>
            </w:tr>
            <w:tr>
              <w:trPr>
                <w:trHeight w:val="369"/>
              </w:trPr>
              <w:tc>
                <w:tcPr>
                  <w:tcW w:w="585" w:type="pct"/>
                  <w:vMerge/>
                  <w:vAlign w:val="center"/>
                </w:tcPr>
                <w:p/>
              </w:tc>
              <w:tc>
                <w:tcPr>
                  <w:tcW w:w="58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化学需氧量</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0.049</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0.049</w:t>
                  </w:r>
                </w:p>
              </w:tc>
              <w:tc>
                <w:tcPr>
                  <w:tcW w:w="802" w:type="pct"/>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0.043</w:t>
                  </w:r>
                </w:p>
              </w:tc>
            </w:tr>
            <w:tr>
              <w:trPr>
                <w:trHeight w:val="369"/>
              </w:trPr>
              <w:tc>
                <w:tcPr>
                  <w:tcW w:w="585" w:type="pct"/>
                  <w:vMerge/>
                  <w:vAlign w:val="center"/>
                </w:tcPr>
                <w:p/>
              </w:tc>
              <w:tc>
                <w:tcPr>
                  <w:tcW w:w="58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五日生化需氧量</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0.007</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0.026</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0.007</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0.026</w:t>
                  </w:r>
                </w:p>
              </w:tc>
              <w:tc>
                <w:tcPr>
                  <w:tcW w:w="802" w:type="pct"/>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0.019</w:t>
                  </w:r>
                </w:p>
              </w:tc>
            </w:tr>
            <w:tr>
              <w:trPr>
                <w:trHeight w:val="369"/>
              </w:trPr>
              <w:tc>
                <w:tcPr>
                  <w:tcW w:w="585" w:type="pct"/>
                  <w:vMerge/>
                  <w:vAlign w:val="center"/>
                </w:tcPr>
                <w:p/>
              </w:tc>
              <w:tc>
                <w:tcPr>
                  <w:tcW w:w="58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氨氮</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9.370</w:t>
                  </w:r>
                  <w:r>
                    <w:rPr>
                      <w:rFonts w:ascii="Times New Roman" w:eastAsia="宋体" w:cs="Times New Roman" w:hAnsi="Times New Roman"/>
                      <w:caps w:val="0"/>
                      <w:smallCaps w:val="0"/>
                      <w:color w:val="auto"/>
                      <w:spacing w:val="0"/>
                      <w:kern w:val="0"/>
                      <w:sz w:val="21"/>
                      <w:szCs w:val="21"/>
                      <w:lang w:val="en-US" w:eastAsia="zh-CN"/>
                      <w:highlight w:val="none"/>
                    </w:rPr>
                    <w:t>×10</w:t>
                  </w:r>
                  <w:r>
                    <w:rPr>
                      <w:rFonts w:ascii="Times New Roman" w:eastAsia="宋体" w:cs="Times New Roman" w:hAnsi="Times New Roman"/>
                      <w:caps w:val="0"/>
                      <w:smallCaps w:val="0"/>
                      <w:color w:val="auto"/>
                      <w:spacing w:val="0"/>
                      <w:kern w:val="0"/>
                      <w:sz w:val="21"/>
                      <w:szCs w:val="21"/>
                      <w:vertAlign w:val="superscript"/>
                      <w:lang w:val="en-US" w:eastAsia="zh-CN"/>
                      <w:highlight w:val="none"/>
                    </w:rPr>
                    <w:t>-4</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0.004</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9.370</w:t>
                  </w:r>
                  <w:r>
                    <w:rPr>
                      <w:rFonts w:ascii="Times New Roman" w:eastAsia="宋体" w:cs="Times New Roman" w:hAnsi="Times New Roman"/>
                      <w:caps w:val="0"/>
                      <w:smallCaps w:val="0"/>
                      <w:color w:val="auto"/>
                      <w:spacing w:val="0"/>
                      <w:kern w:val="0"/>
                      <w:sz w:val="21"/>
                      <w:szCs w:val="21"/>
                      <w:lang w:val="en-US" w:eastAsia="zh-CN"/>
                      <w:highlight w:val="none"/>
                    </w:rPr>
                    <w:t>×10</w:t>
                  </w:r>
                  <w:r>
                    <w:rPr>
                      <w:rFonts w:ascii="Times New Roman" w:eastAsia="宋体" w:cs="Times New Roman" w:hAnsi="Times New Roman"/>
                      <w:caps w:val="0"/>
                      <w:smallCaps w:val="0"/>
                      <w:color w:val="auto"/>
                      <w:spacing w:val="0"/>
                      <w:kern w:val="0"/>
                      <w:sz w:val="21"/>
                      <w:szCs w:val="21"/>
                      <w:vertAlign w:val="superscript"/>
                      <w:lang w:val="en-US" w:eastAsia="zh-CN"/>
                      <w:highlight w:val="none"/>
                    </w:rPr>
                    <w:t>-4</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0.004</w:t>
                  </w:r>
                </w:p>
              </w:tc>
              <w:tc>
                <w:tcPr>
                  <w:tcW w:w="802" w:type="pct"/>
                  <w:tcBorders>
                    <w:left w:val="single" w:sz="4" w:space="0" w:color="auto"/>
                  </w:tcBorders>
                  <w:vAlign w:val="center"/>
                </w:tcPr>
                <w:p>
                  <w:pPr>
                    <w:keepNext w:val="0"/>
                    <w:keepLines w:val="0"/>
                    <w:suppressLineNumbers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+0.003</w:t>
                  </w:r>
                </w:p>
              </w:tc>
            </w:tr>
            <w:tr>
              <w:trPr>
                <w:trHeight w:val="369"/>
              </w:trPr>
              <w:tc>
                <w:tcPr>
                  <w:tcW w:w="585" w:type="pct"/>
                  <w:vMerge/>
                  <w:vAlign w:val="center"/>
                </w:tcPr>
                <w:p/>
              </w:tc>
              <w:tc>
                <w:tcPr>
                  <w:tcW w:w="58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总氮</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0.007</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0.007</w:t>
                  </w:r>
                </w:p>
              </w:tc>
              <w:tc>
                <w:tcPr>
                  <w:tcW w:w="802" w:type="pct"/>
                  <w:tcBorders>
                    <w:left w:val="single" w:sz="4" w:space="0" w:color="auto"/>
                  </w:tcBorders>
                  <w:vAlign w:val="center"/>
                </w:tcPr>
                <w:p>
                  <w:pPr>
                    <w:keepNext w:val="0"/>
                    <w:keepLines w:val="0"/>
                    <w:suppressLineNumbers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+0.007</w:t>
                  </w:r>
                </w:p>
              </w:tc>
            </w:tr>
            <w:tr>
              <w:trPr>
                <w:trHeight w:val="369"/>
              </w:trPr>
              <w:tc>
                <w:tcPr>
                  <w:tcW w:w="585" w:type="pct"/>
                  <w:vMerge/>
                  <w:vAlign w:val="center"/>
                </w:tcPr>
                <w:p/>
              </w:tc>
              <w:tc>
                <w:tcPr>
                  <w:tcW w:w="586"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总磷</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p>
              </w:tc>
              <w:tc>
                <w:tcPr>
                  <w:tcW w:w="793" w:type="pct"/>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719" w:type="pct"/>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hint="eastAsia"/>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p>
              </w:tc>
              <w:tc>
                <w:tcPr>
                  <w:tcW w:w="802" w:type="pct"/>
                  <w:tcBorders>
                    <w:left w:val="single" w:sz="4" w:space="0" w:color="auto"/>
                  </w:tcBorders>
                  <w:vAlign w:val="center"/>
                </w:tcPr>
                <w:p>
                  <w:pPr>
                    <w:keepNext w:val="0"/>
                    <w:keepLines w:val="0"/>
                    <w:suppressLineNumbers w:val="0"/>
                    <w:spacing w:before="0" w:beforeAutospacing="0" w:after="0" w:afterAutospacing="0" w:line="320" w:lineRule="exact"/>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w:t>
                  </w: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p>
              </w:tc>
            </w:tr>
          </w:tbl>
          <w:p>
            <w:pPr>
              <w:keepNext w:val="0"/>
              <w:keepLines w:val="0"/>
              <w:suppressLineNumbers w:val="0"/>
              <w:tabs>
                <w:tab w:val="left" w:pos="6240"/>
              </w:tabs>
              <w:spacing w:before="0" w:beforeAutospacing="0" w:after="0" w:afterAutospacing="0" w:line="480" w:lineRule="exact"/>
              <w:ind w:left="0" w:right="0"/>
              <w:jc w:val="center"/>
              <w:rPr>
                <w:rFonts w:eastAsia="宋体"/>
                <w:b/>
                <w:color w:val="auto"/>
                <w:sz w:val="24"/>
                <w:szCs w:val="20"/>
                <w:lang w:val="en-US" w:eastAsia="zh-CN"/>
                <w:highlight w:val="none"/>
              </w:rPr>
            </w:pPr>
            <w:r>
              <w:rPr>
                <w:rFonts w:ascii="Times New Roman" w:cs="Times New Roman" w:hAnsi="Times New Roman"/>
                <w:b/>
                <w:color w:val="auto"/>
                <w:sz w:val="24"/>
                <w:szCs w:val="20"/>
                <w:highlight w:val="none"/>
              </w:rPr>
              <w:t>表</w:t>
            </w:r>
            <w:r>
              <w:rPr>
                <w:rFonts w:ascii="Times New Roman" w:cs="Times New Roman" w:hAnsi="Times New Roman" w:hint="eastAsia"/>
                <w:b/>
                <w:color w:val="auto"/>
                <w:sz w:val="24"/>
                <w:szCs w:val="20"/>
                <w:lang w:val="en-US" w:eastAsia="zh-CN"/>
                <w:highlight w:val="none"/>
              </w:rPr>
              <w:t xml:space="preserve">4-23 </w:t>
            </w:r>
            <w:r>
              <w:rPr>
                <w:rFonts w:ascii="Times New Roman" w:cs="Times New Roman" w:hAnsi="Times New Roman"/>
                <w:b/>
                <w:color w:val="auto"/>
                <w:sz w:val="24"/>
                <w:szCs w:val="20"/>
                <w:highlight w:val="none"/>
              </w:rPr>
              <w:t xml:space="preserve"> </w:t>
            </w:r>
            <w:r>
              <w:rPr>
                <w:rFonts w:ascii="Times New Roman" w:cs="Times New Roman" w:hAnsi="Times New Roman" w:hint="eastAsia"/>
                <w:b/>
                <w:color w:val="auto"/>
                <w:sz w:val="24"/>
                <w:szCs w:val="20"/>
                <w:lang w:val="en-US" w:eastAsia="zh-CN"/>
                <w:highlight w:val="none"/>
              </w:rPr>
              <w:t>固废产生量“三本账”</w:t>
            </w:r>
          </w:p>
          <w:tbl>
            <w:tblPr>
              <w:jc w:val="cente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290"/>
              <w:gridCol w:w="1749"/>
              <w:gridCol w:w="1586"/>
              <w:gridCol w:w="1586"/>
              <w:gridCol w:w="1768"/>
            </w:tblGrid>
            <w:tr>
              <w:trPr>
                <w:trHeight w:val="369"/>
              </w:trPr>
              <w:tc>
                <w:tcPr>
                  <w:tcW w:w="808"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hint="eastAsia"/>
                      <w:color w:val="auto"/>
                      <w:szCs w:val="21"/>
                      <w:lang w:val="en-US" w:eastAsia="zh-CN"/>
                      <w:highlight w:val="none"/>
                    </w:rPr>
                  </w:pPr>
                  <w:r>
                    <w:rPr>
                      <w:rFonts w:ascii="Times New Roman" w:cs="Times New Roman" w:hAnsi="Times New Roman" w:hint="eastAsia"/>
                      <w:color w:val="auto"/>
                      <w:sz w:val="21"/>
                      <w:szCs w:val="21"/>
                      <w:lang w:val="en-US" w:eastAsia="zh-CN"/>
                      <w:highlight w:val="none"/>
                    </w:rPr>
                    <w:t>污染物</w:t>
                  </w:r>
                </w:p>
              </w:tc>
              <w:tc>
                <w:tcPr>
                  <w:tcW w:w="1095"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现有工程产生量</w:t>
                  </w:r>
                </w:p>
              </w:tc>
              <w:tc>
                <w:tcPr>
                  <w:tcW w:w="993" w:type="pct"/>
                  <w:tcMar>
                    <w:left w:w="28" w:type="dxa"/>
                    <w:right w:w="28" w:type="dxa"/>
                  </w:tcMar>
                  <w:vAlign w:val="center"/>
                </w:tcPr>
                <w:p>
                  <w:pPr>
                    <w:keepNext w:val="0"/>
                    <w:keepLines w:val="0"/>
                    <w:suppressLineNumbers w:val="0"/>
                    <w:spacing w:before="0" w:beforeAutospacing="0" w:after="0" w:afterAutospacing="0"/>
                    <w:ind w:left="0" w:right="0"/>
                    <w:jc w:val="center"/>
                    <w:rPr>
                      <w:rFonts w:eastAsia="宋体"/>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本项目产生量</w:t>
                  </w:r>
                </w:p>
              </w:tc>
              <w:tc>
                <w:tcPr>
                  <w:tcW w:w="993"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本项目建成后全厂产生量</w:t>
                  </w:r>
                </w:p>
              </w:tc>
              <w:tc>
                <w:tcPr>
                  <w:tcW w:w="1107" w:type="pct"/>
                  <w:tcMar>
                    <w:left w:w="28" w:type="dxa"/>
                    <w:right w:w="28" w:type="dxa"/>
                  </w:tcMar>
                  <w:vAlign w:val="center"/>
                </w:tcPr>
                <w:p>
                  <w:pPr>
                    <w:keepNext w:val="0"/>
                    <w:keepLines w:val="0"/>
                    <w:suppressLineNumbers w:val="0"/>
                    <w:spacing w:before="0" w:beforeAutospacing="0" w:after="0" w:afterAutospacing="0"/>
                    <w:ind w:left="0" w:right="0"/>
                    <w:jc w:val="center"/>
                    <w:rPr>
                      <w:color w:val="auto"/>
                      <w:szCs w:val="21"/>
                      <w:lang w:val="en-US" w:eastAsia="zh-CN"/>
                      <w:highlight w:val="none"/>
                    </w:rPr>
                  </w:pPr>
                  <w:r>
                    <w:rPr>
                      <w:rFonts w:ascii="Times New Roman" w:cs="Times New Roman" w:hAnsi="Times New Roman" w:hint="eastAsia"/>
                      <w:color w:val="auto"/>
                      <w:sz w:val="21"/>
                      <w:szCs w:val="21"/>
                      <w:lang w:val="en-US" w:eastAsia="zh-CN"/>
                      <w:highlight w:val="none"/>
                    </w:rPr>
                    <w:t>变化量</w:t>
                  </w:r>
                </w:p>
              </w:tc>
            </w:tr>
            <w:tr>
              <w:trPr>
                <w:trHeight w:val="369"/>
              </w:trPr>
              <w:tc>
                <w:tcPr>
                  <w:tcW w:w="808" w:type="pct"/>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废包装材料</w:t>
                  </w:r>
                </w:p>
              </w:tc>
              <w:tc>
                <w:tcPr>
                  <w:tcW w:w="1095"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0.353</w:t>
                  </w:r>
                  <w:r>
                    <w:rPr>
                      <w:rFonts w:ascii="Times New Roman" w:cs="Times New Roman" w:hAnsi="Times New Roman"/>
                      <w:caps w:val="0"/>
                      <w:smallCaps w:val="0"/>
                      <w:color w:val="auto"/>
                      <w:spacing w:val="0"/>
                      <w:kern w:val="2"/>
                      <w:sz w:val="21"/>
                      <w:szCs w:val="21"/>
                      <w:lang w:val="en-US" w:eastAsia="zh-CN" w:bidi="ar-SA"/>
                      <w:highlight w:val="none"/>
                    </w:rPr>
                    <w:t>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0.353</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107" w:type="pct"/>
                  <w:tcBorders>
                    <w:left w:val="single" w:sz="4" w:space="0" w:color="auto"/>
                  </w:tcBorders>
                  <w:shd w:val="clear" w:color="auto" w:fill="auto"/>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-0.147</w:t>
                  </w:r>
                </w:p>
              </w:tc>
            </w:tr>
            <w:tr>
              <w:trPr>
                <w:trHeight w:val="369"/>
              </w:trPr>
              <w:tc>
                <w:tcPr>
                  <w:tcW w:w="808" w:type="pct"/>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废塑料边角料</w:t>
                  </w:r>
                </w:p>
              </w:tc>
              <w:tc>
                <w:tcPr>
                  <w:tcW w:w="1095"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1.0t/a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107" w:type="pct"/>
                  <w:tcBorders>
                    <w:left w:val="single" w:sz="4" w:space="0" w:color="auto"/>
                  </w:tcBorders>
                  <w:shd w:val="clear" w:color="auto" w:fill="auto"/>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i w:val="0"/>
                      <w:iCs w:val="0"/>
                      <w:color w:val="auto"/>
                      <w:kern w:val="0"/>
                      <w:sz w:val="21"/>
                      <w:szCs w:val="21"/>
                      <w:u w:val="none"/>
                      <w:lang w:val="en-US" w:eastAsia="zh-CN"/>
                      <w:highlight w:val="none"/>
                    </w:rPr>
                    <w:t>-0.9</w:t>
                  </w:r>
                </w:p>
              </w:tc>
            </w:tr>
            <w:tr>
              <w:trPr>
                <w:trHeight w:val="90"/>
              </w:trPr>
              <w:tc>
                <w:tcPr>
                  <w:tcW w:w="808" w:type="pct"/>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不合格品</w:t>
                  </w:r>
                </w:p>
              </w:tc>
              <w:tc>
                <w:tcPr>
                  <w:tcW w:w="1095"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0.5t/a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0.1t/a</w:t>
                  </w:r>
                </w:p>
              </w:tc>
              <w:tc>
                <w:tcPr>
                  <w:tcW w:w="1107" w:type="pct"/>
                  <w:tcBorders>
                    <w:left w:val="single" w:sz="4" w:space="0" w:color="auto"/>
                  </w:tcBorders>
                  <w:shd w:val="clear" w:color="auto" w:fill="auto"/>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-0.4</w:t>
                  </w:r>
                </w:p>
              </w:tc>
            </w:tr>
            <w:tr>
              <w:trPr>
                <w:trHeight w:val="369"/>
              </w:trPr>
              <w:tc>
                <w:tcPr>
                  <w:tcW w:w="808" w:type="pct"/>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金属下脚料</w:t>
                  </w:r>
                </w:p>
              </w:tc>
              <w:tc>
                <w:tcPr>
                  <w:tcW w:w="1095"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993" w:type="pct"/>
                  <w:tcBorders>
                    <w:left w:val="single" w:sz="4" w:space="0" w:color="auto"/>
                  </w:tcBorders>
                  <w:shd w:val="clear" w:color="auto" w:fill="auto"/>
                  <w:tcMar>
                    <w:left w:w="28" w:type="dxa"/>
                    <w:right w:w="28"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1107" w:type="pct"/>
                  <w:tcBorders>
                    <w:left w:val="single" w:sz="4" w:space="0" w:color="auto"/>
                  </w:tcBorders>
                  <w:shd w:val="clear" w:color="auto" w:fill="auto"/>
                  <w:tcMar>
                    <w:left w:w="28" w:type="dxa"/>
                    <w:right w:w="28" w:type="dxa"/>
                  </w:tcMar>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-0.97</w:t>
                  </w:r>
                </w:p>
              </w:tc>
            </w:tr>
            <w:tr>
              <w:trPr>
                <w:trHeight w:val="369"/>
              </w:trPr>
              <w:tc>
                <w:tcPr>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不合格电极片</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-0.47</w:t>
                  </w:r>
                </w:p>
              </w:tc>
            </w:tr>
            <w:tr>
              <w:trPr>
                <w:trHeight w:val="369"/>
              </w:trPr>
              <w:tc>
                <w:tcPr>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color w:val="auto"/>
                      <w:kern w:val="0"/>
                      <w:sz w:val="21"/>
                      <w:szCs w:val="21"/>
                      <w:highlight w:val="none"/>
                    </w:rPr>
                    <w:t>生活垃圾</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3t/a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cs="Times New Roman" w:hAnsi="Times New Roman" w:hint="eastAsia"/>
                      <w:caps w:val="0"/>
                      <w:smallCaps w:val="0"/>
                      <w:snapToGrid w:val="0"/>
                      <w:color w:val="auto"/>
                      <w:spacing w:val="0"/>
                      <w:kern w:val="21"/>
                      <w:sz w:val="21"/>
                      <w:szCs w:val="21"/>
                      <w:lang w:val="en-US" w:eastAsia="zh-CN" w:bidi="ar-SA"/>
                      <w:highlight w:val="none"/>
                    </w:rPr>
                    <w:t>3</w:t>
                  </w:r>
                  <w:r>
                    <w:rPr>
                      <w:rFonts w:ascii="Times New Roman" w:cs="Times New Roman" w:hAnsi="Times New Roman" w:hint="eastAsia"/>
                      <w:snapToGrid w:val="0"/>
                      <w:color w:val="auto"/>
                      <w:kern w:val="21"/>
                      <w:sz w:val="21"/>
                      <w:szCs w:val="21"/>
                      <w:lang w:val="en-US" w:eastAsia="zh-CN"/>
                      <w:highlight w:val="none"/>
                    </w:rPr>
                    <w:t>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hint="eastAsia"/>
                      <w:caps w:val="0"/>
                      <w:smallCaps w:val="0"/>
                      <w:snapToGrid w:val="0"/>
                      <w:color w:val="auto"/>
                      <w:spacing w:val="0"/>
                      <w:kern w:val="21"/>
                      <w:sz w:val="21"/>
                      <w:szCs w:val="21"/>
                      <w:lang w:val="en-US" w:eastAsia="zh-CN" w:bidi="ar-SA"/>
                      <w:highlight w:val="none"/>
                    </w:rPr>
                  </w:pPr>
                  <w:r>
                    <w:rPr>
                      <w:rFonts w:ascii="Times New Roman" w:cs="Times New Roman" w:hAnsi="Times New Roman" w:hint="eastAsia"/>
                      <w:caps w:val="0"/>
                      <w:smallCaps w:val="0"/>
                      <w:snapToGrid w:val="0"/>
                      <w:color w:val="auto"/>
                      <w:spacing w:val="0"/>
                      <w:kern w:val="21"/>
                      <w:sz w:val="21"/>
                      <w:szCs w:val="21"/>
                      <w:lang w:val="en-US" w:eastAsia="zh-CN" w:bidi="ar-SA"/>
                      <w:highlight w:val="none"/>
                    </w:rPr>
                    <w:t>3</w:t>
                  </w:r>
                  <w:r>
                    <w:rPr>
                      <w:rFonts w:ascii="Times New Roman" w:cs="Times New Roman" w:hAnsi="Times New Roman" w:hint="eastAsia"/>
                      <w:snapToGrid w:val="0"/>
                      <w:color w:val="auto"/>
                      <w:kern w:val="21"/>
                      <w:sz w:val="21"/>
                      <w:szCs w:val="21"/>
                      <w:lang w:val="en-US" w:eastAsia="zh-CN"/>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0.05t/a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-0.045</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废润滑油桶</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+0.001</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含油抹布及废劳保用品</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0.01t/a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-0.009</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-0.995</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0.018t/a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-0.013</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+0.001</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+0.131</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除尘灰</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+0.225</w:t>
                  </w:r>
                </w:p>
              </w:tc>
            </w:tr>
            <w:tr>
              <w:trPr>
                <w:trHeight w:val="369"/>
              </w:trPr>
              <w:tc>
                <w:tcPr>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0.6t/a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w:t>
                  </w:r>
                  <w:r>
                    <w:rPr>
                      <w:rFonts w:ascii="Times New Roman" w:cs="Times New Roman" w:hAnsi="Times New Roman" w:hint="eastAsia"/>
                      <w:i w:val="0"/>
                      <w:iCs w:val="0"/>
                      <w:color w:val="auto"/>
                      <w:kern w:val="0"/>
                      <w:sz w:val="21"/>
                      <w:szCs w:val="21"/>
                      <w:u w:val="none"/>
                      <w:lang w:val="en-US" w:eastAsia="zh-CN"/>
                      <w:highlight w:val="none"/>
                    </w:rPr>
                    <w:t>2.751</w:t>
                  </w:r>
                </w:p>
              </w:tc>
            </w:tr>
          </w:tbl>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jc w:val="both"/>
              <w:rPr>
                <w:rFonts w:cs="Times New Roman" w:hint="eastAsia"/>
                <w:caps w:val="0"/>
                <w:smallCaps w:val="0"/>
                <w:color w:val="auto"/>
                <w:spacing w:val="0"/>
                <w:lang w:val="en-US" w:eastAsia="zh-CN"/>
                <w:highlight w:val="none"/>
              </w:rPr>
            </w:pPr>
          </w:p>
          <w:p>
            <w:pPr>
              <w:pStyle w:val="137"/>
              <w:keepNext w:val="0"/>
              <w:keepLines w:val="0"/>
              <w:suppressLineNumbers w:val="0"/>
              <w:spacing w:before="0" w:beforeAutospacing="0" w:after="0" w:afterAutospacing="0"/>
              <w:ind w:left="0" w:right="0" w:firstLineChars="0" w:firstLine="0"/>
              <w:jc w:val="both"/>
              <w:rPr>
                <w:rFonts w:ascii="Times New Roman" w:eastAsia="宋体" w:cs="Times New Roman" w:hAnsi="Times New Roman"/>
                <w:caps w:val="0"/>
                <w:smallCaps w:val="0"/>
                <w:color w:val="auto"/>
                <w:spacing w:val="0"/>
                <w:lang w:val="en-US" w:eastAsia="zh-CN"/>
                <w:highlight w:val="none"/>
              </w:rPr>
            </w:pPr>
          </w:p>
        </w:tc>
      </w:tr>
    </w:tbl>
    <w:p>
      <w:pPr>
        <w:pStyle w:val="15"/>
        <w:rPr>
          <w:rFonts w:ascii="Times New Roman" w:cs="Times New Roman" w:hAnsi="Times New Roman"/>
          <w:color w:val="auto"/>
          <w:highlight w:val="none"/>
        </w:rPr>
      </w:pPr>
      <w:r>
        <w:rPr>
          <w:rFonts w:ascii="Times New Roman" w:cs="Times New Roman" w:hAnsi="Times New Roman"/>
          <w:color w:val="auto"/>
          <w:highlight w:val="none"/>
        </w:rPr>
        <w:br w:type="page"/>
      </w:r>
    </w:p>
    <w:p>
      <w:pPr>
        <w:pStyle w:val="45"/>
        <w:pageBreakBefore/>
        <w:widowControl/>
        <w:jc w:val="center"/>
        <w:outlineLvl w:val="0"/>
        <w:rPr>
          <w:rFonts w:ascii="Times New Roman" w:eastAsia="黑体" w:cs="Times New Roman" w:hAnsi="Times New Roman"/>
          <w:caps w:val="0"/>
          <w:smallCaps w:val="0"/>
          <w:snapToGrid w:val="0"/>
          <w:color w:val="auto"/>
          <w:spacing w:val="0"/>
          <w:sz w:val="30"/>
          <w:szCs w:val="30"/>
          <w:highlight w:val="none"/>
        </w:rPr>
      </w:pPr>
      <w:bookmarkStart w:id="37" w:name="_Toc18955"/>
      <w:r>
        <w:rPr>
          <w:rFonts w:ascii="Times New Roman" w:eastAsia="黑体" w:cs="Times New Roman" w:hAnsi="Times New Roman"/>
          <w:caps w:val="0"/>
          <w:smallCaps w:val="0"/>
          <w:snapToGrid w:val="0"/>
          <w:color w:val="auto"/>
          <w:spacing w:val="0"/>
          <w:sz w:val="30"/>
          <w:szCs w:val="30"/>
          <w:highlight w:val="none"/>
        </w:rPr>
        <w:t>五、</w:t>
      </w:r>
      <w:bookmarkStart w:id="38" w:name="_Hlk54167917"/>
      <w:r>
        <w:rPr>
          <w:rFonts w:ascii="Times New Roman" w:eastAsia="黑体" w:cs="Times New Roman" w:hAnsi="Times New Roman"/>
          <w:caps w:val="0"/>
          <w:smallCaps w:val="0"/>
          <w:snapToGrid w:val="0"/>
          <w:color w:val="auto"/>
          <w:spacing w:val="0"/>
          <w:sz w:val="30"/>
          <w:szCs w:val="30"/>
          <w:highlight w:val="none"/>
        </w:rPr>
        <w:t>环境保护措施监督检查清单</w:t>
      </w:r>
      <w:bookmarkEnd w:id="37"/>
      <w:bookmarkEnd w:id="38"/>
    </w:p>
    <w:tbl>
      <w:tblPr>
        <w:jc w:val="center"/>
        <w:tblW w:w="905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top w:w="0" w:type="dxa"/>
          <w:left w:w="108" w:type="dxa"/>
          <w:bottom w:w="0" w:type="dxa"/>
          <w:right w:w="108" w:type="dxa"/>
        </w:tblCellMar>
        <w:tblLook w:val="0600" w:firstRow="0" w:lastRow="0" w:firstColumn="0" w:lastColumn="0" w:noHBand="1" w:noVBand="1"/>
      </w:tblPr>
      <w:tblGrid>
        <w:gridCol w:w="1205"/>
        <w:gridCol w:w="1436"/>
        <w:gridCol w:w="1418"/>
        <w:gridCol w:w="1843"/>
        <w:gridCol w:w="1842"/>
        <w:gridCol w:w="1309"/>
      </w:tblGrid>
      <w:tr>
        <w:trPr>
          <w:trHeight w:val="454"/>
        </w:trPr>
        <w:tc>
          <w:tcPr>
            <w:tcW w:w="1205" w:type="dxa"/>
            <w:tcBorders>
              <w:tl2br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 xml:space="preserve">      </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 xml:space="preserve"> 内容</w:t>
            </w:r>
          </w:p>
          <w:p>
            <w:pPr>
              <w:pStyle w:val="65"/>
              <w:keepNext w:val="0"/>
              <w:keepLines w:val="0"/>
              <w:pageBreakBefore w:val="0"/>
              <w:widowControl w:val="0"/>
              <w:suppressLineNumbers w:val="0"/>
              <w:kinsoku/>
              <w:wordWrap/>
              <w:overflowPunct/>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要素</w:t>
            </w:r>
          </w:p>
        </w:tc>
        <w:tc>
          <w:tcPr>
            <w:tcW w:w="1436"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排放口(编号、名称)/污染源</w:t>
            </w:r>
          </w:p>
        </w:tc>
        <w:tc>
          <w:tcPr>
            <w:tcW w:w="1418"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污染物项目</w:t>
            </w:r>
          </w:p>
        </w:tc>
        <w:tc>
          <w:tcPr>
            <w:tcW w:w="1843"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环境保护措施</w:t>
            </w:r>
          </w:p>
        </w:tc>
        <w:tc>
          <w:tcPr>
            <w:tcW w:w="3151" w:type="dxa"/>
            <w:gridSpan w:val="2"/>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执行标准</w:t>
            </w:r>
          </w:p>
        </w:tc>
      </w:tr>
      <w:tr>
        <w:trPr>
          <w:trHeight w:val="454"/>
        </w:trPr>
        <w:tc>
          <w:tcPr>
            <w:tcW w:w="1205" w:type="dxa"/>
            <w:vMerge w:val="restart"/>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大气环境</w:t>
            </w:r>
          </w:p>
        </w:tc>
        <w:tc>
          <w:tcPr>
            <w:tcW w:w="1436" w:type="dxa"/>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拆包、投料、烘干、注塑废气排放口</w:t>
            </w:r>
          </w:p>
        </w:tc>
        <w:tc>
          <w:tcPr>
            <w:tcW w:w="141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非甲烷总烃</w:t>
            </w:r>
          </w:p>
        </w:tc>
        <w:tc>
          <w:tcPr>
            <w:tcW w:w="1843" w:type="dxa"/>
            <w:vMerge w:val="restart"/>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布袋除尘器+两级活性炭吸附装置+15m高排气筒</w:t>
            </w: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caps w:val="0"/>
                <w:smallCaps w:val="0"/>
                <w:color w:val="auto"/>
                <w:spacing w:val="0"/>
                <w:sz w:val="21"/>
                <w:szCs w:val="21"/>
                <w:lang w:val="en-US" w:eastAsia="zh-CN"/>
                <w:highlight w:val="none"/>
              </w:rPr>
              <w:t>《工业企业挥发性有机物排放控制标准》（DB13/2322-2025）表1（塑料制品制造）标准</w:t>
            </w:r>
          </w:p>
        </w:tc>
      </w:tr>
      <w:tr>
        <w:trPr>
          <w:trHeight w:val="996"/>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1843" w:type="dxa"/>
            <w:vMerge/>
            <w:tcBorders>
              <w:left w:val="single" w:sz="4" w:space="0" w:color="auto"/>
            </w:tcBorders>
            <w:vAlign w:val="center"/>
          </w:tcPr>
          <w:p/>
        </w:tc>
        <w:tc>
          <w:tcPr>
            <w:tcW w:w="3151" w:type="dxa"/>
            <w:gridSpan w:val="2"/>
            <w:vMerge w:val="restart"/>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《合成树脂工业污染物排放标准》（GB31572-2015）（含2024年修改单）表5标准</w:t>
            </w:r>
          </w:p>
        </w:tc>
      </w:tr>
      <w:tr>
        <w:trPr>
          <w:trHeight w:val="996"/>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1843" w:type="dxa"/>
            <w:vMerge/>
            <w:tcBorders>
              <w:left w:val="single" w:sz="4" w:space="0" w:color="auto"/>
            </w:tcBorders>
            <w:vAlign w:val="center"/>
          </w:tcPr>
          <w:p/>
        </w:tc>
        <w:tc>
          <w:tcPr>
            <w:tcW w:w="3151" w:type="dxa"/>
            <w:gridSpan w:val="2"/>
            <w:vMerge/>
            <w:tcBorders>
              <w:left w:val="single" w:sz="4" w:space="0" w:color="auto"/>
            </w:tcBorders>
            <w:shd w:val="clear" w:color="auto" w:fill="auto"/>
            <w:vAlign w:val="center"/>
          </w:tcPr>
          <w:p/>
        </w:tc>
      </w:tr>
      <w:tr>
        <w:trPr>
          <w:trHeight w:val="996"/>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1843" w:type="dxa"/>
            <w:vMerge/>
            <w:tcBorders>
              <w:left w:val="single" w:sz="4" w:space="0" w:color="auto"/>
            </w:tcBorders>
            <w:vAlign w:val="center"/>
          </w:tcP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《恶臭污染物排放标准》（GB14554-93）表2标准</w:t>
            </w:r>
          </w:p>
        </w:tc>
      </w:tr>
      <w:tr>
        <w:trPr>
          <w:trHeight w:val="433"/>
        </w:trPr>
        <w:tc>
          <w:tcPr>
            <w:tcW w:w="1205" w:type="dxa"/>
            <w:vMerge/>
            <w:vAlign w:val="center"/>
          </w:tcPr>
          <w:p/>
        </w:tc>
        <w:tc>
          <w:tcPr>
            <w:tcW w:w="1436" w:type="dxa"/>
            <w:vMerge w:val="restart"/>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cs="Times New Roman"/>
                <w:caps w:val="0"/>
                <w:smallCaps w:val="0"/>
                <w:color w:val="auto"/>
                <w:spacing w:val="0"/>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无组织</w:t>
            </w:r>
          </w:p>
        </w:tc>
        <w:tc>
          <w:tcPr>
            <w:tcW w:w="141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颗粒物</w:t>
            </w:r>
          </w:p>
        </w:tc>
        <w:tc>
          <w:tcPr>
            <w:tcW w:w="1843" w:type="dxa"/>
            <w:vMerge w:val="restart"/>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cs="Times New Roman" w:hint="eastAsia"/>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原辅材料均在密闭库房内暂存，在贮存、输送、使用过程中保持密闭。本项目原料非即用状态袋装密封。加强拆包、投料、烘干、注塑废气集气罩收集。项目尼龙粒子采用原包料，采用密闭的包装袋进行转移；项目在开停工、检维修时，在退料阶段将残存物料退净，并用相应的密闭容器盛装，项目退料时两级活性炭吸附装置需开启</w:t>
            </w: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《合成树脂工业污染物排放标准》（GB31572-2015）（含2024年修改单）表</w:t>
            </w:r>
            <w:r>
              <w:rPr>
                <w:rFonts w:ascii="Times New Roman" w:cs="Times New Roman" w:hAnsi="Times New Roman" w:hint="eastAsia"/>
                <w:caps w:val="0"/>
                <w:smallCaps w:val="0"/>
                <w:color w:val="auto"/>
                <w:spacing w:val="0"/>
                <w:sz w:val="21"/>
                <w:szCs w:val="21"/>
                <w:lang w:val="en-US" w:eastAsia="zh-CN"/>
                <w:highlight w:val="none"/>
              </w:rPr>
              <w:t>9</w:t>
            </w:r>
            <w:r>
              <w:rPr>
                <w:rFonts w:ascii="Times New Roman" w:cs="Times New Roman" w:hAnsi="Times New Roman" w:hint="eastAsia"/>
                <w:caps w:val="0"/>
                <w:smallCaps w:val="0"/>
                <w:color w:val="auto"/>
                <w:spacing w:val="0"/>
                <w:sz w:val="21"/>
                <w:szCs w:val="21"/>
                <w:lang w:eastAsia="zh-CN"/>
                <w:highlight w:val="none"/>
              </w:rPr>
              <w:t>标准</w:t>
            </w:r>
          </w:p>
        </w:tc>
      </w:tr>
      <w:tr>
        <w:trPr>
          <w:trHeight w:val="394"/>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keepNext w:val="0"/>
              <w:keepLines w:val="0"/>
              <w:suppressLineNumbers w:val="0"/>
              <w:spacing w:before="0" w:beforeAutospacing="0" w:after="0" w:afterAutospacing="0"/>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val="en-US" w:eastAsia="zh-CN"/>
                <w:highlight w:val="none"/>
              </w:rPr>
              <w:t>氨</w:t>
            </w:r>
          </w:p>
        </w:tc>
        <w:tc>
          <w:tcPr>
            <w:tcW w:w="1843" w:type="dxa"/>
            <w:vMerge/>
            <w:tcBorders>
              <w:left w:val="single" w:sz="4" w:space="0" w:color="auto"/>
            </w:tcBorders>
            <w:vAlign w:val="center"/>
          </w:tcP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394"/>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臭气浓度</w:t>
            </w:r>
          </w:p>
        </w:tc>
        <w:tc>
          <w:tcPr>
            <w:tcW w:w="1843" w:type="dxa"/>
            <w:vMerge/>
            <w:tcBorders>
              <w:left w:val="single" w:sz="4" w:space="0" w:color="auto"/>
            </w:tcBorders>
            <w:vAlign w:val="center"/>
          </w:tcP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sz w:val="21"/>
                <w:szCs w:val="21"/>
                <w:lang w:eastAsia="zh-CN"/>
                <w:highlight w:val="none"/>
              </w:rPr>
              <w:t>《恶臭污染物排放标准》（GB14554-93）表1二级新扩改建标准</w:t>
            </w:r>
          </w:p>
        </w:tc>
      </w:tr>
      <w:tr>
        <w:trPr>
          <w:trHeight w:val="358"/>
        </w:trPr>
        <w:tc>
          <w:tcPr>
            <w:tcW w:w="1205" w:type="dxa"/>
            <w:vMerge/>
            <w:vAlign w:val="center"/>
          </w:tcPr>
          <w:p/>
        </w:tc>
        <w:tc>
          <w:tcPr>
            <w:tcW w:w="1436" w:type="dxa"/>
            <w:vMerge/>
            <w:tcBorders>
              <w:left w:val="single" w:sz="4" w:space="0" w:color="auto"/>
            </w:tcBorders>
            <w:shd w:val="clear" w:color="auto" w:fill="auto"/>
            <w:vAlign w:val="center"/>
          </w:tcPr>
          <w:p/>
        </w:tc>
        <w:tc>
          <w:tcPr>
            <w:tcW w:w="1418" w:type="dxa"/>
            <w:tcBorders>
              <w:left w:val="single" w:sz="4" w:space="0" w:color="auto"/>
            </w:tcBorders>
            <w:shd w:val="clear" w:color="auto" w:fill="auto"/>
            <w:vAlign w:val="center"/>
          </w:tcPr>
          <w:p>
            <w:pPr>
              <w:pStyle w:val="66"/>
              <w:keepNext w:val="0"/>
              <w:keepLines w:val="0"/>
              <w:pageBreakBefore w:val="0"/>
              <w:suppressLineNumbers w:val="0"/>
              <w:tabs>
                <w:tab w:val="left" w:pos="0"/>
                <w:tab w:val="left" w:pos="360"/>
                <w:tab w:val="left" w:pos="900"/>
              </w:tabs>
              <w:wordWrap/>
              <w:topLinePunct/>
              <w:autoSpaceDE w:val="0"/>
              <w:autoSpaceDN w:val="0"/>
              <w:bidi w:val="0"/>
              <w:spacing w:before="0" w:beforeAutospacing="0" w:after="0" w:afterAutospacing="0" w:line="360" w:lineRule="exact"/>
              <w:ind w:left="0" w:right="0"/>
              <w:jc w:val="center"/>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非甲烷总烃</w:t>
            </w:r>
          </w:p>
        </w:tc>
        <w:tc>
          <w:tcPr>
            <w:tcW w:w="1843" w:type="dxa"/>
            <w:vMerge/>
            <w:tcBorders>
              <w:left w:val="single" w:sz="4" w:space="0" w:color="auto"/>
            </w:tcBorders>
            <w:vAlign w:val="center"/>
          </w:tcPr>
          <w:p/>
        </w:tc>
        <w:tc>
          <w:tcPr>
            <w:tcW w:w="3151" w:type="dxa"/>
            <w:gridSpan w:val="2"/>
            <w:tcBorders>
              <w:left w:val="single" w:sz="4" w:space="0" w:color="auto"/>
            </w:tcBorders>
            <w:shd w:val="clear" w:color="auto" w:fill="auto"/>
            <w:vAlign w:val="center"/>
          </w:tcPr>
          <w:p>
            <w:pPr>
              <w:keepNext w:val="0"/>
              <w:keepLines w:val="0"/>
              <w:suppressLineNumbers w:val="0"/>
              <w:adjustRightInd w:val="0"/>
              <w:snapToGrid w:val="0"/>
              <w:spacing w:before="0" w:beforeAutospacing="0" w:after="0" w:afterAutospacing="0"/>
              <w:ind w:left="0" w:right="0"/>
              <w:jc w:val="center"/>
              <w:rPr>
                <w:rFonts w:cs="Times New Roman" w:hint="eastAsia"/>
                <w:caps w:val="0"/>
                <w:smallCaps w:val="0"/>
                <w:color w:val="auto"/>
                <w:spacing w:val="0"/>
                <w:szCs w:val="21"/>
                <w:lang w:eastAsia="zh-CN"/>
                <w:highlight w:val="none"/>
              </w:rPr>
            </w:pPr>
            <w:r>
              <w:rPr>
                <w:rFonts w:ascii="Times New Roman" w:cs="Times New Roman" w:hAnsi="Times New Roman" w:hint="eastAsia"/>
                <w:caps w:val="0"/>
                <w:smallCaps w:val="0"/>
                <w:color w:val="auto"/>
                <w:spacing w:val="0"/>
                <w:sz w:val="21"/>
                <w:szCs w:val="21"/>
                <w:lang w:eastAsia="zh-CN"/>
                <w:highlight w:val="none"/>
              </w:rPr>
              <w:t>《工业企业挥发性有机物排放控制标准》（DB13/2322-2016）表2标准</w:t>
            </w:r>
          </w:p>
        </w:tc>
      </w:tr>
      <w:tr>
        <w:trPr>
          <w:trHeight w:val="454"/>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地表水环境</w:t>
            </w:r>
          </w:p>
        </w:tc>
        <w:tc>
          <w:tcPr>
            <w:tcW w:w="1436"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职工生活污水</w:t>
            </w:r>
          </w:p>
        </w:tc>
        <w:tc>
          <w:tcPr>
            <w:tcW w:w="1418"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hint="eastAsia"/>
                <w:bCs/>
                <w:caps w:val="0"/>
                <w:smallCaps w:val="0"/>
                <w:color w:val="auto"/>
                <w:spacing w:val="0"/>
                <w:kern w:val="0"/>
                <w:sz w:val="21"/>
                <w:szCs w:val="22"/>
                <w:lang w:val="en-US" w:eastAsia="zh-CN" w:bidi="ar-SA"/>
                <w:highlight w:val="none"/>
              </w:rPr>
            </w:pPr>
            <w:r>
              <w:rPr>
                <w:rFonts w:ascii="Times New Roman" w:eastAsia="宋体" w:cs="Times New Roman" w:hAnsi="Times New Roman"/>
                <w:color w:val="auto"/>
                <w:sz w:val="21"/>
                <w:szCs w:val="24"/>
                <w:highlight w:val="none"/>
              </w:rPr>
              <w:t>pH值、悬浮物、化学需氧量、五日生化需氧量、</w:t>
            </w:r>
            <w:r>
              <w:rPr>
                <w:rFonts w:ascii="Times New Roman" w:cs="Times New Roman" w:hAnsi="Times New Roman" w:hint="eastAsia"/>
                <w:color w:val="auto"/>
                <w:sz w:val="21"/>
                <w:szCs w:val="24"/>
                <w:lang w:eastAsia="zh-CN"/>
                <w:highlight w:val="none"/>
              </w:rPr>
              <w:t>氨氮、总氮、总磷</w:t>
            </w:r>
          </w:p>
        </w:tc>
        <w:tc>
          <w:tcPr>
            <w:tcW w:w="4994" w:type="dxa"/>
            <w:gridSpan w:val="3"/>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320" w:lineRule="exact"/>
              <w:ind w:left="0" w:right="0"/>
              <w:jc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olor w:val="auto"/>
                <w:sz w:val="21"/>
                <w:szCs w:val="20"/>
                <w:lang w:val="en-US" w:eastAsia="zh-CN"/>
                <w:highlight w:val="none"/>
              </w:rPr>
              <w:t>经集成式生物化粪池处理后经园区污水管网排入绿源污水处理有限公司进一步处理</w:t>
            </w:r>
          </w:p>
        </w:tc>
      </w:tr>
      <w:tr>
        <w:trPr>
          <w:trHeight w:val="454"/>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声环境</w:t>
            </w: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生产设备</w:t>
            </w:r>
          </w:p>
        </w:tc>
        <w:tc>
          <w:tcPr>
            <w:tcW w:w="1418"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等效A声级</w:t>
            </w:r>
          </w:p>
        </w:tc>
        <w:tc>
          <w:tcPr>
            <w:tcW w:w="1843"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eastAsia="zh-CN"/>
                <w:highlight w:val="none"/>
              </w:rPr>
            </w:pPr>
            <w:r>
              <w:rPr>
                <w:rFonts w:ascii="Times New Roman" w:eastAsia="宋体" w:cs="Times New Roman" w:hAnsi="Times New Roman"/>
                <w:caps w:val="0"/>
                <w:smallCaps w:val="0"/>
                <w:color w:val="auto"/>
                <w:spacing w:val="0"/>
                <w:sz w:val="21"/>
                <w:szCs w:val="21"/>
                <w:lang w:eastAsia="zh-CN"/>
                <w:highlight w:val="none"/>
              </w:rPr>
              <w:t>选用低噪声设备、基础减振、厂房隔声等措施</w:t>
            </w:r>
          </w:p>
        </w:tc>
        <w:tc>
          <w:tcPr>
            <w:tcW w:w="3151" w:type="dxa"/>
            <w:gridSpan w:val="2"/>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highlight w:val="none"/>
              </w:rPr>
              <w:t>厂界执行《工业企业厂界环境噪声排放标准》(GB12348-2008）</w:t>
            </w:r>
            <w:r>
              <w:rPr>
                <w:rFonts w:ascii="Times New Roman" w:cs="Times New Roman" w:hAnsi="Times New Roman" w:hint="eastAsia"/>
                <w:caps w:val="0"/>
                <w:smallCaps w:val="0"/>
                <w:color w:val="auto"/>
                <w:spacing w:val="0"/>
                <w:sz w:val="21"/>
                <w:szCs w:val="21"/>
                <w:lang w:val="en-US" w:eastAsia="zh-CN"/>
                <w:highlight w:val="none"/>
              </w:rPr>
              <w:t>3类</w:t>
            </w:r>
            <w:r>
              <w:rPr>
                <w:rFonts w:ascii="Times New Roman" w:eastAsia="宋体" w:cs="Times New Roman" w:hAnsi="Times New Roman"/>
                <w:caps w:val="0"/>
                <w:smallCaps w:val="0"/>
                <w:color w:val="auto"/>
                <w:spacing w:val="0"/>
                <w:sz w:val="21"/>
                <w:szCs w:val="21"/>
                <w:highlight w:val="none"/>
              </w:rPr>
              <w:t>标准（昼间≤</w:t>
            </w:r>
            <w:r>
              <w:rPr>
                <w:rFonts w:ascii="Times New Roman" w:cs="Times New Roman" w:hAnsi="Times New Roman" w:hint="eastAsia"/>
                <w:caps w:val="0"/>
                <w:smallCaps w:val="0"/>
                <w:color w:val="auto"/>
                <w:spacing w:val="0"/>
                <w:sz w:val="21"/>
                <w:szCs w:val="21"/>
                <w:lang w:val="en-US" w:eastAsia="zh-CN"/>
                <w:highlight w:val="none"/>
              </w:rPr>
              <w:t>65</w:t>
            </w:r>
            <w:r>
              <w:rPr>
                <w:rFonts w:ascii="Times New Roman" w:eastAsia="宋体" w:cs="Times New Roman" w:hAnsi="Times New Roman"/>
                <w:caps w:val="0"/>
                <w:smallCaps w:val="0"/>
                <w:color w:val="auto"/>
                <w:spacing w:val="0"/>
                <w:sz w:val="21"/>
                <w:szCs w:val="21"/>
                <w:highlight w:val="none"/>
              </w:rPr>
              <w:t>dB（A）</w:t>
            </w:r>
            <w:r>
              <w:rPr>
                <w:rFonts w:ascii="Times New Roman" w:eastAsia="宋体" w:cs="Times New Roman" w:hAnsi="Times New Roman"/>
                <w:caps w:val="0"/>
                <w:smallCaps w:val="0"/>
                <w:color w:val="auto"/>
                <w:spacing w:val="0"/>
                <w:sz w:val="21"/>
                <w:szCs w:val="21"/>
                <w:lang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夜间≤55</w:t>
            </w:r>
            <w:r>
              <w:rPr>
                <w:rFonts w:ascii="Times New Roman" w:eastAsia="宋体" w:cs="Times New Roman" w:hAnsi="Times New Roman"/>
                <w:caps w:val="0"/>
                <w:smallCaps w:val="0"/>
                <w:color w:val="auto"/>
                <w:spacing w:val="0"/>
                <w:sz w:val="21"/>
                <w:szCs w:val="21"/>
                <w:highlight w:val="none"/>
              </w:rPr>
              <w:t>dB（A））</w:t>
            </w:r>
          </w:p>
        </w:tc>
      </w:tr>
      <w:tr>
        <w:trPr>
          <w:trHeight w:val="454"/>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电磁辐射</w:t>
            </w:r>
          </w:p>
        </w:tc>
        <w:tc>
          <w:tcPr>
            <w:tcW w:w="7848" w:type="dxa"/>
            <w:gridSpan w:val="5"/>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w:t>
            </w:r>
          </w:p>
        </w:tc>
      </w:tr>
      <w:tr>
        <w:trPr>
          <w:trHeight w:val="454"/>
        </w:trPr>
        <w:tc>
          <w:tcPr>
            <w:tcW w:w="1205" w:type="dxa"/>
            <w:vMerge w:val="restart"/>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eastAsia="zh-CN"/>
                <w:highlight w:val="none"/>
              </w:rPr>
            </w:pPr>
            <w:r>
              <w:rPr>
                <w:rFonts w:ascii="Times New Roman" w:cs="Times New Roman" w:hAnsi="Times New Roman"/>
                <w:caps w:val="0"/>
                <w:smallCaps w:val="0"/>
                <w:color w:val="auto"/>
                <w:spacing w:val="0"/>
                <w:sz w:val="21"/>
                <w:szCs w:val="21"/>
                <w:lang w:val="en-US" w:eastAsia="zh-CN"/>
                <w:highlight w:val="none"/>
              </w:rPr>
              <w:t>固体废物</w:t>
            </w:r>
          </w:p>
        </w:tc>
        <w:tc>
          <w:tcPr>
            <w:tcW w:w="1436"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原辅料拆包</w:t>
            </w:r>
          </w:p>
        </w:tc>
        <w:tc>
          <w:tcPr>
            <w:tcW w:w="141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废包装材料</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收集后外售</w:t>
            </w:r>
          </w:p>
        </w:tc>
        <w:tc>
          <w:tcPr>
            <w:tcW w:w="1309" w:type="dxa"/>
            <w:vMerge w:val="restart"/>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合理处置</w:t>
            </w:r>
          </w:p>
        </w:tc>
      </w:tr>
      <w:tr>
        <w:trPr>
          <w:trHeight w:val="454"/>
        </w:trPr>
        <w:tc>
          <w:tcPr>
            <w:tcW w:w="1205" w:type="dxa"/>
            <w:vMerge/>
            <w:vAlign w:val="center"/>
          </w:tcPr>
          <w:p/>
        </w:tc>
        <w:tc>
          <w:tcPr>
            <w:tcW w:w="1436"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141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废塑料边角料</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收集后外售</w:t>
            </w: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汽车塑料配件检验</w:t>
            </w:r>
          </w:p>
        </w:tc>
        <w:tc>
          <w:tcPr>
            <w:tcW w:w="141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不合格品</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收集后外售</w:t>
            </w: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shd w:val="clear" w:color="auto" w:fill="auto"/>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剪板</w:t>
            </w:r>
          </w:p>
        </w:tc>
        <w:tc>
          <w:tcPr>
            <w:tcW w:w="141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金属下脚料</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收集后外售</w:t>
            </w: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0"/>
                <w:lang w:val="en-US" w:eastAsia="zh-CN"/>
                <w:highlight w:val="none"/>
              </w:rPr>
              <w:t>电极片检验</w:t>
            </w:r>
          </w:p>
        </w:tc>
        <w:tc>
          <w:tcPr>
            <w:tcW w:w="1418"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不合格电极片</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收集后外售</w:t>
            </w: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w:t>
            </w:r>
          </w:p>
        </w:tc>
        <w:tc>
          <w:tcPr>
            <w:tcW w:w="3685" w:type="dxa"/>
            <w:gridSpan w:val="2"/>
            <w:vMerge w:val="restart"/>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cs="Times New Roman" w:hAnsi="Times New Roman"/>
                <w:caps w:val="0"/>
                <w:smallCaps w:val="0"/>
                <w:color w:val="auto"/>
                <w:spacing w:val="0"/>
                <w:sz w:val="21"/>
                <w:szCs w:val="21"/>
                <w:highlight w:val="none"/>
              </w:rPr>
            </w:pPr>
            <w:r>
              <w:rPr>
                <w:rFonts w:ascii="Times New Roman" w:cs="Times New Roman" w:hAnsi="Times New Roman" w:hint="eastAsia"/>
                <w:caps w:val="0"/>
                <w:smallCaps w:val="0"/>
                <w:color w:val="auto"/>
                <w:spacing w:val="0"/>
                <w:sz w:val="21"/>
                <w:szCs w:val="21"/>
                <w:lang w:val="en-US" w:eastAsia="zh-CN"/>
                <w:highlight w:val="none"/>
              </w:rPr>
              <w:t>危废间暂存后</w:t>
            </w:r>
            <w:r>
              <w:rPr>
                <w:rFonts w:ascii="Times New Roman" w:cs="Times New Roman" w:hAnsi="Times New Roman"/>
                <w:caps w:val="0"/>
                <w:smallCaps w:val="0"/>
                <w:color w:val="auto"/>
                <w:spacing w:val="0"/>
                <w:sz w:val="21"/>
                <w:szCs w:val="21"/>
                <w:lang w:val="en-US" w:eastAsia="zh-CN"/>
                <w:highlight w:val="none"/>
              </w:rPr>
              <w:t>，</w:t>
            </w:r>
            <w:r>
              <w:rPr>
                <w:rFonts w:ascii="Times New Roman" w:cs="Times New Roman" w:hAnsi="Times New Roman" w:hint="eastAsia"/>
                <w:caps w:val="0"/>
                <w:smallCaps w:val="0"/>
                <w:color w:val="auto"/>
                <w:spacing w:val="0"/>
                <w:sz w:val="21"/>
                <w:szCs w:val="21"/>
                <w:lang w:val="en-US" w:eastAsia="zh-CN"/>
                <w:highlight w:val="none"/>
              </w:rPr>
              <w:t>交由有危废处置资质单位处置</w:t>
            </w: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废润滑油桶</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caps w:val="0"/>
                <w:smallCaps w:val="0"/>
                <w:color w:val="auto"/>
                <w:spacing w:val="0"/>
                <w:sz w:val="21"/>
                <w:szCs w:val="20"/>
                <w:lang w:val="en-US" w:eastAsia="zh-CN"/>
                <w:highlight w:val="none"/>
              </w:rPr>
              <w:t>设备维护</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含油抹布及废劳保用品</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机加工</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注塑</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布袋除尘器</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shd w:val="clear" w:color="auto" w:fill="auto"/>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hint="eastAsia"/>
                <w:bCs/>
                <w:caps w:val="0"/>
                <w:smallCaps w:val="0"/>
                <w:color w:val="auto"/>
                <w:spacing w:val="0"/>
                <w:kern w:val="0"/>
                <w:sz w:val="21"/>
                <w:szCs w:val="20"/>
                <w:lang w:val="en-US" w:eastAsia="zh-CN" w:bidi="ar-SA"/>
                <w:highlight w:val="none"/>
              </w:rPr>
            </w:pPr>
            <w:r>
              <w:rPr>
                <w:rFonts w:ascii="Times New Roman" w:cs="Times New Roman" w:hAnsi="Times New Roman" w:hint="eastAsia"/>
                <w:caps w:val="0"/>
                <w:smallCaps w:val="0"/>
                <w:color w:val="auto"/>
                <w:spacing w:val="0"/>
                <w:sz w:val="21"/>
                <w:szCs w:val="20"/>
                <w:lang w:val="en-US" w:eastAsia="zh-CN"/>
                <w:highlight w:val="none"/>
              </w:rPr>
              <w:t>布袋除尘器</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除尘灰</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cs="Times New Roman" w:hAnsi="Times New Roman"/>
                <w:bCs/>
                <w:caps w:val="0"/>
                <w:smallCaps w:val="0"/>
                <w:color w:val="auto"/>
                <w:spacing w:val="0"/>
                <w:kern w:val="0"/>
                <w:sz w:val="21"/>
                <w:szCs w:val="20"/>
                <w:lang w:val="en-US" w:eastAsia="zh-CN" w:bidi="ar-SA"/>
                <w:highlight w:val="none"/>
              </w:rPr>
            </w:pPr>
            <w:r>
              <w:rPr>
                <w:rFonts w:ascii="Times New Roman" w:cs="Times New Roman" w:hAnsi="Times New Roman" w:hint="eastAsia"/>
                <w:bCs/>
                <w:caps w:val="0"/>
                <w:smallCaps w:val="0"/>
                <w:color w:val="auto"/>
                <w:spacing w:val="0"/>
                <w:kern w:val="0"/>
                <w:sz w:val="21"/>
                <w:szCs w:val="20"/>
                <w:lang w:val="en-US" w:eastAsia="zh-CN" w:bidi="ar-SA"/>
                <w:highlight w:val="none"/>
              </w:rPr>
              <w:t>两级活性吸附装置</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W w:w="3685" w:type="dxa"/>
            <w:gridSpan w:val="2"/>
            <w:vMerge/>
            <w:tcBorders>
              <w:left w:val="single" w:sz="4" w:space="0" w:color="auto"/>
            </w:tcBorders>
            <w:vAlign w:val="center"/>
          </w:tcPr>
          <w:p/>
        </w:tc>
        <w:tc>
          <w:tcPr>
            <w:tcW w:w="1309" w:type="dxa"/>
            <w:vMerge/>
            <w:tcBorders>
              <w:left w:val="single" w:sz="4" w:space="0" w:color="auto"/>
            </w:tcBorders>
            <w:vAlign w:val="center"/>
          </w:tcPr>
          <w:p/>
        </w:tc>
      </w:tr>
      <w:tr>
        <w:trPr>
          <w:trHeight w:val="454"/>
        </w:trPr>
        <w:tc>
          <w:tcPr>
            <w:tcW w:w="1205" w:type="dxa"/>
            <w:vMerge/>
            <w:vAlign w:val="center"/>
          </w:tcPr>
          <w:p/>
        </w:tc>
        <w:tc>
          <w:tcPr>
            <w:tcW w:w="1436" w:type="dxa"/>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职工生活</w:t>
            </w:r>
          </w:p>
        </w:tc>
        <w:tc>
          <w:tcPr>
            <w:tcW w:w="1418"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aps w:val="0"/>
                <w:smallCaps/>
                <w:color w:val="auto"/>
                <w:kern w:val="0"/>
                <w:sz w:val="21"/>
                <w:szCs w:val="22"/>
                <w:lang w:val="en-US" w:eastAsia="zh-CN" w:bidi="ar-SA"/>
                <w:highlight w:val="none"/>
              </w:rPr>
              <w:t>职工生活垃圾</w:t>
            </w:r>
          </w:p>
        </w:tc>
        <w:tc>
          <w:tcPr>
            <w:tcW w:w="3685" w:type="dxa"/>
            <w:gridSpan w:val="2"/>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cs="Times New Roman" w:hAnsi="Times New Roman"/>
                <w:caps w:val="0"/>
                <w:smallCaps w:val="0"/>
                <w:color w:val="auto"/>
                <w:spacing w:val="0"/>
                <w:sz w:val="21"/>
                <w:szCs w:val="21"/>
                <w:highlight w:val="none"/>
              </w:rPr>
            </w:pPr>
            <w:r>
              <w:rPr>
                <w:rFonts w:ascii="Times New Roman" w:cs="Times New Roman" w:hAnsi="Times New Roman" w:hint="eastAsia"/>
                <w:caps w:val="0"/>
                <w:smallCaps w:val="0"/>
                <w:color w:val="auto"/>
                <w:spacing w:val="0"/>
                <w:sz w:val="21"/>
                <w:szCs w:val="20"/>
                <w:lang w:val="en-US" w:eastAsia="zh-CN"/>
                <w:highlight w:val="none"/>
              </w:rPr>
              <w:t>收集后由环卫部门统一处置</w:t>
            </w:r>
          </w:p>
        </w:tc>
        <w:tc>
          <w:tcPr>
            <w:tcW w:w="1309" w:type="dxa"/>
            <w:vMerge/>
            <w:tcBorders>
              <w:left w:val="single" w:sz="4" w:space="0" w:color="auto"/>
            </w:tcBorders>
            <w:vAlign w:val="center"/>
          </w:tcPr>
          <w:p/>
        </w:tc>
      </w:tr>
      <w:tr>
        <w:trPr>
          <w:trHeight w:val="1222"/>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土壤及地下水污染防治措施</w:t>
            </w:r>
          </w:p>
        </w:tc>
        <w:tc>
          <w:tcPr>
            <w:tcW w:w="7848" w:type="dxa"/>
            <w:gridSpan w:val="5"/>
            <w:tcBorders>
              <w:left w:val="single" w:sz="4" w:space="0" w:color="auto"/>
            </w:tcBorders>
            <w:vAlign w:val="center"/>
          </w:tcPr>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lang w:val="en-US" w:eastAsia="zh-CN"/>
                <w:highlight w:val="none"/>
              </w:rPr>
            </w:pPr>
            <w:r>
              <w:rPr>
                <w:rFonts w:ascii="Times New Roman" w:cs="Times New Roman" w:hAnsi="Times New Roman" w:hint="eastAsia"/>
                <w:caps w:val="0"/>
                <w:smallCaps w:val="0"/>
                <w:color w:val="auto"/>
                <w:spacing w:val="0"/>
                <w:sz w:val="21"/>
                <w:szCs w:val="21"/>
                <w:lang w:val="en-US" w:eastAsia="zh-CN"/>
                <w:highlight w:val="none"/>
              </w:rPr>
              <w:t>重点防渗区：危废间等效黏土防渗层 Mb≥6.0m，K≤1.0×10</w:t>
            </w:r>
            <w:r>
              <w:rPr>
                <w:rFonts w:ascii="Times New Roman" w:cs="Times New Roman" w:hAnsi="Times New Roman" w:hint="eastAsia"/>
                <w:caps w:val="0"/>
                <w:smallCaps w:val="0"/>
                <w:color w:val="auto"/>
                <w:spacing w:val="0"/>
                <w:sz w:val="21"/>
                <w:szCs w:val="21"/>
                <w:vertAlign w:val="superscript"/>
                <w:lang w:val="en-US" w:eastAsia="zh-CN"/>
                <w:highlight w:val="none"/>
              </w:rPr>
              <w:t>-7</w:t>
            </w:r>
            <w:r>
              <w:rPr>
                <w:rFonts w:ascii="Times New Roman" w:cs="Times New Roman" w:hAnsi="Times New Roman" w:hint="eastAsia"/>
                <w:caps w:val="0"/>
                <w:smallCaps w:val="0"/>
                <w:color w:val="auto"/>
                <w:spacing w:val="0"/>
                <w:sz w:val="21"/>
                <w:szCs w:val="21"/>
                <w:lang w:val="en-US" w:eastAsia="zh-CN"/>
                <w:highlight w:val="none"/>
              </w:rPr>
              <w:t>cm/s</w:t>
            </w:r>
            <w:r>
              <w:rPr>
                <w:rFonts w:ascii="Times New Roman" w:cs="Arial Unicode MS" w:hAnsi="Times New Roman" w:hint="eastAsia"/>
                <w:color w:val="auto"/>
                <w:sz w:val="21"/>
                <w:szCs w:val="21"/>
                <w:lang w:val="en-US" w:eastAsia="zh-CN"/>
                <w:highlight w:val="none"/>
              </w:rPr>
              <w:t>；</w:t>
            </w:r>
          </w:p>
          <w:p>
            <w:pPr>
              <w:pStyle w:val="66"/>
              <w:keepNext w:val="0"/>
              <w:keepLines w:val="0"/>
              <w:suppressLineNumbers w:val="0"/>
              <w:tabs>
                <w:tab w:val="left" w:pos="0"/>
                <w:tab w:val="left" w:pos="360"/>
                <w:tab w:val="left" w:pos="900"/>
              </w:tabs>
              <w:spacing w:before="0" w:beforeAutospacing="0" w:after="0" w:afterAutospacing="0"/>
              <w:ind w:left="0" w:right="0"/>
              <w:rPr>
                <w:rFonts w:cs="Times New Roman" w:hint="eastAsia"/>
                <w:caps w:val="0"/>
                <w:smallCaps w:val="0"/>
                <w:color w:val="auto"/>
                <w:spacing w:val="0"/>
                <w:sz w:val="21"/>
                <w:szCs w:val="21"/>
                <w:lang w:val="en-US" w:eastAsia="zh-CN"/>
                <w:highlight w:val="none"/>
              </w:rPr>
            </w:pPr>
            <w:r>
              <w:rPr>
                <w:rFonts w:ascii="Times New Roman" w:eastAsia="宋体" w:cs="Times New Roman" w:hAnsi="Times New Roman"/>
                <w:caps w:val="0"/>
                <w:smallCaps w:val="0"/>
                <w:color w:val="auto"/>
                <w:spacing w:val="0"/>
                <w:sz w:val="21"/>
                <w:szCs w:val="21"/>
                <w:lang w:val="en-US" w:eastAsia="zh-CN"/>
                <w:highlight w:val="none"/>
              </w:rPr>
              <w:t>一般防渗：</w:t>
            </w:r>
            <w:r>
              <w:rPr>
                <w:rFonts w:ascii="Times New Roman" w:cs="Times New Roman" w:hAnsi="Times New Roman" w:hint="eastAsia"/>
                <w:caps w:val="0"/>
                <w:smallCaps w:val="0"/>
                <w:color w:val="auto"/>
                <w:spacing w:val="0"/>
                <w:sz w:val="21"/>
                <w:szCs w:val="21"/>
                <w:lang w:val="en-US" w:eastAsia="zh-CN"/>
                <w:highlight w:val="none"/>
              </w:rPr>
              <w:t>生产区、机加工区利用现有</w:t>
            </w:r>
            <w:r>
              <w:rPr>
                <w:rFonts w:ascii="Times New Roman" w:eastAsia="宋体" w:cs="Times New Roman" w:hAnsi="Times New Roman"/>
                <w:caps w:val="0"/>
                <w:smallCaps w:val="0"/>
                <w:color w:val="auto"/>
                <w:spacing w:val="0"/>
                <w:sz w:val="21"/>
                <w:szCs w:val="21"/>
                <w:lang w:val="en-US" w:eastAsia="zh-CN"/>
                <w:highlight w:val="none"/>
              </w:rPr>
              <w:t>防渗措施，其等效黏土防渗层Mb≥1.5m，渗透系数≤10</w:t>
            </w:r>
            <w:r>
              <w:rPr>
                <w:rFonts w:ascii="Times New Roman" w:eastAsia="宋体" w:cs="Times New Roman" w:hAnsi="Times New Roman"/>
                <w:caps w:val="0"/>
                <w:smallCaps w:val="0"/>
                <w:color w:val="auto"/>
                <w:spacing w:val="0"/>
                <w:sz w:val="21"/>
                <w:szCs w:val="21"/>
                <w:vertAlign w:val="superscript"/>
                <w:lang w:val="en-US" w:eastAsia="zh-CN"/>
                <w:highlight w:val="none"/>
              </w:rPr>
              <w:t>-7</w:t>
            </w:r>
            <w:r>
              <w:rPr>
                <w:rFonts w:ascii="Times New Roman" w:eastAsia="宋体" w:cs="Times New Roman" w:hAnsi="Times New Roman"/>
                <w:caps w:val="0"/>
                <w:smallCaps w:val="0"/>
                <w:color w:val="auto"/>
                <w:spacing w:val="0"/>
                <w:sz w:val="21"/>
                <w:szCs w:val="21"/>
                <w:lang w:val="en-US" w:eastAsia="zh-CN"/>
                <w:highlight w:val="none"/>
              </w:rPr>
              <w:t>cm/s</w:t>
            </w:r>
            <w:r>
              <w:rPr>
                <w:rFonts w:ascii="Times New Roman" w:cs="Times New Roman" w:hAnsi="Times New Roman" w:hint="eastAsia"/>
                <w:caps w:val="0"/>
                <w:smallCaps w:val="0"/>
                <w:color w:val="auto"/>
                <w:spacing w:val="0"/>
                <w:sz w:val="21"/>
                <w:szCs w:val="21"/>
                <w:lang w:val="en-US" w:eastAsia="zh-CN"/>
                <w:highlight w:val="none"/>
              </w:rPr>
              <w:t>；</w:t>
            </w:r>
          </w:p>
          <w:p>
            <w:pPr>
              <w:pStyle w:val="66"/>
              <w:keepNext w:val="0"/>
              <w:keepLines w:val="0"/>
              <w:suppressLineNumbers w:val="0"/>
              <w:tabs>
                <w:tab w:val="left" w:pos="0"/>
                <w:tab w:val="left" w:pos="360"/>
                <w:tab w:val="left" w:pos="900"/>
              </w:tabs>
              <w:spacing w:before="0" w:beforeAutospacing="0" w:after="0" w:afterAutospacing="0"/>
              <w:ind w:left="0" w:right="0"/>
              <w:rPr>
                <w:rFonts w:ascii="Times New Roman" w:eastAsia="宋体" w:cs="Times New Roman" w:hAnsi="Times New Roman"/>
                <w:caps w:val="0"/>
                <w:smallCaps w:val="0"/>
                <w:color w:val="auto"/>
                <w:spacing w:val="0"/>
                <w:sz w:val="21"/>
                <w:szCs w:val="21"/>
                <w:highlight w:val="none"/>
              </w:rPr>
            </w:pPr>
            <w:r>
              <w:rPr>
                <w:rFonts w:ascii="Times New Roman" w:cs="Times New Roman" w:hAnsi="Times New Roman" w:hint="eastAsia"/>
                <w:caps w:val="0"/>
                <w:smallCaps w:val="0"/>
                <w:color w:val="auto"/>
                <w:spacing w:val="0"/>
                <w:sz w:val="21"/>
                <w:szCs w:val="21"/>
                <w:lang w:val="en-US" w:eastAsia="zh-CN"/>
                <w:highlight w:val="none"/>
              </w:rPr>
              <w:t>简单防渗：办公室、杂物间、模具暂存区、原料区、成品区、人工组装区其他区域利用现有水泥硬化简单防渗措施</w:t>
            </w:r>
          </w:p>
        </w:tc>
      </w:tr>
      <w:tr>
        <w:trPr>
          <w:trHeight w:val="454"/>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生态保护措施</w:t>
            </w:r>
          </w:p>
        </w:tc>
        <w:tc>
          <w:tcPr>
            <w:tcW w:w="7848" w:type="dxa"/>
            <w:gridSpan w:val="5"/>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w:t>
            </w:r>
          </w:p>
        </w:tc>
      </w:tr>
      <w:tr>
        <w:trPr>
          <w:trHeight w:val="374"/>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环境风险防范措施</w:t>
            </w:r>
          </w:p>
        </w:tc>
        <w:tc>
          <w:tcPr>
            <w:tcW w:w="7848" w:type="dxa"/>
            <w:gridSpan w:val="5"/>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①总图布置和建筑安全防范措施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总图布置严格执行相关规范要求，所有构筑物之间或与其它场所之间留有足够的防火间距，防止在火灾或爆炸时相互影响；严格按工艺处理物料特性，对厂房区域进行危险区划分。厂房区域实行人、货流分开；在厂房总平面布置中配套建设应急救援设施、救援通道、应急疏散避难所等防护设施。按《安全标志》规定在装置区设置有关的安全标志。</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根据火灾危险性等级和防火、防爆要求，建筑物的防火等级均应采用国家现行规范要求按一、二级耐火等级设计，满足建筑防火要求。凡禁火区均设置明显标志牌。各种易燃易爆物料均储存在阴凉、通风处，远离火源，避免与强氧化剂接触；安放易发生爆炸设备的房间，不允许任何人员随便入内。</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②生产过程中的风险防范措施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Ⅰ、根据公司实际情况，建立安全生产岗位责任制，制定安全生产规章制度、安全操作规程。如生产过程必须有全套切实可行的安全操作规程，有专人负责检查安全操作规程的执行、安全设备及防护设备的使用情况；厂房应配备急救设备和药品；作业人员应学会自救和互救。</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Ⅱ、凡容易发生事故或危及生命安全的场所、设备以及需要提醒操作人员注意的地方，应设置安全标志；在各区域设置毒物周知卡；装置设物料走向、厂区设风向标等工艺技术设计安全防范措施。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Ⅲ、项目所用的电源应设在防火区域以外；所有金属设备都应接地可靠，防止静电积聚和静电放电；生产线内严禁烟火，不许带火柴，打火机等火种进入生产线。</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Ⅳ、加强工艺管理，严格控制工艺指标。加强安全教育，安全生产教育包括厂级、生产线、班组三级安全教育、特殊工种安全教育、日常安全教育、装置开前安全教育和外来人员安全教育五部分内容。让所有员工了解本厂各种原辅材料、化学制品以及固体废物的物理、化学和生理特性及其毒性，所有防护措施、环境影响等。</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Ⅴ、加强对各生产设备、设施等定期检查，及时发现隐患，维护维修，关键设备实行定期大修制度。</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Ⅵ、原辅材料转移、计量、调配等过程应进行重点防范，避免由于操作失误造成物料泄漏。所有存放原辅材料的容器，除正在使用中外，均需保持紧盖。</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Ⅶ、若由于包装破裂、倾倒或生产装置阀门损坏造成物料泄漏，应在第一时间按照泄漏物质相应的应急处理措施进行处理，泄漏的物料回收利用妥善处置。</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Ⅷ、生产车间内一般区域采用水泥硬化地面，储存区和生产区长期配备足够的应急物资，确保泄漏物料及时收集、转移。</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③暂存过程中的风险防范措施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Ⅰ、物料存放时，应保持通风、干燥、防止日光直接照射，并应隔绝火源、远离热源。设置禁火标志及防静电措施等，配备有完善的防火及灭火装备。暂存区应具有良好的排风通风措施。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Ⅱ、地面硬化且采取防腐防渗处理，并设置防风、防雨、防晒、防流失等措施，防止各种液体类原辅料漫流或泄漏。</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Ⅲ、车间内配备足够的应急物资，确保泄漏物料及时收集、转移。</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项目生产过程中涉及的主要危险化学品储存严格按照《危险化学品安全技术手册》、《危险化学品安全技术说明书》、《危险货物运输包装通用技术条件》等相关要求执行。</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④其它风险防范措施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根据相关事故案例分析，管理混乱、物料装卸不规范等也是导致风险事故的常见原因，故建设单位一定要采取相应措施防范此类事故发生。</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Ⅰ、加强巡检，定期对设备、阀门进行检查、维修。</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Ⅱ、加强对废包装桶等危险废物的管理，废弃包装桶应收集并即产即清，交有资质的单位处理。</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Ⅲ、发生泄漏后，事故处置过程中产生的含物料沙土、废棉纱等及时有效收集并送有资质单位进行处置。</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2）事故应急预案</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为更好的做好项目的事故防范工作，应严格执行事故应急预案，并定期组织演练，具体如下：</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①建立内部救援队伍</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cs="Times New Roman" w:hAnsi="Times New Roman"/>
                <w:color w:val="auto"/>
                <w:sz w:val="21"/>
                <w:szCs w:val="21"/>
                <w:highlight w:val="none"/>
              </w:rPr>
              <w:t>建立事故应急救援指挥领导小组，由企业法人、及</w:t>
            </w:r>
            <w:r>
              <w:rPr>
                <w:rFonts w:ascii="Times New Roman" w:cs="Times New Roman" w:hAnsi="Times New Roman" w:hint="eastAsia"/>
                <w:color w:val="auto"/>
                <w:sz w:val="21"/>
                <w:szCs w:val="21"/>
                <w:lang w:val="en-US" w:eastAsia="zh-CN"/>
                <w:highlight w:val="none"/>
              </w:rPr>
              <w:t>车间主任</w:t>
            </w:r>
            <w:r>
              <w:rPr>
                <w:rFonts w:ascii="Times New Roman" w:cs="Times New Roman" w:hAnsi="Times New Roman"/>
                <w:color w:val="auto"/>
                <w:sz w:val="21"/>
                <w:szCs w:val="21"/>
                <w:highlight w:val="none"/>
              </w:rPr>
              <w:t>等部门负责人组成</w:t>
            </w:r>
            <w:r>
              <w:rPr>
                <w:rFonts w:ascii="Times New Roman" w:eastAsia="宋体" w:cs="Times New Roman" w:hAnsi="Times New Roman"/>
                <w:caps w:val="0"/>
                <w:smallCaps w:val="0"/>
                <w:color w:val="auto"/>
                <w:spacing w:val="0"/>
                <w:sz w:val="21"/>
                <w:szCs w:val="21"/>
                <w:highlight w:val="none"/>
              </w:rPr>
              <w:t>。</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成立事故应急救援指挥部，负责一旦发生事故时的全厂应急救援的组织和指挥，企业法人任总指挥，若企业法人不在时，应明确有关领导全权负责应急救援工作。组织机构包括应急处置行动组、通讯联络组、疏散引导组、安全防护救护组等。</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指挥领导小组应负责企业事故应急预案的制定、修订；组建应急救业队伍，组织预案实施和演练；检查督促做好危险源事故的预防措施和应急救援的准备工作，一旦发生事故，按照应急救援预案实施救援。</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②泄漏事故处置方案</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Ⅰ、停止使用，关闭有关设备和系统，立即向应急救援指挥部报告；</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Ⅱ、事故现场严禁明火，切断电源，迅速撤离泄漏区人员至上风向安全处。同时在事故现场设置隔离区，禁止无关人员进入；</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Ⅲ、应急处理人员必须配备必要的个人防护器具，严禁单独行动；</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Ⅳ、用预先确定的堵漏方式尽快堵漏，切断或控制泄漏源。尽快收集泄漏物料。</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Ⅴ、迅速撤离泄漏污染区的工作人员至安全区，并进行隔离，脱去被污染的衣着，用流动清水冲洗。</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Ⅵ、在厂房内设置疏散工作指示方向标识。</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③火灾应急措施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Ⅰ、发现起火，立即报警，通过消防灭火，采用抗溶性泡沫、干粉、二氧化碳等灭火器灭火。</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Ⅱ、切断火势蔓延的途径，冷却和疏散受火势威胁的密闭容器和可燃物，控制燃烧范围，并积极抢救受伤和被困人员；</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Ⅲ、通知安全、消防、救护等相关部门人员，启动相应的应急救护程序；</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Ⅳ、组织救援小组，封锁现场，疏散人员；</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Ⅴ、灭火工作结束后，对现场进行恢复清理；</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Ⅵ、调查和鉴定事故原因，提出事故评估报告，补充或修改事故防范措施和应急方案。</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④急救措施</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皮肤接触：脱去污染的衣着，用流动清水冲洗。</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眼睛接触：提起眼睑，用流动清水或生理盐水冲洗，就医。</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吸入：脱离现场至空气新鲜处，保持呼吸道通畅；如呼吸困难，给输氧；如呼吸停止，立即进行人工呼吸，就医。</w:t>
            </w:r>
          </w:p>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食入：饮足量温水，催吐，就医。</w:t>
            </w:r>
          </w:p>
        </w:tc>
      </w:tr>
      <w:tr>
        <w:trPr>
          <w:trHeight w:val="1690"/>
        </w:trPr>
        <w:tc>
          <w:tcPr>
            <w:tcW w:w="1205" w:type="dxa"/>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caps w:val="0"/>
                <w:smallCaps w:val="0"/>
                <w:color w:val="auto"/>
                <w:spacing w:val="0"/>
                <w:sz w:val="21"/>
                <w:szCs w:val="21"/>
                <w:highlight w:val="none"/>
              </w:rPr>
              <w:t>其他环境管理要求</w:t>
            </w:r>
          </w:p>
        </w:tc>
        <w:tc>
          <w:tcPr>
            <w:tcW w:w="7848" w:type="dxa"/>
            <w:gridSpan w:val="5"/>
            <w:tcBorders>
              <w:left w:val="single" w:sz="4" w:space="0" w:color="auto"/>
            </w:tcBorders>
            <w:vAlign w:val="center"/>
          </w:tcPr>
          <w:p>
            <w:pPr>
              <w:pStyle w:val="66"/>
              <w:keepNext w:val="0"/>
              <w:keepLines w:val="0"/>
              <w:pageBreakBefore w:val="0"/>
              <w:widowControl w:val="0"/>
              <w:suppressLineNumbers w:val="0"/>
              <w:tabs>
                <w:tab w:val="left" w:pos="0"/>
                <w:tab w:val="left" w:pos="360"/>
                <w:tab w:val="left" w:pos="900"/>
              </w:tabs>
              <w:kinsoku/>
              <w:wordWrap/>
              <w:overflowPunct/>
              <w:topLinePunct/>
              <w:autoSpaceDE w:val="0"/>
              <w:autoSpaceDN w:val="0"/>
              <w:bidi w:val="0"/>
              <w:spacing w:before="0" w:beforeAutospacing="0" w:after="0" w:afterAutospacing="0" w:line="320" w:lineRule="exact"/>
              <w:ind w:left="0" w:right="0"/>
              <w:jc w:val="both"/>
              <w:rPr>
                <w:rFonts w:ascii="Times New Roman" w:eastAsia="宋体" w:cs="Times New Roman" w:hAnsi="Times New Roman"/>
                <w:caps w:val="0"/>
                <w:smallCaps w:val="0"/>
                <w:color w:val="auto"/>
                <w:spacing w:val="0"/>
                <w:sz w:val="21"/>
                <w:szCs w:val="21"/>
                <w:highlight w:val="none"/>
              </w:rPr>
            </w:pPr>
            <w:r>
              <w:rPr>
                <w:rFonts w:ascii="Times New Roman" w:eastAsia="宋体" w:cs="Times New Roman" w:hAnsi="Times New Roman"/>
                <w:b w:val="0"/>
                <w:bCs w:val="0"/>
                <w:caps w:val="0"/>
                <w:smallCaps w:val="0"/>
                <w:color w:val="auto"/>
                <w:spacing w:val="0"/>
                <w:sz w:val="21"/>
                <w:szCs w:val="21"/>
                <w:highlight w:val="none"/>
              </w:rPr>
              <w:t>公司设立环境管理人员，履行环保管理职责，生产前</w:t>
            </w:r>
            <w:r>
              <w:rPr>
                <w:rFonts w:ascii="Times New Roman" w:cs="Times New Roman" w:hAnsi="Times New Roman" w:hint="eastAsia"/>
                <w:b w:val="0"/>
                <w:bCs w:val="0"/>
                <w:caps w:val="0"/>
                <w:smallCaps w:val="0"/>
                <w:color w:val="auto"/>
                <w:spacing w:val="0"/>
                <w:sz w:val="21"/>
                <w:szCs w:val="21"/>
                <w:lang w:val="en-US" w:eastAsia="zh-CN"/>
                <w:highlight w:val="none"/>
              </w:rPr>
              <w:t>需按照《固定污染源排污许可分类管理名录》（2019年版）（部令 第11号）取得排污手续</w:t>
            </w:r>
            <w:r>
              <w:rPr>
                <w:rFonts w:ascii="Times New Roman" w:eastAsia="宋体" w:cs="Times New Roman" w:hAnsi="Times New Roman"/>
                <w:b w:val="0"/>
                <w:bCs w:val="0"/>
                <w:caps w:val="0"/>
                <w:smallCaps w:val="0"/>
                <w:color w:val="auto"/>
                <w:spacing w:val="0"/>
                <w:sz w:val="21"/>
                <w:szCs w:val="21"/>
                <w:highlight w:val="none"/>
              </w:rPr>
              <w:t>，按污染源监测计划实施定期监测。</w:t>
            </w:r>
          </w:p>
        </w:tc>
      </w:tr>
    </w:tbl>
    <w:p>
      <w:pPr>
        <w:pStyle w:val="45"/>
        <w:jc w:val="center"/>
        <w:outlineLvl w:val="0"/>
        <w:rPr>
          <w:rFonts w:ascii="Times New Roman" w:eastAsia="黑体" w:cs="Times New Roman" w:hAnsi="Times New Roman"/>
          <w:caps w:val="0"/>
          <w:smallCaps w:val="0"/>
          <w:snapToGrid w:val="0"/>
          <w:color w:val="auto"/>
          <w:spacing w:val="0"/>
          <w:sz w:val="30"/>
          <w:szCs w:val="30"/>
          <w:highlight w:val="none"/>
        </w:rPr>
      </w:pPr>
      <w:r>
        <w:rPr>
          <w:rFonts w:ascii="Times New Roman" w:cs="Times New Roman" w:hAnsi="Times New Roman"/>
          <w:caps w:val="0"/>
          <w:smallCaps w:val="0"/>
          <w:snapToGrid w:val="0"/>
          <w:color w:val="auto"/>
          <w:spacing w:val="0"/>
          <w:highlight w:val="none"/>
        </w:rPr>
        <w:br w:type="page"/>
      </w:r>
      <w:bookmarkStart w:id="39" w:name="_Toc5925"/>
      <w:r>
        <w:rPr>
          <w:rFonts w:ascii="Times New Roman" w:eastAsia="黑体" w:cs="Times New Roman" w:hAnsi="Times New Roman"/>
          <w:caps w:val="0"/>
          <w:smallCaps w:val="0"/>
          <w:snapToGrid w:val="0"/>
          <w:color w:val="auto"/>
          <w:spacing w:val="0"/>
          <w:sz w:val="30"/>
          <w:szCs w:val="30"/>
          <w:highlight w:val="none"/>
        </w:rPr>
        <w:t>六、结论</w:t>
      </w:r>
      <w:bookmarkEnd w:id="39"/>
    </w:p>
    <w:tbl>
      <w:tblPr>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865"/>
      </w:tblGrid>
      <w:tr>
        <w:trPr>
          <w:trHeight w:val="11991"/>
        </w:trPr>
        <w:tc>
          <w:tcPr>
            <w:tcW w:w="8865" w:type="dxa"/>
            <w:vAlign w:val="center"/>
          </w:tcPr>
          <w:p>
            <w:pPr>
              <w:pStyle w:val="137"/>
              <w:keepNext w:val="0"/>
              <w:keepLines w:val="0"/>
              <w:suppressLineNumbers w:val="0"/>
              <w:spacing w:before="0" w:beforeAutospacing="0" w:after="0" w:afterAutospacing="0"/>
              <w:ind w:left="0" w:right="0"/>
              <w:rPr>
                <w:rFonts w:ascii="Times New Roman" w:cs="Times New Roman" w:hAnsi="Times New Roman"/>
                <w:caps w:val="0"/>
                <w:smallCaps w:val="0"/>
                <w:color w:val="auto"/>
                <w:spacing w:val="0"/>
                <w:highlight w:val="none"/>
              </w:rPr>
            </w:pPr>
            <w:r>
              <w:rPr>
                <w:rFonts w:ascii="Times New Roman" w:cs="Times New Roman" w:hAnsi="Times New Roman"/>
                <w:caps w:val="0"/>
                <w:smallCaps w:val="0"/>
                <w:color w:val="auto"/>
                <w:spacing w:val="0"/>
                <w:sz w:val="24"/>
                <w:szCs w:val="20"/>
                <w:highlight w:val="none"/>
              </w:rPr>
              <w:t>综上所述</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本项目符合国家和地方的相关产业政策</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选址符合“三线一单”要求</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所采用的污染防治措施合理可行</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可确保污染物稳定达标排放；项目污染物的排放量符合控制要求</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处理达标后的各项污染物对周围环境的影响较小</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不会改变当地环境功能区划</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项目的环境风险较小且可以接受。在落实本报告表提出的各项污染防治措施、严格执行“环境保护措施监督检查清单”的情况下</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从环保角度分析</w:t>
            </w:r>
            <w:r>
              <w:rPr>
                <w:rFonts w:ascii="Times New Roman" w:cs="Times New Roman" w:hAnsi="Times New Roman"/>
                <w:caps w:val="0"/>
                <w:smallCaps w:val="0"/>
                <w:color w:val="auto"/>
                <w:spacing w:val="0"/>
                <w:sz w:val="24"/>
                <w:szCs w:val="20"/>
                <w:lang w:eastAsia="zh-CN"/>
                <w:highlight w:val="none"/>
              </w:rPr>
              <w:t>，</w:t>
            </w:r>
            <w:r>
              <w:rPr>
                <w:rFonts w:ascii="Times New Roman" w:cs="Times New Roman" w:hAnsi="Times New Roman"/>
                <w:caps w:val="0"/>
                <w:smallCaps w:val="0"/>
                <w:color w:val="auto"/>
                <w:spacing w:val="0"/>
                <w:sz w:val="24"/>
                <w:szCs w:val="20"/>
                <w:highlight w:val="none"/>
              </w:rPr>
              <w:t>项目在拟建地的建设具备环境可行性。</w:t>
            </w:r>
          </w:p>
        </w:tc>
      </w:tr>
    </w:tbl>
    <w:p>
      <w:pPr>
        <w:pStyle w:val="23"/>
        <w:rPr>
          <w:rFonts w:ascii="Times New Roman" w:cs="Times New Roman" w:hAnsi="Times New Roman"/>
          <w:caps w:val="0"/>
          <w:smallCaps w:val="0"/>
          <w:color w:val="auto"/>
          <w:spacing w:val="0"/>
          <w:highlight w:val="none"/>
        </w:rPr>
        <w:sectPr>
          <w:pgSz w:w="11907" w:h="16840"/>
          <w:pgMar w:top="1440" w:right="1800" w:bottom="1440" w:left="1800" w:header="851" w:footer="992" w:gutter="0"/>
          <w:cols w:num="1" w:space="720"/>
          <w:docGrid w:type="linesAndChars" w:linePitch="319" w:charSpace="0"/>
        </w:sectPr>
      </w:pPr>
    </w:p>
    <w:p>
      <w:pPr>
        <w:pStyle w:val="45"/>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641"/>
        <w:textAlignment w:val="auto"/>
        <w:outlineLvl w:val="0"/>
        <w:rPr>
          <w:rFonts w:ascii="Times New Roman" w:eastAsia="黑体" w:cs="Times New Roman" w:hAnsi="Times New Roman"/>
          <w:snapToGrid w:val="0"/>
          <w:color w:val="auto"/>
          <w:sz w:val="32"/>
          <w:szCs w:val="32"/>
          <w:highlight w:val="none"/>
        </w:rPr>
      </w:pPr>
      <w:bookmarkStart w:id="40" w:name="_Toc10899"/>
      <w:bookmarkStart w:id="41" w:name="_Toc27848"/>
      <w:r>
        <w:rPr>
          <w:rFonts w:ascii="Times New Roman" w:eastAsia="黑体" w:cs="Times New Roman" w:hAnsi="Times New Roman"/>
          <w:snapToGrid w:val="0"/>
          <w:color w:val="auto"/>
          <w:sz w:val="32"/>
          <w:szCs w:val="32"/>
          <w:highlight w:val="none"/>
        </w:rPr>
        <w:t>附表</w:t>
      </w:r>
      <w:bookmarkEnd w:id="40"/>
      <w:bookmarkEnd w:id="41"/>
    </w:p>
    <w:p>
      <w:pPr>
        <w:pStyle w:val="45"/>
        <w:keepNext w:val="0"/>
        <w:keepLines w:val="0"/>
        <w:pageBreakBefore w:val="0"/>
        <w:widowControl/>
        <w:tabs>
          <w:tab w:val="left" w:pos="6521"/>
        </w:tabs>
        <w:kinsoku/>
        <w:wordWrap/>
        <w:overflowPunct/>
        <w:topLinePunct w:val="0"/>
        <w:autoSpaceDE/>
        <w:autoSpaceDN/>
        <w:bidi w:val="0"/>
        <w:adjustRightInd w:val="0"/>
        <w:snapToGrid w:val="0"/>
        <w:spacing w:before="0" w:beforeAutospacing="0" w:after="0" w:afterAutospacing="0" w:line="240" w:lineRule="auto"/>
        <w:ind w:firstLine="760"/>
        <w:jc w:val="center"/>
        <w:textAlignment w:val="auto"/>
        <w:outlineLvl w:val="0"/>
        <w:rPr>
          <w:rFonts w:ascii="Times New Roman" w:eastAsia="方正小标宋_GBK" w:cs="Times New Roman" w:hAnsi="Times New Roman"/>
          <w:snapToGrid w:val="0"/>
          <w:color w:val="auto"/>
          <w:sz w:val="38"/>
          <w:szCs w:val="38"/>
          <w:highlight w:val="none"/>
        </w:rPr>
      </w:pPr>
      <w:bookmarkStart w:id="42" w:name="_Toc21305"/>
      <w:bookmarkStart w:id="43" w:name="_Toc21880"/>
      <w:r>
        <w:rPr>
          <w:rFonts w:ascii="Times New Roman" w:eastAsia="方正小标宋_GBK" w:cs="Times New Roman" w:hAnsi="Times New Roman"/>
          <w:snapToGrid w:val="0"/>
          <w:color w:val="auto"/>
          <w:sz w:val="38"/>
          <w:szCs w:val="38"/>
          <w:highlight w:val="none"/>
        </w:rPr>
        <w:t>建设项目污染物排放量汇总表</w:t>
      </w:r>
      <w:bookmarkEnd w:id="42"/>
    </w:p>
    <w:tbl>
      <w:tblPr>
        <w:jc w:val="left"/>
        <w:tblInd w:w="0" w:type="dxa"/>
        <w:tblW w:w="137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588"/>
        <w:gridCol w:w="1762"/>
        <w:gridCol w:w="1491"/>
        <w:gridCol w:w="1491"/>
        <w:gridCol w:w="1491"/>
        <w:gridCol w:w="1491"/>
        <w:gridCol w:w="1491"/>
        <w:gridCol w:w="1491"/>
        <w:gridCol w:w="1492"/>
      </w:tblGrid>
      <w:tr>
        <w:trPr>
          <w:trHeight w:val="283"/>
        </w:trPr>
        <w:tc>
          <w:tcPr>
            <w:tcW w:w="1588" w:type="dxa"/>
            <w:tcBorders>
              <w:tl2br w:val="single" w:sz="4" w:space="0" w:color="auto"/>
            </w:tcBorders>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right"/>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项目</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left"/>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分类</w:t>
            </w:r>
          </w:p>
        </w:tc>
        <w:tc>
          <w:tcPr>
            <w:tcW w:w="1762"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污染物名称</w:t>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现有工程</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排放量（固体废物产生量）</w:t>
            </w:r>
            <w:r>
              <w:rPr>
                <w:rFonts w:ascii="Times New Roman" w:eastAsia="黑体" w:cs="Times New Roman" w:hAnsi="Times New Roman"/>
                <w:snapToGrid w:val="0"/>
                <w:color w:val="auto"/>
                <w:spacing w:val="-6"/>
                <w:kern w:val="21"/>
                <w:sz w:val="21"/>
                <w:szCs w:val="21"/>
                <w:highlight w:val="none"/>
              </w:rPr>
              <w:fldChar w:fldCharType="begin"/>
            </w:r>
            <w:r>
              <w:rPr>
                <w:rFonts w:ascii="Times New Roman" w:eastAsia="黑体" w:cs="Times New Roman" w:hAnsi="Times New Roman"/>
                <w:snapToGrid w:val="0"/>
                <w:color w:val="auto"/>
                <w:spacing w:val="-6"/>
                <w:kern w:val="21"/>
                <w:sz w:val="21"/>
                <w:szCs w:val="21"/>
                <w:highlight w:val="none"/>
              </w:rPr>
              <w:instrText xml:space="preserve"> = 1 \* GB3 \* MERGEFORMAT </w:instrText>
            </w:r>
            <w:r>
              <w:rPr>
                <w:rFonts w:ascii="Times New Roman" w:eastAsia="黑体" w:cs="Times New Roman" w:hAnsi="Times New Roman"/>
                <w:snapToGrid w:val="0"/>
                <w:color w:val="auto"/>
                <w:spacing w:val="-6"/>
                <w:kern w:val="21"/>
                <w:sz w:val="21"/>
                <w:szCs w:val="21"/>
                <w:highlight w:val="none"/>
              </w:rPr>
              <w:fldChar w:fldCharType="separate"/>
            </w:r>
            <w:r>
              <w:rPr>
                <w:rFonts w:ascii="Times New Roman" w:eastAsia="黑体" w:cs="Times New Roman" w:hAnsi="Times New Roman"/>
                <w:color w:val="auto"/>
                <w:kern w:val="2"/>
                <w:sz w:val="21"/>
                <w:szCs w:val="21"/>
                <w:highlight w:val="none"/>
              </w:rPr>
              <w:t>①</w:t>
            </w:r>
            <w:r>
              <w:rPr>
                <w:rFonts w:ascii="Times New Roman" w:eastAsia="黑体" w:cs="Times New Roman" w:hAnsi="Times New Roman"/>
                <w:snapToGrid w:val="0"/>
                <w:color w:val="auto"/>
                <w:spacing w:val="-6"/>
                <w:kern w:val="21"/>
                <w:sz w:val="21"/>
                <w:szCs w:val="21"/>
                <w:highlight w:val="none"/>
              </w:rPr>
              <w:fldChar w:fldCharType="end"/>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现有工程</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许可排放量</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fldChar w:fldCharType="begin"/>
            </w:r>
            <w:r>
              <w:rPr>
                <w:rFonts w:ascii="Times New Roman" w:eastAsia="黑体" w:cs="Times New Roman" w:hAnsi="Times New Roman"/>
                <w:snapToGrid w:val="0"/>
                <w:color w:val="auto"/>
                <w:spacing w:val="-6"/>
                <w:kern w:val="21"/>
                <w:sz w:val="21"/>
                <w:szCs w:val="21"/>
                <w:highlight w:val="none"/>
              </w:rPr>
              <w:instrText xml:space="preserve"> = 2 \* GB3 \* MERGEFORMAT </w:instrText>
            </w:r>
            <w:r>
              <w:rPr>
                <w:rFonts w:ascii="Times New Roman" w:eastAsia="黑体" w:cs="Times New Roman" w:hAnsi="Times New Roman"/>
                <w:snapToGrid w:val="0"/>
                <w:color w:val="auto"/>
                <w:spacing w:val="-6"/>
                <w:kern w:val="21"/>
                <w:sz w:val="21"/>
                <w:szCs w:val="21"/>
                <w:highlight w:val="none"/>
              </w:rPr>
              <w:fldChar w:fldCharType="separate"/>
            </w:r>
            <w:r>
              <w:rPr>
                <w:rFonts w:ascii="Times New Roman" w:eastAsia="黑体" w:cs="Times New Roman" w:hAnsi="Times New Roman"/>
                <w:snapToGrid w:val="0"/>
                <w:color w:val="auto"/>
                <w:spacing w:val="-6"/>
                <w:kern w:val="21"/>
                <w:sz w:val="21"/>
                <w:szCs w:val="21"/>
                <w:highlight w:val="none"/>
              </w:rPr>
              <w:t>②</w:t>
            </w:r>
            <w:r>
              <w:rPr>
                <w:rFonts w:ascii="Times New Roman" w:eastAsia="黑体" w:cs="Times New Roman" w:hAnsi="Times New Roman"/>
                <w:snapToGrid w:val="0"/>
                <w:color w:val="auto"/>
                <w:spacing w:val="-6"/>
                <w:kern w:val="21"/>
                <w:sz w:val="21"/>
                <w:szCs w:val="21"/>
                <w:highlight w:val="none"/>
              </w:rPr>
              <w:fldChar w:fldCharType="end"/>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hint="eastAsia"/>
                <w:snapToGrid w:val="0"/>
                <w:color w:val="auto"/>
                <w:spacing w:val="-6"/>
                <w:kern w:val="21"/>
                <w:szCs w:val="21"/>
                <w:lang w:val="en-US" w:eastAsia="zh-CN"/>
                <w:highlight w:val="none"/>
              </w:rPr>
            </w:pPr>
            <w:r>
              <w:rPr>
                <w:rFonts w:ascii="Times New Roman" w:eastAsia="黑体" w:cs="Times New Roman" w:hAnsi="Times New Roman" w:hint="eastAsia"/>
                <w:snapToGrid w:val="0"/>
                <w:color w:val="auto"/>
                <w:spacing w:val="-6"/>
                <w:kern w:val="21"/>
                <w:sz w:val="21"/>
                <w:szCs w:val="21"/>
                <w:lang w:val="en-US" w:eastAsia="zh-CN"/>
                <w:highlight w:val="none"/>
              </w:rPr>
              <w:t>总量控制指标</w:t>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在建工程</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排放量（固体废物产生量）</w:t>
            </w:r>
            <w:r>
              <w:rPr>
                <w:rFonts w:ascii="Times New Roman" w:eastAsia="黑体" w:cs="Times New Roman" w:hAnsi="Times New Roman"/>
                <w:snapToGrid w:val="0"/>
                <w:color w:val="auto"/>
                <w:spacing w:val="-6"/>
                <w:kern w:val="21"/>
                <w:sz w:val="21"/>
                <w:szCs w:val="21"/>
                <w:highlight w:val="none"/>
              </w:rPr>
              <w:fldChar w:fldCharType="begin"/>
            </w:r>
            <w:r>
              <w:rPr>
                <w:rFonts w:ascii="Times New Roman" w:eastAsia="黑体" w:cs="Times New Roman" w:hAnsi="Times New Roman"/>
                <w:snapToGrid w:val="0"/>
                <w:color w:val="auto"/>
                <w:spacing w:val="-6"/>
                <w:kern w:val="21"/>
                <w:sz w:val="21"/>
                <w:szCs w:val="21"/>
                <w:highlight w:val="none"/>
              </w:rPr>
              <w:instrText xml:space="preserve"> = 3 \* GB3 \* MERGEFORMAT </w:instrText>
            </w:r>
            <w:r>
              <w:rPr>
                <w:rFonts w:ascii="Times New Roman" w:eastAsia="黑体" w:cs="Times New Roman" w:hAnsi="Times New Roman"/>
                <w:snapToGrid w:val="0"/>
                <w:color w:val="auto"/>
                <w:spacing w:val="-6"/>
                <w:kern w:val="21"/>
                <w:sz w:val="21"/>
                <w:szCs w:val="21"/>
                <w:highlight w:val="none"/>
              </w:rPr>
              <w:fldChar w:fldCharType="separate"/>
            </w:r>
            <w:r>
              <w:rPr>
                <w:rFonts w:ascii="Times New Roman" w:eastAsia="黑体" w:cs="Times New Roman" w:hAnsi="Times New Roman"/>
                <w:color w:val="auto"/>
                <w:kern w:val="2"/>
                <w:sz w:val="21"/>
                <w:szCs w:val="21"/>
                <w:highlight w:val="none"/>
              </w:rPr>
              <w:t>③</w:t>
            </w:r>
            <w:r>
              <w:rPr>
                <w:rFonts w:ascii="Times New Roman" w:eastAsia="黑体" w:cs="Times New Roman" w:hAnsi="Times New Roman"/>
                <w:snapToGrid w:val="0"/>
                <w:color w:val="auto"/>
                <w:spacing w:val="-6"/>
                <w:kern w:val="21"/>
                <w:sz w:val="21"/>
                <w:szCs w:val="21"/>
                <w:highlight w:val="none"/>
              </w:rPr>
              <w:fldChar w:fldCharType="end"/>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hint="eastAsia"/>
                <w:snapToGrid w:val="0"/>
                <w:color w:val="auto"/>
                <w:spacing w:val="-6"/>
                <w:kern w:val="21"/>
                <w:szCs w:val="21"/>
                <w:lang w:eastAsia="zh-CN"/>
                <w:highlight w:val="none"/>
              </w:rPr>
            </w:pPr>
            <w:r>
              <w:rPr>
                <w:rFonts w:ascii="Times New Roman" w:eastAsia="黑体" w:cs="Times New Roman" w:hAnsi="Times New Roman"/>
                <w:snapToGrid w:val="0"/>
                <w:color w:val="auto"/>
                <w:spacing w:val="-6"/>
                <w:kern w:val="21"/>
                <w:sz w:val="21"/>
                <w:szCs w:val="21"/>
                <w:highlight w:val="none"/>
              </w:rPr>
              <w:t>本项目</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排放量（固体废物产生量）</w:t>
            </w:r>
            <w:r>
              <w:rPr>
                <w:rFonts w:ascii="Times New Roman" w:eastAsia="黑体" w:cs="Times New Roman" w:hAnsi="Times New Roman"/>
                <w:snapToGrid w:val="0"/>
                <w:color w:val="auto"/>
                <w:spacing w:val="-6"/>
                <w:kern w:val="21"/>
                <w:sz w:val="21"/>
                <w:szCs w:val="21"/>
                <w:highlight w:val="none"/>
              </w:rPr>
              <w:fldChar w:fldCharType="begin"/>
            </w:r>
            <w:r>
              <w:rPr>
                <w:rFonts w:ascii="Times New Roman" w:eastAsia="黑体" w:cs="Times New Roman" w:hAnsi="Times New Roman"/>
                <w:snapToGrid w:val="0"/>
                <w:color w:val="auto"/>
                <w:spacing w:val="-6"/>
                <w:kern w:val="21"/>
                <w:sz w:val="21"/>
                <w:szCs w:val="21"/>
                <w:highlight w:val="none"/>
              </w:rPr>
              <w:instrText xml:space="preserve"> = 4 \* GB3 \* MERGEFORMAT </w:instrText>
            </w:r>
            <w:r>
              <w:rPr>
                <w:rFonts w:ascii="Times New Roman" w:eastAsia="黑体" w:cs="Times New Roman" w:hAnsi="Times New Roman"/>
                <w:snapToGrid w:val="0"/>
                <w:color w:val="auto"/>
                <w:spacing w:val="-6"/>
                <w:kern w:val="21"/>
                <w:sz w:val="21"/>
                <w:szCs w:val="21"/>
                <w:highlight w:val="none"/>
              </w:rPr>
              <w:fldChar w:fldCharType="separate"/>
            </w:r>
            <w:r>
              <w:rPr>
                <w:rFonts w:ascii="Times New Roman" w:eastAsia="黑体" w:cs="Times New Roman" w:hAnsi="Times New Roman"/>
                <w:color w:val="auto"/>
                <w:kern w:val="2"/>
                <w:sz w:val="21"/>
                <w:szCs w:val="21"/>
                <w:highlight w:val="none"/>
              </w:rPr>
              <w:t>④</w:t>
            </w:r>
            <w:r>
              <w:rPr>
                <w:rFonts w:ascii="Times New Roman" w:eastAsia="黑体" w:cs="Times New Roman" w:hAnsi="Times New Roman"/>
                <w:snapToGrid w:val="0"/>
                <w:color w:val="auto"/>
                <w:spacing w:val="-6"/>
                <w:kern w:val="21"/>
                <w:sz w:val="21"/>
                <w:szCs w:val="21"/>
                <w:highlight w:val="none"/>
              </w:rPr>
              <w:fldChar w:fldCharType="end"/>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16"/>
                <w:kern w:val="21"/>
                <w:szCs w:val="21"/>
                <w:highlight w:val="none"/>
              </w:rPr>
            </w:pPr>
            <w:r>
              <w:rPr>
                <w:rFonts w:ascii="Times New Roman" w:eastAsia="黑体" w:cs="Times New Roman" w:hAnsi="Times New Roman"/>
                <w:snapToGrid w:val="0"/>
                <w:color w:val="auto"/>
                <w:spacing w:val="-16"/>
                <w:kern w:val="21"/>
                <w:sz w:val="21"/>
                <w:szCs w:val="21"/>
                <w:highlight w:val="none"/>
              </w:rPr>
              <w:t>以新带老削减量</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16"/>
                <w:kern w:val="21"/>
                <w:szCs w:val="21"/>
                <w:highlight w:val="none"/>
              </w:rPr>
            </w:pPr>
            <w:r>
              <w:rPr>
                <w:rFonts w:ascii="Times New Roman" w:eastAsia="黑体" w:cs="Times New Roman" w:hAnsi="Times New Roman"/>
                <w:snapToGrid w:val="0"/>
                <w:color w:val="auto"/>
                <w:spacing w:val="-16"/>
                <w:kern w:val="21"/>
                <w:sz w:val="21"/>
                <w:szCs w:val="21"/>
                <w:highlight w:val="none"/>
              </w:rPr>
              <w:t>（新建项目不填）</w:t>
            </w:r>
            <w:r>
              <w:rPr>
                <w:rFonts w:ascii="Times New Roman" w:eastAsia="黑体" w:cs="Times New Roman" w:hAnsi="Times New Roman"/>
                <w:snapToGrid w:val="0"/>
                <w:color w:val="auto"/>
                <w:spacing w:val="-16"/>
                <w:kern w:val="21"/>
                <w:sz w:val="21"/>
                <w:szCs w:val="21"/>
                <w:highlight w:val="none"/>
              </w:rPr>
              <w:fldChar w:fldCharType="begin"/>
            </w:r>
            <w:r>
              <w:rPr>
                <w:rFonts w:ascii="Times New Roman" w:eastAsia="黑体" w:cs="Times New Roman" w:hAnsi="Times New Roman"/>
                <w:snapToGrid w:val="0"/>
                <w:color w:val="auto"/>
                <w:spacing w:val="-16"/>
                <w:kern w:val="21"/>
                <w:sz w:val="21"/>
                <w:szCs w:val="21"/>
                <w:highlight w:val="none"/>
              </w:rPr>
              <w:instrText xml:space="preserve"> = 5 \* GB3 \* MERGEFORMAT </w:instrText>
            </w:r>
            <w:r>
              <w:rPr>
                <w:rFonts w:ascii="Times New Roman" w:eastAsia="黑体" w:cs="Times New Roman" w:hAnsi="Times New Roman"/>
                <w:snapToGrid w:val="0"/>
                <w:color w:val="auto"/>
                <w:spacing w:val="-16"/>
                <w:kern w:val="21"/>
                <w:sz w:val="21"/>
                <w:szCs w:val="21"/>
                <w:highlight w:val="none"/>
              </w:rPr>
              <w:fldChar w:fldCharType="separate"/>
            </w:r>
            <w:r>
              <w:rPr>
                <w:rFonts w:ascii="Times New Roman" w:eastAsia="黑体" w:cs="Times New Roman" w:hAnsi="Times New Roman"/>
                <w:color w:val="auto"/>
                <w:kern w:val="2"/>
                <w:sz w:val="21"/>
                <w:szCs w:val="21"/>
                <w:highlight w:val="none"/>
              </w:rPr>
              <w:t>⑤</w:t>
            </w:r>
            <w:r>
              <w:rPr>
                <w:rFonts w:ascii="Times New Roman" w:eastAsia="黑体" w:cs="Times New Roman" w:hAnsi="Times New Roman"/>
                <w:snapToGrid w:val="0"/>
                <w:color w:val="auto"/>
                <w:spacing w:val="-16"/>
                <w:kern w:val="21"/>
                <w:sz w:val="21"/>
                <w:szCs w:val="21"/>
                <w:highlight w:val="none"/>
              </w:rPr>
              <w:fldChar w:fldCharType="end"/>
            </w:r>
          </w:p>
        </w:tc>
        <w:tc>
          <w:tcPr>
            <w:tcW w:w="1491"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16"/>
                <w:kern w:val="21"/>
                <w:szCs w:val="21"/>
                <w:highlight w:val="none"/>
              </w:rPr>
            </w:pPr>
            <w:r>
              <w:rPr>
                <w:rFonts w:ascii="Times New Roman" w:eastAsia="黑体" w:cs="Times New Roman" w:hAnsi="Times New Roman"/>
                <w:snapToGrid w:val="0"/>
                <w:color w:val="auto"/>
                <w:spacing w:val="-16"/>
                <w:kern w:val="21"/>
                <w:sz w:val="21"/>
                <w:szCs w:val="21"/>
                <w:highlight w:val="none"/>
              </w:rPr>
              <w:t>本项目建成后</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16"/>
                <w:kern w:val="21"/>
                <w:szCs w:val="21"/>
                <w:highlight w:val="none"/>
              </w:rPr>
            </w:pPr>
            <w:r>
              <w:rPr>
                <w:rFonts w:ascii="Times New Roman" w:eastAsia="黑体" w:cs="Times New Roman" w:hAnsi="Times New Roman"/>
                <w:snapToGrid w:val="0"/>
                <w:color w:val="auto"/>
                <w:spacing w:val="-16"/>
                <w:kern w:val="21"/>
                <w:sz w:val="21"/>
                <w:szCs w:val="21"/>
                <w:highlight w:val="none"/>
              </w:rPr>
              <w:t>全厂排放量（固体废物产生量）</w:t>
            </w:r>
            <w:r>
              <w:rPr>
                <w:rFonts w:ascii="Times New Roman" w:eastAsia="黑体" w:cs="Times New Roman" w:hAnsi="Times New Roman"/>
                <w:snapToGrid w:val="0"/>
                <w:color w:val="auto"/>
                <w:spacing w:val="-16"/>
                <w:kern w:val="21"/>
                <w:sz w:val="21"/>
                <w:szCs w:val="21"/>
                <w:highlight w:val="none"/>
              </w:rPr>
              <w:fldChar w:fldCharType="begin"/>
            </w:r>
            <w:r>
              <w:rPr>
                <w:rFonts w:ascii="Times New Roman" w:eastAsia="黑体" w:cs="Times New Roman" w:hAnsi="Times New Roman"/>
                <w:snapToGrid w:val="0"/>
                <w:color w:val="auto"/>
                <w:spacing w:val="-16"/>
                <w:kern w:val="21"/>
                <w:sz w:val="21"/>
                <w:szCs w:val="21"/>
                <w:highlight w:val="none"/>
              </w:rPr>
              <w:instrText xml:space="preserve"> = 6 \* GB3 \* MERGEFORMAT </w:instrText>
            </w:r>
            <w:r>
              <w:rPr>
                <w:rFonts w:ascii="Times New Roman" w:eastAsia="黑体" w:cs="Times New Roman" w:hAnsi="Times New Roman"/>
                <w:snapToGrid w:val="0"/>
                <w:color w:val="auto"/>
                <w:spacing w:val="-16"/>
                <w:kern w:val="21"/>
                <w:sz w:val="21"/>
                <w:szCs w:val="21"/>
                <w:highlight w:val="none"/>
              </w:rPr>
              <w:fldChar w:fldCharType="separate"/>
            </w:r>
            <w:r>
              <w:rPr>
                <w:rFonts w:ascii="Times New Roman" w:eastAsia="黑体" w:cs="Times New Roman" w:hAnsi="Times New Roman"/>
                <w:color w:val="auto"/>
                <w:kern w:val="2"/>
                <w:sz w:val="21"/>
                <w:szCs w:val="21"/>
                <w:highlight w:val="none"/>
              </w:rPr>
              <w:t>⑥</w:t>
            </w:r>
            <w:r>
              <w:rPr>
                <w:rFonts w:ascii="Times New Roman" w:eastAsia="黑体" w:cs="Times New Roman" w:hAnsi="Times New Roman"/>
                <w:snapToGrid w:val="0"/>
                <w:color w:val="auto"/>
                <w:spacing w:val="-16"/>
                <w:kern w:val="21"/>
                <w:sz w:val="21"/>
                <w:szCs w:val="21"/>
                <w:highlight w:val="none"/>
              </w:rPr>
              <w:fldChar w:fldCharType="end"/>
            </w:r>
          </w:p>
        </w:tc>
        <w:tc>
          <w:tcPr>
            <w:tcW w:w="1492" w:type="dxa"/>
            <w:tcMar>
              <w:left w:w="28" w:type="dxa"/>
              <w:right w:w="28" w:type="dxa"/>
            </w:tcMar>
            <w:vAlign w:val="center"/>
          </w:tcPr>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t>变化量</w:t>
            </w:r>
          </w:p>
          <w:p>
            <w:pPr>
              <w:pStyle w:val="101"/>
              <w:keepNext w:val="0"/>
              <w:keepLines w:val="0"/>
              <w:pageBreakBefore w:val="0"/>
              <w:widowControl w:val="0"/>
              <w:suppressLineNumbers w:val="0"/>
              <w:tabs>
                <w:tab w:val="left" w:pos="6521"/>
              </w:tabs>
              <w:kinsoku/>
              <w:wordWrap/>
              <w:overflowPunct/>
              <w:topLinePunct/>
              <w:bidi w:val="0"/>
              <w:spacing w:before="0" w:beforeAutospacing="0" w:after="0" w:afterAutospacing="0" w:line="240" w:lineRule="auto"/>
              <w:ind w:left="0" w:right="0" w:firstLineChars="0" w:firstLine="0"/>
              <w:jc w:val="center"/>
              <w:rPr>
                <w:rFonts w:ascii="Times New Roman" w:eastAsia="黑体" w:cs="Times New Roman" w:hAnsi="Times New Roman"/>
                <w:snapToGrid w:val="0"/>
                <w:color w:val="auto"/>
                <w:spacing w:val="-6"/>
                <w:kern w:val="21"/>
                <w:szCs w:val="21"/>
                <w:highlight w:val="none"/>
              </w:rPr>
            </w:pPr>
            <w:r>
              <w:rPr>
                <w:rFonts w:ascii="Times New Roman" w:eastAsia="黑体" w:cs="Times New Roman" w:hAnsi="Times New Roman"/>
                <w:snapToGrid w:val="0"/>
                <w:color w:val="auto"/>
                <w:spacing w:val="-6"/>
                <w:kern w:val="21"/>
                <w:sz w:val="21"/>
                <w:szCs w:val="21"/>
                <w:highlight w:val="none"/>
              </w:rPr>
              <w:fldChar w:fldCharType="begin"/>
            </w:r>
            <w:r>
              <w:rPr>
                <w:rFonts w:ascii="Times New Roman" w:eastAsia="黑体" w:cs="Times New Roman" w:hAnsi="Times New Roman"/>
                <w:snapToGrid w:val="0"/>
                <w:color w:val="auto"/>
                <w:spacing w:val="-6"/>
                <w:kern w:val="21"/>
                <w:sz w:val="21"/>
                <w:szCs w:val="21"/>
                <w:highlight w:val="none"/>
              </w:rPr>
              <w:instrText xml:space="preserve"> = 7 \* GB3 \* MERGEFORMAT </w:instrText>
            </w:r>
            <w:r>
              <w:rPr>
                <w:rFonts w:ascii="Times New Roman" w:eastAsia="黑体" w:cs="Times New Roman" w:hAnsi="Times New Roman"/>
                <w:snapToGrid w:val="0"/>
                <w:color w:val="auto"/>
                <w:spacing w:val="-6"/>
                <w:kern w:val="21"/>
                <w:sz w:val="21"/>
                <w:szCs w:val="21"/>
                <w:highlight w:val="none"/>
              </w:rPr>
              <w:fldChar w:fldCharType="separate"/>
            </w:r>
            <w:r>
              <w:rPr>
                <w:rFonts w:ascii="Times New Roman" w:eastAsia="黑体" w:cs="Times New Roman" w:hAnsi="Times New Roman"/>
                <w:color w:val="auto"/>
                <w:kern w:val="2"/>
                <w:sz w:val="21"/>
                <w:szCs w:val="21"/>
                <w:highlight w:val="none"/>
              </w:rPr>
              <w:t>⑦</w:t>
            </w:r>
            <w:r>
              <w:rPr>
                <w:rFonts w:ascii="Times New Roman" w:eastAsia="黑体" w:cs="Times New Roman" w:hAnsi="Times New Roman"/>
                <w:snapToGrid w:val="0"/>
                <w:color w:val="auto"/>
                <w:spacing w:val="-6"/>
                <w:kern w:val="21"/>
                <w:sz w:val="21"/>
                <w:szCs w:val="21"/>
                <w:highlight w:val="none"/>
              </w:rPr>
              <w:fldChar w:fldCharType="end"/>
            </w:r>
          </w:p>
        </w:tc>
      </w:tr>
      <w:tr>
        <w:trPr>
          <w:trHeight w:val="283"/>
        </w:trPr>
        <w:tc>
          <w:tcPr>
            <w:tcW w:w="1588" w:type="dxa"/>
            <w:vMerge w:val="restart"/>
            <w:vAlign w:val="center"/>
          </w:tcPr>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highlight w:val="none"/>
              </w:rPr>
              <w:t>废气</w:t>
            </w:r>
          </w:p>
        </w:tc>
        <w:tc>
          <w:tcPr>
            <w:tcW w:w="1762" w:type="dxa"/>
            <w:tcBorders>
              <w:left w:val="single" w:sz="4" w:space="0" w:color="auto"/>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olor w:val="auto"/>
                <w:sz w:val="21"/>
                <w:szCs w:val="21"/>
                <w:lang w:val="en-US" w:eastAsia="zh-CN"/>
                <w:highlight w:val="none"/>
              </w:rPr>
              <w:t>颗粒物</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0.411t/a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0.225t/a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bCs/>
                <w:caps w:val="0"/>
                <w:smallCaps w:val="0"/>
                <w:color w:val="auto"/>
                <w:spacing w:val="0"/>
                <w:kern w:val="0"/>
                <w:sz w:val="21"/>
                <w:szCs w:val="21"/>
                <w:lang w:val="en-US" w:eastAsia="zh-CN" w:bidi="ar-SA"/>
                <w:highlight w:val="none"/>
              </w:rPr>
            </w:pPr>
            <w:r>
              <w:rPr>
                <w:rFonts w:ascii="Times New Roman" w:cs="Times New Roman" w:hAnsi="Times New Roman" w:hint="eastAsia"/>
                <w:bCs/>
                <w:caps w:val="0"/>
                <w:smallCaps w:val="0"/>
                <w:color w:val="auto"/>
                <w:spacing w:val="0"/>
                <w:kern w:val="0"/>
                <w:sz w:val="21"/>
                <w:szCs w:val="21"/>
                <w:lang w:val="en-US" w:eastAsia="zh-CN" w:bidi="ar-SA"/>
                <w:highlight w:val="none"/>
              </w:rPr>
              <w:t>0.411t/a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0.225t/a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-0.186</w:t>
            </w:r>
          </w:p>
        </w:tc>
      </w:tr>
      <w:tr>
        <w:trPr>
          <w:trHeight w:val="283"/>
        </w:trPr>
        <w:tc>
          <w:tcPr>
            <w:tcW w:w="1588" w:type="dxa"/>
            <w:vMerge/>
            <w:vAlign w:val="center"/>
          </w:tcPr>
          <w:p/>
        </w:tc>
        <w:tc>
          <w:tcPr>
            <w:tcW w:w="1762" w:type="dxa"/>
            <w:tcBorders>
              <w:left w:val="single" w:sz="4" w:space="0" w:color="auto"/>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caps w:val="0"/>
                <w:smallCaps w:val="0"/>
                <w:color w:val="auto"/>
                <w:spacing w:val="0"/>
                <w:sz w:val="21"/>
                <w:szCs w:val="21"/>
                <w:lang w:val="en-US" w:eastAsia="zh-CN"/>
                <w:highlight w:val="none"/>
              </w:rPr>
            </w:pPr>
            <w:r>
              <w:rPr>
                <w:rFonts w:ascii="Times New Roman" w:cs="Times New Roman" w:hAnsi="Times New Roman" w:hint="eastAsia"/>
                <w:bCs/>
                <w:color w:val="auto"/>
                <w:sz w:val="21"/>
                <w:szCs w:val="21"/>
                <w:lang w:val="en-US" w:eastAsia="zh-CN"/>
                <w:highlight w:val="none"/>
              </w:rPr>
              <w:t>氨</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0.127t/a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cs="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0.125t/a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0.127t/a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0.125t/a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-0.002</w:t>
            </w:r>
          </w:p>
        </w:tc>
      </w:tr>
      <w:tr>
        <w:trPr>
          <w:trHeight w:val="283"/>
        </w:trPr>
        <w:tc>
          <w:tcPr>
            <w:tcW w:w="1588" w:type="dxa"/>
            <w:vMerge/>
            <w:vAlign w:val="center"/>
          </w:tcPr>
          <w:p/>
        </w:tc>
        <w:tc>
          <w:tcPr>
            <w:tcW w:w="1762" w:type="dxa"/>
            <w:tcBorders>
              <w:left w:val="single" w:sz="4" w:space="0" w:color="auto"/>
            </w:tcBorders>
            <w:vAlign w:val="center"/>
          </w:tcPr>
          <w:p>
            <w:pPr>
              <w:keepNext w:val="0"/>
              <w:keepLines w:val="0"/>
              <w:suppressLineNumbers w:val="0"/>
              <w:autoSpaceDE w:val="0"/>
              <w:autoSpaceDN w:val="0"/>
              <w:adjustRightInd w:val="0"/>
              <w:spacing w:before="0" w:beforeAutospacing="0" w:after="0" w:afterAutospacing="0" w:line="320" w:lineRule="exact"/>
              <w:ind w:left="0" w:right="0"/>
              <w:jc w:val="center"/>
              <w:rPr>
                <w:rFonts w:cs="Times New Roman" w:hint="eastAsia"/>
                <w:caps w:val="0"/>
                <w:smallCaps w:val="0"/>
                <w:color w:val="auto"/>
                <w:spacing w:val="0"/>
                <w:sz w:val="21"/>
                <w:szCs w:val="21"/>
                <w:lang w:val="en-US" w:eastAsia="zh-CN"/>
                <w:highlight w:val="none"/>
              </w:rPr>
            </w:pPr>
            <w:r>
              <w:rPr>
                <w:rFonts w:ascii="Times New Roman" w:cs="Times New Roman" w:hAnsi="Times New Roman" w:hint="eastAsia"/>
                <w:bCs/>
                <w:color w:val="auto"/>
                <w:sz w:val="21"/>
                <w:szCs w:val="21"/>
                <w:lang w:val="en-US" w:eastAsia="zh-CN"/>
                <w:highlight w:val="none"/>
              </w:rPr>
              <w:t>非甲烷总烃</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0.152t/a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cs="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0.076t/a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bidi="ar-SA"/>
                <w:highlight w:val="none"/>
              </w:rPr>
              <w:t>0.152t/a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0.076t/a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-0.076</w:t>
            </w:r>
          </w:p>
        </w:tc>
      </w:tr>
      <w:tr>
        <w:trPr>
          <w:trHeight w:val="215"/>
        </w:trPr>
        <w:tc>
          <w:tcPr>
            <w:tcW w:w="1588" w:type="dxa"/>
            <w:vMerge w:val="restart"/>
            <w:vAlign w:val="center"/>
          </w:tcPr>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highlight w:val="none"/>
              </w:rPr>
              <w:t>废水</w:t>
            </w:r>
          </w:p>
        </w:tc>
        <w:tc>
          <w:tcPr>
            <w:tcW w:w="1762" w:type="dxa"/>
            <w:tcBorders>
              <w:left w:val="single" w:sz="4" w:space="0" w:color="auto"/>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pH</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2" w:type="dxa"/>
            <w:tcBorders>
              <w:left w:val="single" w:sz="4" w:space="0" w:color="auto"/>
            </w:tcBorders>
            <w:shd w:val="clear" w:color="auto" w:fill="auto"/>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悬浮物</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0.006t/a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0.020</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color w:val="auto"/>
                <w:sz w:val="21"/>
                <w:szCs w:val="24"/>
                <w:lang w:val="en-US" w:eastAsia="zh-CN"/>
                <w:highlight w:val="none"/>
              </w:rPr>
              <w:t>0.020</w:t>
            </w:r>
            <w:r>
              <w:rPr>
                <w:rFonts w:ascii="Times New Roman" w:cs="Times New Roman" w:hAnsi="Times New Roman" w:hint="eastAsia"/>
                <w:snapToGrid w:val="0"/>
                <w:color w:val="auto"/>
                <w:kern w:val="21"/>
                <w:sz w:val="21"/>
                <w:szCs w:val="21"/>
                <w:lang w:val="en-US" w:eastAsia="zh-CN"/>
                <w:highlight w:val="none"/>
              </w:rPr>
              <w:t>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0.014</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化学需氧量</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0.006t/a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0.049t/a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0.006t/a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0.049t/a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0.043</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五日生化需氧量</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0.007t/a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0.026t/a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0.007t/a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0.026t/a</w:t>
            </w:r>
          </w:p>
        </w:tc>
        <w:tc>
          <w:tcPr>
            <w:tcW w:w="149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w:t>
            </w:r>
            <w:r>
              <w:rPr>
                <w:rFonts w:ascii="Times New Roman" w:cs="Times New Roman" w:hAnsi="Times New Roman"/>
                <w:snapToGrid w:val="0"/>
                <w:color w:val="auto"/>
                <w:kern w:val="21"/>
                <w:sz w:val="21"/>
                <w:szCs w:val="21"/>
                <w:lang w:val="en-US" w:eastAsia="zh-CN"/>
                <w:highlight w:val="none"/>
              </w:rPr>
              <w:t>0.019</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caps w:val="0"/>
                <w:smallCaps w:val="0"/>
                <w:color w:val="auto"/>
                <w:spacing w:val="0"/>
                <w:kern w:val="2"/>
                <w:sz w:val="21"/>
                <w:szCs w:val="21"/>
                <w:lang w:val="en-US" w:eastAsia="zh-CN" w:bidi="ar-SA"/>
                <w:highlight w:val="none"/>
              </w:rPr>
              <w:t>氨氮</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9.370</w:t>
            </w:r>
            <w:r>
              <w:rPr>
                <w:rFonts w:ascii="Times New Roman" w:eastAsia="宋体" w:cs="Times New Roman" w:hAnsi="Times New Roman"/>
                <w:caps w:val="0"/>
                <w:smallCaps w:val="0"/>
                <w:color w:val="auto"/>
                <w:spacing w:val="0"/>
                <w:kern w:val="0"/>
                <w:sz w:val="21"/>
                <w:szCs w:val="21"/>
                <w:lang w:val="en-US" w:eastAsia="zh-CN"/>
                <w:highlight w:val="none"/>
              </w:rPr>
              <w:t>×10</w:t>
            </w:r>
            <w:r>
              <w:rPr>
                <w:rFonts w:ascii="Times New Roman" w:eastAsia="宋体" w:cs="Times New Roman" w:hAnsi="Times New Roman"/>
                <w:caps w:val="0"/>
                <w:smallCaps w:val="0"/>
                <w:color w:val="auto"/>
                <w:spacing w:val="0"/>
                <w:kern w:val="0"/>
                <w:sz w:val="21"/>
                <w:szCs w:val="21"/>
                <w:vertAlign w:val="superscript"/>
                <w:lang w:val="en-US" w:eastAsia="zh-CN"/>
                <w:highlight w:val="none"/>
              </w:rPr>
              <w:t>-4</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0.004</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9.370</w:t>
            </w:r>
            <w:r>
              <w:rPr>
                <w:rFonts w:ascii="Times New Roman" w:eastAsia="宋体" w:cs="Times New Roman" w:hAnsi="Times New Roman"/>
                <w:caps w:val="0"/>
                <w:smallCaps w:val="0"/>
                <w:color w:val="auto"/>
                <w:spacing w:val="0"/>
                <w:kern w:val="0"/>
                <w:sz w:val="21"/>
                <w:szCs w:val="21"/>
                <w:lang w:val="en-US" w:eastAsia="zh-CN"/>
                <w:highlight w:val="none"/>
              </w:rPr>
              <w:t>×10</w:t>
            </w:r>
            <w:r>
              <w:rPr>
                <w:rFonts w:ascii="Times New Roman" w:eastAsia="宋体" w:cs="Times New Roman" w:hAnsi="Times New Roman"/>
                <w:caps w:val="0"/>
                <w:smallCaps w:val="0"/>
                <w:color w:val="auto"/>
                <w:spacing w:val="0"/>
                <w:kern w:val="0"/>
                <w:sz w:val="21"/>
                <w:szCs w:val="21"/>
                <w:vertAlign w:val="superscript"/>
                <w:lang w:val="en-US" w:eastAsia="zh-CN"/>
                <w:highlight w:val="none"/>
              </w:rPr>
              <w:t>-4</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0.004</w:t>
            </w:r>
            <w:r>
              <w:rPr>
                <w:rFonts w:ascii="Times New Roman" w:cs="Times New Roman" w:hAnsi="Times New Roman" w:hint="eastAsia"/>
                <w:snapToGrid w:val="0"/>
                <w:color w:val="auto"/>
                <w:kern w:val="21"/>
                <w:sz w:val="21"/>
                <w:szCs w:val="21"/>
                <w:lang w:val="en-US" w:eastAsia="zh-CN"/>
                <w:highlight w:val="none"/>
              </w:rPr>
              <w:t>t/a</w:t>
            </w:r>
          </w:p>
        </w:tc>
        <w:tc>
          <w:tcPr>
            <w:tcW w:w="1492" w:type="dxa"/>
            <w:tcBorders>
              <w:left w:val="single" w:sz="4" w:space="0" w:color="auto"/>
            </w:tcBorders>
            <w:shd w:val="clear" w:color="auto" w:fill="auto"/>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+0.003</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总氮</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0.007</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0.007</w:t>
            </w:r>
            <w:r>
              <w:rPr>
                <w:rFonts w:ascii="Times New Roman" w:cs="Times New Roman" w:hAnsi="Times New Roman" w:hint="eastAsia"/>
                <w:snapToGrid w:val="0"/>
                <w:color w:val="auto"/>
                <w:kern w:val="21"/>
                <w:sz w:val="21"/>
                <w:szCs w:val="21"/>
                <w:lang w:val="en-US" w:eastAsia="zh-CN"/>
                <w:highlight w:val="none"/>
              </w:rPr>
              <w:t>t/a</w:t>
            </w:r>
          </w:p>
        </w:tc>
        <w:tc>
          <w:tcPr>
            <w:tcW w:w="1492" w:type="dxa"/>
            <w:tcBorders>
              <w:left w:val="single" w:sz="4" w:space="0" w:color="auto"/>
            </w:tcBorders>
            <w:shd w:val="clear" w:color="auto" w:fill="auto"/>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+0.007</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caps w:val="0"/>
                <w:smallCaps w:val="0"/>
                <w:color w:val="auto"/>
                <w:spacing w:val="0"/>
                <w:kern w:val="2"/>
                <w:sz w:val="21"/>
                <w:szCs w:val="21"/>
                <w:lang w:val="en-US" w:eastAsia="zh-CN" w:bidi="ar-SA"/>
                <w:highlight w:val="none"/>
              </w:rPr>
              <w:t>总磷</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0" w:right="0"/>
              <w:jc w:val="center"/>
              <w:rPr>
                <w:rFonts w:ascii="Times New Roman" w:eastAsia="宋体" w:cs="Times New Roman" w:hAnsi="Times New Roman"/>
                <w:color w:val="auto"/>
                <w:kern w:val="2"/>
                <w:sz w:val="21"/>
                <w:szCs w:val="24"/>
                <w:lang w:val="en-US" w:eastAsia="zh-CN" w:bidi="ar-SA"/>
                <w:highlight w:val="none"/>
              </w:rPr>
            </w:pP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r>
              <w:rPr>
                <w:rFonts w:ascii="Times New Roman" w:cs="Times New Roman" w:hAnsi="Times New Roman" w:hint="eastAsia"/>
                <w:snapToGrid w:val="0"/>
                <w:color w:val="auto"/>
                <w:kern w:val="21"/>
                <w:sz w:val="21"/>
                <w:szCs w:val="21"/>
                <w:lang w:val="en-US" w:eastAsia="zh-CN"/>
                <w:highlight w:val="none"/>
              </w:rPr>
              <w:t>t/a</w:t>
            </w:r>
          </w:p>
        </w:tc>
        <w:tc>
          <w:tcPr>
            <w:tcW w:w="1492" w:type="dxa"/>
            <w:tcBorders>
              <w:left w:val="single" w:sz="4" w:space="0" w:color="auto"/>
            </w:tcBorders>
            <w:shd w:val="clear" w:color="auto" w:fill="auto"/>
            <w:vAlign w:val="center"/>
          </w:tcPr>
          <w:p>
            <w:pPr>
              <w:keepNext w:val="0"/>
              <w:keepLines w:val="0"/>
              <w:suppressLineNumbers w:val="0"/>
              <w:spacing w:before="0" w:beforeAutospacing="0" w:after="0" w:afterAutospacing="0" w:line="320" w:lineRule="exact"/>
              <w:ind w:left="0" w:right="0"/>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olor w:val="auto"/>
                <w:sz w:val="21"/>
                <w:szCs w:val="21"/>
                <w:lang w:val="en-US" w:eastAsia="zh-CN"/>
                <w:highlight w:val="none"/>
              </w:rPr>
              <w:t>+</w:t>
            </w:r>
            <w:r>
              <w:rPr>
                <w:rFonts w:ascii="Times New Roman" w:eastAsia="宋体" w:cs="Times New Roman" w:hAnsi="Times New Roman"/>
                <w:color w:val="auto"/>
                <w:sz w:val="21"/>
                <w:szCs w:val="24"/>
                <w:lang w:val="en-US" w:eastAsia="zh-CN"/>
                <w:highlight w:val="none"/>
              </w:rPr>
              <w:t>8.64×10</w:t>
            </w:r>
            <w:r>
              <w:rPr>
                <w:rFonts w:ascii="Times New Roman" w:eastAsia="宋体" w:cs="Times New Roman" w:hAnsi="Times New Roman"/>
                <w:color w:val="auto"/>
                <w:sz w:val="21"/>
                <w:szCs w:val="24"/>
                <w:vertAlign w:val="superscript"/>
                <w:lang w:val="en-US" w:eastAsia="zh-CN"/>
                <w:highlight w:val="none"/>
              </w:rPr>
              <w:t>-4</w:t>
            </w:r>
          </w:p>
        </w:tc>
      </w:tr>
      <w:tr>
        <w:trPr>
          <w:trHeight w:val="283"/>
        </w:trPr>
        <w:tc>
          <w:tcPr>
            <w:tcW w:w="1588" w:type="dxa"/>
            <w:vMerge w:val="restart"/>
            <w:vAlign w:val="center"/>
          </w:tcPr>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highlight w:val="none"/>
              </w:rPr>
              <w:t>一般工业</w:t>
            </w:r>
          </w:p>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highlight w:val="none"/>
              </w:rPr>
              <w:t>固体废物</w:t>
            </w: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废包装材料</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0.353</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0.353</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-0.147</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废塑料边角料</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1.0t/a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1.0t/a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不合格品</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0.5t/a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-0.4</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金属下脚料</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-0.97</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不合格电极片</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hint="eastAsia"/>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0.03t/a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-0.47</w:t>
            </w:r>
          </w:p>
        </w:tc>
      </w:tr>
      <w:tr>
        <w:trPr>
          <w:trHeight w:val="283"/>
        </w:trPr>
        <w:tc>
          <w:tcPr>
            <w:tcW w:w="1588" w:type="dxa"/>
            <w:vAlign w:val="center"/>
          </w:tcPr>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eastAsia="宋体"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职工生活垃圾</w:t>
            </w:r>
          </w:p>
        </w:tc>
        <w:tc>
          <w:tcPr>
            <w:tcW w:w="1762"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color w:val="auto"/>
                <w:kern w:val="0"/>
                <w:sz w:val="21"/>
                <w:szCs w:val="21"/>
                <w:highlight w:val="none"/>
              </w:rPr>
              <w:t>生活垃圾</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3t/a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cs="Times New Roman" w:hAnsi="Times New Roman" w:hint="eastAsia"/>
                <w:caps w:val="0"/>
                <w:smallCaps w:val="0"/>
                <w:snapToGrid w:val="0"/>
                <w:color w:val="auto"/>
                <w:spacing w:val="0"/>
                <w:kern w:val="21"/>
                <w:sz w:val="21"/>
                <w:szCs w:val="21"/>
                <w:lang w:val="en-US" w:eastAsia="zh-CN" w:bidi="ar-SA"/>
                <w:highlight w:val="none"/>
              </w:rPr>
              <w:t>3</w:t>
            </w:r>
            <w:r>
              <w:rPr>
                <w:rFonts w:ascii="Times New Roman" w:cs="Times New Roman" w:hAnsi="Times New Roman" w:hint="eastAsia"/>
                <w:snapToGrid w:val="0"/>
                <w:color w:val="auto"/>
                <w:kern w:val="21"/>
                <w:sz w:val="21"/>
                <w:szCs w:val="21"/>
                <w:lang w:val="en-US" w:eastAsia="zh-CN"/>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3t/a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cs="Times New Roman" w:hAnsi="Times New Roman" w:hint="eastAsia"/>
                <w:caps w:val="0"/>
                <w:smallCaps w:val="0"/>
                <w:snapToGrid w:val="0"/>
                <w:color w:val="auto"/>
                <w:spacing w:val="0"/>
                <w:kern w:val="21"/>
                <w:sz w:val="21"/>
                <w:szCs w:val="21"/>
                <w:lang w:val="en-US" w:eastAsia="zh-CN" w:bidi="ar-SA"/>
                <w:highlight w:val="none"/>
              </w:rPr>
              <w:t>3</w:t>
            </w:r>
            <w:r>
              <w:rPr>
                <w:rFonts w:ascii="Times New Roman" w:cs="Times New Roman" w:hAnsi="Times New Roman" w:hint="eastAsia"/>
                <w:snapToGrid w:val="0"/>
                <w:color w:val="auto"/>
                <w:kern w:val="21"/>
                <w:sz w:val="21"/>
                <w:szCs w:val="21"/>
                <w:lang w:val="en-US" w:eastAsia="zh-CN"/>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w:t>
            </w:r>
          </w:p>
        </w:tc>
      </w:tr>
      <w:tr>
        <w:trPr>
          <w:trHeight w:val="283"/>
        </w:trPr>
        <w:tc>
          <w:tcPr>
            <w:tcW w:w="1588" w:type="dxa"/>
            <w:vMerge w:val="restart"/>
            <w:vAlign w:val="center"/>
          </w:tcPr>
          <w:p>
            <w:pPr>
              <w:pStyle w:val="101"/>
              <w:keepNext w:val="0"/>
              <w:keepLines w:val="0"/>
              <w:pageBreakBefore w:val="0"/>
              <w:widowControl w:val="0"/>
              <w:suppressLineNumbers w:val="0"/>
              <w:tabs>
                <w:tab w:val="left" w:pos="6521"/>
              </w:tabs>
              <w:kinsoku/>
              <w:wordWrap/>
              <w:overflowPunct/>
              <w:topLinePunct/>
              <w:bidi w:val="0"/>
              <w:adjustRightInd w:val="0"/>
              <w:snapToGrid w:val="0"/>
              <w:spacing w:before="0" w:beforeAutospacing="0" w:after="0" w:afterAutospacing="0" w:line="240" w:lineRule="auto"/>
              <w:ind w:left="0" w:right="0" w:firstLineChars="0" w:firstLine="0"/>
              <w:jc w:val="center"/>
              <w:rPr>
                <w:rFonts w:ascii="Times New Roman" w:cs="Times New Roman" w:hAnsi="Times New Roman"/>
                <w:snapToGrid w:val="0"/>
                <w:color w:val="auto"/>
                <w:kern w:val="21"/>
                <w:sz w:val="21"/>
                <w:szCs w:val="21"/>
                <w:highlight w:val="none"/>
              </w:rPr>
            </w:pPr>
            <w:r>
              <w:rPr>
                <w:rFonts w:ascii="Times New Roman" w:cs="Times New Roman" w:hAnsi="Times New Roman"/>
                <w:snapToGrid w:val="0"/>
                <w:color w:val="auto"/>
                <w:kern w:val="21"/>
                <w:sz w:val="21"/>
                <w:szCs w:val="21"/>
                <w:highlight w:val="none"/>
              </w:rPr>
              <w:t>危险废物</w:t>
            </w: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0.05t/a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0.05t/a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-0.045</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废润滑油桶</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bCs/>
                <w:snapToGrid w:val="0"/>
                <w:color w:val="auto"/>
                <w:kern w:val="28"/>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+0.001</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含油抹布及废劳保用品</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0.01t/a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color w:val="auto"/>
                <w:kern w:val="0"/>
                <w:sz w:val="21"/>
                <w:szCs w:val="21"/>
                <w:lang w:val="en-US" w:eastAsia="zh-CN" w:bidi="ar-SA"/>
                <w:highlight w:val="none"/>
              </w:rPr>
            </w:pPr>
            <w:r>
              <w:rPr>
                <w:rFonts w:ascii="Times New Roman" w:cs="Times New Roman" w:hAnsi="Times New Roman" w:hint="eastAsia"/>
                <w:color w:val="auto"/>
                <w:kern w:val="0"/>
                <w:sz w:val="21"/>
                <w:szCs w:val="21"/>
                <w:lang w:val="en-US" w:eastAsia="zh-CN" w:bidi="ar-SA"/>
                <w:highlight w:val="none"/>
              </w:rPr>
              <w:t>0.01t/a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snapToGrid w:val="0"/>
                <w:color w:val="auto"/>
                <w:spacing w:val="0"/>
                <w:kern w:val="21"/>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-0.009</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含油金属屑</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1.0t/a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-0.995</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0.018t/a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0.018t/a</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0.005</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eastAsia="宋体" w:cs="Times New Roman" w:hAnsi="Times New Roman"/>
                <w:i w:val="0"/>
                <w:iCs w:val="0"/>
                <w:color w:val="auto"/>
                <w:kern w:val="0"/>
                <w:sz w:val="21"/>
                <w:szCs w:val="21"/>
                <w:u w:val="none"/>
                <w:lang w:val="en-US" w:eastAsia="zh-CN"/>
                <w:highlight w:val="none"/>
              </w:rPr>
              <w:t>-0.013</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废切削液桶</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suppressLineNumbers w:val="0"/>
              <w:snapToGrid w:val="0"/>
              <w:spacing w:before="0" w:beforeAutospacing="0" w:after="0" w:afterAutospacing="0" w:line="360" w:lineRule="exact"/>
              <w:ind w:leftChars="-50" w:left="-105" w:rightChars="-50" w:right="-105"/>
              <w:jc w:val="center"/>
              <w:rPr>
                <w:rFonts w:ascii="Times New Roman" w:eastAsia="宋体" w:cs="Times New Roman" w:hAnsi="Times New Roman" w:hint="eastAsia"/>
                <w:color w:val="auto"/>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0.001</w:t>
            </w:r>
            <w:r>
              <w:rPr>
                <w:rFonts w:ascii="Times New Roman" w:cs="Times New Roman" w:hAnsi="Times New Roman"/>
                <w:caps w:val="0"/>
                <w:smallCaps w:val="0"/>
                <w:color w:val="auto"/>
                <w:spacing w:val="0"/>
                <w:kern w:val="2"/>
                <w:sz w:val="21"/>
                <w:szCs w:val="21"/>
                <w:lang w:val="en-US" w:eastAsia="zh-CN" w:bidi="ar-SA"/>
                <w:highlight w:val="none"/>
              </w:rPr>
              <w:t>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+0.001</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废布袋</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0.131t/a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+0.131</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color w:val="auto"/>
                <w:sz w:val="21"/>
                <w:szCs w:val="22"/>
                <w:lang w:val="en-US" w:eastAsia="zh-CN"/>
                <w:highlight w:val="none"/>
              </w:rPr>
            </w:pPr>
            <w:r>
              <w:rPr>
                <w:rFonts w:ascii="Times New Roman" w:cs="Times New Roman" w:hAnsi="Times New Roman" w:hint="eastAsia"/>
                <w:color w:val="auto"/>
                <w:sz w:val="21"/>
                <w:szCs w:val="22"/>
                <w:lang w:val="en-US" w:eastAsia="zh-CN"/>
                <w:highlight w:val="none"/>
              </w:rPr>
              <w:t>除尘灰</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cs="Times New Roman"/>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0.225t/a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ascii="Times New Roman" w:eastAsia="宋体" w:cs="Times New Roman" w:hAnsi="Times New Roman"/>
                <w:i w:val="0"/>
                <w:iCs w:val="0"/>
                <w:color w:val="auto"/>
                <w:kern w:val="0"/>
                <w:sz w:val="21"/>
                <w:szCs w:val="21"/>
                <w:u w:val="none"/>
                <w:lang w:val="en-US" w:eastAsia="zh-CN"/>
                <w:highlight w:val="none"/>
              </w:rPr>
            </w:pPr>
            <w:r>
              <w:rPr>
                <w:rFonts w:ascii="Times New Roman" w:cs="Times New Roman" w:hAnsi="Times New Roman" w:hint="eastAsia"/>
                <w:i w:val="0"/>
                <w:iCs w:val="0"/>
                <w:color w:val="auto"/>
                <w:kern w:val="0"/>
                <w:sz w:val="21"/>
                <w:szCs w:val="21"/>
                <w:u w:val="none"/>
                <w:lang w:val="en-US" w:eastAsia="zh-CN"/>
                <w:highlight w:val="none"/>
              </w:rPr>
              <w:t>+0.225</w:t>
            </w:r>
          </w:p>
        </w:tc>
      </w:tr>
      <w:tr>
        <w:trPr>
          <w:trHeight w:val="283"/>
        </w:trPr>
        <w:tc>
          <w:tcPr>
            <w:tcW w:w="1588" w:type="dxa"/>
            <w:vMerge/>
            <w:vAlign w:val="center"/>
          </w:tcPr>
          <w:p/>
        </w:tc>
        <w:tc>
          <w:tcPr>
            <w:tcW w:w="1762" w:type="dxa"/>
            <w:tcBorders>
              <w:left w:val="single" w:sz="4" w:space="0" w:color="auto"/>
            </w:tcBorders>
            <w:shd w:val="clear" w:color="auto" w:fill="auto"/>
            <w:vAlign w:val="center"/>
          </w:tcPr>
          <w:p>
            <w:pPr>
              <w:pStyle w:val="43"/>
              <w:keepNext w:val="0"/>
              <w:keepLines w:val="0"/>
              <w:suppressLineNumbers w:val="0"/>
              <w:spacing w:before="0" w:beforeAutospacing="0" w:after="0" w:afterAutospacing="0" w:line="360" w:lineRule="exact"/>
              <w:ind w:left="0" w:right="0"/>
              <w:jc w:val="center"/>
              <w:rPr>
                <w:rFonts w:ascii="Times New Roman" w:eastAsia="宋体" w:cs="Times New Roman" w:hAnsi="Times New Roman" w:hint="eastAsia"/>
                <w:caps w:val="0"/>
                <w:smallCaps/>
                <w:color w:val="auto"/>
                <w:kern w:val="0"/>
                <w:sz w:val="21"/>
                <w:szCs w:val="22"/>
                <w:lang w:val="en-US" w:eastAsia="zh-CN" w:bidi="ar-SA"/>
                <w:highlight w:val="none"/>
              </w:rPr>
            </w:pPr>
            <w:r>
              <w:rPr>
                <w:rFonts w:ascii="Times New Roman" w:cs="Times New Roman" w:hAnsi="Times New Roman" w:hint="eastAsia"/>
                <w:color w:val="auto"/>
                <w:sz w:val="21"/>
                <w:szCs w:val="22"/>
                <w:lang w:val="en-US" w:eastAsia="zh-CN"/>
                <w:highlight w:val="none"/>
              </w:rPr>
              <w:t>废活性炭</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hint="eastAsia"/>
                <w:snapToGrid w:val="0"/>
                <w:color w:val="auto"/>
                <w:kern w:val="21"/>
                <w:sz w:val="21"/>
                <w:szCs w:val="21"/>
                <w:lang w:val="en-US" w:eastAsia="zh-CN"/>
                <w:highlight w:val="none"/>
              </w:rPr>
              <w:t>0.6t/a</w:t>
            </w:r>
          </w:p>
        </w:tc>
        <w:tc>
          <w:tcPr>
            <w:tcW w:w="1491" w:type="dxa"/>
            <w:tcBorders>
              <w:left w:val="single" w:sz="4" w:space="0" w:color="auto"/>
            </w:tcBorders>
            <w:vAlign w:val="center"/>
          </w:tcPr>
          <w:p>
            <w:pPr>
              <w:keepNext w:val="0"/>
              <w:keepLines w:val="0"/>
              <w:pageBreakBefore w:val="0"/>
              <w:widowControl w:val="0"/>
              <w:suppressLineNumbers w:val="0"/>
              <w:kinsoku/>
              <w:wordWrap/>
              <w:overflowPunct/>
              <w:bidi w:val="0"/>
              <w:adjustRightInd w:val="0"/>
              <w:snapToGrid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cs="Times New Roman" w:hAnsi="Times New Roman"/>
                <w:snapToGrid w:val="0"/>
                <w:color w:val="auto"/>
                <w:kern w:val="21"/>
                <w:sz w:val="21"/>
                <w:szCs w:val="21"/>
                <w:lang w:val="en-US" w:eastAsia="zh-CN"/>
                <w:highlight w:val="none"/>
              </w:rPr>
            </w:pPr>
            <w:r>
              <w:rPr>
                <w:rFonts w:ascii="Times New Roman" w:cs="Times New Roman" w:hAnsi="Times New Roman"/>
                <w:snapToGrid w:val="0"/>
                <w:color w:val="auto"/>
                <w:kern w:val="21"/>
                <w:sz w:val="21"/>
                <w:szCs w:val="21"/>
                <w:lang w:val="en-US" w:eastAsia="zh-CN"/>
                <w:highlight w:val="none"/>
              </w:rPr>
              <w:t>-</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bidi w:val="0"/>
              <w:spacing w:before="0" w:beforeAutospacing="0" w:after="0" w:afterAutospacing="0" w:line="240" w:lineRule="auto"/>
              <w:ind w:left="0" w:right="0" w:firstLine="0"/>
              <w:jc w:val="center"/>
              <w:rPr>
                <w:rFonts w:ascii="Times New Roman" w:eastAsia="宋体" w:cs="Times New Roman" w:hAnsi="Times New Roman"/>
                <w:snapToGrid w:val="0"/>
                <w:color w:val="auto"/>
                <w:kern w:val="21"/>
                <w:sz w:val="21"/>
                <w:szCs w:val="21"/>
                <w:lang w:val="en-US" w:eastAsia="zh-CN" w:bidi="ar-SA"/>
                <w:highlight w:val="none"/>
              </w:rPr>
            </w:pPr>
            <w:r>
              <w:rPr>
                <w:rFonts w:ascii="Times New Roman" w:cs="Times New Roman" w:hAnsi="Times New Roman" w:hint="eastAsia"/>
                <w:snapToGrid w:val="0"/>
                <w:color w:val="auto"/>
                <w:kern w:val="21"/>
                <w:sz w:val="21"/>
                <w:szCs w:val="21"/>
                <w:lang w:val="en-US" w:eastAsia="zh-CN"/>
                <w:highlight w:val="none"/>
              </w:rPr>
              <w:t>0.6t/a</w:t>
            </w:r>
          </w:p>
        </w:tc>
        <w:tc>
          <w:tcPr>
            <w:tcW w:w="1491" w:type="dxa"/>
            <w:tcBorders>
              <w:left w:val="single" w:sz="4" w:space="0" w:color="auto"/>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textAlignment w:val="auto"/>
              <w:rPr>
                <w:rFonts w:ascii="Times New Roman" w:eastAsia="宋体" w:cs="Times New Roman" w:hAnsi="Times New Roman" w:hint="eastAsia"/>
                <w:caps w:val="0"/>
                <w:smallCaps w:val="0"/>
                <w:color w:val="auto"/>
                <w:spacing w:val="0"/>
                <w:kern w:val="2"/>
                <w:sz w:val="21"/>
                <w:szCs w:val="21"/>
                <w:lang w:val="en-US" w:eastAsia="zh-CN" w:bidi="ar-SA"/>
                <w:highlight w:val="none"/>
              </w:rPr>
            </w:pPr>
            <w:r>
              <w:rPr>
                <w:rFonts w:ascii="Times New Roman" w:cs="Times New Roman" w:hAnsi="Times New Roman" w:hint="eastAsia"/>
                <w:caps w:val="0"/>
                <w:smallCaps w:val="0"/>
                <w:color w:val="auto"/>
                <w:spacing w:val="0"/>
                <w:kern w:val="2"/>
                <w:sz w:val="21"/>
                <w:szCs w:val="21"/>
                <w:lang w:val="en-US" w:eastAsia="zh-CN" w:bidi="ar-SA"/>
                <w:highlight w:val="none"/>
              </w:rPr>
              <w:t>3.351t/a</w:t>
            </w:r>
          </w:p>
        </w:tc>
        <w:tc>
          <w:tcPr>
            <w:tcW w:w="1492" w:type="dxa"/>
            <w:tcBorders>
              <w:left w:val="single" w:sz="4" w:space="0" w:color="auto"/>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cs="Times New Roman"/>
                <w:caps w:val="0"/>
                <w:smallCaps w:val="0"/>
                <w:color w:val="auto"/>
                <w:spacing w:val="0"/>
                <w:kern w:val="2"/>
                <w:sz w:val="21"/>
                <w:szCs w:val="21"/>
                <w:lang w:val="en-US" w:eastAsia="zh-CN" w:bidi="ar-SA"/>
                <w:highlight w:val="none"/>
              </w:rPr>
            </w:pPr>
            <w:r>
              <w:rPr>
                <w:rFonts w:ascii="Times New Roman" w:eastAsia="宋体" w:cs="Times New Roman" w:hAnsi="Times New Roman" w:hint="eastAsia"/>
                <w:i w:val="0"/>
                <w:iCs w:val="0"/>
                <w:color w:val="auto"/>
                <w:kern w:val="0"/>
                <w:sz w:val="21"/>
                <w:szCs w:val="21"/>
                <w:u w:val="none"/>
                <w:lang w:val="en-US" w:eastAsia="zh-CN"/>
                <w:highlight w:val="none"/>
              </w:rPr>
              <w:t>+</w:t>
            </w:r>
            <w:r>
              <w:rPr>
                <w:rFonts w:ascii="Times New Roman" w:cs="Times New Roman" w:hAnsi="Times New Roman" w:hint="eastAsia"/>
                <w:i w:val="0"/>
                <w:iCs w:val="0"/>
                <w:color w:val="auto"/>
                <w:kern w:val="0"/>
                <w:sz w:val="21"/>
                <w:szCs w:val="21"/>
                <w:u w:val="none"/>
                <w:lang w:val="en-US" w:eastAsia="zh-CN"/>
                <w:highlight w:val="none"/>
              </w:rPr>
              <w:t>2.751</w:t>
            </w:r>
          </w:p>
        </w:tc>
      </w:tr>
    </w:tbl>
    <w:p>
      <w:pPr>
        <w:pStyle w:val="101"/>
        <w:tabs>
          <w:tab w:val="left" w:pos="6521"/>
        </w:tabs>
        <w:spacing w:beforeLines="80" w:before="192" w:after="24"/>
        <w:jc w:val="left"/>
        <w:rPr>
          <w:rFonts w:ascii="Times New Roman" w:cs="Times New Roman" w:hAnsi="Times New Roman"/>
          <w:caps w:val="0"/>
          <w:smallCaps w:val="0"/>
          <w:color w:val="auto"/>
          <w:spacing w:val="0"/>
          <w:highlight w:val="none"/>
        </w:rPr>
      </w:pPr>
      <w:r>
        <w:rPr>
          <w:rFonts w:ascii="Times New Roman" w:cs="Times New Roman" w:hAnsi="Times New Roman"/>
          <w:snapToGrid w:val="0"/>
          <w:color w:val="auto"/>
          <w:kern w:val="21"/>
          <w:szCs w:val="21"/>
          <w:highlight w:val="none"/>
        </w:rPr>
        <w:t>注：</w:t>
      </w:r>
      <w:r>
        <w:rPr>
          <w:rFonts w:ascii="Times New Roman" w:cs="Times New Roman" w:hAnsi="Times New Roman"/>
          <w:snapToGrid w:val="0"/>
          <w:color w:val="auto"/>
          <w:spacing w:val="-16"/>
          <w:kern w:val="21"/>
          <w:szCs w:val="21"/>
          <w:highlight w:val="none"/>
        </w:rPr>
        <w:fldChar w:fldCharType="begin"/>
      </w:r>
      <w:r>
        <w:rPr>
          <w:rFonts w:ascii="Times New Roman" w:cs="Times New Roman" w:hAnsi="Times New Roman"/>
          <w:snapToGrid w:val="0"/>
          <w:color w:val="auto"/>
          <w:spacing w:val="-16"/>
          <w:kern w:val="21"/>
          <w:szCs w:val="21"/>
          <w:highlight w:val="none"/>
        </w:rPr>
        <w:instrText xml:space="preserve"> = 6 \* GB3 \* MERGEFORMAT </w:instrText>
      </w:r>
      <w:r>
        <w:rPr>
          <w:rFonts w:ascii="Times New Roman" w:cs="Times New Roman" w:hAnsi="Times New Roman"/>
          <w:snapToGrid w:val="0"/>
          <w:color w:val="auto"/>
          <w:spacing w:val="-16"/>
          <w:kern w:val="21"/>
          <w:szCs w:val="21"/>
          <w:highlight w:val="none"/>
        </w:rPr>
        <w:fldChar w:fldCharType="separate"/>
      </w:r>
      <w:r>
        <w:rPr>
          <w:rFonts w:ascii="Times New Roman" w:cs="Times New Roman" w:hAnsi="Times New Roman"/>
          <w:color w:val="auto"/>
          <w:szCs w:val="21"/>
          <w:highlight w:val="none"/>
        </w:rPr>
        <w:t>⑥</w:t>
      </w:r>
      <w:r>
        <w:rPr>
          <w:rFonts w:ascii="Times New Roman" w:cs="Times New Roman" w:hAnsi="Times New Roman"/>
          <w:snapToGrid w:val="0"/>
          <w:color w:val="auto"/>
          <w:spacing w:val="-16"/>
          <w:kern w:val="21"/>
          <w:szCs w:val="21"/>
          <w:highlight w:val="none"/>
        </w:rPr>
        <w:fldChar w:fldCharType="end"/>
      </w:r>
      <w:r>
        <w:rPr>
          <w:rFonts w:ascii="Times New Roman" w:cs="Times New Roman" w:hAnsi="Times New Roman"/>
          <w:snapToGrid w:val="0"/>
          <w:color w:val="auto"/>
          <w:spacing w:val="-16"/>
          <w:kern w:val="21"/>
          <w:szCs w:val="21"/>
          <w:highlight w:val="none"/>
        </w:rPr>
        <w:t>=</w:t>
      </w:r>
      <w:r>
        <w:rPr>
          <w:rFonts w:ascii="Times New Roman" w:cs="Times New Roman" w:hAnsi="Times New Roman"/>
          <w:snapToGrid w:val="0"/>
          <w:color w:val="auto"/>
          <w:spacing w:val="-6"/>
          <w:kern w:val="21"/>
          <w:szCs w:val="21"/>
          <w:highlight w:val="none"/>
        </w:rPr>
        <w:fldChar w:fldCharType="begin"/>
      </w:r>
      <w:r>
        <w:rPr>
          <w:rFonts w:ascii="Times New Roman" w:cs="Times New Roman" w:hAnsi="Times New Roman"/>
          <w:snapToGrid w:val="0"/>
          <w:color w:val="auto"/>
          <w:spacing w:val="-6"/>
          <w:kern w:val="21"/>
          <w:szCs w:val="21"/>
          <w:highlight w:val="none"/>
        </w:rPr>
        <w:instrText xml:space="preserve"> = 1 \* GB3 \* MERGEFORMAT </w:instrText>
      </w:r>
      <w:r>
        <w:rPr>
          <w:rFonts w:ascii="Times New Roman" w:cs="Times New Roman" w:hAnsi="Times New Roman"/>
          <w:snapToGrid w:val="0"/>
          <w:color w:val="auto"/>
          <w:spacing w:val="-6"/>
          <w:kern w:val="21"/>
          <w:szCs w:val="21"/>
          <w:highlight w:val="none"/>
        </w:rPr>
        <w:fldChar w:fldCharType="separate"/>
      </w:r>
      <w:r>
        <w:rPr>
          <w:rFonts w:ascii="Times New Roman" w:cs="Times New Roman" w:hAnsi="Times New Roman"/>
          <w:color w:val="auto"/>
          <w:szCs w:val="21"/>
          <w:highlight w:val="none"/>
        </w:rPr>
        <w:t>①</w:t>
      </w:r>
      <w:r>
        <w:rPr>
          <w:rFonts w:ascii="Times New Roman" w:cs="Times New Roman" w:hAnsi="Times New Roman"/>
          <w:snapToGrid w:val="0"/>
          <w:color w:val="auto"/>
          <w:spacing w:val="-6"/>
          <w:kern w:val="21"/>
          <w:szCs w:val="21"/>
          <w:highlight w:val="none"/>
        </w:rPr>
        <w:fldChar w:fldCharType="end"/>
      </w:r>
      <w:r>
        <w:rPr>
          <w:rFonts w:ascii="Times New Roman" w:cs="Times New Roman" w:hAnsi="Times New Roman"/>
          <w:snapToGrid w:val="0"/>
          <w:color w:val="auto"/>
          <w:spacing w:val="-6"/>
          <w:kern w:val="21"/>
          <w:szCs w:val="21"/>
          <w:highlight w:val="none"/>
        </w:rPr>
        <w:t>+</w:t>
      </w:r>
      <w:r>
        <w:rPr>
          <w:rFonts w:ascii="Times New Roman" w:cs="Times New Roman" w:hAnsi="Times New Roman"/>
          <w:snapToGrid w:val="0"/>
          <w:color w:val="auto"/>
          <w:spacing w:val="-6"/>
          <w:kern w:val="21"/>
          <w:szCs w:val="21"/>
          <w:highlight w:val="none"/>
        </w:rPr>
        <w:fldChar w:fldCharType="begin"/>
      </w:r>
      <w:r>
        <w:rPr>
          <w:rFonts w:ascii="Times New Roman" w:cs="Times New Roman" w:hAnsi="Times New Roman"/>
          <w:snapToGrid w:val="0"/>
          <w:color w:val="auto"/>
          <w:spacing w:val="-6"/>
          <w:kern w:val="21"/>
          <w:szCs w:val="21"/>
          <w:highlight w:val="none"/>
        </w:rPr>
        <w:instrText xml:space="preserve"> = 3 \* GB3 \* MERGEFORMAT </w:instrText>
      </w:r>
      <w:r>
        <w:rPr>
          <w:rFonts w:ascii="Times New Roman" w:cs="Times New Roman" w:hAnsi="Times New Roman"/>
          <w:snapToGrid w:val="0"/>
          <w:color w:val="auto"/>
          <w:spacing w:val="-6"/>
          <w:kern w:val="21"/>
          <w:szCs w:val="21"/>
          <w:highlight w:val="none"/>
        </w:rPr>
        <w:fldChar w:fldCharType="separate"/>
      </w:r>
      <w:r>
        <w:rPr>
          <w:rFonts w:ascii="Times New Roman" w:cs="Times New Roman" w:hAnsi="Times New Roman"/>
          <w:color w:val="auto"/>
          <w:szCs w:val="21"/>
          <w:highlight w:val="none"/>
        </w:rPr>
        <w:t>③</w:t>
      </w:r>
      <w:r>
        <w:rPr>
          <w:rFonts w:ascii="Times New Roman" w:cs="Times New Roman" w:hAnsi="Times New Roman"/>
          <w:snapToGrid w:val="0"/>
          <w:color w:val="auto"/>
          <w:spacing w:val="-6"/>
          <w:kern w:val="21"/>
          <w:szCs w:val="21"/>
          <w:highlight w:val="none"/>
        </w:rPr>
        <w:fldChar w:fldCharType="end"/>
      </w:r>
      <w:r>
        <w:rPr>
          <w:rFonts w:ascii="Times New Roman" w:cs="Times New Roman" w:hAnsi="Times New Roman"/>
          <w:snapToGrid w:val="0"/>
          <w:color w:val="auto"/>
          <w:spacing w:val="-6"/>
          <w:kern w:val="21"/>
          <w:szCs w:val="21"/>
          <w:highlight w:val="none"/>
        </w:rPr>
        <w:t>+</w:t>
      </w:r>
      <w:r>
        <w:rPr>
          <w:rFonts w:ascii="Times New Roman" w:cs="Times New Roman" w:hAnsi="Times New Roman"/>
          <w:snapToGrid w:val="0"/>
          <w:color w:val="auto"/>
          <w:spacing w:val="-6"/>
          <w:kern w:val="21"/>
          <w:szCs w:val="21"/>
          <w:highlight w:val="none"/>
        </w:rPr>
        <w:fldChar w:fldCharType="begin"/>
      </w:r>
      <w:r>
        <w:rPr>
          <w:rFonts w:ascii="Times New Roman" w:cs="Times New Roman" w:hAnsi="Times New Roman"/>
          <w:snapToGrid w:val="0"/>
          <w:color w:val="auto"/>
          <w:spacing w:val="-6"/>
          <w:kern w:val="21"/>
          <w:szCs w:val="21"/>
          <w:highlight w:val="none"/>
        </w:rPr>
        <w:instrText xml:space="preserve"> = 4 \* GB3 \* MERGEFORMAT </w:instrText>
      </w:r>
      <w:r>
        <w:rPr>
          <w:rFonts w:ascii="Times New Roman" w:cs="Times New Roman" w:hAnsi="Times New Roman"/>
          <w:snapToGrid w:val="0"/>
          <w:color w:val="auto"/>
          <w:spacing w:val="-6"/>
          <w:kern w:val="21"/>
          <w:szCs w:val="21"/>
          <w:highlight w:val="none"/>
        </w:rPr>
        <w:fldChar w:fldCharType="separate"/>
      </w:r>
      <w:r>
        <w:rPr>
          <w:rFonts w:ascii="Times New Roman" w:cs="Times New Roman" w:hAnsi="Times New Roman"/>
          <w:color w:val="auto"/>
          <w:szCs w:val="21"/>
          <w:highlight w:val="none"/>
        </w:rPr>
        <w:t>④</w:t>
      </w:r>
      <w:r>
        <w:rPr>
          <w:rFonts w:ascii="Times New Roman" w:cs="Times New Roman" w:hAnsi="Times New Roman"/>
          <w:snapToGrid w:val="0"/>
          <w:color w:val="auto"/>
          <w:spacing w:val="-6"/>
          <w:kern w:val="21"/>
          <w:szCs w:val="21"/>
          <w:highlight w:val="none"/>
        </w:rPr>
        <w:fldChar w:fldCharType="end"/>
      </w:r>
      <w:r>
        <w:rPr>
          <w:rFonts w:ascii="Times New Roman" w:cs="Times New Roman" w:hAnsi="Times New Roman"/>
          <w:snapToGrid w:val="0"/>
          <w:color w:val="auto"/>
          <w:spacing w:val="-6"/>
          <w:kern w:val="21"/>
          <w:szCs w:val="21"/>
          <w:highlight w:val="none"/>
        </w:rPr>
        <w:t>-</w:t>
      </w:r>
      <w:r>
        <w:rPr>
          <w:rFonts w:ascii="Times New Roman" w:cs="Times New Roman" w:hAnsi="Times New Roman"/>
          <w:snapToGrid w:val="0"/>
          <w:color w:val="auto"/>
          <w:spacing w:val="-16"/>
          <w:kern w:val="21"/>
          <w:szCs w:val="21"/>
          <w:highlight w:val="none"/>
        </w:rPr>
        <w:fldChar w:fldCharType="begin"/>
      </w:r>
      <w:r>
        <w:rPr>
          <w:rFonts w:ascii="Times New Roman" w:cs="Times New Roman" w:hAnsi="Times New Roman"/>
          <w:snapToGrid w:val="0"/>
          <w:color w:val="auto"/>
          <w:spacing w:val="-16"/>
          <w:kern w:val="21"/>
          <w:szCs w:val="21"/>
          <w:highlight w:val="none"/>
        </w:rPr>
        <w:instrText xml:space="preserve"> = 5 \* GB3 \* MERGEFORMAT </w:instrText>
      </w:r>
      <w:r>
        <w:rPr>
          <w:rFonts w:ascii="Times New Roman" w:cs="Times New Roman" w:hAnsi="Times New Roman"/>
          <w:snapToGrid w:val="0"/>
          <w:color w:val="auto"/>
          <w:spacing w:val="-16"/>
          <w:kern w:val="21"/>
          <w:szCs w:val="21"/>
          <w:highlight w:val="none"/>
        </w:rPr>
        <w:fldChar w:fldCharType="separate"/>
      </w:r>
      <w:r>
        <w:rPr>
          <w:rFonts w:ascii="Times New Roman" w:cs="Times New Roman" w:hAnsi="Times New Roman"/>
          <w:color w:val="auto"/>
          <w:szCs w:val="21"/>
          <w:highlight w:val="none"/>
        </w:rPr>
        <w:t>⑤</w:t>
      </w:r>
      <w:r>
        <w:rPr>
          <w:rFonts w:ascii="Times New Roman" w:cs="Times New Roman" w:hAnsi="Times New Roman"/>
          <w:snapToGrid w:val="0"/>
          <w:color w:val="auto"/>
          <w:spacing w:val="-16"/>
          <w:kern w:val="21"/>
          <w:szCs w:val="21"/>
          <w:highlight w:val="none"/>
        </w:rPr>
        <w:fldChar w:fldCharType="end"/>
      </w:r>
      <w:r>
        <w:rPr>
          <w:rFonts w:ascii="Times New Roman" w:cs="Times New Roman" w:hAnsi="Times New Roman"/>
          <w:snapToGrid w:val="0"/>
          <w:color w:val="auto"/>
          <w:spacing w:val="-16"/>
          <w:kern w:val="21"/>
          <w:szCs w:val="21"/>
          <w:highlight w:val="none"/>
        </w:rPr>
        <w:t>；</w:t>
      </w:r>
      <w:r>
        <w:rPr>
          <w:rFonts w:ascii="Times New Roman" w:cs="Times New Roman" w:hAnsi="Times New Roman"/>
          <w:snapToGrid w:val="0"/>
          <w:color w:val="auto"/>
          <w:spacing w:val="-6"/>
          <w:kern w:val="21"/>
          <w:szCs w:val="21"/>
          <w:highlight w:val="none"/>
        </w:rPr>
        <w:fldChar w:fldCharType="begin"/>
      </w:r>
      <w:r>
        <w:rPr>
          <w:rFonts w:ascii="Times New Roman" w:cs="Times New Roman" w:hAnsi="Times New Roman"/>
          <w:snapToGrid w:val="0"/>
          <w:color w:val="auto"/>
          <w:spacing w:val="-6"/>
          <w:kern w:val="21"/>
          <w:szCs w:val="21"/>
          <w:highlight w:val="none"/>
        </w:rPr>
        <w:instrText xml:space="preserve"> = 7 \* GB3 \* MERGEFORMAT </w:instrText>
      </w:r>
      <w:r>
        <w:rPr>
          <w:rFonts w:ascii="Times New Roman" w:cs="Times New Roman" w:hAnsi="Times New Roman"/>
          <w:snapToGrid w:val="0"/>
          <w:color w:val="auto"/>
          <w:spacing w:val="-6"/>
          <w:kern w:val="21"/>
          <w:szCs w:val="21"/>
          <w:highlight w:val="none"/>
        </w:rPr>
        <w:fldChar w:fldCharType="separate"/>
      </w:r>
      <w:r>
        <w:rPr>
          <w:rFonts w:ascii="Times New Roman" w:cs="Times New Roman" w:hAnsi="Times New Roman"/>
          <w:color w:val="auto"/>
          <w:szCs w:val="21"/>
          <w:highlight w:val="none"/>
        </w:rPr>
        <w:t>⑦</w:t>
      </w:r>
      <w:r>
        <w:rPr>
          <w:rFonts w:ascii="Times New Roman" w:cs="Times New Roman" w:hAnsi="Times New Roman"/>
          <w:snapToGrid w:val="0"/>
          <w:color w:val="auto"/>
          <w:spacing w:val="-6"/>
          <w:kern w:val="21"/>
          <w:szCs w:val="21"/>
          <w:highlight w:val="none"/>
        </w:rPr>
        <w:fldChar w:fldCharType="end"/>
      </w:r>
      <w:r>
        <w:rPr>
          <w:rFonts w:ascii="Times New Roman" w:cs="Times New Roman" w:hAnsi="Times New Roman"/>
          <w:snapToGrid w:val="0"/>
          <w:color w:val="auto"/>
          <w:spacing w:val="-6"/>
          <w:kern w:val="21"/>
          <w:szCs w:val="21"/>
          <w:highlight w:val="none"/>
        </w:rPr>
        <w:t>=</w:t>
      </w:r>
      <w:r>
        <w:rPr>
          <w:rFonts w:ascii="Times New Roman" w:cs="Times New Roman" w:hAnsi="Times New Roman"/>
          <w:snapToGrid w:val="0"/>
          <w:color w:val="auto"/>
          <w:spacing w:val="-16"/>
          <w:kern w:val="21"/>
          <w:szCs w:val="21"/>
          <w:highlight w:val="none"/>
        </w:rPr>
        <w:fldChar w:fldCharType="begin"/>
      </w:r>
      <w:r>
        <w:rPr>
          <w:rFonts w:ascii="Times New Roman" w:cs="Times New Roman" w:hAnsi="Times New Roman"/>
          <w:snapToGrid w:val="0"/>
          <w:color w:val="auto"/>
          <w:spacing w:val="-16"/>
          <w:kern w:val="21"/>
          <w:szCs w:val="21"/>
          <w:highlight w:val="none"/>
        </w:rPr>
        <w:instrText xml:space="preserve"> = 6 \* GB3 \* MERGEFORMAT </w:instrText>
      </w:r>
      <w:r>
        <w:rPr>
          <w:rFonts w:ascii="Times New Roman" w:cs="Times New Roman" w:hAnsi="Times New Roman"/>
          <w:snapToGrid w:val="0"/>
          <w:color w:val="auto"/>
          <w:spacing w:val="-16"/>
          <w:kern w:val="21"/>
          <w:szCs w:val="21"/>
          <w:highlight w:val="none"/>
        </w:rPr>
        <w:fldChar w:fldCharType="separate"/>
      </w:r>
      <w:r>
        <w:rPr>
          <w:rFonts w:ascii="Times New Roman" w:cs="Times New Roman" w:hAnsi="Times New Roman"/>
          <w:color w:val="auto"/>
          <w:szCs w:val="21"/>
          <w:highlight w:val="none"/>
        </w:rPr>
        <w:t>⑥</w:t>
      </w:r>
      <w:r>
        <w:rPr>
          <w:rFonts w:ascii="Times New Roman" w:cs="Times New Roman" w:hAnsi="Times New Roman"/>
          <w:snapToGrid w:val="0"/>
          <w:color w:val="auto"/>
          <w:spacing w:val="-16"/>
          <w:kern w:val="21"/>
          <w:szCs w:val="21"/>
          <w:highlight w:val="none"/>
        </w:rPr>
        <w:fldChar w:fldCharType="end"/>
      </w:r>
      <w:r>
        <w:rPr>
          <w:rFonts w:ascii="Times New Roman" w:cs="Times New Roman" w:hAnsi="Times New Roman"/>
          <w:snapToGrid w:val="0"/>
          <w:color w:val="auto"/>
          <w:spacing w:val="-16"/>
          <w:kern w:val="21"/>
          <w:szCs w:val="21"/>
          <w:highlight w:val="none"/>
        </w:rPr>
        <w:t>-</w:t>
      </w:r>
      <w:r>
        <w:rPr>
          <w:rFonts w:ascii="Times New Roman" w:cs="Times New Roman" w:hAnsi="Times New Roman"/>
          <w:snapToGrid w:val="0"/>
          <w:color w:val="auto"/>
          <w:spacing w:val="-6"/>
          <w:kern w:val="21"/>
          <w:szCs w:val="21"/>
          <w:highlight w:val="none"/>
        </w:rPr>
        <w:fldChar w:fldCharType="begin"/>
      </w:r>
      <w:r>
        <w:rPr>
          <w:rFonts w:ascii="Times New Roman" w:cs="Times New Roman" w:hAnsi="Times New Roman"/>
          <w:snapToGrid w:val="0"/>
          <w:color w:val="auto"/>
          <w:spacing w:val="-6"/>
          <w:kern w:val="21"/>
          <w:szCs w:val="21"/>
          <w:highlight w:val="none"/>
        </w:rPr>
        <w:instrText xml:space="preserve"> = 1 \* GB3 \* MERGEFORMAT </w:instrText>
      </w:r>
      <w:r>
        <w:rPr>
          <w:rFonts w:ascii="Times New Roman" w:cs="Times New Roman" w:hAnsi="Times New Roman"/>
          <w:snapToGrid w:val="0"/>
          <w:color w:val="auto"/>
          <w:spacing w:val="-6"/>
          <w:kern w:val="21"/>
          <w:szCs w:val="21"/>
          <w:highlight w:val="none"/>
        </w:rPr>
        <w:fldChar w:fldCharType="separate"/>
      </w:r>
      <w:r>
        <w:rPr>
          <w:rFonts w:ascii="Times New Roman" w:cs="Times New Roman" w:hAnsi="Times New Roman"/>
          <w:color w:val="auto"/>
          <w:szCs w:val="21"/>
          <w:highlight w:val="none"/>
        </w:rPr>
        <w:t>①</w:t>
      </w:r>
      <w:r>
        <w:rPr>
          <w:rFonts w:ascii="Times New Roman" w:cs="Times New Roman" w:hAnsi="Times New Roman"/>
          <w:snapToGrid w:val="0"/>
          <w:color w:val="auto"/>
          <w:spacing w:val="-6"/>
          <w:kern w:val="21"/>
          <w:szCs w:val="21"/>
          <w:highlight w:val="none"/>
        </w:rPr>
        <w:fldChar w:fldCharType="end"/>
      </w:r>
      <w:bookmarkEnd w:id="43"/>
    </w:p>
    <w:sectPr>
      <w:footerReference w:type="default" r:id="rId49"/>
      <w:pgSz w:w="16838" w:h="11906" w:orient="landscape"/>
      <w:pgMar w:top="1531" w:right="1701" w:bottom="1531" w:left="1701" w:header="851" w:footer="851" w:gutter="0"/>
      <w:pgBorders>
        <w:top w:val="none" w:sz="0" w:space="0" w:color="auto"/>
        <w:left w:val="none" w:sz="0" w:space="0" w:color="auto"/>
        <w:bottom w:val="none" w:sz="0" w:space="0" w:color="auto"/>
        <w:right w:val="none" w:sz="0" w:space="0" w:color="auto"/>
      </w:pgBorders>
      <w:cols w:num="1" w:space="720"/>
      <w:docGrid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50"/>
    <w:family w:val="roman"/>
    <w:pitch w:val="variable"/>
    <w:sig w:usb0="E0002EFF" w:usb1="C000785B" w:usb2="00000009" w:usb3="00000000" w:csb0="400001FF" w:csb1="FFFF0000"/>
  </w:font>
  <w:font w:name="宋体">
    <w:panose1 w:val="02010600030101010101"/>
    <w:charset w:val="80"/>
    <w:family w:val="auto"/>
    <w:pitch w:val="variable"/>
    <w:sig w:usb0="00000203" w:usb1="288F0000" w:usb2="00000006" w:usb3="00000000" w:csb0="00040001" w:csb1="00000000"/>
  </w:font>
  <w:font w:name="方正小标宋_GBK">
    <w:altName w:val="微软雅黑"/>
    <w:panose1 w:val="02000000000000000000"/>
    <w:charset w:val="86"/>
    <w:family w:val="script"/>
    <w:pitch w:val="variable"/>
    <w:sig w:usb0="00000000" w:usb1="00000000" w:usb2="00082016" w:usb3="00000000" w:csb0="00040001" w:csb1="00000000"/>
  </w:font>
  <w:font w:name="楷体_GB2312">
    <w:altName w:val="楷体"/>
    <w:panose1 w:val="02010609030101010101"/>
    <w:charset w:val="86"/>
    <w:family w:val="modern"/>
    <w:pitch w:val="variable"/>
    <w:sig w:usb0="00000000" w:usb1="00000000" w:usb2="00000000" w:usb3="00000000" w:csb0="00040000" w:csb1="00000000"/>
  </w:font>
  <w:font w:name="仿宋">
    <w:panose1 w:val="02010609060101010101"/>
    <w:charset w:val="86"/>
    <w:family w:val="modern"/>
    <w:pitch w:val="variable"/>
    <w:sig w:usb0="800002BF" w:usb1="38CF7CFA" w:usb2="00000016" w:usb3="00000000" w:csb0="00040001" w:csb1="00000000"/>
  </w:font>
  <w:font w:name="仿宋_GB2312">
    <w:altName w:val="仿宋"/>
    <w:panose1 w:val="02010609030101010101"/>
    <w:charset w:val="86"/>
    <w:family w:val="modern"/>
    <w:pitch w:val="variable"/>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 w:name="黑体">
    <w:panose1 w:val="02010609060101010101"/>
    <w:charset w:val="86"/>
    <w:family w:val="auto"/>
    <w:pitch w:val="variable"/>
    <w:sig w:usb0="800002BF" w:usb1="38CF7CFA" w:usb2="00000016" w:usb3="00000000" w:csb0="00040001" w:csb1="00000000"/>
  </w:font>
  <w:font w:name="Segoe UI">
    <w:panose1 w:val="020B0502040204020203"/>
    <w:charset w:val="00"/>
    <w:family w:val="auto"/>
    <w:pitch w:val="variable"/>
    <w:sig w:usb0="E4002EFF" w:usb1="C000E47F" w:usb2="00000009" w:usb3="00000000" w:csb0="200001FF" w:csb1="00000000"/>
  </w:font>
  <w:font w:name="Helvetica">
    <w:altName w:val="Arial"/>
    <w:panose1 w:val="020B0604020202020204"/>
    <w:charset w:val="00"/>
    <w:family w:val="swiss"/>
    <w:pitch w:val="variable"/>
    <w:sig w:usb0="00000000" w:usb1="00000000" w:usb2="00000000" w:usb3="00000000" w:csb0="00000001" w:csb1="00000000"/>
  </w:font>
  <w:font w:name="Arial Unicode MS">
    <w:altName w:val="宋体"/>
    <w:panose1 w:val="020B0604020202020204"/>
    <w:charset w:val="86"/>
    <w:family w:val="auto"/>
    <w:pitch w:val="variable"/>
    <w:sig w:usb0="00000000" w:usb1="00000000" w:usb2="0000003F" w:usb3="00000000" w:csb0="603F01FF" w:csb1="FFFF0000"/>
  </w:font>
  <w:font w:name="Calibri">
    <w:panose1 w:val="020F0502020204030204"/>
    <w:charset w:val="00"/>
    <w:family w:val="swiss"/>
    <w:pitch w:val="variable"/>
    <w:sig w:usb0="E4002EFF" w:usb1="C200247B" w:usb2="00000009" w:usb3="00000000" w:csb0="200001FF" w:csb1="00000000"/>
  </w:font>
  <w:font w:name="Arial">
    <w:panose1 w:val="020B0604020202020204"/>
    <w:charset w:val="01"/>
    <w:family w:val="swiss"/>
    <w:pitch w:val="variable"/>
    <w:sig w:usb0="E0002EFF" w:usb1="C000785B" w:usb2="00000009" w:usb3="00000000" w:csb0="400001FF" w:csb1="FFFF0000"/>
  </w:font>
  <w:font w:name="Cambria Math">
    <w:panose1 w:val="02040503050406030204"/>
    <w:charset w:val="00"/>
    <w:family w:val="roman"/>
    <w:pitch w:val="variable"/>
    <w:sig w:usb0="E00006FF" w:usb1="420024FF" w:usb2="02000000" w:usb3="00000000" w:csb0="2000019F" w:csb1="00000000"/>
  </w:font>
  <w:font w:name="等线">
    <w:panose1 w:val="02010600030101010101"/>
    <w:charset w:val="86"/>
    <w:family w:val="auto"/>
    <w:pitch w:val="variable"/>
    <w:sig w:usb0="A00002BF" w:usb1="38CF7CFA" w:usb2="00000016" w:usb3="00000000" w:csb0="0004000F" w:csb1="00000000"/>
  </w:font>
  <w:font w:name="Courier New">
    <w:panose1 w:val="02070309020205020404"/>
    <w:charset w:val="01"/>
    <w:family w:val="modern"/>
    <w:pitch w:val="variable"/>
    <w:sig w:usb0="E0002EFF" w:usb1="C0007843" w:usb2="00000009" w:usb3="00000000" w:csb0="400001FF" w:csb1="FFFF0000"/>
  </w:font>
  <w:font w:name="华文中宋">
    <w:panose1 w:val="02010600040101010101"/>
    <w:charset w:val="86"/>
    <w:family w:val="auto"/>
    <w:pitch w:val="variable"/>
    <w:sig w:usb0="00000287" w:usb1="080F0000" w:usb2="00000000" w:usb3="00000000" w:csb0="0004009F" w:csb1="DFD70000"/>
  </w:font>
  <w:font w:name="Verdana">
    <w:panose1 w:val="020B0604030504040204"/>
    <w:charset w:val="00"/>
    <w:family w:val="swiss"/>
    <w:pitch w:val="variable"/>
    <w:sig w:usb0="A00006FF" w:usb1="4000205B" w:usb2="00000010" w:usb3="00000000" w:csb0="2000019F" w:csb1="00000000"/>
  </w:font>
  <w:font w:name="Wingdings">
    <w:panose1 w:val="05000000000000000000"/>
    <w:charset w:val="02"/>
    <w:family w:val="auto"/>
    <w:pitch w:val="variable"/>
    <w:sig w:usb0="00000000" w:usb1="00000000" w:usb2="00000000" w:usb3="00000000" w:csb0="8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4"/>
      <w:tabs>
        <w:tab w:val="center" w:pos="4153"/>
        <w:tab w:val="right" w:pos="8306"/>
      </w:tabs>
      <w:ind w:right="360" w:firstLine="360"/>
      <w:jc w:val="center"/>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4"/>
      <w:framePr w:w="0" w:hRule="auto" w:wrap="around" w:vAnchor="text" w:hAnchor="margin" w:xAlign="center" w:y="1" w:anchorLock="0"/>
      <w:tabs>
        <w:tab w:val="center" w:pos="4153"/>
        <w:tab w:val="right" w:pos="8306"/>
      </w:tabs>
      <w:rPr>
        <w:rStyle w:val="52"/>
      </w:rPr>
    </w:pPr>
    <w:r>
      <w:fldChar w:fldCharType="begin"/>
    </w:r>
    <w:r>
      <w:rPr>
        <w:rStyle w:val="52"/>
      </w:rPr>
      <w:instrText xml:space="preserve">PAGE  </w:instrText>
    </w:r>
    <w:r>
      <w:fldChar w:fldCharType="separate"/>
    </w:r>
    <w:r>
      <w:t xml:space="preserve"> </w:t>
    </w:r>
    <w:r>
      <w:fldChar w:fldCharType="end"/>
    </w:r>
  </w:p>
  <w:p>
    <w:pPr>
      <w:pStyle w:val="34"/>
      <w:tabs>
        <w:tab w:val="center" w:pos="4153"/>
        <w:tab w:val="right" w:pos="8306"/>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sdt>
    <w:sdtPr>
      <w:id w:val="-1485161667"/>
    </w:sdtPr>
    <w:sdtContent>
      <w:p>
        <w:pPr>
          <w:pStyle w:val="34"/>
          <w:tabs>
            <w:tab w:val="center" w:pos="4153"/>
            <w:tab w:val="right" w:pos="8306"/>
          </w:tabs>
          <w:jc w:val="center"/>
        </w:pPr>
        <w:r>
          <w:fldChar w:fldCharType="begin"/>
        </w:r>
        <w:r>
          <w:instrText>PAGE   \* MERGEFORMAT</w:instrText>
        </w:r>
        <w:r>
          <w:fldChar w:fldCharType="separate"/>
        </w:r>
        <w:r>
          <w:rPr>
            <w:lang w:val="zh-CN"/>
          </w:rPr>
          <w:t>1</w:t>
        </w:r>
        <w:r>
          <w:fldChar w:fldCharType="end"/>
        </w:r>
      </w:p>
    </w:sdtContent>
  </w:sdt>
  <w:p>
    <w:pPr>
      <w:pStyle w:val="34"/>
      <w:tabs>
        <w:tab w:val="center" w:pos="4153"/>
        <w:tab w:val="right" w:pos="8306"/>
      </w:tabs>
      <w:spacing w:before="48" w:after="48"/>
      <w:ind w:right="360" w:firstLine="523"/>
      <w:jc w:val="center"/>
    </w:pP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4"/>
      <w:tabs>
        <w:tab w:val="center" w:pos="4153"/>
        <w:tab w:val="right" w:pos="8306"/>
      </w:tabs>
      <w:ind w:right="360" w:firstLine="360"/>
      <w:jc w:val="center"/>
    </w:pPr>
    <w:r>
      <mc:AlternateContent>
        <mc:Choice Requires="wps">
          <w:drawing>
            <wp:anchor distT="0" distB="0" distL="114300" distR="114300" simplePos="0" relativeHeight="156" behindDoc="0" locked="0" layoutInCell="1" hidden="0" allowOverlap="1">
              <wp:simplePos x="0" y="0"/>
              <wp:positionH relativeFrom="margin">
                <wp:align>center</wp:align>
              </wp:positionH>
              <wp:positionV relativeFrom="paragraph">
                <wp:posOffset>0</wp:posOffset>
              </wp:positionV>
              <wp:extent cx="395808" cy="131433"/>
              <wp:wrapNone/>
              <wp:docPr id="30" name="文本框 30"/>
              <wp:cNvGraphicFramePr>
                <a:graphicFrameLocks noChangeAspect="0"/>
              </wp:cNvGraphicFramePr>
              <a:graphic>
                <a:graphicData uri="http://schemas.microsoft.com/office/word/2010/wordprocessingShape">
                  <wps:wsp>
                    <wps:cNvSpPr/>
                    <wps:spPr>
                      <a:xfrm rot="0">
                        <a:off x="0" y="0"/>
                        <a:ext cx="395808" cy="131433"/>
                      </a:xfrm>
                      <a:prstGeom prst="rect"/>
                      <a:noFill/>
                      <a:ln cmpd="sng" cap="flat">
                        <a:noFill/>
                        <a:prstDash val="solid"/>
                        <a:round/>
                      </a:ln>
                    </wps:spPr>
                    <wps:txbx id="270">
                      <w:txbxContent>
                        <w:p>
                          <w:pPr>
                            <w:pStyle w:val="34"/>
                            <w:tabs>
                              <w:tab w:val="center" w:pos="4153"/>
                              <w:tab w:val="right" w:pos="8306"/>
                            </w:tabs>
                            <w:ind w:firstLine="360"/>
                          </w:pPr>
                          <w:r>
                            <w:fldChar w:fldCharType="begin"/>
                          </w:r>
                          <w:r>
                            <w:instrText xml:space="preserve"> PAGE  \* MERGEFORMAT </w:instrText>
                          </w:r>
                          <w:r>
                            <w:fldChar w:fldCharType="separate"/>
                          </w:r>
                          <w:r>
                            <w:t>55</w:t>
                          </w:r>
                          <w:r>
                            <w:fldChar w:fldCharType="end"/>
                          </w:r>
                        </w:p>
                      </w:txbxContent>
                    </wps:txbx>
                    <wps:bodyPr vert="horz" wrap="none" lIns="0" tIns="0" rIns="0" bIns="0" anchor="t" anchorCtr="0" upright="0">
                      <a:spAutoFit/>
                    </wps:bodyPr>
                  </wps:wsp>
                </a:graphicData>
              </a:graphic>
            </wp:anchor>
          </w:drawing>
        </mc:Choice>
        <mc:Fallback>
          <w:pict>
            <v:rect type="#_x0000_t1" id="文本框 30" o:spid="_x0000_s271" filled="f" stroked="f" strokeweight="-1.0pt" style="position:absolute;margin-left:0.0pt;margin-top:0.0pt;width:31.166016pt;height:10.349121pt;z-index:156;mso-position-horizontal:center;mso-position-horizontal-relative:margin;mso-position-vertical:absolute;mso-wrap-style:none;">
              <v:stroke/>
              <v:textbox id="936" inset="0mm,0mm,0mm,0mm" o:insetmode="custom" style="layout-flow:horizontal;v-text-anchor:top;mso-fit-shape-to-text:t;">
                <w:txbxContent>
                  <w:p>
                    <w:pPr>
                      <w:pStyle w:val="34"/>
                      <w:tabs>
                        <w:tab w:val="center" w:pos="4153"/>
                        <w:tab w:val="right" w:pos="8306"/>
                      </w:tabs>
                      <w:ind w:firstLine="360"/>
                    </w:pPr>
                    <w:r>
                      <w:fldChar w:fldCharType="begin"/>
                    </w:r>
                    <w:r>
                      <w:instrText xml:space="preserve"> PAGE  \* MERGEFORMAT </w:instrText>
                    </w:r>
                    <w:r>
                      <w:fldChar w:fldCharType="separate"/>
                    </w:r>
                    <w:r>
                      <w:t>55</w:t>
                    </w:r>
                    <w: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E48A5E5F"/>
    <w:multiLevelType w:val="singleLevel"/>
    <w:tmpl w:val="E48A5E5F"/>
    <w:lvl w:ilvl="0">
      <w:start w:val="1"/>
      <w:numFmt w:val="decimal"/>
      <w:lvlRestart w:val="0"/>
      <w:suff w:val="nothing"/>
      <w:lvlText w:val="%1、"/>
      <w:lvlJc w:val="left"/>
      <w:pPr/>
    </w:lvl>
  </w:abstractNum>
  <w:abstractNum w:abstractNumId="1">
    <w:nsid w:val="4518F294"/>
    <w:multiLevelType w:val="singleLevel"/>
    <w:tmpl w:val="4518F294"/>
    <w:lvl w:ilvl="0">
      <w:start w:val="14"/>
      <w:numFmt w:val="chineseCounting"/>
      <w:lvlRestart w:val="0"/>
      <w:suff w:val="nothing"/>
      <w:lvlText w:val="第%1条、"/>
      <w:lvlJc w:val="left"/>
      <w:pPr/>
      <w:rPr>
        <w:rFonts w:hint="eastAsia"/>
      </w:rPr>
    </w:lvl>
  </w:abstractNum>
  <w:abstractNum w:abstractNumId="2">
    <w:nsid w:val="24952AB3"/>
    <w:multiLevelType w:val="singleLevel"/>
    <w:tmpl w:val="24952AB3"/>
    <w:lvl w:ilvl="0">
      <w:start w:val="1"/>
      <w:numFmt w:val="bullet"/>
      <w:lvlRestart w:val="0"/>
      <w:pStyle w:val="29"/>
      <w:lvlText w:val=""/>
      <w:lvlJc w:val="left"/>
      <w:pPr>
        <w:tabs>
          <w:tab w:val="num" w:pos="2040"/>
        </w:tabs>
        <w:ind w:left="2040" w:hanging="360"/>
      </w:pPr>
      <w:rPr>
        <w:rFonts w:ascii="Wingdings" w:hAnsi="Wingdings" w:hint="default"/>
      </w:rPr>
    </w:lvl>
  </w:abstractNum>
  <w:abstractNum w:abstractNumId="3">
    <w:nsid w:val="4B733353"/>
    <w:multiLevelType w:val="multilevel"/>
    <w:tmpl w:val="4B733353"/>
    <w:lvl w:ilvl="0">
      <w:start w:val="1"/>
      <w:numFmt w:val="decimal"/>
      <w:lvlRestart w:val="0"/>
      <w:pStyle w:val="111"/>
      <w:lvlText w:val="%1、"/>
      <w:lvlJc w:val="left"/>
      <w:pPr>
        <w:tabs>
          <w:tab w:val="num" w:pos="1203"/>
        </w:tabs>
        <w:ind w:left="1203" w:hanging="765"/>
      </w:pPr>
      <w:rPr>
        <w:rFonts w:hint="default"/>
      </w:rPr>
    </w:lvl>
    <w:lvl w:ilvl="1">
      <w:start w:val="1"/>
      <w:numFmt w:val="lowerLetter"/>
      <w:pStyle w:val="108"/>
      <w:lvlText w:val="%2)"/>
      <w:lvlJc w:val="left"/>
      <w:pPr>
        <w:tabs>
          <w:tab w:val="num" w:pos="1278"/>
        </w:tabs>
        <w:ind w:left="1278" w:hanging="420"/>
      </w:pPr>
    </w:lvl>
    <w:lvl w:ilvl="2">
      <w:start w:val="1"/>
      <w:numFmt w:val="lowerRoman"/>
      <w:lvlText w:val="%3."/>
      <w:lvlJc w:val="right"/>
      <w:pPr>
        <w:tabs>
          <w:tab w:val="num" w:pos="1698"/>
        </w:tabs>
        <w:ind w:left="1698" w:hanging="420"/>
      </w:pPr>
    </w:lvl>
    <w:lvl w:ilvl="3">
      <w:start w:val="1"/>
      <w:numFmt w:val="decimal"/>
      <w:lvlText w:val="%4."/>
      <w:lvlJc w:val="left"/>
      <w:pPr>
        <w:tabs>
          <w:tab w:val="num" w:pos="2118"/>
        </w:tabs>
        <w:ind w:left="2118" w:hanging="420"/>
      </w:pPr>
    </w:lvl>
    <w:lvl w:ilvl="4">
      <w:start w:val="1"/>
      <w:numFmt w:val="lowerLetter"/>
      <w:lvlText w:val="%5)"/>
      <w:lvlJc w:val="left"/>
      <w:pPr>
        <w:tabs>
          <w:tab w:val="num" w:pos="2538"/>
        </w:tabs>
        <w:ind w:left="2538" w:hanging="420"/>
      </w:pPr>
    </w:lvl>
    <w:lvl w:ilvl="5">
      <w:start w:val="1"/>
      <w:numFmt w:val="lowerRoman"/>
      <w:lvlText w:val="%6."/>
      <w:lvlJc w:val="right"/>
      <w:pPr>
        <w:tabs>
          <w:tab w:val="num" w:pos="2958"/>
        </w:tabs>
        <w:ind w:left="2958" w:hanging="420"/>
      </w:pPr>
    </w:lvl>
    <w:lvl w:ilvl="6">
      <w:start w:val="1"/>
      <w:numFmt w:val="decimal"/>
      <w:lvlText w:val="%7."/>
      <w:lvlJc w:val="left"/>
      <w:pPr>
        <w:tabs>
          <w:tab w:val="num" w:pos="3378"/>
        </w:tabs>
        <w:ind w:left="3378" w:hanging="420"/>
      </w:pPr>
    </w:lvl>
    <w:lvl w:ilvl="7">
      <w:start w:val="1"/>
      <w:numFmt w:val="lowerLetter"/>
      <w:lvlText w:val="%8)"/>
      <w:lvlJc w:val="left"/>
      <w:pPr>
        <w:tabs>
          <w:tab w:val="num" w:pos="3798"/>
        </w:tabs>
        <w:ind w:left="3798" w:hanging="420"/>
      </w:pPr>
    </w:lvl>
    <w:lvl w:ilvl="8">
      <w:start w:val="1"/>
      <w:numFmt w:val="lowerRoman"/>
      <w:lvlText w:val="%9."/>
      <w:lvlJc w:val="right"/>
      <w:pPr>
        <w:tabs>
          <w:tab w:val="num" w:pos="4218"/>
        </w:tabs>
        <w:ind w:left="4218" w:hanging="420"/>
      </w:pPr>
    </w:lvl>
  </w:abstractNum>
  <w:num w:numId="1">
    <w:abstractNumId w:val="0"/>
  </w:num>
  <w:num w:numId="2">
    <w:abstractNumId w:val="1"/>
  </w:num>
  <w:num w:numId="3">
    <w:abstractNumId w:val="2"/>
  </w:num>
  <w:num w:numId="4">
    <w:abstractNumId w:val="3"/>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displayBackgroundShape/>
  <w:bordersDoNotSurroundHeader w:val="0"/>
  <w:bordersDoNotSurroundFooter w:val="0"/>
  <w:defaultTabStop w:val="425"/>
  <w:drawingGridHorizontalSpacing w:val="105"/>
  <w:drawingGridVerticalSpacing w:val="319"/>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docVars>
    <w:docVar w:name="commondata" w:val="eyJoZGlkIjoiMjY0M2MwYzc1MWQ3YzM2NWI5OWY3ZWFkOTI2MzA0NDAifQ=="/>
  </w:docVars>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autoRedefine/>
    <w:pPr>
      <w:widowControl w:val="0"/>
      <w:jc w:val="both"/>
    </w:pPr>
    <w:rPr>
      <w:rFonts w:ascii="Times New Roman" w:eastAsia="宋体" w:cs="Times New Roman" w:hAnsi="Times New Roman"/>
      <w:kern w:val="2"/>
      <w:sz w:val="21"/>
      <w:szCs w:val="20"/>
      <w:lang w:val="en-US" w:eastAsia="zh-CN" w:bidi="ar-SA"/>
    </w:rPr>
  </w:style>
  <w:style w:type="paragraph" w:styleId="1">
    <w:name w:val="heading 1"/>
    <w:qFormat/>
    <w:basedOn w:val="0"/>
    <w:autoRedefine/>
    <w:next w:val="0"/>
    <w:link w:val="1Char"/>
    <w:pPr>
      <w:pageBreakBefore/>
      <w:widowControl w:val="0"/>
      <w:spacing w:line="500" w:lineRule="exact"/>
      <w:jc w:val="left"/>
      <w:outlineLvl w:val="0"/>
    </w:pPr>
    <w:rPr>
      <w:b/>
      <w:bCs/>
      <w:kern w:val="44"/>
      <w:sz w:val="30"/>
      <w:szCs w:val="44"/>
    </w:rPr>
  </w:style>
  <w:style w:type="character" w:customStyle="1" w:styleId="1Char">
    <w:name w:val="heading 1 Char"/>
    <w:basedOn w:val="10"/>
    <w:link w:val="1"/>
    <w:autoRedefine/>
    <w:rPr>
      <w:rFonts w:ascii="Times New Roman" w:eastAsia="宋体" w:cs="Times New Roman" w:hAnsi="Times New Roman"/>
      <w:b/>
      <w:bCs/>
      <w:kern w:val="44"/>
      <w:sz w:val="30"/>
      <w:szCs w:val="44"/>
      <w:lang w:val="en-US" w:eastAsia="zh-CN" w:bidi="ar-SA"/>
    </w:rPr>
  </w:style>
  <w:style w:type="paragraph" w:styleId="2">
    <w:name w:val="heading 2"/>
    <w:qFormat/>
    <w:basedOn w:val="0"/>
    <w:autoRedefine/>
    <w:next w:val="0"/>
    <w:link w:val="2Char"/>
    <w:pPr>
      <w:keepNext/>
      <w:keepLines/>
      <w:spacing w:before="260" w:after="260" w:line="415" w:lineRule="auto"/>
      <w:outlineLvl w:val="1"/>
    </w:pPr>
    <w:rPr>
      <w:rFonts w:ascii="Arial" w:eastAsia="黑体" w:hAnsi="Arial"/>
      <w:b/>
      <w:bCs/>
      <w:sz w:val="32"/>
      <w:szCs w:val="32"/>
    </w:rPr>
  </w:style>
  <w:style w:type="character" w:customStyle="1" w:styleId="2Char">
    <w:name w:val="heading 2 Char"/>
    <w:basedOn w:val="10"/>
    <w:link w:val="2"/>
    <w:autoRedefine/>
    <w:rPr>
      <w:rFonts w:ascii="Arial" w:eastAsia="黑体" w:cs="Times New Roman" w:hAnsi="Arial"/>
      <w:b/>
      <w:bCs/>
      <w:kern w:val="2"/>
      <w:sz w:val="32"/>
      <w:szCs w:val="32"/>
      <w:lang w:val="en-US" w:eastAsia="zh-CN" w:bidi="ar-SA"/>
    </w:rPr>
  </w:style>
  <w:style w:type="paragraph" w:styleId="3">
    <w:name w:val="heading 3"/>
    <w:qFormat/>
    <w:basedOn w:val="0"/>
    <w:autoRedefine/>
    <w:next w:val="15"/>
    <w:link w:val="3Char"/>
    <w:pPr>
      <w:keepNext/>
      <w:keepLines/>
      <w:widowControl/>
      <w:spacing w:before="260" w:after="260" w:line="415" w:lineRule="auto"/>
      <w:jc w:val="left"/>
      <w:outlineLvl w:val="2"/>
    </w:pPr>
    <w:rPr>
      <w:b/>
      <w:kern w:val="0"/>
      <w:sz w:val="32"/>
    </w:rPr>
  </w:style>
  <w:style w:type="character" w:customStyle="1" w:styleId="3Char">
    <w:name w:val="heading 3 Char"/>
    <w:basedOn w:val="10"/>
    <w:link w:val="3"/>
    <w:autoRedefine/>
    <w:rPr>
      <w:rFonts w:ascii="Times New Roman" w:eastAsia="宋体" w:cs="Times New Roman" w:hAnsi="Times New Roman"/>
      <w:b/>
      <w:kern w:val="0"/>
      <w:sz w:val="32"/>
      <w:szCs w:val="20"/>
      <w:lang w:val="en-US" w:eastAsia="zh-CN" w:bidi="ar-SA"/>
    </w:rPr>
  </w:style>
  <w:style w:type="paragraph" w:styleId="4">
    <w:name w:val="heading 4"/>
    <w:qFormat/>
    <w:basedOn w:val="0"/>
    <w:autoRedefine/>
    <w:next w:val="15"/>
    <w:link w:val="4Char"/>
    <w:pPr>
      <w:keepNext/>
      <w:keepLines/>
      <w:spacing w:before="280" w:after="290" w:line="377" w:lineRule="auto"/>
      <w:outlineLvl w:val="3"/>
    </w:pPr>
    <w:rPr>
      <w:rFonts w:ascii="Arial" w:eastAsia="黑体" w:hAnsi="Arial"/>
      <w:b/>
      <w:bCs/>
      <w:sz w:val="28"/>
      <w:szCs w:val="28"/>
    </w:rPr>
  </w:style>
  <w:style w:type="character" w:customStyle="1" w:styleId="4Char">
    <w:name w:val="heading 4 Char"/>
    <w:basedOn w:val="10"/>
    <w:link w:val="4"/>
    <w:autoRedefine/>
    <w:rPr>
      <w:rFonts w:ascii="Arial" w:eastAsia="黑体" w:cs="Times New Roman" w:hAnsi="Arial"/>
      <w:b/>
      <w:bCs/>
      <w:kern w:val="2"/>
      <w:sz w:val="28"/>
      <w:szCs w:val="28"/>
      <w:lang w:val="en-US" w:eastAsia="zh-CN" w:bidi="ar-SA"/>
    </w:rPr>
  </w:style>
  <w:style w:type="paragraph" w:styleId="5">
    <w:name w:val="heading 5"/>
    <w:qFormat/>
    <w:basedOn w:val="0"/>
    <w:autoRedefine/>
    <w:next w:val="0"/>
    <w:link w:val="5Char"/>
    <w:pPr>
      <w:keepNext/>
      <w:keepLines/>
      <w:tabs>
        <w:tab w:val="left" w:pos="1008"/>
      </w:tabs>
      <w:spacing w:line="360" w:lineRule="auto"/>
      <w:ind w:left="1008" w:hanging="1008"/>
      <w:outlineLvl w:val="4"/>
    </w:pPr>
    <w:rPr>
      <w:rFonts w:ascii="宋体" w:hAnsi="宋体"/>
      <w:bCs/>
      <w:sz w:val="24"/>
      <w:szCs w:val="24"/>
    </w:rPr>
  </w:style>
  <w:style w:type="character" w:customStyle="1" w:styleId="5Char">
    <w:name w:val="heading 5 Char"/>
    <w:basedOn w:val="10"/>
    <w:link w:val="5"/>
    <w:autoRedefine/>
    <w:rPr>
      <w:rFonts w:ascii="宋体" w:eastAsia="宋体" w:cs="Times New Roman" w:hAnsi="宋体"/>
      <w:bCs/>
      <w:kern w:val="2"/>
      <w:sz w:val="24"/>
      <w:szCs w:val="24"/>
      <w:lang w:val="en-US" w:eastAsia="zh-CN" w:bidi="ar-SA"/>
    </w:rPr>
  </w:style>
  <w:style w:type="paragraph" w:styleId="6">
    <w:name w:val="heading 6"/>
    <w:qFormat/>
    <w:basedOn w:val="0"/>
    <w:autoRedefine/>
    <w:next w:val="0"/>
    <w:link w:val="6Char"/>
    <w:pPr>
      <w:keepNext/>
      <w:keepLines/>
      <w:tabs>
        <w:tab w:val="left" w:pos="1152"/>
      </w:tabs>
      <w:spacing w:before="240" w:after="64" w:line="320" w:lineRule="atLeast"/>
      <w:ind w:left="1152" w:hanging="1152"/>
      <w:outlineLvl w:val="5"/>
    </w:pPr>
    <w:rPr>
      <w:rFonts w:ascii="Arial" w:eastAsia="黑体" w:hAnsi="Arial"/>
      <w:b/>
      <w:bCs/>
      <w:sz w:val="24"/>
      <w:szCs w:val="24"/>
    </w:rPr>
  </w:style>
  <w:style w:type="character" w:customStyle="1" w:styleId="6Char">
    <w:name w:val="heading 6 Char"/>
    <w:basedOn w:val="10"/>
    <w:link w:val="6"/>
    <w:autoRedefine/>
    <w:rPr>
      <w:rFonts w:ascii="Arial" w:eastAsia="黑体" w:cs="Times New Roman" w:hAnsi="Arial"/>
      <w:b/>
      <w:bCs/>
      <w:kern w:val="2"/>
      <w:sz w:val="24"/>
      <w:szCs w:val="24"/>
      <w:lang w:val="en-US" w:eastAsia="zh-CN" w:bidi="ar-SA"/>
    </w:rPr>
  </w:style>
  <w:style w:type="paragraph" w:styleId="7">
    <w:name w:val="heading 7"/>
    <w:qFormat/>
    <w:basedOn w:val="0"/>
    <w:autoRedefine/>
    <w:next w:val="0"/>
    <w:link w:val="7Char"/>
    <w:pPr>
      <w:keepNext/>
      <w:keepLines/>
      <w:tabs>
        <w:tab w:val="left" w:pos="1296"/>
      </w:tabs>
      <w:spacing w:before="240" w:after="64" w:line="320" w:lineRule="atLeast"/>
      <w:ind w:left="1296" w:hanging="1296"/>
      <w:outlineLvl w:val="6"/>
    </w:pPr>
    <w:rPr>
      <w:rFonts w:ascii="Arial" w:hAnsi="Arial"/>
      <w:b/>
      <w:bCs/>
      <w:sz w:val="24"/>
      <w:szCs w:val="24"/>
    </w:rPr>
  </w:style>
  <w:style w:type="character" w:customStyle="1" w:styleId="7Char">
    <w:name w:val="heading 7 Char"/>
    <w:basedOn w:val="10"/>
    <w:link w:val="7"/>
    <w:autoRedefine/>
    <w:rPr>
      <w:rFonts w:ascii="Arial" w:eastAsia="宋体" w:cs="Times New Roman" w:hAnsi="Arial"/>
      <w:b/>
      <w:bCs/>
      <w:kern w:val="2"/>
      <w:sz w:val="24"/>
      <w:szCs w:val="24"/>
      <w:lang w:val="en-US" w:eastAsia="zh-CN" w:bidi="ar-SA"/>
    </w:rPr>
  </w:style>
  <w:style w:type="paragraph" w:styleId="8">
    <w:name w:val="heading 8"/>
    <w:qFormat/>
    <w:basedOn w:val="0"/>
    <w:autoRedefine/>
    <w:next w:val="0"/>
    <w:link w:val="8Char"/>
    <w:pPr>
      <w:keepNext/>
      <w:keepLines/>
      <w:tabs>
        <w:tab w:val="left" w:pos="1440"/>
      </w:tabs>
      <w:spacing w:before="240" w:after="64" w:line="320" w:lineRule="atLeast"/>
      <w:ind w:left="1440" w:hanging="1440"/>
      <w:outlineLvl w:val="7"/>
    </w:pPr>
    <w:rPr>
      <w:rFonts w:ascii="Arial" w:eastAsia="黑体" w:hAnsi="Arial"/>
      <w:sz w:val="24"/>
      <w:szCs w:val="24"/>
    </w:rPr>
  </w:style>
  <w:style w:type="character" w:customStyle="1" w:styleId="8Char">
    <w:name w:val="heading 8 Char"/>
    <w:basedOn w:val="10"/>
    <w:link w:val="8"/>
    <w:autoRedefine/>
    <w:rPr>
      <w:rFonts w:ascii="Arial" w:eastAsia="黑体" w:cs="Times New Roman" w:hAnsi="Arial"/>
      <w:kern w:val="2"/>
      <w:sz w:val="24"/>
      <w:szCs w:val="24"/>
      <w:lang w:val="en-US" w:eastAsia="zh-CN" w:bidi="ar-SA"/>
    </w:rPr>
  </w:style>
  <w:style w:type="paragraph" w:styleId="9">
    <w:name w:val="heading 9"/>
    <w:qFormat/>
    <w:basedOn w:val="0"/>
    <w:autoRedefine/>
    <w:next w:val="0"/>
    <w:link w:val="9Char"/>
    <w:pPr>
      <w:keepNext/>
      <w:keepLines/>
      <w:tabs>
        <w:tab w:val="left" w:pos="1584"/>
      </w:tabs>
      <w:spacing w:before="240" w:after="64" w:line="320" w:lineRule="atLeast"/>
      <w:ind w:left="1584" w:hanging="1584"/>
      <w:outlineLvl w:val="8"/>
    </w:pPr>
    <w:rPr>
      <w:rFonts w:ascii="Arial" w:eastAsia="黑体" w:hAnsi="Arial"/>
      <w:szCs w:val="21"/>
    </w:rPr>
  </w:style>
  <w:style w:type="character" w:customStyle="1" w:styleId="9Char">
    <w:name w:val="heading 9 Char"/>
    <w:basedOn w:val="10"/>
    <w:link w:val="9"/>
    <w:autoRedefine/>
    <w:rPr>
      <w:rFonts w:ascii="Arial" w:eastAsia="黑体" w:cs="Times New Roman" w:hAnsi="Arial"/>
      <w:kern w:val="2"/>
      <w:sz w:val="21"/>
      <w:szCs w:val="21"/>
      <w:lang w:val="en-US" w:eastAsia="zh-CN" w:bidi="ar-SA"/>
    </w:rPr>
  </w:style>
  <w:style w:type="character" w:default="1" w:styleId="10">
    <w:name w:val="Default Paragraph Font"/>
    <w:qFormat/>
    <w:autoRedefine/>
  </w:style>
  <w:style w:type="paragraph" w:styleId="15">
    <w:name w:val="Normal Indent"/>
    <w:qFormat/>
    <w:basedOn w:val="0"/>
    <w:autoRedefine/>
    <w:next w:val="16"/>
    <w:pPr>
      <w:ind w:firstLine="420"/>
    </w:pPr>
  </w:style>
  <w:style w:type="paragraph" w:styleId="16">
    <w:name w:val="Note Heading"/>
    <w:qFormat/>
    <w:basedOn w:val="0"/>
    <w:autoRedefine/>
    <w:next w:val="0"/>
    <w:pPr>
      <w:jc w:val="center"/>
    </w:pPr>
    <w:rPr>
      <w:szCs w:val="24"/>
    </w:rPr>
  </w:style>
  <w:style w:type="paragraph" w:styleId="17">
    <w:name w:val="toc 7"/>
    <w:qFormat/>
    <w:basedOn w:val="0"/>
    <w:autoRedefine/>
    <w:next w:val="0"/>
    <w:pPr>
      <w:ind w:leftChars="1200" w:left="1200"/>
    </w:pPr>
  </w:style>
  <w:style w:type="paragraph" w:styleId="18">
    <w:name w:val="caption"/>
    <w:qFormat/>
    <w:basedOn w:val="0"/>
    <w:autoRedefine/>
    <w:next w:val="0"/>
    <w:pPr>
      <w:jc w:val="center"/>
    </w:pPr>
    <w:rPr>
      <w:rFonts w:ascii="宋体" w:cs="Arial" w:hAnsi="Arial"/>
    </w:rPr>
  </w:style>
  <w:style w:type="paragraph" w:styleId="19">
    <w:name w:val="index 5"/>
    <w:qFormat/>
    <w:basedOn w:val="0"/>
    <w:autoRedefine/>
    <w:next w:val="0"/>
    <w:pPr>
      <w:ind w:left="1680"/>
    </w:pPr>
  </w:style>
  <w:style w:type="paragraph" w:styleId="20">
    <w:name w:val="Document Map"/>
    <w:qFormat/>
    <w:basedOn w:val="0"/>
    <w:autoRedefine/>
    <w:pPr>
      <w:shd w:val="clear" w:color="auto" w:fill="000080"/>
    </w:pPr>
  </w:style>
  <w:style w:type="paragraph" w:styleId="21">
    <w:name w:val="annotation text"/>
    <w:qFormat/>
    <w:basedOn w:val="0"/>
    <w:autoRedefine/>
    <w:pPr>
      <w:jc w:val="left"/>
    </w:pPr>
  </w:style>
  <w:style w:type="paragraph" w:styleId="22">
    <w:name w:val="Body Text 3"/>
    <w:qFormat/>
    <w:basedOn w:val="0"/>
    <w:autoRedefine/>
    <w:pPr>
      <w:jc w:val="left"/>
    </w:pPr>
    <w:rPr>
      <w:sz w:val="28"/>
    </w:rPr>
  </w:style>
  <w:style w:type="paragraph" w:styleId="23">
    <w:name w:val="Body Text"/>
    <w:qFormat/>
    <w:basedOn w:val="0"/>
    <w:autoRedefine/>
    <w:next w:val="0"/>
    <w:rPr>
      <w:sz w:val="28"/>
    </w:rPr>
  </w:style>
  <w:style w:type="paragraph" w:styleId="24">
    <w:name w:val="Body Text Indent"/>
    <w:qFormat/>
    <w:basedOn w:val="0"/>
    <w:autoRedefine/>
    <w:next w:val="25"/>
    <w:pPr>
      <w:snapToGrid w:val="0"/>
      <w:ind w:firstLine="498"/>
    </w:pPr>
    <w:rPr>
      <w:rFonts w:ascii="宋体"/>
      <w:sz w:val="24"/>
    </w:rPr>
  </w:style>
  <w:style w:type="paragraph" w:customStyle="1" w:yozoId="4094" w:styleId="25">
    <w:name w:val="样式 正文文本缩进 + 行距: 1.5 倍行距"/>
    <w:qFormat/>
    <w:basedOn w:val="0"/>
    <w:pPr>
      <w:spacing w:after="120" w:line="360" w:lineRule="auto"/>
      <w:ind w:leftChars="32" w:left="32" w:firstLineChars="200" w:firstLine="200"/>
    </w:pPr>
    <w:rPr>
      <w:rFonts w:cs="宋体"/>
    </w:rPr>
  </w:style>
  <w:style w:type="paragraph" w:styleId="26">
    <w:name w:val="Block Text"/>
    <w:qFormat/>
    <w:basedOn w:val="0"/>
    <w:autoRedefine/>
    <w:pPr>
      <w:snapToGrid w:val="0"/>
      <w:ind w:left="113" w:right="113" w:firstLine="480"/>
    </w:pPr>
    <w:rPr>
      <w:sz w:val="28"/>
      <w:szCs w:val="24"/>
    </w:rPr>
  </w:style>
  <w:style w:type="paragraph" w:styleId="27">
    <w:name w:val="toc 3"/>
    <w:qFormat/>
    <w:basedOn w:val="0"/>
    <w:autoRedefine/>
    <w:next w:val="0"/>
    <w:pPr>
      <w:spacing w:line="440" w:lineRule="exact"/>
      <w:ind w:left="480" w:firstLineChars="200" w:firstLine="200"/>
      <w:jc w:val="left"/>
    </w:pPr>
    <w:rPr>
      <w:i/>
      <w:iCs/>
      <w:sz w:val="20"/>
    </w:rPr>
  </w:style>
  <w:style w:type="paragraph" w:styleId="28">
    <w:name w:val="Plain Text"/>
    <w:qFormat/>
    <w:basedOn w:val="0"/>
    <w:autoRedefine/>
    <w:rPr>
      <w:rFonts w:ascii="宋体" w:hAnsi="Courier New"/>
    </w:rPr>
  </w:style>
  <w:style w:type="paragraph" w:styleId="29">
    <w:name w:val="List Bullet 5"/>
    <w:qFormat/>
    <w:basedOn w:val="0"/>
    <w:autoRedefine/>
    <w:pPr>
      <w:numPr>
        <w:ilvl w:val="0"/>
        <w:numId w:val="3"/>
      </w:numPr>
    </w:pPr>
  </w:style>
  <w:style w:type="paragraph" w:styleId="30">
    <w:name w:val="toc 8"/>
    <w:qFormat/>
    <w:basedOn w:val="0"/>
    <w:next w:val="0"/>
    <w:pPr>
      <w:ind w:leftChars="1400" w:left="1400"/>
    </w:pPr>
  </w:style>
  <w:style w:type="paragraph" w:styleId="31">
    <w:name w:val="Date"/>
    <w:qFormat/>
    <w:basedOn w:val="0"/>
    <w:autoRedefine/>
    <w:next w:val="0"/>
    <w:rPr>
      <w:rFonts w:ascii="宋体"/>
      <w:sz w:val="28"/>
    </w:rPr>
  </w:style>
  <w:style w:type="paragraph" w:styleId="32">
    <w:name w:val="Body Text Indent 2"/>
    <w:qFormat/>
    <w:basedOn w:val="0"/>
    <w:autoRedefine/>
    <w:pPr>
      <w:spacing w:line="420" w:lineRule="exact"/>
      <w:ind w:firstLine="561"/>
    </w:pPr>
    <w:rPr>
      <w:rFonts w:ascii="宋体" w:hAnsi="宋体"/>
      <w:sz w:val="24"/>
      <w:szCs w:val="24"/>
    </w:rPr>
  </w:style>
  <w:style w:type="paragraph" w:styleId="33">
    <w:name w:val="Balloon Text"/>
    <w:qFormat/>
    <w:basedOn w:val="0"/>
    <w:autoRedefine/>
    <w:rPr>
      <w:sz w:val="18"/>
      <w:szCs w:val="18"/>
    </w:rPr>
  </w:style>
  <w:style w:type="paragraph" w:styleId="34">
    <w:name w:val="footer"/>
    <w:qFormat/>
    <w:basedOn w:val="0"/>
    <w:autoRedefine/>
    <w:pPr>
      <w:tabs>
        <w:tab w:val="center" w:pos="4153"/>
        <w:tab w:val="right" w:pos="8306"/>
      </w:tabs>
      <w:snapToGrid w:val="0"/>
      <w:jc w:val="left"/>
    </w:pPr>
    <w:rPr>
      <w:sz w:val="18"/>
    </w:rPr>
  </w:style>
  <w:style w:type="paragraph" w:styleId="35">
    <w:name w:val="header"/>
    <w:qFormat/>
    <w:basedOn w:val="0"/>
    <w:autoRedefine/>
    <w:next w:val="38"/>
    <w:pPr>
      <w:pBdr>
        <w:bottom w:val="single" w:sz="6" w:space="1" w:color="auto"/>
      </w:pBdr>
      <w:tabs>
        <w:tab w:val="center" w:pos="4153"/>
        <w:tab w:val="right" w:pos="8306"/>
      </w:tabs>
      <w:snapToGrid w:val="0"/>
      <w:jc w:val="center"/>
    </w:pPr>
    <w:rPr>
      <w:sz w:val="18"/>
      <w:szCs w:val="18"/>
    </w:rPr>
  </w:style>
  <w:style w:type="paragraph" w:styleId="36">
    <w:name w:val="Body Text 2"/>
    <w:qFormat/>
    <w:basedOn w:val="0"/>
    <w:autoRedefine/>
    <w:pPr>
      <w:jc w:val="left"/>
    </w:pPr>
  </w:style>
  <w:style w:type="paragraph" w:customStyle="1" w:yozoId="4094" w:styleId="37">
    <w:name w:val="正文1"/>
    <w:qFormat/>
    <w:basedOn w:val="36"/>
    <w:autoRedefine/>
    <w:next w:val="36"/>
    <w:pPr>
      <w:topLinePunct/>
      <w:adjustRightInd w:val="0"/>
      <w:snapToGrid w:val="0"/>
      <w:spacing w:line="440" w:lineRule="exact"/>
      <w:ind w:firstLineChars="200" w:firstLine="200"/>
      <w:jc w:val="both"/>
    </w:pPr>
    <w:rPr>
      <w:snapToGrid w:val="0"/>
      <w:kern w:val="0"/>
      <w:sz w:val="24"/>
    </w:rPr>
  </w:style>
  <w:style w:type="paragraph" w:customStyle="1" w:yozoId="4094" w:styleId="38">
    <w:name w:val="样式5"/>
    <w:qFormat/>
    <w:basedOn w:val="37"/>
    <w:autoRedefine/>
    <w:pPr>
      <w:spacing w:beforeLines="20" w:before="20" w:afterLines="20" w:after="20" w:line="480" w:lineRule="exact"/>
      <w:ind w:firstLineChars="218" w:firstLine="218"/>
    </w:pPr>
    <w:rPr>
      <w:i/>
    </w:rPr>
  </w:style>
  <w:style w:type="paragraph" w:styleId="39">
    <w:name w:val="toc 1"/>
    <w:qFormat/>
    <w:basedOn w:val="0"/>
    <w:autoRedefine/>
    <w:next w:val="0"/>
  </w:style>
  <w:style w:type="paragraph" w:styleId="40">
    <w:name w:val="Subtitle"/>
    <w:qFormat/>
    <w:basedOn w:val="0"/>
    <w:autoRedefine/>
    <w:next w:val="0"/>
    <w:pPr>
      <w:adjustRightInd w:val="0"/>
      <w:snapToGrid w:val="0"/>
      <w:spacing w:before="120" w:after="120" w:line="240" w:lineRule="atLeast"/>
      <w:jc w:val="center"/>
      <w:outlineLvl w:val="1"/>
    </w:pPr>
    <w:rPr>
      <w:rFonts w:eastAsia="黑体" w:cs="Arial"/>
      <w:bCs/>
      <w:kern w:val="28"/>
      <w:sz w:val="24"/>
      <w:szCs w:val="32"/>
    </w:rPr>
  </w:style>
  <w:style w:type="paragraph" w:styleId="41">
    <w:name w:val="List"/>
    <w:qFormat/>
    <w:basedOn w:val="0"/>
    <w:autoRedefine/>
    <w:pPr>
      <w:spacing w:line="360" w:lineRule="exact"/>
      <w:ind w:firstLineChars="18" w:firstLine="18"/>
      <w:jc w:val="left"/>
    </w:pPr>
    <w:rPr>
      <w:rFonts w:ascii="宋体"/>
      <w:szCs w:val="21"/>
    </w:rPr>
  </w:style>
  <w:style w:type="paragraph" w:styleId="42">
    <w:name w:val="Body Text Indent 3"/>
    <w:qFormat/>
    <w:basedOn w:val="0"/>
    <w:autoRedefine/>
    <w:pPr>
      <w:spacing w:after="120"/>
      <w:ind w:leftChars="200" w:left="200"/>
    </w:pPr>
    <w:rPr>
      <w:sz w:val="16"/>
      <w:szCs w:val="16"/>
    </w:rPr>
  </w:style>
  <w:style w:type="paragraph" w:styleId="43">
    <w:name w:val="toc 2"/>
    <w:qFormat/>
    <w:basedOn w:val="0"/>
    <w:autoRedefine/>
    <w:next w:val="0"/>
    <w:pPr>
      <w:widowControl/>
      <w:ind w:left="240"/>
      <w:jc w:val="left"/>
    </w:pPr>
    <w:rPr>
      <w:caps w:val="0"/>
      <w:smallCaps/>
      <w:kern w:val="0"/>
      <w:sz w:val="24"/>
      <w:szCs w:val="24"/>
    </w:rPr>
  </w:style>
  <w:style w:type="paragraph" w:styleId="44">
    <w:name w:val="HTML Preformatted"/>
    <w:qFormat/>
    <w:basedOn w:val="0"/>
    <w:autoRedefin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cs="宋体" w:hAnsi="宋体"/>
      <w:kern w:val="0"/>
      <w:sz w:val="24"/>
      <w:szCs w:val="24"/>
    </w:rPr>
  </w:style>
  <w:style w:type="paragraph" w:styleId="45">
    <w:name w:val="Normal (Web)"/>
    <w:qFormat/>
    <w:basedOn w:val="0"/>
    <w:autoRedefine/>
    <w:next w:val="30"/>
    <w:pPr>
      <w:widowControl/>
      <w:spacing w:before="100" w:beforeAutospacing="1" w:after="100" w:afterAutospacing="1"/>
      <w:jc w:val="left"/>
    </w:pPr>
    <w:rPr>
      <w:rFonts w:ascii="宋体" w:cs="宋体" w:hAnsi="宋体"/>
      <w:color w:val="000000"/>
      <w:kern w:val="0"/>
      <w:sz w:val="24"/>
      <w:szCs w:val="24"/>
    </w:rPr>
  </w:style>
  <w:style w:type="paragraph" w:styleId="46">
    <w:name w:val="index 1"/>
    <w:qFormat/>
    <w:basedOn w:val="0"/>
    <w:autoRedefine/>
    <w:next w:val="0"/>
    <w:pPr>
      <w:widowControl/>
      <w:jc w:val="left"/>
    </w:pPr>
    <w:rPr>
      <w:kern w:val="0"/>
      <w:sz w:val="20"/>
    </w:rPr>
  </w:style>
  <w:style w:type="paragraph" w:styleId="47">
    <w:name w:val="Title"/>
    <w:qFormat/>
    <w:basedOn w:val="0"/>
    <w:autoRedefine/>
    <w:next w:val="0"/>
    <w:pPr>
      <w:spacing w:before="240" w:after="60"/>
      <w:jc w:val="center"/>
      <w:outlineLvl w:val="0"/>
    </w:pPr>
    <w:rPr>
      <w:rFonts w:ascii="等线 Light" w:eastAsia="等线 Light" w:cs="Times New Roman" w:hAnsi="等线 Light"/>
      <w:b/>
      <w:bCs/>
      <w:sz w:val="32"/>
      <w:szCs w:val="32"/>
    </w:rPr>
  </w:style>
  <w:style w:type="paragraph" w:styleId="48">
    <w:name w:val="annotation subject"/>
    <w:qFormat/>
    <w:basedOn w:val="21"/>
    <w:autoRedefine/>
    <w:next w:val="21"/>
    <w:rPr>
      <w:b/>
      <w:bCs/>
    </w:rPr>
  </w:style>
  <w:style w:type="paragraph" w:styleId="49">
    <w:name w:val="Body Text First Indent"/>
    <w:qFormat/>
    <w:basedOn w:val="23"/>
    <w:autoRedefine/>
    <w:next w:val="0"/>
    <w:pPr>
      <w:spacing w:after="120"/>
      <w:ind w:firstLineChars="100" w:firstLine="100"/>
    </w:pPr>
    <w:rPr>
      <w:sz w:val="21"/>
    </w:rPr>
  </w:style>
  <w:style w:type="paragraph" w:styleId="50">
    <w:name w:val="Body Text First Indent 2"/>
    <w:qFormat/>
    <w:basedOn w:val="24"/>
    <w:autoRedefine/>
    <w:next w:val="0"/>
    <w:pPr>
      <w:ind w:firstLineChars="200" w:firstLine="200"/>
    </w:pPr>
  </w:style>
  <w:style w:type="character" w:styleId="51">
    <w:name w:val="Strong"/>
    <w:qFormat/>
    <w:basedOn w:val="10"/>
    <w:autoRedefine/>
    <w:rPr>
      <w:b/>
      <w:bCs/>
    </w:rPr>
  </w:style>
  <w:style w:type="character" w:styleId="52">
    <w:name w:val="page number"/>
    <w:qFormat/>
    <w:basedOn w:val="10"/>
    <w:autoRedefine/>
  </w:style>
  <w:style w:type="character" w:styleId="53">
    <w:name w:val="FollowedHyperlink"/>
    <w:qFormat/>
    <w:autoRedefine/>
    <w:rPr>
      <w:color w:val="800080"/>
      <w:u w:val="single"/>
    </w:rPr>
  </w:style>
  <w:style w:type="character" w:customStyle="1" w:yozoId="4094" w:styleId="54">
    <w:name w:val="正文1 Char Char"/>
    <w:qFormat/>
    <w:autoRedefine/>
    <w:rPr>
      <w:rFonts w:eastAsia="宋体"/>
      <w:sz w:val="24"/>
    </w:rPr>
  </w:style>
  <w:style w:type="character" w:styleId="55">
    <w:name w:val="Emphasis"/>
    <w:qFormat/>
    <w:basedOn w:val="54"/>
    <w:autoRedefine/>
    <w:rPr>
      <w:rFonts w:ascii="Times New Roman" w:eastAsia="宋体" w:hAnsi="Times New Roman"/>
      <w:sz w:val="21"/>
    </w:rPr>
  </w:style>
  <w:style w:type="character" w:styleId="56">
    <w:name w:val="line number"/>
    <w:qFormat/>
    <w:autoRedefine/>
    <w:rPr>
      <w:rFonts w:ascii="黑体" w:eastAsia="华文中宋" w:cs="宋体" w:hAnsi="Arial"/>
      <w:kern w:val="2"/>
      <w:sz w:val="44"/>
      <w:szCs w:val="44"/>
      <w:lang w:val="en-US" w:eastAsia="zh-CN" w:bidi="ar-SA"/>
    </w:rPr>
  </w:style>
  <w:style w:type="character" w:styleId="57">
    <w:name w:val="Hyperlink"/>
    <w:qFormat/>
    <w:autoRedefine/>
    <w:rPr>
      <w:color w:val="0000FF"/>
      <w:u w:val="single"/>
    </w:rPr>
  </w:style>
  <w:style w:type="character" w:styleId="58">
    <w:name w:val="annotation reference"/>
    <w:qFormat/>
    <w:autoRedefine/>
    <w:rPr>
      <w:sz w:val="21"/>
      <w:szCs w:val="21"/>
    </w:rPr>
  </w:style>
  <w:style w:type="character" w:customStyle="1" w:yozoId="4094" w:styleId="59">
    <w:name w:val="正文缩进 Char1"/>
    <w:qFormat/>
    <w:autoRedefine/>
    <w:rPr>
      <w:rFonts w:eastAsia="宋体"/>
      <w:kern w:val="2"/>
      <w:sz w:val="24"/>
      <w:lang w:val="en-US" w:eastAsia="zh-CN" w:bidi="ar-SA"/>
    </w:rPr>
  </w:style>
  <w:style w:type="paragraph" w:customStyle="1" w:yozoId="4094" w:styleId="60">
    <w:name w:val="纯文本1"/>
    <w:qFormat/>
    <w:basedOn w:val="0"/>
    <w:autoRedefine/>
    <w:pPr>
      <w:adjustRightInd w:val="0"/>
      <w:jc w:val="left"/>
      <w:textAlignment w:val="baseline"/>
    </w:pPr>
    <w:rPr>
      <w:rFonts w:ascii="宋体"/>
      <w:kern w:val="0"/>
      <w:sz w:val="20"/>
      <w:szCs w:val="20"/>
    </w:rPr>
  </w:style>
  <w:style w:type="paragraph" w:customStyle="1" w:yozoId="4094" w:styleId="61">
    <w:name w:val="Default"/>
    <w:qFormat/>
    <w:basedOn w:val="60"/>
    <w:autoRedefine/>
    <w:next w:val="0"/>
    <w:pPr>
      <w:widowControl w:val="0"/>
      <w:autoSpaceDE w:val="0"/>
      <w:autoSpaceDN w:val="0"/>
      <w:adjustRightInd w:val="0"/>
    </w:pPr>
    <w:rPr>
      <w:rFonts w:ascii="黑体" w:eastAsia="黑体" w:cs="黑体" w:hAnsi="Times New Roman"/>
      <w:color w:val="000000"/>
      <w:sz w:val="24"/>
      <w:szCs w:val="24"/>
      <w:lang w:val="en-US" w:eastAsia="zh-CN" w:bidi="ar-SA"/>
    </w:rPr>
  </w:style>
  <w:style w:type="paragraph" w:customStyle="1" w:yozoId="4094" w:styleId="62">
    <w:name w:val="表格内容"/>
    <w:qFormat/>
    <w:basedOn w:val="50"/>
    <w:autoRedefine/>
    <w:pPr>
      <w:spacing w:after="0" w:line="240" w:lineRule="auto"/>
      <w:ind w:left="0" w:firstLineChars="0" w:firstLine="0"/>
      <w:jc w:val="center"/>
    </w:pPr>
    <w:rPr>
      <w:color w:val="000000"/>
      <w:szCs w:val="21"/>
    </w:rPr>
  </w:style>
  <w:style w:type="paragraph" w:customStyle="1" w:yozoId="4094" w:styleId="63">
    <w:name w:val="表头"/>
    <w:qFormat/>
    <w:basedOn w:val="0"/>
    <w:autoRedefine/>
    <w:pPr>
      <w:keepNext/>
      <w:adjustRightInd w:val="0"/>
      <w:snapToGrid w:val="0"/>
      <w:spacing w:line="480" w:lineRule="exact"/>
      <w:jc w:val="center"/>
    </w:pPr>
    <w:rPr>
      <w:b/>
      <w:sz w:val="24"/>
      <w:szCs w:val="21"/>
    </w:rPr>
  </w:style>
  <w:style w:type="character" w:customStyle="1" w:yozoId="4094" w:styleId="64">
    <w:name w:val="fontstyle01"/>
    <w:qFormat/>
    <w:autoRedefine/>
    <w:rPr>
      <w:rFonts w:ascii="宋体" w:eastAsia="宋体" w:hAnsi="宋体"/>
      <w:color w:val="000000"/>
      <w:sz w:val="24"/>
      <w:szCs w:val="24"/>
    </w:rPr>
  </w:style>
  <w:style w:type="paragraph" w:customStyle="1" w:yozoId="4094" w:styleId="65">
    <w:name w:val="表格2"/>
    <w:qFormat/>
    <w:basedOn w:val="0"/>
    <w:autoRedefine/>
    <w:pPr>
      <w:spacing w:line="320" w:lineRule="exact"/>
      <w:jc w:val="center"/>
    </w:pPr>
    <w:rPr>
      <w:sz w:val="24"/>
      <w:szCs w:val="28"/>
    </w:rPr>
  </w:style>
  <w:style w:type="paragraph" w:customStyle="1" w:yozoId="4094" w:styleId="66">
    <w:name w:val="1表格文字"/>
    <w:qFormat/>
    <w:basedOn w:val="65"/>
    <w:autoRedefine/>
    <w:next w:val="0"/>
    <w:pPr>
      <w:tabs>
        <w:tab w:val="left" w:pos="0"/>
        <w:tab w:val="left" w:pos="360"/>
        <w:tab w:val="left" w:pos="900"/>
      </w:tabs>
      <w:topLinePunct/>
      <w:autoSpaceDE w:val="0"/>
      <w:autoSpaceDN w:val="0"/>
      <w:adjustRightInd w:val="0"/>
      <w:snapToGrid w:val="0"/>
      <w:spacing w:line="240" w:lineRule="auto"/>
      <w:textAlignment w:val="baseline"/>
    </w:pPr>
    <w:rPr>
      <w:bCs/>
      <w:spacing w:val="-12"/>
      <w:kern w:val="0"/>
      <w:sz w:val="21"/>
      <w:szCs w:val="20"/>
    </w:rPr>
  </w:style>
  <w:style w:type="paragraph" w:customStyle="1" w:yozoId="4094" w:styleId="67">
    <w:name w:val="样式 正文文本 + 首行缩进:  2 字符"/>
    <w:qFormat/>
    <w:basedOn w:val="23"/>
    <w:autoRedefine/>
    <w:pPr>
      <w:spacing w:line="480" w:lineRule="exact"/>
      <w:ind w:firstLineChars="200" w:firstLine="200"/>
    </w:pPr>
    <w:rPr>
      <w:rFonts w:ascii="宋体" w:eastAsia="宋体" w:cs="宋体" w:hAnsi="宋体"/>
      <w:sz w:val="21"/>
    </w:rPr>
  </w:style>
  <w:style w:type="paragraph" w:customStyle="1" w:yozoId="4094" w:styleId="68">
    <w:name w:val="正文段落"/>
    <w:qFormat/>
    <w:basedOn w:val="23"/>
    <w:autoRedefine/>
    <w:pPr>
      <w:overflowPunct w:val="0"/>
      <w:adjustRightInd w:val="0"/>
      <w:snapToGrid w:val="0"/>
      <w:spacing w:after="0"/>
      <w:ind w:firstLineChars="200" w:firstLine="200"/>
      <w:textAlignment w:val="center"/>
    </w:pPr>
    <w:rPr>
      <w:rFonts w:hAnsi="宋体"/>
      <w:kern w:val="2"/>
      <w:sz w:val="28"/>
      <w:szCs w:val="20"/>
    </w:rPr>
  </w:style>
  <w:style w:type="paragraph" w:customStyle="1" w:yozoId="4094" w:styleId="69">
    <w:name w:val="Char Char Char Char Char Char Char Char Char1 Char"/>
    <w:qFormat/>
    <w:basedOn w:val="0"/>
    <w:autoRedefine/>
    <w:next w:val="70"/>
    <w:pPr>
      <w:widowControl w:val="0"/>
      <w:spacing w:line="360" w:lineRule="auto"/>
      <w:ind w:firstLineChars="200" w:firstLine="200"/>
      <w:jc w:val="both"/>
    </w:pPr>
    <w:rPr>
      <w:kern w:val="2"/>
    </w:rPr>
  </w:style>
  <w:style w:type="paragraph" w:customStyle="1" w:yozoId="4094" w:styleId="70">
    <w:name w:val="Body Text First Indent1"/>
    <w:qFormat/>
    <w:autoRedefine/>
    <w:next w:val="0"/>
    <w:pPr>
      <w:widowControl w:val="0"/>
      <w:spacing w:after="120"/>
      <w:ind w:firstLine="420"/>
      <w:jc w:val="both"/>
    </w:pPr>
    <w:rPr>
      <w:rFonts w:ascii="Times New Roman" w:eastAsia="宋体" w:cs="Times New Roman" w:hAnsi="Times New Roman"/>
      <w:sz w:val="21"/>
      <w:szCs w:val="22"/>
      <w:lang w:val="en-US" w:eastAsia="zh-CN" w:bidi="ar-SA"/>
    </w:rPr>
  </w:style>
  <w:style w:type="character" w:customStyle="1" w:yozoId="4094" w:styleId="71">
    <w:name w:val="纯文本 Char1"/>
    <w:qFormat/>
    <w:autoRedefine/>
    <w:rPr>
      <w:rFonts w:ascii="宋体" w:hAnsi="Courier New"/>
      <w:kern w:val="2"/>
      <w:sz w:val="21"/>
    </w:rPr>
  </w:style>
  <w:style w:type="character" w:customStyle="1" w:yozoId="4094" w:styleId="72">
    <w:name w:val="apple-converted-space"/>
    <w:qFormat/>
    <w:basedOn w:val="10"/>
    <w:autoRedefine/>
  </w:style>
  <w:style w:type="paragraph" w:customStyle="1" w:yozoId="4094" w:styleId="73">
    <w:name w:val="样式 样式 样式 正文@ + 首行缩进:  2 字符 + 首行缩进:  2 字符 + 行距: 多倍行距 1.3 字行"/>
    <w:qFormat/>
    <w:basedOn w:val="0"/>
    <w:autoRedefine/>
    <w:pPr>
      <w:spacing w:line="312" w:lineRule="auto"/>
      <w:ind w:firstLineChars="200" w:firstLine="200"/>
    </w:pPr>
    <w:rPr>
      <w:rFonts w:ascii="宋体" w:cs="宋体" w:hAnsi="宋体"/>
      <w:sz w:val="24"/>
    </w:rPr>
  </w:style>
  <w:style w:type="character" w:customStyle="1" w:yozoId="4094" w:styleId="74">
    <w:name w:val="t1"/>
    <w:qFormat/>
    <w:autoRedefine/>
    <w:rPr>
      <w:sz w:val="18"/>
      <w:szCs w:val="18"/>
    </w:rPr>
  </w:style>
  <w:style w:type="paragraph" w:customStyle="1" w:yozoId="4094" w:styleId="75">
    <w:name w:val="表内容@"/>
    <w:qFormat/>
    <w:basedOn w:val="0"/>
    <w:autoRedefine/>
    <w:pPr>
      <w:spacing w:line="0" w:lineRule="atLeast"/>
      <w:jc w:val="center"/>
    </w:pPr>
    <w:rPr>
      <w:rFonts w:ascii="宋体" w:cs="宋体" w:hAnsi="宋体"/>
      <w:sz w:val="24"/>
    </w:rPr>
  </w:style>
  <w:style w:type="paragraph" w:customStyle="1" w:yozoId="4094" w:styleId="76">
    <w:name w:val="样式 表内容@ + 小四"/>
    <w:qFormat/>
    <w:basedOn w:val="75"/>
    <w:autoRedefine/>
  </w:style>
  <w:style w:type="character" w:customStyle="1" w:yozoId="4094" w:styleId="77">
    <w:name w:val="ask-title"/>
    <w:qFormat/>
    <w:basedOn w:val="10"/>
    <w:autoRedefine/>
  </w:style>
  <w:style w:type="paragraph" w:customStyle="1" w:yozoId="4094" w:styleId="78">
    <w:name w:val="样式 样式 样式 样式 正文 + 首行缩进:  2 字符 + 首行缩进:  2 字符 + 首行缩进:  2 字符 +"/>
    <w:qFormat/>
    <w:basedOn w:val="0"/>
    <w:autoRedefine/>
    <w:pPr>
      <w:ind w:firstLineChars="200" w:firstLine="200"/>
    </w:pPr>
    <w:rPr>
      <w:rFonts w:ascii="宋体" w:cs="宋体" w:hAnsi="宋体"/>
      <w:kern w:val="0"/>
      <w:sz w:val="24"/>
    </w:rPr>
  </w:style>
  <w:style w:type="paragraph" w:customStyle="1" w:yozoId="4094" w:styleId="79">
    <w:name w:val="样式 样式 正文@ + 首行缩进:  2 字符 字距调整小四 紧缩量  0.2 磅 + 首行缩进:  2 字符"/>
    <w:qFormat/>
    <w:basedOn w:val="0"/>
    <w:autoRedefine/>
    <w:pPr>
      <w:spacing w:line="360" w:lineRule="auto"/>
      <w:ind w:firstLineChars="200" w:firstLine="200"/>
    </w:pPr>
    <w:rPr>
      <w:rFonts w:ascii="宋体" w:cs="宋体" w:hAnsi="宋体"/>
      <w:kern w:val="24"/>
      <w:sz w:val="24"/>
      <w:szCs w:val="24"/>
    </w:rPr>
  </w:style>
  <w:style w:type="character" w:customStyle="1" w:yozoId="4094" w:styleId="80">
    <w:name w:val="style29"/>
    <w:qFormat/>
    <w:basedOn w:val="10"/>
    <w:autoRedefine/>
  </w:style>
  <w:style w:type="paragraph" w:customStyle="1" w:yozoId="4094" w:styleId="81">
    <w:name w:val="样式 样式 样式 正文@ + 首行缩进:  2 字符 字距调整小四 紧缩量  0.2 磅 + 首行缩进:  2 字符 + 首行缩..."/>
    <w:qFormat/>
    <w:basedOn w:val="79"/>
    <w:autoRedefine/>
    <w:rPr>
      <w:szCs w:val="20"/>
    </w:rPr>
  </w:style>
  <w:style w:type="paragraph" w:customStyle="1" w:yozoId="4094" w:styleId="82">
    <w:name w:val="样式 样式 样式 样式 正文@ + 首行缩进:  2 字符 字距调整小四 紧缩量  0.2 磅 + 首行缩进:  2 字符 + ...1"/>
    <w:qFormat/>
    <w:basedOn w:val="81"/>
    <w:autoRedefine/>
    <w:pPr>
      <w:spacing w:line="312" w:lineRule="auto"/>
    </w:pPr>
    <w:rPr>
      <w:kern w:val="0"/>
    </w:rPr>
  </w:style>
  <w:style w:type="character" w:customStyle="1" w:yozoId="4094" w:styleId="83">
    <w:name w:val="headline-content2"/>
    <w:qFormat/>
    <w:basedOn w:val="10"/>
    <w:autoRedefine/>
  </w:style>
  <w:style w:type="paragraph" w:customStyle="1" w:yozoId="4094" w:styleId="84">
    <w:name w:val="样式 表内容 +1"/>
    <w:qFormat/>
    <w:basedOn w:val="0"/>
    <w:autoRedefine/>
    <w:pPr>
      <w:adjustRightInd w:val="0"/>
      <w:spacing w:line="0" w:lineRule="atLeast"/>
      <w:jc w:val="center"/>
    </w:pPr>
    <w:rPr>
      <w:rFonts w:ascii="宋体" w:cs="Arial" w:hAnsi="宋体"/>
      <w:kern w:val="0"/>
      <w:sz w:val="18"/>
      <w:szCs w:val="18"/>
    </w:rPr>
  </w:style>
  <w:style w:type="paragraph" w:customStyle="1" w:yozoId="4094" w:styleId="85">
    <w:name w:val="样式 样式 样式 正文@ + 首行缩进:  2 字符 字距调整小四 紧缩量  0.2 磅 + 首行缩进:  2 字符 + 加宽量..."/>
    <w:qFormat/>
    <w:basedOn w:val="0"/>
    <w:autoRedefine/>
    <w:pPr>
      <w:spacing w:line="360" w:lineRule="auto"/>
      <w:ind w:firstLineChars="200" w:firstLine="200"/>
    </w:pPr>
    <w:rPr>
      <w:rFonts w:ascii="宋体" w:cs="宋体" w:hAnsi="宋体"/>
      <w:spacing w:val="4"/>
      <w:kern w:val="24"/>
      <w:sz w:val="24"/>
      <w:szCs w:val="24"/>
    </w:rPr>
  </w:style>
  <w:style w:type="paragraph" w:customStyle="1" w:yozoId="4094" w:styleId="86">
    <w:name w:val="样式 宋体 首行缩进:  2 字符 段前: 2.5 磅 段后: 2.5 磅 行距: 1.5 倍行距"/>
    <w:qFormat/>
    <w:basedOn w:val="0"/>
    <w:autoRedefine/>
    <w:pPr>
      <w:spacing w:line="360" w:lineRule="auto"/>
    </w:pPr>
    <w:rPr>
      <w:rFonts w:ascii="宋体" w:cs="宋体" w:hAnsi="宋体"/>
    </w:rPr>
  </w:style>
  <w:style w:type="paragraph" w:customStyle="1" w:yozoId="4094" w:styleId="87">
    <w:name w:val="正文@"/>
    <w:qFormat/>
    <w:basedOn w:val="86"/>
    <w:autoRedefine/>
    <w:pPr>
      <w:ind w:firstLineChars="200" w:firstLine="200"/>
      <w:jc w:val="left"/>
    </w:pPr>
    <w:rPr>
      <w:color w:val="000000"/>
      <w:sz w:val="24"/>
    </w:rPr>
  </w:style>
  <w:style w:type="paragraph" w:customStyle="1" w:yozoId="4094" w:styleId="88">
    <w:name w:val="样式 正文@ + 首行缩进:  2 字符"/>
    <w:qFormat/>
    <w:basedOn w:val="87"/>
    <w:autoRedefine/>
  </w:style>
  <w:style w:type="paragraph" w:customStyle="1" w:yozoId="4094" w:styleId="89">
    <w:name w:val="样式 样式 样式 正文@ + 首行缩进:  2 字符 字距调整小四 紧缩量  0.2 磅 + 首行缩进:  2 字符 +"/>
    <w:qFormat/>
    <w:basedOn w:val="0"/>
    <w:autoRedefine/>
    <w:pPr>
      <w:spacing w:line="360" w:lineRule="auto"/>
      <w:ind w:firstLineChars="200" w:firstLine="200"/>
    </w:pPr>
    <w:rPr>
      <w:rFonts w:ascii="宋体" w:cs="宋体" w:hAnsi="宋体"/>
      <w:kern w:val="0"/>
      <w:sz w:val="24"/>
      <w:szCs w:val="24"/>
    </w:rPr>
  </w:style>
  <w:style w:type="character" w:customStyle="1" w:yozoId="4094" w:styleId="90">
    <w:name w:val="Char Char1"/>
    <w:qFormat/>
    <w:autoRedefine/>
    <w:rPr>
      <w:rFonts w:ascii="宋体" w:eastAsia="宋体" w:cs="Arial" w:hAnsi="宋体"/>
      <w:snapToGrid w:val="0"/>
      <w:kern w:val="2"/>
      <w:sz w:val="21"/>
      <w:szCs w:val="24"/>
      <w:lang w:val="en-US" w:eastAsia="zh-CN" w:bidi="ar-SA"/>
    </w:rPr>
  </w:style>
  <w:style w:type="paragraph" w:customStyle="1" w:yozoId="4094" w:styleId="91">
    <w:name w:val="样式 样式 样式 样式 样式 正文@ + 首行缩进:  2 字符 字距调整小四 紧缩量  0.2 磅 + 首行缩进:  2 字符..."/>
    <w:qFormat/>
    <w:basedOn w:val="82"/>
    <w:autoRedefine/>
    <w:pPr>
      <w:spacing w:line="360" w:lineRule="auto"/>
    </w:pPr>
  </w:style>
  <w:style w:type="paragraph" w:customStyle="1" w:yozoId="4094" w:styleId="92">
    <w:name w:val="样式 正文@ + 黑色 图案: 清除 (白色)"/>
    <w:qFormat/>
    <w:basedOn w:val="0"/>
    <w:autoRedefine/>
    <w:pPr>
      <w:spacing w:line="360" w:lineRule="auto"/>
      <w:ind w:firstLineChars="200" w:firstLine="200"/>
    </w:pPr>
    <w:rPr>
      <w:rFonts w:ascii="宋体" w:cs="宋体" w:hAnsi="宋体"/>
      <w:color w:val="000000"/>
      <w:sz w:val="24"/>
      <w:shd w:val="clear" w:color="auto" w:fill="FFFFFF"/>
    </w:rPr>
  </w:style>
  <w:style w:type="paragraph" w:customStyle="1" w:yozoId="4094" w:styleId="93">
    <w:name w:val="表头@"/>
    <w:qFormat/>
    <w:basedOn w:val="0"/>
    <w:autoRedefine/>
    <w:pPr>
      <w:jc w:val="center"/>
    </w:pPr>
    <w:rPr>
      <w:rFonts w:ascii="宋体" w:cs="宋体" w:hAnsi="宋体"/>
    </w:rPr>
  </w:style>
  <w:style w:type="paragraph" w:customStyle="1" w:yozoId="4094" w:styleId="94">
    <w:name w:val="样式 样式 正文@ + 首行缩进:  2 字符 + 首行缩进:  2 字符"/>
    <w:qFormat/>
    <w:basedOn w:val="88"/>
    <w:autoRedefine/>
  </w:style>
  <w:style w:type="paragraph" w:customStyle="1" w:yozoId="4094" w:styleId="95">
    <w:name w:val="样式11"/>
    <w:qFormat/>
    <w:basedOn w:val="94"/>
    <w:autoRedefine/>
  </w:style>
  <w:style w:type="paragraph" w:customStyle="1" w:yozoId="4094" w:styleId="96">
    <w:name w:val="段落"/>
    <w:qFormat/>
    <w:basedOn w:val="0"/>
    <w:autoRedefine/>
    <w:pPr>
      <w:topLinePunct/>
      <w:ind w:firstLineChars="200" w:firstLine="200"/>
      <w:jc w:val="left"/>
    </w:pPr>
    <w:rPr>
      <w:kern w:val="0"/>
      <w:sz w:val="24"/>
      <w:szCs w:val="24"/>
      <w:lang w:val="zh-CN"/>
    </w:rPr>
  </w:style>
  <w:style w:type="paragraph" w:customStyle="1" w:yozoId="4094" w:styleId="97">
    <w:name w:val="样式 表内容@ + 行距: 最小值 0 磅"/>
    <w:qFormat/>
    <w:basedOn w:val="75"/>
    <w:autoRedefine/>
    <w:pPr>
      <w:adjustRightInd w:val="0"/>
    </w:pPr>
  </w:style>
  <w:style w:type="paragraph" w:customStyle="1" w:yozoId="4094" w:styleId="98">
    <w:name w:val="样式 样式 首行缩进:  2 字符 + 首行缩进:  2 字符"/>
    <w:qFormat/>
    <w:basedOn w:val="0"/>
    <w:autoRedefine/>
    <w:pPr>
      <w:spacing w:line="360" w:lineRule="auto"/>
      <w:ind w:firstLineChars="200" w:firstLine="200"/>
    </w:pPr>
    <w:rPr>
      <w:rFonts w:ascii="宋体" w:cs="宋体" w:hAnsi="宋体"/>
      <w:sz w:val="24"/>
    </w:rPr>
  </w:style>
  <w:style w:type="character" w:customStyle="1" w:yozoId="4094" w:styleId="99">
    <w:name w:val="正文（首行缩进两字） Char Char Char Char1"/>
    <w:qFormat/>
    <w:autoRedefine/>
    <w:rPr>
      <w:rFonts w:ascii="Arial" w:eastAsia="宋体" w:hAnsi="Arial"/>
      <w:kern w:val="2"/>
      <w:sz w:val="24"/>
      <w:szCs w:val="24"/>
      <w:lang w:val="en-US" w:eastAsia="zh-CN" w:bidi="ar-SA"/>
    </w:rPr>
  </w:style>
  <w:style w:type="paragraph" w:customStyle="1" w:yozoId="4094" w:styleId="100">
    <w:name w:val="样式 样式 样式 正文 + 首行缩进:  2 字符 + 首行缩进:  2 字符 + 首行缩进:  2 字符"/>
    <w:qFormat/>
    <w:basedOn w:val="0"/>
    <w:autoRedefine/>
    <w:pPr>
      <w:ind w:firstLineChars="200" w:firstLine="200"/>
    </w:pPr>
    <w:rPr>
      <w:rFonts w:ascii="宋体" w:cs="宋体" w:hAnsi="宋体"/>
      <w:sz w:val="24"/>
    </w:rPr>
  </w:style>
  <w:style w:type="paragraph" w:customStyle="1" w:yozoId="4094" w:styleId="101">
    <w:name w:val="表格"/>
    <w:qFormat/>
    <w:basedOn w:val="37"/>
    <w:autoRedefine/>
    <w:next w:val="0"/>
    <w:pPr>
      <w:adjustRightInd w:val="0"/>
      <w:snapToGrid w:val="0"/>
      <w:jc w:val="center"/>
      <w:textAlignment w:val="baseline"/>
    </w:pPr>
    <w:rPr>
      <w:kern w:val="0"/>
      <w:sz w:val="21"/>
      <w:szCs w:val="21"/>
    </w:rPr>
  </w:style>
  <w:style w:type="paragraph" w:customStyle="1" w:yozoId="4094" w:styleId="102">
    <w:name w:val="样式 表图头@ + 段前: 0.5 行"/>
    <w:qFormat/>
    <w:basedOn w:val="0"/>
    <w:autoRedefine/>
    <w:pPr>
      <w:adjustRightInd w:val="0"/>
      <w:jc w:val="center"/>
    </w:pPr>
    <w:rPr>
      <w:rFonts w:ascii="宋体" w:cs="宋体" w:hAnsi="宋体"/>
    </w:rPr>
  </w:style>
  <w:style w:type="paragraph" w:styleId="103">
    <w:name w:val="List Paragraph"/>
    <w:qFormat/>
    <w:basedOn w:val="0"/>
    <w:autoRedefine/>
    <w:pPr>
      <w:ind w:firstLineChars="200" w:firstLine="200"/>
    </w:pPr>
    <w:rPr>
      <w:rFonts w:ascii="Calibri" w:hAnsi="Calibri"/>
      <w:szCs w:val="22"/>
    </w:rPr>
  </w:style>
  <w:style w:type="paragraph" w:customStyle="1" w:yozoId="4094" w:styleId="104">
    <w:name w:val="Table Paragraph"/>
    <w:qFormat/>
    <w:basedOn w:val="0"/>
    <w:autoRedefine/>
    <w:pPr>
      <w:widowControl/>
      <w:jc w:val="left"/>
    </w:pPr>
    <w:rPr>
      <w:kern w:val="0"/>
    </w:rPr>
  </w:style>
  <w:style w:type="paragraph" w:customStyle="1" w:yozoId="4094" w:styleId="105">
    <w:name w:val="表头1号"/>
    <w:qFormat/>
    <w:basedOn w:val="0"/>
    <w:autoRedefine/>
    <w:pPr>
      <w:keepNext/>
      <w:widowControl/>
      <w:jc w:val="center"/>
    </w:pPr>
    <w:rPr>
      <w:b/>
      <w:sz w:val="24"/>
    </w:rPr>
  </w:style>
  <w:style w:type="paragraph" w:customStyle="1" w:yozoId="4094" w:styleId="106">
    <w:name w:val="Char1 Char Char Char Char Char Char Char Char Char Char Char Char Char Char Char Char"/>
    <w:qFormat/>
    <w:basedOn w:val="3"/>
    <w:autoRedefine/>
    <w:pPr>
      <w:keepNext/>
      <w:keepLines/>
      <w:widowControl w:val="0"/>
      <w:tabs>
        <w:tab w:val="left" w:pos="360"/>
        <w:tab w:val="left" w:pos="900"/>
      </w:tabs>
      <w:snapToGrid w:val="0"/>
      <w:spacing w:before="120" w:after="120" w:line="360" w:lineRule="auto"/>
      <w:ind w:leftChars="-12" w:left="-12" w:firstLineChars="200" w:firstLine="200"/>
    </w:pPr>
    <w:rPr>
      <w:rFonts w:eastAsia="黑体"/>
      <w:b w:val="0"/>
      <w:snapToGrid w:val="0"/>
      <w:kern w:val="2"/>
      <w:sz w:val="24"/>
      <w:szCs w:val="24"/>
    </w:rPr>
  </w:style>
  <w:style w:type="paragraph" w:customStyle="1" w:yozoId="4094" w:styleId="107">
    <w:name w:val="Char"/>
    <w:qFormat/>
    <w:basedOn w:val="15"/>
    <w:autoRedefine/>
    <w:pPr>
      <w:keepNext/>
      <w:adjustRightInd w:val="0"/>
      <w:snapToGrid w:val="0"/>
      <w:spacing w:line="500" w:lineRule="exact"/>
      <w:ind w:firstLineChars="200" w:firstLine="200"/>
    </w:pPr>
    <w:rPr>
      <w:rFonts w:ascii="Verdana" w:eastAsia="仿宋_GB2312" w:hAnsi="Verdana"/>
      <w:color w:val="000000"/>
      <w:spacing w:val="8"/>
      <w:kern w:val="0"/>
      <w:sz w:val="28"/>
    </w:rPr>
  </w:style>
  <w:style w:type="paragraph" w:customStyle="1" w:yozoId="4094" w:styleId="108">
    <w:name w:val="样式 样式 标题 2标题2，@ + 段前: 0.5 行 段后: 0.5 行 + 段前: 0.5 行 段后: 0.5 行"/>
    <w:qFormat/>
    <w:basedOn w:val="0"/>
    <w:autoRedefine/>
    <w:pPr>
      <w:numPr>
        <w:ilvl w:val="1"/>
        <w:numId w:val="4"/>
      </w:numPr>
      <w:spacing w:beforeLines="50" w:before="50" w:afterLines="50" w:after="50" w:line="360" w:lineRule="auto"/>
      <w:outlineLvl w:val="1"/>
    </w:pPr>
    <w:rPr>
      <w:rFonts w:ascii="宋体" w:cs="宋体" w:hAnsi="宋体"/>
      <w:b/>
      <w:bCs/>
      <w:sz w:val="24"/>
    </w:rPr>
  </w:style>
  <w:style w:type="paragraph" w:customStyle="1" w:yozoId="4094" w:styleId="109">
    <w:name w:val="12二级标题"/>
    <w:qFormat/>
    <w:autoRedefine/>
    <w:next w:val="110"/>
    <w:pPr>
      <w:spacing w:line="360" w:lineRule="auto"/>
      <w:jc w:val="both"/>
      <w:outlineLvl w:val="1"/>
    </w:pPr>
    <w:rPr>
      <w:rFonts w:ascii="Times New Roman" w:eastAsia="黑体" w:cs="宋体" w:hAnsi="Times New Roman"/>
      <w:kern w:val="2"/>
      <w:sz w:val="30"/>
      <w:szCs w:val="20"/>
      <w:lang w:val="en-US" w:eastAsia="zh-CN" w:bidi="ar-SA"/>
    </w:rPr>
  </w:style>
  <w:style w:type="paragraph" w:customStyle="1" w:yozoId="4094" w:styleId="110">
    <w:name w:val="15正文"/>
    <w:qFormat/>
    <w:autoRedefine/>
    <w:pPr>
      <w:spacing w:line="360" w:lineRule="auto"/>
      <w:ind w:firstLineChars="200" w:firstLine="200"/>
    </w:pPr>
    <w:rPr>
      <w:rFonts w:ascii="Times New Roman" w:eastAsia="宋体" w:cs="仿宋_GB2312" w:hAnsi="Times New Roman"/>
      <w:kern w:val="2"/>
      <w:sz w:val="24"/>
      <w:szCs w:val="24"/>
      <w:lang w:val="en-US" w:eastAsia="zh-CN" w:bidi="ar-SA"/>
    </w:rPr>
  </w:style>
  <w:style w:type="paragraph" w:customStyle="1" w:yozoId="4094" w:styleId="111">
    <w:name w:val="样式 标题 1@1.标题 1H1Chapter Headline章chap标题 章Charb1章节标题MB..."/>
    <w:qFormat/>
    <w:basedOn w:val="1"/>
    <w:autoRedefine/>
    <w:pPr>
      <w:numPr>
        <w:ilvl w:val="0"/>
        <w:numId w:val="4"/>
      </w:numPr>
      <w:spacing w:beforeLines="50" w:before="50" w:afterLines="50" w:after="50" w:line="360" w:lineRule="auto"/>
    </w:pPr>
    <w:rPr>
      <w:rFonts w:ascii="宋体" w:cs="宋体" w:hAnsi="宋体"/>
      <w:kern w:val="2"/>
      <w:szCs w:val="20"/>
    </w:rPr>
  </w:style>
  <w:style w:type="paragraph" w:customStyle="1" w:yozoId="4094" w:styleId="112">
    <w:name w:val="_Style 2"/>
    <w:qFormat/>
    <w:basedOn w:val="0"/>
    <w:autoRedefine/>
    <w:pPr>
      <w:ind w:firstLineChars="200" w:firstLine="200"/>
    </w:pPr>
  </w:style>
  <w:style w:type="paragraph" w:customStyle="1" w:yozoId="4094" w:styleId="113">
    <w:name w:val="Char Char5 Char Char Char Char Char Char Char Char Char Char Char Char Char Char Char1"/>
    <w:qFormat/>
    <w:basedOn w:val="3"/>
    <w:autoRedefine/>
    <w:pPr>
      <w:keepNext/>
      <w:keepLines/>
      <w:widowControl w:val="0"/>
      <w:tabs>
        <w:tab w:val="left" w:pos="360"/>
        <w:tab w:val="left" w:pos="900"/>
      </w:tabs>
      <w:snapToGrid w:val="0"/>
      <w:spacing w:before="120" w:after="120" w:line="360" w:lineRule="auto"/>
      <w:ind w:leftChars="-12" w:left="-12" w:firstLineChars="200" w:firstLine="200"/>
    </w:pPr>
    <w:rPr>
      <w:rFonts w:eastAsia="黑体"/>
      <w:b w:val="0"/>
      <w:snapToGrid w:val="0"/>
      <w:kern w:val="2"/>
      <w:sz w:val="24"/>
      <w:szCs w:val="24"/>
    </w:rPr>
  </w:style>
  <w:style w:type="paragraph" w:customStyle="1" w:yozoId="4094" w:styleId="114">
    <w:name w:val="段落1"/>
    <w:qFormat/>
    <w:basedOn w:val="50"/>
    <w:autoRedefine/>
    <w:rPr>
      <w:rFonts w:ascii="Calibri" w:hAnsi="Calibri"/>
    </w:rPr>
  </w:style>
  <w:style w:type="paragraph" w:customStyle="1" w:yozoId="4094" w:styleId="115">
    <w:name w:val="Char1"/>
    <w:qFormat/>
    <w:basedOn w:val="15"/>
    <w:autoRedefine/>
    <w:pPr>
      <w:keepNext/>
      <w:adjustRightInd w:val="0"/>
      <w:snapToGrid w:val="0"/>
      <w:spacing w:line="500" w:lineRule="exact"/>
      <w:ind w:firstLineChars="200" w:firstLine="200"/>
    </w:pPr>
    <w:rPr>
      <w:rFonts w:ascii="Verdana" w:eastAsia="仿宋_GB2312" w:hAnsi="Verdana"/>
      <w:color w:val="000000"/>
      <w:spacing w:val="8"/>
      <w:kern w:val="0"/>
      <w:sz w:val="28"/>
    </w:rPr>
  </w:style>
  <w:style w:type="paragraph" w:customStyle="1" w:yozoId="4094" w:styleId="116">
    <w:name w:val="_Style 23"/>
    <w:qFormat/>
    <w:basedOn w:val="0"/>
    <w:autoRedefine/>
    <w:next w:val="15"/>
    <w:pPr>
      <w:ind w:firstLine="420"/>
    </w:pPr>
  </w:style>
  <w:style w:type="paragraph" w:customStyle="1" w:yozoId="4094" w:styleId="117">
    <w:name w:val="Lee正文"/>
    <w:qFormat/>
    <w:basedOn w:val="0"/>
    <w:autoRedefine/>
    <w:next w:val="49"/>
    <w:pPr>
      <w:adjustRightInd w:val="0"/>
      <w:snapToGrid w:val="0"/>
      <w:spacing w:line="480" w:lineRule="exact"/>
      <w:ind w:firstLineChars="200" w:firstLine="200"/>
    </w:pPr>
    <w:rPr>
      <w:kern w:val="0"/>
      <w:sz w:val="24"/>
      <w:szCs w:val="22"/>
    </w:rPr>
  </w:style>
  <w:style w:type="paragraph" w:customStyle="1" w:yozoId="4094" w:styleId="118">
    <w:name w:val="z报告书正文  小四1.5倍"/>
    <w:qFormat/>
    <w:basedOn w:val="0"/>
    <w:autoRedefine/>
    <w:pPr>
      <w:spacing w:line="360" w:lineRule="auto"/>
      <w:ind w:firstLineChars="200" w:firstLine="200"/>
    </w:pPr>
    <w:rPr>
      <w:sz w:val="24"/>
      <w:szCs w:val="21"/>
      <w:lang w:val="zh-CN"/>
    </w:rPr>
  </w:style>
  <w:style w:type="paragraph" w:customStyle="1" w:yozoId="4094" w:styleId="119">
    <w:name w:val="（一）"/>
    <w:qFormat/>
    <w:basedOn w:val="0"/>
    <w:autoRedefine/>
    <w:pPr>
      <w:spacing w:line="460" w:lineRule="exact"/>
    </w:pPr>
    <w:rPr>
      <w:sz w:val="24"/>
    </w:rPr>
  </w:style>
  <w:style w:type="paragraph" w:customStyle="1" w:yozoId="4094" w:styleId="120">
    <w:name w:val="1.1"/>
    <w:qFormat/>
    <w:basedOn w:val="0"/>
    <w:autoRedefine/>
    <w:rPr>
      <w:rFonts w:ascii="黑体" w:hAnsi="黑体"/>
      <w:sz w:val="30"/>
    </w:rPr>
  </w:style>
  <w:style w:type="paragraph" w:customStyle="1" w:yozoId="4094" w:styleId="121">
    <w:name w:val="表"/>
    <w:qFormat/>
    <w:basedOn w:val="120"/>
    <w:autoRedefine/>
    <w:pPr>
      <w:keepNext/>
      <w:keepLines/>
      <w:autoSpaceDE w:val="0"/>
      <w:autoSpaceDN w:val="0"/>
      <w:adjustRightInd w:val="0"/>
      <w:spacing w:line="240" w:lineRule="exact"/>
      <w:jc w:val="center"/>
    </w:pPr>
    <w:rPr>
      <w:snapToGrid w:val="0"/>
      <w:w w:val="80"/>
      <w:kern w:val="0"/>
      <w:szCs w:val="21"/>
    </w:rPr>
  </w:style>
  <w:style w:type="paragraph" w:customStyle="1" w:yozoId="4094" w:styleId="122">
    <w:name w:val="标题4"/>
    <w:qFormat/>
    <w:basedOn w:val="0"/>
    <w:autoRedefine/>
    <w:pPr>
      <w:spacing w:line="480" w:lineRule="exact"/>
      <w:ind w:firstLineChars="200" w:firstLine="200"/>
      <w:jc w:val="left"/>
    </w:pPr>
    <w:rPr>
      <w:rFonts w:ascii="Calibri" w:cs="Calibri" w:hAnsi="Calibri"/>
      <w:b/>
      <w:bCs/>
      <w:sz w:val="24"/>
      <w:szCs w:val="24"/>
    </w:rPr>
  </w:style>
  <w:style w:type="paragraph" w:customStyle="1" w:yozoId="4094" w:styleId="123">
    <w:name w:val="内容11"/>
    <w:qFormat/>
    <w:basedOn w:val="28"/>
    <w:autoRedefine/>
    <w:pPr>
      <w:adjustRightInd w:val="0"/>
      <w:spacing w:line="360" w:lineRule="auto"/>
      <w:ind w:rightChars="-44" w:right="-44" w:firstLineChars="179" w:firstLine="179"/>
      <w:textAlignment w:val="baseline"/>
    </w:pPr>
    <w:rPr>
      <w:rFonts w:cs="宋体" w:hAnsi="宋体"/>
      <w:spacing w:val="-4"/>
      <w:position w:val="6"/>
      <w:sz w:val="24"/>
      <w:szCs w:val="24"/>
    </w:rPr>
  </w:style>
  <w:style w:type="paragraph" w:customStyle="1" w:yozoId="4094" w:styleId="124">
    <w:name w:val="Char2 Char Char Char Char Char Char Char Char Char Char Char Char Char Char Char Char Char Char Char Char Char Char Char Char Char Char Char Char"/>
    <w:qFormat/>
    <w:basedOn w:val="3"/>
    <w:autoRedefine/>
    <w:pPr>
      <w:keepNext/>
      <w:keepLines/>
      <w:widowControl w:val="0"/>
      <w:tabs>
        <w:tab w:val="left" w:pos="360"/>
        <w:tab w:val="left" w:pos="900"/>
      </w:tabs>
      <w:snapToGrid w:val="0"/>
      <w:spacing w:before="120" w:after="120" w:line="360" w:lineRule="auto"/>
      <w:ind w:leftChars="-12" w:left="-12" w:firstLineChars="200" w:firstLine="200"/>
    </w:pPr>
    <w:rPr>
      <w:rFonts w:eastAsia="黑体"/>
      <w:b w:val="0"/>
      <w:snapToGrid w:val="0"/>
      <w:color w:val="FF0000"/>
      <w:kern w:val="2"/>
      <w:sz w:val="24"/>
      <w:szCs w:val="24"/>
    </w:rPr>
  </w:style>
  <w:style w:type="paragraph" w:customStyle="1" w:yozoId="4094" w:styleId="125">
    <w:name w:val="1"/>
    <w:qFormat/>
    <w:basedOn w:val="0"/>
    <w:autoRedefine/>
    <w:next w:val="0"/>
    <w:pPr>
      <w:snapToGrid w:val="0"/>
      <w:ind w:firstLineChars="200" w:firstLine="200"/>
      <w:jc w:val="center"/>
    </w:pPr>
    <w:rPr>
      <w:rFonts w:ascii="Arial" w:hAnsi="Arial"/>
      <w:sz w:val="24"/>
    </w:rPr>
  </w:style>
  <w:style w:type="paragraph" w:customStyle="1" w:yozoId="4094" w:styleId="126">
    <w:name w:val="w4"/>
    <w:qFormat/>
    <w:basedOn w:val="0"/>
    <w:autoRedefine/>
    <w:pPr>
      <w:adjustRightInd w:val="0"/>
      <w:spacing w:line="360" w:lineRule="auto"/>
      <w:ind w:left="1200" w:firstLine="654"/>
      <w:textAlignment w:val="baseline"/>
    </w:pPr>
    <w:rPr>
      <w:rFonts w:ascii="宋体"/>
      <w:kern w:val="0"/>
      <w:sz w:val="28"/>
    </w:rPr>
  </w:style>
  <w:style w:type="paragraph" w:customStyle="1" w:yozoId="4094" w:styleId="127">
    <w:name w:val="Char2 Char Char Char Char Char Char Char Char Char Char Char Char Char Char Char Char Char Char Char Char Char Char Char Char Char Char Char Char1"/>
    <w:qFormat/>
    <w:basedOn w:val="3"/>
    <w:autoRedefine/>
    <w:pPr>
      <w:keepNext/>
      <w:keepLines/>
      <w:widowControl w:val="0"/>
      <w:tabs>
        <w:tab w:val="left" w:pos="360"/>
        <w:tab w:val="left" w:pos="900"/>
      </w:tabs>
      <w:snapToGrid w:val="0"/>
      <w:spacing w:before="120" w:after="120" w:line="360" w:lineRule="auto"/>
      <w:ind w:leftChars="-12" w:left="-12" w:firstLineChars="200" w:firstLine="200"/>
    </w:pPr>
    <w:rPr>
      <w:rFonts w:eastAsia="黑体"/>
      <w:b w:val="0"/>
      <w:color w:val="FF0000"/>
      <w:kern w:val="2"/>
      <w:sz w:val="24"/>
      <w:szCs w:val="24"/>
    </w:rPr>
  </w:style>
  <w:style w:type="paragraph" w:customStyle="1" w:yozoId="4094" w:styleId="128">
    <w:name w:val="_Style 17"/>
    <w:qFormat/>
    <w:basedOn w:val="0"/>
    <w:autoRedefine/>
    <w:next w:val="15"/>
    <w:pPr>
      <w:widowControl/>
      <w:ind w:firstLine="539"/>
    </w:pPr>
    <w:rPr>
      <w:rFonts w:ascii="Arial" w:hAnsi="Arial"/>
      <w:kern w:val="0"/>
      <w:sz w:val="24"/>
    </w:rPr>
  </w:style>
  <w:style w:type="paragraph" w:customStyle="1" w:yozoId="4094" w:styleId="129">
    <w:name w:val="正文样式"/>
    <w:qFormat/>
    <w:basedOn w:val="0"/>
    <w:autoRedefine/>
    <w:pPr>
      <w:spacing w:line="400" w:lineRule="exact"/>
      <w:ind w:firstLineChars="200" w:firstLine="200"/>
    </w:pPr>
    <w:rPr>
      <w:sz w:val="24"/>
    </w:rPr>
  </w:style>
  <w:style w:type="paragraph" w:customStyle="1" w:yozoId="4094" w:styleId="130">
    <w:name w:val="表格正文"/>
    <w:qFormat/>
    <w:basedOn w:val="15"/>
    <w:autoRedefine/>
    <w:next w:val="0"/>
    <w:rPr>
      <w:spacing w:val="12"/>
      <w:kern w:val="2"/>
    </w:rPr>
  </w:style>
  <w:style w:type="paragraph" w:customStyle="1" w:yozoId="4094" w:styleId="131">
    <w:name w:val="样式 样式 样式 样式 正文@ + 首行缩进:  2 字符 字距调整小四 紧缩量  0.2 磅 + 首行缩进:  2 字符 + ..."/>
    <w:qFormat/>
    <w:basedOn w:val="81"/>
    <w:autoRedefine/>
    <w:pPr>
      <w:ind w:firstLineChars="0" w:firstLine="0"/>
      <w:outlineLvl w:val="0"/>
    </w:pPr>
    <w:rPr>
      <w:rFonts w:ascii="黑体" w:eastAsia="黑体" w:hAnsi="Times New Roman"/>
      <w:kern w:val="2"/>
      <w:sz w:val="28"/>
    </w:rPr>
  </w:style>
  <w:style w:type="paragraph" w:customStyle="1" w:yozoId="4094" w:styleId="132">
    <w:name w:val="表格11"/>
    <w:qFormat/>
    <w:basedOn w:val="121"/>
    <w:autoRedefine/>
    <w:pPr>
      <w:ind w:firstLineChars="200" w:firstLine="200"/>
      <w:jc w:val="left"/>
    </w:pPr>
  </w:style>
  <w:style w:type="character" w:customStyle="1" w:yozoId="4094" w:styleId="133">
    <w:name w:val="font21"/>
    <w:qFormat/>
    <w:autoRedefine/>
    <w:rPr>
      <w:rFonts w:ascii="宋体" w:eastAsia="宋体" w:hAnsi="宋体"/>
      <w:color w:val="000000"/>
      <w:sz w:val="21"/>
      <w:szCs w:val="21"/>
      <w:u w:val="none"/>
    </w:rPr>
  </w:style>
  <w:style w:type="character" w:customStyle="1" w:yozoId="4094" w:styleId="134">
    <w:name w:val="font11"/>
    <w:qFormat/>
    <w:autoRedefine/>
    <w:rPr>
      <w:rFonts w:ascii="Times New Roman" w:cs="Times New Roman" w:hAnsi="Times New Roman"/>
      <w:color w:val="000000"/>
      <w:sz w:val="21"/>
      <w:szCs w:val="21"/>
      <w:u w:val="none"/>
    </w:rPr>
  </w:style>
  <w:style w:type="character" w:customStyle="1" w:yozoId="4094" w:styleId="135">
    <w:name w:val="font01"/>
    <w:qFormat/>
    <w:autoRedefine/>
    <w:rPr>
      <w:rFonts w:ascii="Times New Roman" w:cs="Times New Roman" w:hAnsi="Times New Roman"/>
      <w:color w:val="000000"/>
      <w:sz w:val="10"/>
      <w:szCs w:val="10"/>
      <w:u w:val="none"/>
    </w:rPr>
  </w:style>
  <w:style w:type="character" w:customStyle="1" w:yozoId="4094" w:styleId="136">
    <w:name w:val="font31"/>
    <w:qFormat/>
    <w:basedOn w:val="10"/>
    <w:autoRedefine/>
    <w:rPr>
      <w:rFonts w:ascii="Times New Roman" w:cs="Times New Roman" w:hAnsi="Times New Roman"/>
      <w:color w:val="000000"/>
      <w:sz w:val="10"/>
      <w:szCs w:val="10"/>
      <w:u w:val="none"/>
    </w:rPr>
  </w:style>
  <w:style w:type="paragraph" w:customStyle="1" w:yozoId="4094" w:styleId="137">
    <w:name w:val="1正文"/>
    <w:qFormat/>
    <w:basedOn w:val="0"/>
    <w:autoRedefine/>
    <w:next w:val="23"/>
    <w:link w:val="137Char"/>
    <w:pPr>
      <w:spacing w:line="440" w:lineRule="exact"/>
      <w:ind w:firstLineChars="200" w:firstLine="200"/>
    </w:pPr>
    <w:rPr>
      <w:snapToGrid w:val="0"/>
      <w:sz w:val="24"/>
      <w:szCs w:val="24"/>
    </w:rPr>
  </w:style>
  <w:style w:type="character" w:customStyle="1" w:styleId="137Char">
    <w:name w:val="1正文 Char"/>
    <w:basedOn w:val="10"/>
    <w:link w:val="137"/>
    <w:autoRedefine/>
    <w:rPr>
      <w:rFonts w:ascii="Times New Roman" w:eastAsia="宋体" w:cs="Times New Roman" w:hAnsi="Times New Roman"/>
      <w:snapToGrid w:val="0"/>
      <w:kern w:val="2"/>
      <w:sz w:val="24"/>
      <w:szCs w:val="24"/>
      <w:lang w:val="en-US" w:eastAsia="zh-CN" w:bidi="ar-SA"/>
    </w:rPr>
  </w:style>
  <w:style w:type="paragraph" w:customStyle="1" w:yozoId="4094" w:styleId="138">
    <w:name w:val="正文缩进1"/>
    <w:qFormat/>
    <w:basedOn w:val="24"/>
    <w:autoRedefine/>
    <w:pPr>
      <w:adjustRightInd w:val="0"/>
      <w:snapToGrid w:val="0"/>
      <w:spacing w:line="440" w:lineRule="exact"/>
      <w:ind w:firstLineChars="200" w:firstLine="200"/>
    </w:pPr>
    <w:rPr>
      <w:rFonts w:ascii="Times New Roman" w:cs="宋体" w:hAnsi="Times New Roman"/>
      <w:spacing w:val="4"/>
      <w:kern w:val="0"/>
    </w:rPr>
  </w:style>
  <w:style w:type="paragraph" w:customStyle="1" w:yozoId="4094" w:styleId="139">
    <w:name w:val="2表格标题"/>
    <w:qFormat/>
    <w:basedOn w:val="47"/>
    <w:autoRedefine/>
    <w:next w:val="47"/>
    <w:pPr>
      <w:tabs>
        <w:tab w:val="left" w:pos="360"/>
        <w:tab w:val="left" w:pos="900"/>
      </w:tabs>
      <w:adjustRightInd w:val="0"/>
      <w:snapToGrid w:val="0"/>
      <w:spacing w:before="0" w:after="0" w:line="440" w:lineRule="exact"/>
      <w:outlineLvl w:val="9"/>
    </w:pPr>
    <w:rPr>
      <w:rFonts w:ascii="Times New Roman" w:eastAsia="宋体" w:cs="Times New Roman" w:hAnsi="Times New Roman"/>
      <w:bCs w:val="0"/>
      <w:snapToGrid w:val="0"/>
      <w:sz w:val="24"/>
      <w:szCs w:val="24"/>
    </w:rPr>
  </w:style>
  <w:style w:type="character" w:customStyle="1" w:yozoId="4094" w:styleId="140">
    <w:name w:val="正文缩进 字符1"/>
    <w:qFormat/>
    <w:autoRedefine/>
    <w:rPr>
      <w:kern w:val="2"/>
      <w:sz w:val="24"/>
    </w:rPr>
  </w:style>
  <w:style w:type="paragraph" w:customStyle="1" w:yozoId="4094" w:styleId="141">
    <w:name w:val="表文"/>
    <w:qFormat/>
    <w:basedOn w:val="0"/>
    <w:autoRedefine/>
    <w:pPr>
      <w:widowControl/>
      <w:adjustRightInd w:val="0"/>
      <w:snapToGrid w:val="0"/>
      <w:spacing w:line="240" w:lineRule="atLeast"/>
      <w:jc w:val="center"/>
    </w:pPr>
    <w:rPr>
      <w:spacing w:val="-12"/>
      <w:kern w:val="0"/>
      <w:szCs w:val="21"/>
    </w:rPr>
  </w:style>
  <w:style w:type="paragraph" w:customStyle="1" w:yozoId="4094" w:styleId="142">
    <w:name w:val="正文－R"/>
    <w:qFormat/>
    <w:basedOn w:val="0"/>
    <w:autoRedefine/>
    <w:pPr>
      <w:spacing w:line="440" w:lineRule="exact"/>
      <w:ind w:firstLineChars="200" w:firstLine="200"/>
    </w:pPr>
    <w:rPr>
      <w:kern w:val="0"/>
      <w:sz w:val="24"/>
    </w:rPr>
  </w:style>
  <w:style w:type="paragraph" w:customStyle="1" w:yozoId="4094" w:styleId="143">
    <w:name w:val="正文（首行缩进两字） Char Char"/>
    <w:qFormat/>
    <w:basedOn w:val="0"/>
    <w:autoRedefine/>
    <w:next w:val="15"/>
    <w:pPr>
      <w:widowControl/>
      <w:adjustRightInd w:val="0"/>
      <w:snapToGrid w:val="0"/>
      <w:spacing w:line="440" w:lineRule="exact"/>
      <w:ind w:firstLineChars="200" w:firstLine="200"/>
    </w:pPr>
    <w:rPr>
      <w:snapToGrid w:val="0"/>
      <w:sz w:val="24"/>
    </w:rPr>
  </w:style>
  <w:style w:type="paragraph" w:customStyle="1" w:yozoId="4094" w:styleId="144">
    <w:name w:val="表头文字"/>
    <w:qFormat/>
    <w:basedOn w:val="0"/>
    <w:autoRedefine/>
    <w:pPr>
      <w:jc w:val="center"/>
    </w:pPr>
    <w:rPr>
      <w:b/>
      <w:sz w:val="24"/>
      <w:szCs w:val="24"/>
    </w:rPr>
  </w:style>
  <w:style w:type="paragraph" w:customStyle="1" w:yozoId="4094" w:styleId="145">
    <w:name w:val="_Style 7"/>
    <w:qFormat/>
    <w:basedOn w:val="3"/>
    <w:autoRedefine/>
    <w:pPr>
      <w:keepNext/>
      <w:keepLines/>
      <w:widowControl w:val="0"/>
      <w:tabs>
        <w:tab w:val="left" w:pos="360"/>
        <w:tab w:val="left" w:pos="900"/>
      </w:tabs>
      <w:snapToGrid w:val="0"/>
      <w:spacing w:before="120" w:after="120" w:line="360" w:lineRule="auto"/>
      <w:ind w:leftChars="-12" w:left="-12" w:firstLineChars="200" w:firstLine="200"/>
    </w:pPr>
    <w:rPr>
      <w:bCs/>
      <w:kern w:val="2"/>
      <w:szCs w:val="32"/>
    </w:rPr>
  </w:style>
  <w:style w:type="paragraph" w:customStyle="1" w:yozoId="4094" w:styleId="146">
    <w:name w:val="【表格】"/>
    <w:qFormat/>
    <w:autoRedefine/>
    <w:next w:val="49"/>
    <w:pPr>
      <w:spacing w:line="300" w:lineRule="exact"/>
      <w:jc w:val="center"/>
    </w:pPr>
    <w:rPr>
      <w:rFonts w:ascii="Times New Roman" w:eastAsia="宋体" w:cs="Times New Roman" w:hAnsi="Times New Roman"/>
      <w:sz w:val="21"/>
      <w:szCs w:val="24"/>
      <w:lang w:val="en-US" w:eastAsia="zh-CN" w:bidi="ar-SA"/>
    </w:rPr>
  </w:style>
  <w:style w:type="paragraph" w:customStyle="1" w:yozoId="4094" w:styleId="147">
    <w:name w:val="【表头】"/>
    <w:qFormat/>
    <w:basedOn w:val="0"/>
    <w:autoRedefine/>
    <w:pPr>
      <w:widowControl/>
      <w:jc w:val="center"/>
    </w:pPr>
    <w:rPr>
      <w:b/>
      <w:kern w:val="0"/>
      <w:sz w:val="24"/>
      <w:szCs w:val="24"/>
    </w:rPr>
  </w:style>
  <w:style w:type="paragraph" w:customStyle="1" w:yozoId="4094" w:styleId="148">
    <w:name w:val="样式2"/>
    <w:qFormat/>
    <w:basedOn w:val="0"/>
    <w:autoRedefine/>
    <w:pPr>
      <w:widowControl/>
      <w:snapToGrid w:val="0"/>
      <w:spacing w:line="440" w:lineRule="exact"/>
      <w:ind w:firstLineChars="200" w:firstLine="200"/>
      <w:jc w:val="left"/>
    </w:pPr>
    <w:rPr>
      <w:rFonts w:ascii="宋体" w:hAnsi="宋体"/>
      <w:sz w:val="24"/>
      <w:szCs w:val="24"/>
    </w:rPr>
  </w:style>
  <w:style w:type="paragraph" w:customStyle="1" w:yozoId="4094" w:styleId="149">
    <w:name w:val="A正文"/>
    <w:qFormat/>
    <w:basedOn w:val="0"/>
    <w:autoRedefine/>
    <w:pPr>
      <w:spacing w:line="440" w:lineRule="exact"/>
      <w:ind w:firstLineChars="200" w:firstLine="200"/>
    </w:pPr>
    <w:rPr>
      <w:sz w:val="24"/>
    </w:rPr>
  </w:style>
  <w:style w:type="paragraph" w:customStyle="1" w:yozoId="4094" w:styleId="150">
    <w:name w:val="兰天 规划 正文"/>
    <w:qFormat/>
    <w:basedOn w:val="0"/>
    <w:autoRedefine/>
    <w:pPr>
      <w:widowControl/>
      <w:adjustRightInd w:val="0"/>
      <w:snapToGrid w:val="0"/>
      <w:spacing w:line="440" w:lineRule="exact"/>
      <w:ind w:firstLineChars="200" w:firstLine="200"/>
    </w:pPr>
    <w:rPr>
      <w:rFonts w:ascii="宋体" w:hAnsi="宋体"/>
      <w:color w:val="0070C0"/>
      <w:spacing w:val="4"/>
      <w:kern w:val="0"/>
      <w:sz w:val="24"/>
      <w:szCs w:val="22"/>
    </w:rPr>
  </w:style>
  <w:style w:type="paragraph" w:customStyle="1" w:yozoId="4094" w:styleId="151">
    <w:name w:val="2表格字体"/>
    <w:qFormat/>
    <w:basedOn w:val="0"/>
    <w:autoRedefine/>
    <w:pPr>
      <w:adjustRightInd w:val="0"/>
      <w:snapToGrid w:val="0"/>
      <w:jc w:val="center"/>
    </w:pPr>
    <w:rPr>
      <w:rFonts w:ascii="Arial" w:hAnsi="Arial"/>
      <w:kern w:val="0"/>
      <w:sz w:val="24"/>
    </w:rPr>
  </w:style>
  <w:style w:type="paragraph" w:customStyle="1" w:yozoId="4094" w:styleId="152">
    <w:name w:val="报告正文"/>
    <w:qFormat/>
    <w:basedOn w:val="0"/>
    <w:autoRedefine/>
    <w:pPr>
      <w:adjustRightInd w:val="0"/>
      <w:snapToGrid w:val="0"/>
      <w:spacing w:line="440" w:lineRule="exact"/>
      <w:ind w:firstLineChars="200" w:firstLine="200"/>
    </w:pPr>
    <w:rPr>
      <w:color w:val="000000"/>
      <w:sz w:val="24"/>
      <w:szCs w:val="24"/>
      <w:lang w:val="zh-CN"/>
    </w:rPr>
  </w:style>
  <w:style w:type="character" w:customStyle="1" w:yozoId="4094" w:styleId="153">
    <w:name w:val="标题 3 Char1"/>
    <w:qFormat/>
    <w:autoRedefine/>
    <w:rPr>
      <w:b/>
      <w:bCs/>
      <w:kern w:val="2"/>
      <w:sz w:val="32"/>
      <w:szCs w:val="32"/>
    </w:rPr>
  </w:style>
  <w:style w:type="character" w:customStyle="1" w:yozoId="4094" w:styleId="154">
    <w:name w:val="HTML 预设格式 Char1"/>
    <w:qFormat/>
    <w:autoRedefine/>
    <w:rPr>
      <w:rFonts w:ascii="Courier New" w:cs="Courier New" w:hAnsi="Courier New"/>
      <w:kern w:val="2"/>
    </w:rPr>
  </w:style>
  <w:style w:type="paragraph" w:customStyle="1" w:yozoId="4094" w:styleId="155">
    <w:name w:val="表格文字"/>
    <w:qFormat/>
    <w:basedOn w:val="66"/>
    <w:autoRedefine/>
    <w:pPr>
      <w:tabs>
        <w:tab w:val="left" w:pos="0"/>
        <w:tab w:val="left" w:pos="360"/>
        <w:tab w:val="left" w:pos="900"/>
      </w:tabs>
      <w:spacing w:line="240" w:lineRule="exact"/>
    </w:pPr>
    <w:rPr>
      <w:w w:val="90"/>
    </w:rPr>
  </w:style>
  <w:style w:type="character" w:customStyle="1" w:yozoId="4094" w:styleId="156">
    <w:name w:val="表头 Char Char"/>
    <w:qFormat/>
    <w:autoRedefine/>
    <w:rPr>
      <w:rFonts w:cs="Arial"/>
      <w:b/>
      <w:kern w:val="2"/>
      <w:sz w:val="24"/>
      <w:szCs w:val="22"/>
    </w:rPr>
  </w:style>
  <w:style w:type="paragraph" w:customStyle="1" w:yozoId="4094" w:styleId="157">
    <w:name w:val="文"/>
    <w:qFormat/>
    <w:basedOn w:val="0"/>
    <w:autoRedefine/>
    <w:pPr>
      <w:spacing w:line="360" w:lineRule="auto"/>
      <w:ind w:firstLineChars="200" w:firstLine="200"/>
    </w:pPr>
    <w:rPr>
      <w:sz w:val="24"/>
      <w:szCs w:val="24"/>
    </w:rPr>
  </w:style>
  <w:style w:type="paragraph" w:customStyle="1" w:yozoId="4094" w:styleId="158">
    <w:name w:val="表头居中"/>
    <w:qFormat/>
    <w:basedOn w:val="0"/>
    <w:autoRedefine/>
    <w:next w:val="0"/>
    <w:pPr>
      <w:spacing w:line="440" w:lineRule="exact"/>
      <w:jc w:val="center"/>
    </w:pPr>
    <w:rPr>
      <w:b/>
      <w:color w:val="000000"/>
      <w:kern w:val="0"/>
      <w:sz w:val="24"/>
      <w:szCs w:val="22"/>
    </w:rPr>
  </w:style>
  <w:style w:type="paragraph" w:customStyle="1" w:yozoId="4094" w:styleId="159">
    <w:name w:val="修订1"/>
    <w:qFormat/>
    <w:autoRedefine/>
    <w:rPr>
      <w:rFonts w:ascii="Times New Roman" w:eastAsia="宋体" w:cs="Times New Roman" w:hAnsi="Times New Roman"/>
      <w:kern w:val="2"/>
      <w:sz w:val="21"/>
      <w:szCs w:val="20"/>
      <w:lang w:val="en-US" w:eastAsia="zh-CN" w:bidi="ar-SA"/>
    </w:rPr>
  </w:style>
  <w:style w:type="paragraph" w:customStyle="1" w:yozoId="4094" w:styleId="160">
    <w:name w:val="质量报告书正文"/>
    <w:qFormat/>
    <w:basedOn w:val="0"/>
    <w:autoRedefine/>
    <w:pPr>
      <w:spacing w:line="440" w:lineRule="exact"/>
      <w:ind w:firstLineChars="200" w:firstLine="200"/>
    </w:pPr>
    <w:rPr>
      <w:rFonts w:eastAsia="仿宋_GB2312" w:cs="Arial"/>
      <w:sz w:val="28"/>
      <w:szCs w:val="22"/>
    </w:rPr>
  </w:style>
  <w:style w:type="paragraph" w:customStyle="1" w:yozoId="4094" w:styleId="161">
    <w:name w:val="正文首行缩进1"/>
    <w:qFormat/>
    <w:basedOn w:val="23"/>
    <w:autoRedefine/>
    <w:pPr>
      <w:spacing w:before="149" w:after="120"/>
      <w:ind w:left="220" w:firstLine="420"/>
    </w:pPr>
    <w:rPr>
      <w:rFonts w:cs="仿宋_GB2312" w:hAnsi="仿宋_GB2312"/>
      <w:sz w:val="21"/>
      <w:szCs w:val="24"/>
      <w:lang w:val="zh-CN" w:bidi="zh-CN"/>
    </w:rPr>
  </w:style>
  <w:style w:type="paragraph" w:customStyle="1" w:yozoId="4094" w:styleId="162">
    <w:name w:val="C2"/>
    <w:qFormat/>
    <w:basedOn w:val="0"/>
    <w:autoRedefine/>
    <w:pPr>
      <w:autoSpaceDE w:val="0"/>
      <w:autoSpaceDN w:val="0"/>
      <w:jc w:val="left"/>
    </w:pPr>
    <w:rPr>
      <w:rFonts w:ascii="宋体" w:cs="宋体" w:hAnsi="宋体"/>
      <w:kern w:val="0"/>
      <w:sz w:val="28"/>
      <w:lang w:val="zh-CN" w:bidi="zh-CN"/>
    </w:rPr>
  </w:style>
  <w:style w:type="paragraph" w:customStyle="1" w:yozoId="4094" w:styleId="163">
    <w:name w:val="样式 样式 样式 首行缩进:  1 字符 + 首行缩进:  2 字符2 + 首行缩进:  2 字符 行距: 固定值 23 磅"/>
    <w:qFormat/>
    <w:basedOn w:val="0"/>
    <w:autoRedefine/>
    <w:pPr>
      <w:autoSpaceDE w:val="0"/>
      <w:autoSpaceDN w:val="0"/>
      <w:adjustRightInd w:val="0"/>
      <w:snapToGrid w:val="0"/>
      <w:spacing w:line="360" w:lineRule="auto"/>
      <w:ind w:firstLineChars="200" w:firstLine="200"/>
      <w:jc w:val="left"/>
    </w:pPr>
    <w:rPr>
      <w:rFonts w:ascii="宋体" w:cs="宋体" w:hAnsi="宋体"/>
      <w:kern w:val="0"/>
      <w:sz w:val="24"/>
      <w:szCs w:val="22"/>
      <w:lang w:val="zh-CN" w:bidi="zh-CN"/>
    </w:rPr>
  </w:style>
  <w:style w:type="character" w:customStyle="1" w:yozoId="4094" w:styleId="164">
    <w:name w:val="页脚 字符"/>
    <w:qFormat/>
    <w:basedOn w:val="10"/>
    <w:autoRedefine/>
  </w:style>
  <w:style w:type="paragraph" w:customStyle="1" w:yozoId="4094" w:styleId="165">
    <w:name w:val="1项目名称"/>
    <w:qFormat/>
    <w:autoRedefine/>
    <w:pPr>
      <w:spacing w:line="360" w:lineRule="auto"/>
      <w:ind w:left="-1046" w:hangingChars="434" w:hanging="434"/>
    </w:pPr>
    <w:rPr>
      <w:rFonts w:ascii="Times New Roman" w:eastAsia="宋体" w:cs="Times New Roman" w:hAnsi="Times New Roman"/>
      <w:b/>
      <w:sz w:val="32"/>
      <w:szCs w:val="24"/>
      <w:lang w:val="en-US" w:eastAsia="zh-CN" w:bidi="ar-SA"/>
    </w:rPr>
  </w:style>
  <w:style w:type="paragraph" w:customStyle="1" w:yozoId="4094" w:styleId="166">
    <w:name w:val="修订2"/>
    <w:qFormat/>
    <w:autoRedefine/>
    <w:rPr>
      <w:rFonts w:ascii="Times New Roman" w:eastAsia="宋体" w:cs="Times New Roman" w:hAnsi="Times New Roman"/>
      <w:kern w:val="2"/>
      <w:sz w:val="21"/>
      <w:szCs w:val="20"/>
      <w:lang w:val="en-US" w:eastAsia="zh-CN" w:bidi="ar-SA"/>
    </w:rPr>
  </w:style>
  <w:style w:type="paragraph" w:customStyle="1" w:yozoId="4094" w:styleId="167">
    <w:name w:val="正文01"/>
    <w:qFormat/>
    <w:basedOn w:val="0"/>
    <w:autoRedefine/>
    <w:pPr>
      <w:spacing w:before="60" w:line="460" w:lineRule="exact"/>
      <w:ind w:firstLineChars="200" w:firstLine="200"/>
    </w:pPr>
    <w:rPr>
      <w:sz w:val="24"/>
      <w:szCs w:val="24"/>
    </w:rPr>
  </w:style>
  <w:style w:type="paragraph" w:customStyle="1" w:yozoId="4094" w:styleId="168">
    <w:name w:val="TOC 标题1"/>
    <w:qFormat/>
    <w:basedOn w:val="1"/>
    <w:autoRedefine/>
    <w:next w:val="0"/>
    <w:pPr>
      <w:keepNext/>
      <w:keepLines/>
      <w:pageBreakBefore w:val="0"/>
      <w:widowControl/>
      <w:spacing w:before="240" w:line="259" w:lineRule="auto"/>
      <w:outlineLvl w:val="9"/>
    </w:pPr>
    <w:rPr>
      <w:rFonts w:ascii="等线 Light" w:eastAsia="等线 Light" w:cs="Times New Roman" w:hAnsi="等线 Light"/>
      <w:b w:val="0"/>
      <w:bCs w:val="0"/>
      <w:color w:val="2F5597"/>
      <w:kern w:val="0"/>
      <w:sz w:val="32"/>
      <w:szCs w:val="32"/>
    </w:rPr>
  </w:style>
  <w:style w:type="character" w:customStyle="1" w:yozoId="4094" w:styleId="169">
    <w:name w:val="content-right_8zs40"/>
    <w:qFormat/>
    <w:basedOn w:val="10"/>
    <w:autoRedefine/>
  </w:style>
  <w:style w:type="paragraph" w:customStyle="1" w:yozoId="4094" w:styleId="170">
    <w:name w:val="【正文】"/>
    <w:qFormat/>
    <w:basedOn w:val="0"/>
    <w:autoRedefine/>
    <w:pPr>
      <w:spacing w:line="440" w:lineRule="exact"/>
      <w:ind w:firstLineChars="200" w:firstLine="200"/>
    </w:pPr>
    <w:rPr>
      <w:kern w:val="0"/>
      <w:sz w:val="24"/>
    </w:rPr>
  </w:style>
  <w:style w:type="paragraph" w:customStyle="1" w:yozoId="4094" w:styleId="171">
    <w:name w:val="【表中文字】"/>
    <w:qFormat/>
    <w:basedOn w:val="0"/>
    <w:autoRedefine/>
    <w:pPr>
      <w:jc w:val="center"/>
    </w:pPr>
    <w:rPr>
      <w:kern w:val="0"/>
    </w:rPr>
  </w:style>
  <w:style w:type="paragraph" w:customStyle="1" w:yozoId="4094" w:styleId="172">
    <w:name w:val="0--表格文字"/>
    <w:qFormat/>
    <w:basedOn w:val="0"/>
    <w:autoRedefine/>
    <w:pPr>
      <w:spacing w:line="240" w:lineRule="exact"/>
      <w:contextualSpacing/>
      <w:jc w:val="center"/>
    </w:pPr>
    <w:rPr>
      <w:bCs/>
      <w:spacing w:val="-6"/>
      <w:w w:val="90"/>
      <w:kern w:val="0"/>
      <w:szCs w:val="21"/>
    </w:rPr>
  </w:style>
  <w:style w:type="paragraph" w:customStyle="1" w:yozoId="4094" w:styleId="173">
    <w:name w:val="表格格式"/>
    <w:qFormat/>
    <w:basedOn w:val="40"/>
    <w:autoRedefine/>
    <w:next w:val="0"/>
    <w:pPr>
      <w:jc w:val="center"/>
    </w:pPr>
    <w:rPr>
      <w:snapToGrid w:val="0"/>
      <w:sz w:val="20"/>
    </w:rPr>
  </w:style>
  <w:style w:type="paragraph" w:customStyle="1" w:yozoId="4094" w:styleId="174">
    <w:name w:val="...正文"/>
    <w:qFormat/>
    <w:basedOn w:val="0"/>
    <w:autoRedefine/>
    <w:pPr>
      <w:widowControl/>
      <w:spacing w:line="480" w:lineRule="exact"/>
      <w:ind w:firstLineChars="200" w:firstLine="200"/>
    </w:pPr>
    <w:rPr>
      <w:sz w:val="24"/>
    </w:rPr>
  </w:style>
  <w:style w:type="paragraph" w:customStyle="1" w:yozoId="4094" w:styleId="175">
    <w:name w:val="Table Text"/>
    <w:qFormat/>
    <w:basedOn w:val="0"/>
    <w:autoRedefine/>
    <w:rPr>
      <w:rFonts w:ascii="宋体" w:eastAsia="宋体" w:cs="宋体" w:hAnsi="宋体"/>
      <w:sz w:val="20"/>
      <w:szCs w:val="20"/>
      <w:lang w:val="en-US" w:bidi="ar-SA"/>
    </w:rPr>
  </w:style>
  <w:style w:type="character" w:customStyle="1" w:yozoId="4094" w:styleId="176">
    <w:name w:val="font61"/>
    <w:qFormat/>
    <w:basedOn w:val="10"/>
    <w:rPr>
      <w:rFonts w:ascii="Times New Roman" w:cs="Times New Roman" w:hAnsi="Times New Roman"/>
      <w:color w:val="000000"/>
      <w:sz w:val="21"/>
      <w:szCs w:val="21"/>
      <w:u w:val="none"/>
      <w:vertAlign w:val="subscript"/>
      <w:lang w:bidi="ar-SA"/>
    </w:rPr>
  </w:style>
  <w:style w:type="character" w:customStyle="1" w:yozoId="4094" w:styleId="177">
    <w:name w:val="font51"/>
    <w:qFormat/>
    <w:basedOn w:val="10"/>
    <w:rPr>
      <w:rFonts w:ascii="Times New Roman" w:cs="Times New Roman" w:hAnsi="Times New Roman"/>
      <w:color w:val="000000"/>
      <w:sz w:val="21"/>
      <w:szCs w:val="21"/>
      <w:u w:val="none"/>
      <w:vertAlign w:val="superscript"/>
      <w:lang w:bidi="ar-SA"/>
    </w:rPr>
  </w:style>
  <w:style w:type="paragraph" w:customStyle="1" w:yozoId="4094" w:styleId="178">
    <w:name w:val="报告表正文"/>
    <w:qFormat/>
    <w:basedOn w:val="0"/>
    <w:pPr>
      <w:adjustRightInd w:val="0"/>
      <w:spacing w:line="460" w:lineRule="exact"/>
      <w:ind w:firstLineChars="200" w:firstLine="200"/>
      <w:textAlignment w:val="baseline"/>
    </w:pPr>
    <w:rPr>
      <w:kern w:val="0"/>
      <w:sz w:val="24"/>
      <w:szCs w:val="2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image" Target="media/187.png"/><Relationship Id="rId6" Type="http://schemas.openxmlformats.org/officeDocument/2006/relationships/image" Target="media/189.png"/><Relationship Id="rId7" Type="http://schemas.openxmlformats.org/officeDocument/2006/relationships/image" Target="media/191.png"/><Relationship Id="rId8" Type="http://schemas.openxmlformats.org/officeDocument/2006/relationships/image" Target="media/193.png"/><Relationship Id="rId9" Type="http://schemas.openxmlformats.org/officeDocument/2006/relationships/image" Target="media/195.png"/><Relationship Id="rId10" Type="http://schemas.openxmlformats.org/officeDocument/2006/relationships/image" Target="media/197.png"/><Relationship Id="rId11" Type="http://schemas.openxmlformats.org/officeDocument/2006/relationships/image" Target="media/199.png"/><Relationship Id="rId12" Type="http://schemas.openxmlformats.org/officeDocument/2006/relationships/image" Target="media/201.png"/><Relationship Id="rId13" Type="http://schemas.openxmlformats.org/officeDocument/2006/relationships/image" Target="media/203.png"/><Relationship Id="rId14" Type="http://schemas.openxmlformats.org/officeDocument/2006/relationships/image" Target="media/205.png"/><Relationship Id="rId15" Type="http://schemas.openxmlformats.org/officeDocument/2006/relationships/image" Target="media/207.png"/><Relationship Id="rId16" Type="http://schemas.openxmlformats.org/officeDocument/2006/relationships/image" Target="media/209.png"/><Relationship Id="rId17" Type="http://schemas.openxmlformats.org/officeDocument/2006/relationships/image" Target="media/211.png"/><Relationship Id="rId18" Type="http://schemas.openxmlformats.org/officeDocument/2006/relationships/image" Target="media/213.png"/><Relationship Id="rId19" Type="http://schemas.openxmlformats.org/officeDocument/2006/relationships/image" Target="media/195.png"/><Relationship Id="rId20" Type="http://schemas.openxmlformats.org/officeDocument/2006/relationships/image" Target="media/216.png"/><Relationship Id="rId21" Type="http://schemas.openxmlformats.org/officeDocument/2006/relationships/image" Target="media/218.png"/><Relationship Id="rId22" Type="http://schemas.openxmlformats.org/officeDocument/2006/relationships/image" Target="media/220.png"/><Relationship Id="rId23" Type="http://schemas.openxmlformats.org/officeDocument/2006/relationships/image" Target="media/222.png"/><Relationship Id="rId24" Type="http://schemas.openxmlformats.org/officeDocument/2006/relationships/image" Target="media/224.png"/><Relationship Id="rId25" Type="http://schemas.openxmlformats.org/officeDocument/2006/relationships/image" Target="media/226.png"/><Relationship Id="rId26" Type="http://schemas.openxmlformats.org/officeDocument/2006/relationships/image" Target="media/228.png"/><Relationship Id="rId27" Type="http://schemas.openxmlformats.org/officeDocument/2006/relationships/image" Target="media/230.png"/><Relationship Id="rId28" Type="http://schemas.openxmlformats.org/officeDocument/2006/relationships/image" Target="media/232.png"/><Relationship Id="rId29" Type="http://schemas.openxmlformats.org/officeDocument/2006/relationships/image" Target="media/228.png"/><Relationship Id="rId30" Type="http://schemas.openxmlformats.org/officeDocument/2006/relationships/image" Target="media/235.png"/><Relationship Id="rId31" Type="http://schemas.openxmlformats.org/officeDocument/2006/relationships/image" Target="media/237.png"/><Relationship Id="rId32" Type="http://schemas.openxmlformats.org/officeDocument/2006/relationships/image" Target="media/228.png"/><Relationship Id="rId33" Type="http://schemas.openxmlformats.org/officeDocument/2006/relationships/image" Target="media/240.png"/><Relationship Id="rId34" Type="http://schemas.openxmlformats.org/officeDocument/2006/relationships/image" Target="media/242.png"/><Relationship Id="rId35" Type="http://schemas.openxmlformats.org/officeDocument/2006/relationships/image" Target="media/244.png"/><Relationship Id="rId36" Type="http://schemas.openxmlformats.org/officeDocument/2006/relationships/image" Target="media/228.png"/><Relationship Id="rId37" Type="http://schemas.openxmlformats.org/officeDocument/2006/relationships/image" Target="media/228.png"/><Relationship Id="rId38" Type="http://schemas.openxmlformats.org/officeDocument/2006/relationships/image" Target="media/248.png"/><Relationship Id="rId39" Type="http://schemas.openxmlformats.org/officeDocument/2006/relationships/image" Target="media/250.png"/><Relationship Id="rId40" Type="http://schemas.openxmlformats.org/officeDocument/2006/relationships/image" Target="media/252.jpeg"/><Relationship Id="rId41" Type="http://schemas.openxmlformats.org/officeDocument/2006/relationships/image" Target="media/254.png"/><Relationship Id="rId42" Type="http://schemas.openxmlformats.org/officeDocument/2006/relationships/image" Target="media/256.jpeg"/><Relationship Id="rId43" Type="http://schemas.openxmlformats.org/officeDocument/2006/relationships/image" Target="media/258.jpeg"/><Relationship Id="rId44" Type="http://schemas.openxmlformats.org/officeDocument/2006/relationships/image" Target="media/260.jpeg"/><Relationship Id="rId45" Type="http://schemas.openxmlformats.org/officeDocument/2006/relationships/image" Target="media/262.png"/><Relationship Id="rId46" Type="http://schemas.openxmlformats.org/officeDocument/2006/relationships/image" Target="media/264.jpeg"/><Relationship Id="rId47" Type="http://schemas.openxmlformats.org/officeDocument/2006/relationships/image" Target="media/266.jpeg"/><Relationship Id="rId48" Type="http://schemas.openxmlformats.org/officeDocument/2006/relationships/image" Target="media/268.png"/><Relationship Id="rId49" Type="http://schemas.openxmlformats.org/officeDocument/2006/relationships/footer" Target="footer4.xml"/><Relationship Id="rId50" Type="http://schemas.openxmlformats.org/officeDocument/2006/relationships/styles" Target="styles.xml"/><Relationship Id="rId51" Type="http://schemas.openxmlformats.org/officeDocument/2006/relationships/numbering" Target="numbering.xml"/><Relationship Id="rId52" Type="http://schemas.openxmlformats.org/officeDocument/2006/relationships/fontTable" Target="fontTable.xml"/><Relationship Id="rId53" Type="http://schemas.openxmlformats.org/officeDocument/2006/relationships/customXml" Target="../customXml/item1.xml"/><Relationship Id="rId54"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customProps>
</customData>
</file>

<file path=customXml/itemProps1.xml><?xml version="1.0" encoding="utf-8"?>
<ds:datastoreItem xmlns:ds="http://schemas.openxmlformats.org/officeDocument/2006/customXml" ds:itemID="{039E051E-03D6-4D2B-B87D-02FE218AAC2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TotalTime>
  <Application>WPS_Yozo_Office9.0.5847.101ZH.S1</Application>
  <Pages>114</Pages>
  <Words>0</Words>
  <Characters>66744</Characters>
  <Lines>0</Lines>
  <Paragraphs>90</Paragraphs>
  <CharactersWithSpaces>88993</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评价单位                             (公章)</dc:title>
  <dc:creator>fc</dc:creator>
  <cp:lastModifiedBy>Administrator</cp:lastModifiedBy>
  <cp:revision>6</cp:revision>
  <cp:lastPrinted>2025-12-08T08:26:00Z</cp:lastPrinted>
  <dcterms:created xsi:type="dcterms:W3CDTF">2021-02-26T02:53:00Z</dcterms:created>
  <dcterms:modified xsi:type="dcterms:W3CDTF">2026-01-08T07:49:09Z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2052-12.1.0.23542</vt:lpwstr>
  </property>
  <property fmtid="{D5CDD505-2E9C-101B-9397-08002B2CF9AE}" pid="3" name="ICV">
    <vt:lpwstr>3D0A0845056F41BEB3DAB2829E7EB79C</vt:lpwstr>
  </property>
  <property fmtid="{D5CDD505-2E9C-101B-9397-08002B2CF9AE}" pid="4" name="KSOTemplateDocerSaveRecord">
    <vt:lpwstr>eyJoZGlkIjoiNmI2Y2U5MmE2MzUwYWZiYmY4YTgxZWQyNjhkZmUwNGIiLCJ1c2VySWQiOiIyMDk1Nzg5MjcifQ==</vt:lpwstr>
  </property>
</Properties>
</file>