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customXml/itemProps1.xml" ContentType="application/vnd.openxmlformats-officedocument.customXmlProperties+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pStyle w:val="21"/>
        <w:keepNext w:val="0"/>
        <w:keepLines w:val="0"/>
        <w:pageBreakBefore w:val="0"/>
        <w:widowControl w:val="0"/>
        <w:kinsoku/>
        <w:wordWrap/>
        <w:overflowPunct/>
        <w:topLinePunct w:val="0"/>
        <w:autoSpaceDE/>
        <w:autoSpaceDN/>
        <w:bidi w:val="0"/>
        <w:adjustRightInd/>
        <w:snapToGrid/>
        <w:spacing w:line="576" w:lineRule="exact"/>
        <w:ind w:left="0" w:firstLineChars="0" w:firstLine="0"/>
        <w:textAlignment w:val="baseline"/>
        <w:rPr>
          <w:rFonts w:ascii="黑体" w:eastAsia="黑体" w:hint="eastAsia"/>
          <w:sz w:val="32"/>
          <w:szCs w:val="32"/>
          <w:lang w:val="en-US" w:eastAsia="zh-CN"/>
        </w:rPr>
      </w:pPr>
    </w:p>
    <w:p>
      <w:pPr>
        <w:pStyle w:val="21"/>
        <w:keepNext w:val="0"/>
        <w:keepLines w:val="0"/>
        <w:pageBreakBefore w:val="0"/>
        <w:widowControl w:val="0"/>
        <w:kinsoku/>
        <w:wordWrap/>
        <w:overflowPunct/>
        <w:topLinePunct w:val="0"/>
        <w:autoSpaceDE/>
        <w:autoSpaceDN/>
        <w:bidi w:val="0"/>
        <w:adjustRightInd/>
        <w:snapToGrid/>
        <w:spacing w:line="576" w:lineRule="exact"/>
        <w:ind w:left="0" w:firstLineChars="0" w:firstLine="0"/>
        <w:textAlignment w:val="baseline"/>
        <w:rPr>
          <w:lang w:val="en-US" w:eastAsia="zh-CN"/>
        </w:rPr>
      </w:pPr>
    </w:p>
    <w:p>
      <w:pPr>
        <w:pStyle w:val="21"/>
        <w:keepNext w:val="0"/>
        <w:keepLines w:val="0"/>
        <w:pageBreakBefore w:val="0"/>
        <w:widowControl w:val="0"/>
        <w:kinsoku/>
        <w:wordWrap/>
        <w:overflowPunct/>
        <w:topLinePunct w:val="0"/>
        <w:autoSpaceDE/>
        <w:autoSpaceDN/>
        <w:bidi w:val="0"/>
        <w:adjustRightInd/>
        <w:snapToGrid/>
        <w:spacing w:line="576" w:lineRule="exact"/>
        <w:ind w:left="0" w:firstLineChars="0" w:firstLine="0"/>
        <w:textAlignment w:val="baseline"/>
        <w:rPr>
          <w:lang w:val="en-US" w:eastAsia="zh-CN"/>
        </w:rPr>
      </w:pPr>
    </w:p>
    <w:p>
      <w:pPr>
        <w:pStyle w:val="21"/>
        <w:keepNext w:val="0"/>
        <w:keepLines w:val="0"/>
        <w:pageBreakBefore w:val="0"/>
        <w:widowControl w:val="0"/>
        <w:kinsoku/>
        <w:wordWrap/>
        <w:overflowPunct/>
        <w:topLinePunct w:val="0"/>
        <w:autoSpaceDE/>
        <w:autoSpaceDN/>
        <w:bidi w:val="0"/>
        <w:adjustRightInd/>
        <w:snapToGrid/>
        <w:spacing w:line="576" w:lineRule="exact"/>
        <w:ind w:left="0" w:firstLineChars="0" w:firstLine="0"/>
        <w:textAlignment w:val="baseline"/>
        <w:rPr>
          <w:lang w:val="en-US" w:eastAsia="zh-CN"/>
        </w:rPr>
      </w:pPr>
    </w:p>
    <w:p>
      <w:pPr>
        <w:pStyle w:val="21"/>
        <w:keepNext w:val="0"/>
        <w:keepLines w:val="0"/>
        <w:pageBreakBefore w:val="0"/>
        <w:widowControl w:val="0"/>
        <w:kinsoku/>
        <w:wordWrap/>
        <w:overflowPunct/>
        <w:topLinePunct w:val="0"/>
        <w:autoSpaceDE/>
        <w:autoSpaceDN/>
        <w:bidi w:val="0"/>
        <w:adjustRightInd/>
        <w:snapToGrid/>
        <w:spacing w:line="576" w:lineRule="exact"/>
        <w:ind w:left="0" w:firstLineChars="0" w:firstLine="0"/>
        <w:textAlignment w:val="baseline"/>
        <w:rPr>
          <w:lang w:val="en-US" w:eastAsia="zh-CN"/>
        </w:rPr>
      </w:pPr>
    </w:p>
    <w:p>
      <w:pPr>
        <w:pStyle w:val="21"/>
        <w:keepNext w:val="0"/>
        <w:keepLines w:val="0"/>
        <w:pageBreakBefore w:val="0"/>
        <w:widowControl w:val="0"/>
        <w:kinsoku/>
        <w:wordWrap/>
        <w:overflowPunct/>
        <w:topLinePunct w:val="0"/>
        <w:autoSpaceDE/>
        <w:autoSpaceDN/>
        <w:bidi w:val="0"/>
        <w:adjustRightInd/>
        <w:snapToGrid/>
        <w:spacing w:line="576" w:lineRule="exact"/>
        <w:ind w:left="0" w:firstLineChars="0" w:firstLine="0"/>
        <w:textAlignment w:val="baseline"/>
        <w:rPr>
          <w:lang w:val="en-US" w:eastAsia="zh-CN"/>
        </w:rPr>
      </w:pPr>
    </w:p>
    <w:p>
      <w:pPr>
        <w:pStyle w:val="21"/>
        <w:keepNext w:val="0"/>
        <w:keepLines w:val="0"/>
        <w:pageBreakBefore w:val="0"/>
        <w:widowControl w:val="0"/>
        <w:kinsoku/>
        <w:wordWrap/>
        <w:overflowPunct/>
        <w:topLinePunct w:val="0"/>
        <w:autoSpaceDE/>
        <w:autoSpaceDN/>
        <w:bidi w:val="0"/>
        <w:adjustRightInd/>
        <w:snapToGrid/>
        <w:spacing w:line="576" w:lineRule="exact"/>
        <w:ind w:left="0" w:firstLineChars="0" w:firstLine="0"/>
        <w:textAlignment w:val="baseline"/>
        <w:rPr>
          <w:lang w:val="en-US" w:eastAsia="zh-CN"/>
        </w:rPr>
      </w:pPr>
    </w:p>
    <w:p>
      <w:pPr>
        <w:pStyle w:val="21"/>
        <w:keepNext w:val="0"/>
        <w:keepLines w:val="0"/>
        <w:pageBreakBefore w:val="0"/>
        <w:widowControl w:val="0"/>
        <w:kinsoku/>
        <w:wordWrap/>
        <w:overflowPunct/>
        <w:topLinePunct w:val="0"/>
        <w:autoSpaceDE/>
        <w:autoSpaceDN/>
        <w:bidi w:val="0"/>
        <w:adjustRightInd/>
        <w:snapToGrid/>
        <w:spacing w:line="576" w:lineRule="exact"/>
        <w:ind w:left="0" w:firstLineChars="0" w:firstLine="0"/>
        <w:textAlignment w:val="baseline"/>
        <w:rPr>
          <w:lang w:val="en-US" w:eastAsia="zh-CN"/>
        </w:rPr>
      </w:pPr>
    </w:p>
    <w:p>
      <w:pPr>
        <w:pStyle w:val="21"/>
        <w:keepNext w:val="0"/>
        <w:keepLines w:val="0"/>
        <w:pageBreakBefore w:val="0"/>
        <w:widowControl w:val="0"/>
        <w:kinsoku/>
        <w:wordWrap/>
        <w:overflowPunct/>
        <w:topLinePunct w:val="0"/>
        <w:autoSpaceDE/>
        <w:autoSpaceDN/>
        <w:bidi w:val="0"/>
        <w:adjustRightInd/>
        <w:snapToGrid/>
        <w:spacing w:line="576" w:lineRule="exact"/>
        <w:ind w:left="0" w:firstLineChars="0" w:firstLine="0"/>
        <w:textAlignment w:val="baseline"/>
        <w:rPr>
          <w:lang w:val="en-US" w:eastAsia="zh-CN"/>
        </w:rPr>
      </w:pPr>
    </w:p>
    <w:p>
      <w:pPr>
        <w:pStyle w:val="21"/>
        <w:keepNext w:val="0"/>
        <w:keepLines w:val="0"/>
        <w:pageBreakBefore w:val="0"/>
        <w:widowControl w:val="0"/>
        <w:kinsoku/>
        <w:wordWrap/>
        <w:overflowPunct/>
        <w:topLinePunct w:val="0"/>
        <w:autoSpaceDE/>
        <w:autoSpaceDN/>
        <w:bidi w:val="0"/>
        <w:adjustRightInd/>
        <w:snapToGrid/>
        <w:spacing w:line="576" w:lineRule="exact"/>
        <w:ind w:left="0" w:firstLineChars="0" w:firstLine="0"/>
        <w:jc w:val="center"/>
        <w:textAlignment w:val="baseline"/>
        <w:rPr>
          <w:rFonts w:ascii="仿宋_GB2312" w:eastAsia="仿宋_GB2312" w:hint="eastAsia"/>
          <w:sz w:val="32"/>
          <w:szCs w:val="32"/>
          <w:lang w:val="en-US" w:eastAsia="zh-CN"/>
        </w:rPr>
      </w:pPr>
      <w:r>
        <w:rPr>
          <w:rFonts w:ascii="仿宋_GB2312" w:eastAsia="仿宋_GB2312" w:hint="eastAsia"/>
          <w:sz w:val="32"/>
          <w:szCs w:val="32"/>
          <w:lang w:val="en-US" w:eastAsia="zh-CN"/>
        </w:rPr>
        <w:t>三届区委第212次4号</w:t>
      </w:r>
    </w:p>
    <w:p>
      <w:pPr>
        <w:pStyle w:val="21"/>
        <w:keepNext w:val="0"/>
        <w:keepLines w:val="0"/>
        <w:pageBreakBefore w:val="0"/>
        <w:widowControl w:val="0"/>
        <w:kinsoku/>
        <w:wordWrap/>
        <w:overflowPunct/>
        <w:topLinePunct w:val="0"/>
        <w:autoSpaceDE/>
        <w:autoSpaceDN/>
        <w:bidi w:val="0"/>
        <w:adjustRightInd/>
        <w:snapToGrid/>
        <w:spacing w:line="556" w:lineRule="exact"/>
        <w:ind w:left="0" w:firstLineChars="0" w:firstLine="0"/>
        <w:jc w:val="center"/>
        <w:rPr>
          <w:rFonts w:ascii="仿宋_GB2312" w:eastAsia="仿宋_GB2312" w:hint="eastAsia"/>
          <w:sz w:val="32"/>
          <w:szCs w:val="32"/>
          <w:lang w:val="en-US" w:eastAsia="zh-CN"/>
        </w:rPr>
      </w:pPr>
    </w:p>
    <w:p>
      <w:pPr>
        <w:pStyle w:val="21"/>
        <w:keepNext w:val="0"/>
        <w:keepLines w:val="0"/>
        <w:pageBreakBefore w:val="0"/>
        <w:widowControl w:val="0"/>
        <w:kinsoku/>
        <w:wordWrap/>
        <w:overflowPunct/>
        <w:topLinePunct w:val="0"/>
        <w:autoSpaceDE/>
        <w:autoSpaceDN/>
        <w:bidi w:val="0"/>
        <w:adjustRightInd/>
        <w:snapToGrid/>
        <w:spacing w:line="556" w:lineRule="exact"/>
        <w:ind w:left="0" w:firstLineChars="0" w:firstLine="0"/>
        <w:jc w:val="center"/>
        <w:rPr>
          <w:rFonts w:ascii="仿宋_GB2312" w:eastAsia="仿宋_GB2312" w:hint="eastAsia"/>
          <w:sz w:val="32"/>
          <w:szCs w:val="32"/>
          <w:lang w:val="en-US" w:eastAsia="zh-CN"/>
        </w:rPr>
      </w:pPr>
    </w:p>
    <w:p>
      <w:pPr>
        <w:pStyle w:val="24"/>
        <w:keepNext w:val="0"/>
        <w:keepLines w:val="0"/>
        <w:pageBreakBefore w:val="0"/>
        <w:widowControl w:val="0"/>
        <w:kinsoku/>
        <w:wordWrap/>
        <w:overflowPunct/>
        <w:topLinePunct w:val="0"/>
        <w:autoSpaceDE/>
        <w:autoSpaceDN/>
        <w:bidi w:val="0"/>
        <w:adjustRightInd/>
        <w:snapToGrid/>
        <w:spacing w:line="560" w:lineRule="exact"/>
        <w:ind w:leftChars="0" w:left="0" w:firstLine="0"/>
        <w:jc w:val="center"/>
        <w:rPr>
          <w:rFonts w:ascii="方正小标宋简体" w:eastAsia="方正小标宋简体" w:cs="方正小标宋简体" w:hint="eastAsia"/>
          <w:b w:val="0"/>
          <w:bCs w:val="0"/>
          <w:color w:val="000000"/>
          <w:spacing w:val="0"/>
          <w:sz w:val="44"/>
          <w:szCs w:val="44"/>
          <w14:textFill>
            <w14:solidFill>
              <w14:srgbClr w14:val="000000"/>
            </w14:solidFill>
          </w14:textFill>
          <w:lang w:val="en-US" w:eastAsia="zh-CN" w:bidi="ar-SA"/>
        </w:rPr>
      </w:pPr>
      <w:r>
        <w:rPr>
          <w:rFonts w:ascii="方正小标宋简体" w:eastAsia="方正小标宋简体" w:cs="方正小标宋简体" w:hint="eastAsia"/>
          <w:b w:val="0"/>
          <w:bCs w:val="0"/>
          <w:color w:val="000000"/>
          <w:spacing w:val="0"/>
          <w:sz w:val="44"/>
          <w:szCs w:val="44"/>
          <w14:textFill>
            <w14:solidFill>
              <w14:srgbClr w14:val="000000"/>
            </w14:solidFill>
          </w14:textFill>
          <w:lang w:val="en-US" w:eastAsia="zh-CN" w:bidi="ar-SA"/>
        </w:rPr>
        <w:t>全区2025年法治政府建设工作情况汇报</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ascii="楷体_GB2312" w:eastAsia="楷体_GB2312" w:cs="楷体_GB2312" w:hAnsi="楷体_GB2312" w:hint="eastAsia"/>
          <w:b w:val="0"/>
          <w:bCs w:val="0"/>
          <w:color w:val="000000"/>
          <w:spacing w:val="-4"/>
          <w:sz w:val="32"/>
          <w:szCs w:val="32"/>
          <w14:textFill>
            <w14:solidFill>
              <w14:srgbClr w14:val="000000"/>
            </w14:solidFill>
          </w14:textFill>
          <w:lang w:eastAsia="zh-CN" w:bidi="ar-SA"/>
        </w:rPr>
      </w:pPr>
      <w:r>
        <w:rPr>
          <w:rFonts w:ascii="楷体_GB2312" w:eastAsia="楷体_GB2312" w:cs="楷体_GB2312" w:hAnsi="楷体_GB2312" w:hint="eastAsia"/>
          <w:b w:val="0"/>
          <w:bCs w:val="0"/>
          <w:color w:val="000000"/>
          <w:spacing w:val="-4"/>
          <w:sz w:val="32"/>
          <w:szCs w:val="32"/>
          <w14:textFill>
            <w14:solidFill>
              <w14:srgbClr w14:val="000000"/>
            </w14:solidFill>
          </w14:textFill>
          <w:lang w:eastAsia="zh-CN" w:bidi="ar-SA"/>
        </w:rPr>
        <w:t>张</w:t>
      </w:r>
      <w:r>
        <w:rPr>
          <w:rFonts w:ascii="楷体_GB2312" w:eastAsia="楷体_GB2312" w:cs="楷体_GB2312" w:hAnsi="楷体_GB2312" w:hint="eastAsia"/>
          <w:b w:val="0"/>
          <w:bCs w:val="0"/>
          <w:color w:val="000000"/>
          <w:spacing w:val="-4"/>
          <w:sz w:val="32"/>
          <w:szCs w:val="32"/>
          <w14:textFill>
            <w14:solidFill>
              <w14:srgbClr w14:val="000000"/>
            </w14:solidFill>
          </w14:textFill>
          <w:lang w:val="en-US" w:eastAsia="zh-CN" w:bidi="ar-SA"/>
        </w:rPr>
        <w:t xml:space="preserve">  </w:t>
      </w:r>
      <w:r>
        <w:rPr>
          <w:rFonts w:ascii="楷体_GB2312" w:eastAsia="楷体_GB2312" w:cs="楷体_GB2312" w:hAnsi="楷体_GB2312" w:hint="eastAsia"/>
          <w:b w:val="0"/>
          <w:bCs w:val="0"/>
          <w:color w:val="000000"/>
          <w:spacing w:val="-4"/>
          <w:sz w:val="32"/>
          <w:szCs w:val="32"/>
          <w14:textFill>
            <w14:solidFill>
              <w14:srgbClr w14:val="000000"/>
            </w14:solidFill>
          </w14:textFill>
          <w:lang w:eastAsia="zh-CN" w:bidi="ar-SA"/>
        </w:rPr>
        <w:t>磊</w:t>
      </w:r>
    </w:p>
    <w:p>
      <w:pPr>
        <w:pStyle w:val="25"/>
        <w:keepNext w:val="0"/>
        <w:keepLines w:val="0"/>
        <w:pageBreakBefore w:val="0"/>
        <w:widowControl w:val="0"/>
        <w:kinsoku/>
        <w:wordWrap/>
        <w:topLinePunct w:val="0"/>
        <w:autoSpaceDE/>
        <w:autoSpaceDN/>
        <w:bidi w:val="0"/>
        <w:adjustRightInd/>
        <w:snapToGrid/>
        <w:spacing w:line="560" w:lineRule="exact"/>
        <w:rPr>
          <w:rFonts w:ascii="楷体_GB2312" w:eastAsia="楷体_GB2312" w:cs="楷体_GB2312" w:hAnsi="楷体_GB2312" w:hint="eastAsia"/>
          <w:b w:val="0"/>
          <w:bCs w:val="0"/>
          <w:color w:val="000000"/>
          <w:spacing w:val="-4"/>
          <w:sz w:val="32"/>
          <w:szCs w:val="32"/>
          <w14:textFill>
            <w14:solidFill>
              <w14:srgbClr w14:val="000000"/>
            </w14:solidFill>
          </w14:textFill>
          <w:lang w:eastAsia="zh-CN" w:bidi="ar-SA"/>
        </w:rPr>
      </w:pPr>
    </w:p>
    <w:p>
      <w:pPr>
        <w:keepNext w:val="0"/>
        <w:keepLines w:val="0"/>
        <w:pageBreakBefore w:val="0"/>
        <w:widowControl w:val="0"/>
        <w:kinsoku/>
        <w:wordWrap/>
        <w:overflowPunct/>
        <w:topLinePunct w:val="0"/>
        <w:autoSpaceDE/>
        <w:autoSpaceDN/>
        <w:bidi w:val="0"/>
        <w:adjustRightInd/>
        <w:snapToGrid/>
        <w:spacing w:after="0" w:line="560" w:lineRule="exact"/>
        <w:ind w:firstLineChars="200" w:firstLine="640"/>
        <w:textAlignment w:val="auto"/>
        <w:rPr>
          <w:rFonts w:ascii="仿宋_GB2312" w:eastAsia="仿宋_GB2312" w:cs="仿宋_GB2312" w:hAnsi="仿宋_GB2312" w:hint="eastAsia"/>
          <w:color w:val="000000"/>
          <w:sz w:val="32"/>
          <w:szCs w:val="32"/>
          <w:shd w:val="clear" w:color="auto" w:fill="FFFFFF"/>
          <w14:textFill>
            <w14:solidFill>
              <w14:srgbClr w14:val="000000"/>
            </w14:solidFill>
          </w14:textFill>
        </w:rPr>
      </w:pPr>
      <w:r>
        <w:rPr>
          <w:rFonts w:ascii="仿宋_GB2312" w:eastAsia="仿宋_GB2312" w:cs="仿宋_GB2312" w:hAnsi="仿宋_GB2312" w:hint="eastAsia"/>
          <w:color w:val="000000"/>
          <w:sz w:val="32"/>
          <w:szCs w:val="32"/>
          <w:shd w:val="clear" w:color="auto" w:fill="FFFFFF"/>
          <w14:textFill>
            <w14:solidFill>
              <w14:srgbClr w14:val="000000"/>
            </w14:solidFill>
          </w14:textFill>
          <w:lang w:val="en-US" w:eastAsia="zh-CN"/>
        </w:rPr>
        <w:t>2025年</w:t>
      </w:r>
      <w:r>
        <w:rPr>
          <w:rFonts w:ascii="仿宋_GB2312" w:eastAsia="仿宋_GB2312" w:cs="仿宋_GB2312" w:hAnsi="仿宋_GB2312" w:hint="eastAsia"/>
          <w:color w:val="000000"/>
          <w:sz w:val="32"/>
          <w:szCs w:val="32"/>
          <w:shd w:val="clear" w:color="auto" w:fill="FFFFFF"/>
          <w14:textFill>
            <w14:solidFill>
              <w14:srgbClr w14:val="000000"/>
            </w14:solidFill>
          </w14:textFill>
        </w:rPr>
        <w:t>，</w:t>
      </w:r>
      <w:r>
        <w:rPr>
          <w:rFonts w:ascii="仿宋_GB2312" w:eastAsia="仿宋_GB2312" w:cs="仿宋_GB2312" w:hAnsi="仿宋_GB2312" w:hint="eastAsia"/>
          <w:color w:val="000000"/>
          <w:sz w:val="32"/>
          <w:szCs w:val="32"/>
          <w:shd w:val="clear" w:color="auto" w:fill="FFFFFF"/>
          <w14:textFill>
            <w14:solidFill>
              <w14:srgbClr w14:val="000000"/>
            </w14:solidFill>
          </w14:textFill>
          <w:lang w:eastAsia="zh-CN"/>
        </w:rPr>
        <w:t>全</w:t>
      </w:r>
      <w:r>
        <w:rPr>
          <w:rFonts w:ascii="仿宋_GB2312" w:eastAsia="仿宋_GB2312" w:cs="仿宋_GB2312" w:hAnsi="仿宋_GB2312" w:hint="eastAsia"/>
          <w:color w:val="000000"/>
          <w:sz w:val="32"/>
          <w:szCs w:val="32"/>
          <w:shd w:val="clear" w:color="auto" w:fill="FFFFFF"/>
          <w14:textFill>
            <w14:solidFill>
              <w14:srgbClr w14:val="000000"/>
            </w14:solidFill>
          </w14:textFill>
        </w:rPr>
        <w:t>区</w:t>
      </w:r>
      <w:r>
        <w:rPr>
          <w:rFonts w:ascii="仿宋_GB2312" w:eastAsia="仿宋_GB2312" w:cs="仿宋_GB2312" w:hAnsi="仿宋_GB2312" w:hint="eastAsia"/>
          <w:color w:val="000000"/>
          <w:sz w:val="32"/>
          <w:szCs w:val="32"/>
          <w14:textFill>
            <w14:solidFill>
              <w14:srgbClr w14:val="000000"/>
            </w14:solidFill>
          </w14:textFill>
        </w:rPr>
        <w:t>坚持以习近平新时代中国特色社会主义思想为指导</w:t>
      </w:r>
      <w:r>
        <w:rPr>
          <w:rFonts w:ascii="仿宋_GB2312" w:eastAsia="仿宋_GB2312" w:cs="仿宋_GB2312" w:hAnsi="仿宋_GB2312" w:hint="eastAsia"/>
          <w:color w:val="000000"/>
          <w:sz w:val="32"/>
          <w:szCs w:val="32"/>
          <w14:textFill>
            <w14:solidFill>
              <w14:srgbClr w14:val="000000"/>
            </w14:solidFill>
          </w14:textFill>
          <w:lang w:eastAsia="zh-CN"/>
        </w:rPr>
        <w:t>，</w:t>
      </w:r>
      <w:r>
        <w:rPr>
          <w:rFonts w:ascii="仿宋_GB2312" w:eastAsia="仿宋_GB2312" w:cs="仿宋_GB2312" w:hAnsi="仿宋_GB2312" w:hint="eastAsia"/>
          <w:color w:val="000000"/>
          <w:sz w:val="32"/>
          <w:szCs w:val="32"/>
          <w14:textFill>
            <w14:solidFill>
              <w14:srgbClr w14:val="000000"/>
            </w14:solidFill>
          </w14:textFill>
        </w:rPr>
        <w:t>全面贯彻党的二十大和二十届历次全会精神</w:t>
      </w:r>
      <w:r>
        <w:rPr>
          <w:rFonts w:ascii="仿宋_GB2312" w:eastAsia="仿宋_GB2312" w:cs="仿宋_GB2312" w:hAnsi="仿宋_GB2312" w:hint="eastAsia"/>
          <w:color w:val="000000"/>
          <w:sz w:val="32"/>
          <w:szCs w:val="32"/>
          <w14:textFill>
            <w14:solidFill>
              <w14:srgbClr w14:val="000000"/>
            </w14:solidFill>
          </w14:textFill>
          <w:lang w:eastAsia="zh-CN"/>
        </w:rPr>
        <w:t>，</w:t>
      </w:r>
      <w:r>
        <w:rPr>
          <w:rFonts w:ascii="仿宋_GB2312" w:eastAsia="仿宋_GB2312" w:cs="仿宋_GB2312" w:hAnsi="仿宋_GB2312" w:hint="eastAsia"/>
          <w:color w:val="000000"/>
          <w:sz w:val="32"/>
          <w:szCs w:val="32"/>
          <w14:textFill>
            <w14:solidFill>
              <w14:srgbClr w14:val="000000"/>
            </w14:solidFill>
          </w14:textFill>
        </w:rPr>
        <w:t>深入学习贯彻习近平法治思想</w:t>
      </w:r>
      <w:r>
        <w:rPr>
          <w:rFonts w:ascii="仿宋_GB2312" w:eastAsia="仿宋_GB2312" w:cs="仿宋_GB2312" w:hAnsi="仿宋_GB2312" w:hint="eastAsia"/>
          <w:color w:val="000000"/>
          <w:sz w:val="32"/>
          <w:szCs w:val="32"/>
          <w14:textFill>
            <w14:solidFill>
              <w14:srgbClr w14:val="000000"/>
            </w14:solidFill>
          </w14:textFill>
          <w:lang w:eastAsia="zh-CN"/>
        </w:rPr>
        <w:t>，</w:t>
      </w:r>
      <w:r>
        <w:rPr>
          <w:rFonts w:ascii="仿宋_GB2312" w:eastAsia="仿宋_GB2312" w:cs="仿宋_GB2312" w:hAnsi="仿宋_GB2312" w:hint="eastAsia"/>
          <w:color w:val="000000"/>
          <w:sz w:val="32"/>
          <w:szCs w:val="32"/>
          <w:shd w:val="clear" w:color="auto" w:fill="FFFFFF"/>
          <w14:textFill>
            <w14:solidFill>
              <w14:srgbClr w14:val="000000"/>
            </w14:solidFill>
          </w14:textFill>
        </w:rPr>
        <w:t>紧扣全区中心工作，多措并举、狠抓落实，扎实推进法治政府建设，取得阶段性成效。</w:t>
      </w:r>
      <w:r>
        <w:rPr>
          <w:rStyle w:val="23"/>
          <w:rFonts w:ascii="仿宋_GB2312" w:eastAsia="仿宋_GB2312" w:cs="仿宋_GB2312" w:hAnsi="仿宋_GB2312" w:hint="eastAsia"/>
          <w:color w:val="000000"/>
          <w:sz w:val="32"/>
          <w:szCs w:val="32"/>
          <w:u w:val="none"/>
          <w:shd w:val="clear" w:color="auto" w:fill="FFFFFF"/>
          <w14:textFill>
            <w14:solidFill>
              <w14:srgbClr w14:val="000000"/>
            </w14:solidFill>
          </w14:textFill>
        </w:rPr>
        <w:t>现将工作情况汇报如下：</w:t>
      </w:r>
    </w:p>
    <w:p>
      <w:pPr>
        <w:keepNext w:val="0"/>
        <w:keepLines w:val="0"/>
        <w:pageBreakBefore w:val="0"/>
        <w:widowControl w:val="0"/>
        <w:numPr>
          <w:ilvl w:val="0"/>
          <w:numId w:val="1"/>
        </w:numPr>
        <w:kinsoku/>
        <w:wordWrap/>
        <w:overflowPunct/>
        <w:topLinePunct w:val="0"/>
        <w:autoSpaceDE/>
        <w:autoSpaceDN/>
        <w:bidi w:val="0"/>
        <w:adjustRightInd/>
        <w:snapToGrid/>
        <w:spacing w:after="0" w:line="560" w:lineRule="exact"/>
        <w:ind w:left="0" w:firstLine="640"/>
        <w:textAlignment w:val="auto"/>
        <w:rPr>
          <w:rFonts w:ascii="黑体" w:eastAsia="黑体" w:cs="黑体" w:hAnsi="黑体" w:hint="eastAsia"/>
          <w:color w:val="000000"/>
          <w:sz w:val="32"/>
          <w:szCs w:val="32"/>
          <w:shd w:val="clear" w:color="auto" w:fill="FFFFFF"/>
          <w14:textFill>
            <w14:solidFill>
              <w14:srgbClr w14:val="000000"/>
            </w14:solidFill>
          </w14:textFill>
        </w:rPr>
      </w:pPr>
      <w:r>
        <w:rPr>
          <w:rFonts w:ascii="黑体" w:eastAsia="黑体" w:cs="黑体" w:hAnsi="黑体" w:hint="eastAsia"/>
          <w:color w:val="000000"/>
          <w:sz w:val="32"/>
          <w:szCs w:val="32"/>
          <w:shd w:val="clear" w:color="auto" w:fill="FFFFFF"/>
          <w14:textFill>
            <w14:solidFill>
              <w14:srgbClr w14:val="000000"/>
            </w14:solidFill>
          </w14:textFill>
        </w:rPr>
        <w:t>锚定政治引领，筑牢法治建设根基</w:t>
      </w:r>
    </w:p>
    <w:p>
      <w:pPr>
        <w:keepNext w:val="0"/>
        <w:keepLines w:val="0"/>
        <w:pageBreakBefore w:val="0"/>
        <w:widowControl w:val="0"/>
        <w:kinsoku/>
        <w:wordWrap/>
        <w:overflowPunct/>
        <w:topLinePunct w:val="0"/>
        <w:autoSpaceDE/>
        <w:autoSpaceDN/>
        <w:bidi w:val="0"/>
        <w:adjustRightInd/>
        <w:snapToGrid/>
        <w:spacing w:after="0" w:line="560" w:lineRule="exact"/>
        <w:ind w:firstLineChars="200" w:firstLine="640"/>
        <w:textAlignment w:val="auto"/>
        <w:rPr>
          <w:rFonts w:ascii="仿宋_GB2312" w:eastAsia="仿宋_GB2312" w:cs="仿宋_GB2312" w:hAnsi="仿宋_GB2312" w:hint="eastAsia"/>
          <w:color w:val="000000"/>
          <w:sz w:val="32"/>
          <w:szCs w:val="32"/>
          <w14:textFill>
            <w14:solidFill>
              <w14:srgbClr w14:val="000000"/>
            </w14:solidFill>
          </w14:textFill>
        </w:rPr>
      </w:pPr>
      <w:r>
        <w:rPr>
          <w:rFonts w:ascii="楷体_GB2312" w:eastAsia="楷体_GB2312" w:cs="楷体_GB2312" w:hAnsi="楷体_GB2312" w:hint="eastAsia"/>
          <w:b/>
          <w:bCs/>
          <w:color w:val="000000"/>
          <w:kern w:val="0"/>
          <w:sz w:val="32"/>
          <w:szCs w:val="32"/>
          <w:shd w:val="clear" w:color="auto" w:fill="FFFFFF"/>
          <w14:textFill>
            <w14:solidFill>
              <w14:srgbClr w14:val="000000"/>
            </w14:solidFill>
          </w14:textFill>
        </w:rPr>
        <w:t>一是高位统筹，强化思想引领。</w:t>
      </w:r>
      <w:r>
        <w:rPr>
          <w:rFonts w:ascii="仿宋_GB2312" w:eastAsia="仿宋_GB2312" w:cs="仿宋_GB2312" w:hAnsi="仿宋_GB2312" w:hint="eastAsia"/>
          <w:color w:val="000000"/>
          <w:sz w:val="32"/>
          <w:szCs w:val="32"/>
          <w14:textFill>
            <w14:solidFill>
              <w14:srgbClr w14:val="000000"/>
            </w14:solidFill>
          </w14:textFill>
        </w:rPr>
        <w:t>将习近平法治思想作为领导干部学习培训的重要内容</w:t>
      </w:r>
      <w:r>
        <w:rPr>
          <w:rFonts w:ascii="仿宋_GB2312" w:eastAsia="仿宋_GB2312" w:cs="仿宋_GB2312" w:hAnsi="仿宋_GB2312" w:hint="eastAsia"/>
          <w:color w:val="000000"/>
          <w:sz w:val="32"/>
          <w:szCs w:val="32"/>
          <w14:textFill>
            <w14:solidFill>
              <w14:srgbClr w14:val="000000"/>
            </w14:solidFill>
          </w14:textFill>
          <w:lang w:eastAsia="zh-CN"/>
        </w:rPr>
        <w:t>，</w:t>
      </w:r>
      <w:r>
        <w:rPr>
          <w:rFonts w:ascii="仿宋_GB2312" w:eastAsia="仿宋_GB2312" w:cs="仿宋_GB2312" w:hAnsi="仿宋_GB2312" w:hint="eastAsia"/>
          <w:color w:val="000000"/>
          <w:sz w:val="32"/>
          <w:szCs w:val="32"/>
          <w14:textFill>
            <w14:solidFill>
              <w14:srgbClr w14:val="000000"/>
            </w14:solidFill>
          </w14:textFill>
        </w:rPr>
        <w:t>严格落实常务会会前学法等制度，由领导干部带头学习贯彻习近平法治思想，切实提升全区各级领导干部运用法治思维和法治方式深化改革、推动发展、化解矛盾、维护稳定和应对风险的能力。从根本上筑牢领导干部法治观念，以“关键少数”引领“绝大多数”严格依法行政。</w:t>
      </w:r>
      <w:r>
        <w:rPr>
          <w:rFonts w:ascii="楷体_GB2312" w:eastAsia="楷体_GB2312" w:cs="楷体_GB2312" w:hAnsi="楷体_GB2312" w:hint="eastAsia"/>
          <w:b/>
          <w:bCs/>
          <w:color w:val="000000"/>
          <w:kern w:val="0"/>
          <w:sz w:val="32"/>
          <w:szCs w:val="32"/>
          <w:shd w:val="clear" w:color="auto" w:fill="FFFFFF"/>
          <w14:textFill>
            <w14:solidFill>
              <w14:srgbClr w14:val="000000"/>
            </w14:solidFill>
          </w14:textFill>
        </w:rPr>
        <w:t>二是完善制度保障体系。</w:t>
      </w:r>
      <w:r>
        <w:rPr>
          <w:rFonts w:ascii="仿宋_GB2312" w:eastAsia="仿宋_GB2312" w:cs="仿宋_GB2312" w:hAnsi="仿宋_GB2312" w:hint="eastAsia"/>
          <w:color w:val="000000"/>
          <w:sz w:val="32"/>
          <w:szCs w:val="32"/>
          <w14:textFill>
            <w14:solidFill>
              <w14:srgbClr w14:val="000000"/>
            </w14:solidFill>
          </w14:textFill>
        </w:rPr>
        <w:t>严格执行《石家庄市栾城区法治政府建设实施方案（2021—2025年）》，健全协调推进、督导落实机制，构建区委领导、政府主抓、部门协同的工作格局，推动政府各项工作纳入法治轨道。</w:t>
      </w:r>
      <w:r>
        <w:rPr>
          <w:rFonts w:ascii="楷体_GB2312" w:eastAsia="楷体_GB2312" w:cs="楷体_GB2312" w:hAnsi="楷体_GB2312" w:hint="eastAsia"/>
          <w:b/>
          <w:bCs/>
          <w:color w:val="000000"/>
          <w:kern w:val="0"/>
          <w:sz w:val="32"/>
          <w:szCs w:val="32"/>
          <w:shd w:val="clear" w:color="auto" w:fill="FFFFFF"/>
          <w14:textFill>
            <w14:solidFill>
              <w14:srgbClr w14:val="000000"/>
            </w14:solidFill>
          </w14:textFill>
        </w:rPr>
        <w:t>三是压实主体责任链条。</w:t>
      </w:r>
      <w:r>
        <w:rPr>
          <w:rFonts w:ascii="仿宋_GB2312" w:eastAsia="仿宋_GB2312" w:cs="仿宋_GB2312" w:hAnsi="仿宋_GB2312" w:hint="eastAsia"/>
          <w:color w:val="000000"/>
          <w:sz w:val="32"/>
          <w:szCs w:val="32"/>
          <w14:textFill>
            <w14:solidFill>
              <w14:srgbClr w14:val="000000"/>
            </w14:solidFill>
          </w14:textFill>
        </w:rPr>
        <w:t>牢固树立重视法治、狠抓落实的鲜明导向，完善行政执法责任制，明确行政执法机关执法主体责任，积极推动开展规范涉企行政执法专项行动。同时全力配合</w:t>
      </w:r>
      <w:r>
        <w:rPr>
          <w:rFonts w:ascii="仿宋_GB2312" w:eastAsia="仿宋_GB2312" w:cs="仿宋_GB2312" w:hAnsi="仿宋_GB2312" w:hint="eastAsia"/>
          <w:color w:val="000000"/>
          <w:sz w:val="32"/>
          <w:szCs w:val="32"/>
          <w14:textFill>
            <w14:solidFill>
              <w14:srgbClr w14:val="000000"/>
            </w14:solidFill>
          </w14:textFill>
          <w:lang w:val="en-US" w:eastAsia="zh-CN"/>
        </w:rPr>
        <w:t>石家庄市</w:t>
      </w:r>
      <w:r>
        <w:rPr>
          <w:rFonts w:ascii="仿宋_GB2312" w:eastAsia="仿宋_GB2312" w:cs="仿宋_GB2312" w:hAnsi="仿宋_GB2312" w:hint="eastAsia"/>
          <w:color w:val="000000"/>
          <w:sz w:val="32"/>
          <w:szCs w:val="32"/>
          <w14:textFill>
            <w14:solidFill>
              <w14:srgbClr w14:val="000000"/>
            </w14:solidFill>
          </w14:textFill>
        </w:rPr>
        <w:t>创建全国法治政府示范</w:t>
      </w:r>
      <w:r>
        <w:rPr>
          <w:rFonts w:ascii="仿宋_GB2312" w:eastAsia="仿宋_GB2312" w:cs="仿宋_GB2312" w:hAnsi="仿宋_GB2312" w:hint="eastAsia"/>
          <w:color w:val="000000"/>
          <w:sz w:val="32"/>
          <w:szCs w:val="32"/>
          <w14:textFill>
            <w14:solidFill>
              <w14:srgbClr w14:val="000000"/>
            </w14:solidFill>
          </w14:textFill>
          <w:lang w:val="en-US" w:eastAsia="zh-CN"/>
        </w:rPr>
        <w:t>市工作</w:t>
      </w:r>
      <w:r>
        <w:rPr>
          <w:rFonts w:ascii="仿宋_GB2312" w:eastAsia="仿宋_GB2312" w:cs="仿宋_GB2312" w:hAnsi="仿宋_GB2312" w:hint="eastAsia"/>
          <w:color w:val="000000"/>
          <w:sz w:val="32"/>
          <w:szCs w:val="32"/>
          <w14:textFill>
            <w14:solidFill>
              <w14:srgbClr w14:val="000000"/>
            </w14:solidFill>
          </w14:textFill>
        </w:rPr>
        <w:t>，着力营造尊法学法守法用法的浓厚氛围。</w:t>
      </w:r>
    </w:p>
    <w:p>
      <w:pPr>
        <w:keepNext w:val="0"/>
        <w:keepLines w:val="0"/>
        <w:pageBreakBefore w:val="0"/>
        <w:widowControl w:val="0"/>
        <w:kinsoku/>
        <w:wordWrap/>
        <w:overflowPunct/>
        <w:topLinePunct w:val="0"/>
        <w:autoSpaceDE/>
        <w:autoSpaceDN/>
        <w:bidi w:val="0"/>
        <w:adjustRightInd/>
        <w:snapToGrid/>
        <w:spacing w:after="0" w:line="560" w:lineRule="exact"/>
        <w:ind w:firstLineChars="200" w:firstLine="640"/>
        <w:textAlignment w:val="auto"/>
        <w:rPr>
          <w:rFonts w:ascii="黑体" w:eastAsia="黑体" w:cs="黑体" w:hAnsi="黑体" w:hint="eastAsia"/>
          <w:color w:val="000000"/>
          <w:sz w:val="32"/>
          <w:szCs w:val="32"/>
          <w:shd w:val="clear" w:color="auto" w:fill="FFFFFF"/>
          <w14:textFill>
            <w14:solidFill>
              <w14:srgbClr w14:val="000000"/>
            </w14:solidFill>
          </w14:textFill>
        </w:rPr>
      </w:pPr>
      <w:r>
        <w:rPr>
          <w:rFonts w:ascii="黑体" w:eastAsia="黑体" w:cs="黑体" w:hAnsi="黑体"/>
          <w:color w:val="000000"/>
          <w:sz w:val="32"/>
          <w:szCs w:val="32"/>
          <w:shd w:val="clear" w:color="auto" w:fill="FFFFFF"/>
          <w14:textFill>
            <w14:solidFill>
              <w14:srgbClr w14:val="000000"/>
            </w14:solidFill>
          </w14:textFill>
        </w:rPr>
        <w:t>二</w:t>
      </w:r>
      <w:r>
        <w:rPr>
          <w:rFonts w:ascii="黑体" w:eastAsia="黑体" w:cs="黑体" w:hAnsi="黑体" w:hint="eastAsia"/>
          <w:color w:val="000000"/>
          <w:sz w:val="32"/>
          <w:szCs w:val="32"/>
          <w:shd w:val="clear" w:color="auto" w:fill="FFFFFF"/>
          <w14:textFill>
            <w14:solidFill>
              <w14:srgbClr w14:val="000000"/>
            </w14:solidFill>
          </w14:textFill>
        </w:rPr>
        <w:t>、</w:t>
      </w:r>
      <w:r>
        <w:rPr>
          <w:rFonts w:ascii="黑体" w:eastAsia="黑体" w:cs="黑体" w:hAnsi="黑体"/>
          <w:color w:val="000000"/>
          <w:sz w:val="32"/>
          <w:szCs w:val="32"/>
          <w:shd w:val="clear" w:color="auto" w:fill="FFFFFF"/>
          <w14:textFill>
            <w14:solidFill>
              <w14:srgbClr w14:val="000000"/>
            </w14:solidFill>
          </w14:textFill>
        </w:rPr>
        <w:t>规范决策行为</w:t>
      </w:r>
      <w:r>
        <w:rPr>
          <w:rFonts w:ascii="黑体" w:eastAsia="黑体" w:cs="黑体" w:hAnsi="黑体" w:hint="eastAsia"/>
          <w:color w:val="000000"/>
          <w:sz w:val="32"/>
          <w:szCs w:val="32"/>
          <w:shd w:val="clear" w:color="auto" w:fill="FFFFFF"/>
          <w14:textFill>
            <w14:solidFill>
              <w14:srgbClr w14:val="000000"/>
            </w14:solidFill>
          </w14:textFill>
        </w:rPr>
        <w:t>，提升</w:t>
      </w:r>
      <w:r>
        <w:rPr>
          <w:rFonts w:ascii="黑体" w:eastAsia="黑体" w:cs="黑体" w:hAnsi="黑体"/>
          <w:color w:val="000000"/>
          <w:sz w:val="32"/>
          <w:szCs w:val="32"/>
          <w:shd w:val="clear" w:color="auto" w:fill="FFFFFF"/>
          <w14:textFill>
            <w14:solidFill>
              <w14:srgbClr w14:val="000000"/>
            </w14:solidFill>
          </w14:textFill>
        </w:rPr>
        <w:t>行政决策质效</w:t>
      </w:r>
    </w:p>
    <w:p>
      <w:pPr>
        <w:keepNext w:val="0"/>
        <w:keepLines w:val="0"/>
        <w:pageBreakBefore w:val="0"/>
        <w:widowControl w:val="0"/>
        <w:kinsoku/>
        <w:wordWrap/>
        <w:overflowPunct/>
        <w:topLinePunct w:val="0"/>
        <w:autoSpaceDE/>
        <w:autoSpaceDN/>
        <w:bidi w:val="0"/>
        <w:adjustRightInd/>
        <w:snapToGrid/>
        <w:spacing w:after="0" w:line="560" w:lineRule="exact"/>
        <w:ind w:firstLineChars="200" w:firstLine="640"/>
        <w:textAlignment w:val="auto"/>
        <w:rPr>
          <w:rFonts w:ascii="仿宋_GB2312" w:eastAsia="仿宋_GB2312" w:cs="仿宋_GB2312" w:hAnsi="仿宋_GB2312" w:hint="eastAsia"/>
          <w:color w:val="000000"/>
          <w:sz w:val="32"/>
          <w:szCs w:val="32"/>
          <w14:textFill>
            <w14:solidFill>
              <w14:srgbClr w14:val="000000"/>
            </w14:solidFill>
          </w14:textFill>
        </w:rPr>
      </w:pPr>
      <w:r>
        <w:rPr>
          <w:rFonts w:ascii="楷体_GB2312" w:eastAsia="楷体_GB2312" w:cs="楷体_GB2312" w:hAnsi="楷体_GB2312" w:hint="eastAsia"/>
          <w:b/>
          <w:bCs/>
          <w:color w:val="000000"/>
          <w:kern w:val="0"/>
          <w:sz w:val="32"/>
          <w:szCs w:val="32"/>
          <w:shd w:val="clear" w:color="auto" w:fill="FFFFFF"/>
          <w14:textFill>
            <w14:solidFill>
              <w14:srgbClr w14:val="000000"/>
            </w14:solidFill>
          </w14:textFill>
        </w:rPr>
        <w:t>一是严格规范性文件管理。</w:t>
      </w:r>
      <w:r>
        <w:rPr>
          <w:rFonts w:ascii="仿宋_GB2312" w:eastAsia="仿宋_GB2312" w:cs="仿宋_GB2312" w:hAnsi="仿宋_GB2312" w:hint="eastAsia"/>
          <w:color w:val="000000"/>
          <w:sz w:val="32"/>
          <w:szCs w:val="32"/>
          <w14:textFill>
            <w14:solidFill>
              <w14:srgbClr w14:val="000000"/>
            </w14:solidFill>
          </w14:textFill>
        </w:rPr>
        <w:t>组织开展规范性文件清理工作，确定继续有效的规范性文件9件，废止失效3件。</w:t>
      </w:r>
      <w:r>
        <w:rPr>
          <w:rFonts w:ascii="仿宋_GB2312" w:eastAsia="仿宋_GB2312" w:cs="仿宋_GB2312" w:hAnsi="仿宋_GB2312" w:hint="eastAsia"/>
          <w:color w:val="000000"/>
          <w:sz w:val="32"/>
          <w:szCs w:val="32"/>
          <w14:textFill>
            <w14:solidFill>
              <w14:srgbClr w14:val="000000"/>
            </w14:solidFill>
          </w14:textFill>
          <w:lang w:val="en-US" w:eastAsia="zh-CN"/>
        </w:rPr>
        <w:t>2025年</w:t>
      </w:r>
      <w:r>
        <w:rPr>
          <w:rFonts w:ascii="仿宋_GB2312" w:eastAsia="仿宋_GB2312" w:cs="仿宋_GB2312" w:hAnsi="仿宋_GB2312" w:hint="eastAsia"/>
          <w:color w:val="000000"/>
          <w:sz w:val="32"/>
          <w:szCs w:val="32"/>
          <w14:textFill>
            <w14:solidFill>
              <w14:srgbClr w14:val="000000"/>
            </w14:solidFill>
          </w14:textFill>
        </w:rPr>
        <w:t>出台规范性文件3件，合法性审查率和报备率均为100%，确保文件合法合规。</w:t>
      </w:r>
      <w:r>
        <w:rPr>
          <w:rFonts w:ascii="楷体_GB2312" w:eastAsia="楷体_GB2312" w:cs="楷体_GB2312" w:hAnsi="楷体_GB2312" w:hint="eastAsia"/>
          <w:b/>
          <w:bCs/>
          <w:color w:val="000000"/>
          <w:kern w:val="0"/>
          <w:sz w:val="32"/>
          <w:szCs w:val="32"/>
          <w:shd w:val="clear" w:color="auto" w:fill="FFFFFF"/>
          <w14:textFill>
            <w14:solidFill>
              <w14:srgbClr w14:val="000000"/>
            </w14:solidFill>
          </w14:textFill>
        </w:rPr>
        <w:t>二是严格重大行政决策程序。</w:t>
      </w:r>
      <w:r>
        <w:rPr>
          <w:rFonts w:ascii="仿宋_GB2312" w:eastAsia="仿宋_GB2312" w:cs="仿宋_GB2312" w:hAnsi="仿宋_GB2312" w:hint="eastAsia"/>
          <w:color w:val="000000"/>
          <w:sz w:val="32"/>
          <w:szCs w:val="32"/>
          <w14:textFill>
            <w14:solidFill>
              <w14:srgbClr w14:val="000000"/>
            </w14:solidFill>
          </w14:textFill>
        </w:rPr>
        <w:t>严格落实公众参与、专家论证、风险评估、合法性审查、集体讨论等法定程序，征集重大行政决策3项，并纳入年度重大行政决策目录。</w:t>
      </w:r>
      <w:r>
        <w:rPr>
          <w:rFonts w:ascii="仿宋_GB2312" w:eastAsia="仿宋_GB2312" w:cs="仿宋_GB2312" w:hAnsi="仿宋_GB2312" w:hint="eastAsia"/>
          <w:color w:val="000000"/>
          <w:sz w:val="32"/>
          <w:szCs w:val="32"/>
          <w14:textFill>
            <w14:solidFill>
              <w14:srgbClr w14:val="000000"/>
            </w14:solidFill>
          </w14:textFill>
          <w:lang w:val="en-US" w:eastAsia="zh-CN"/>
        </w:rPr>
        <w:t>2025年共</w:t>
      </w:r>
      <w:r>
        <w:rPr>
          <w:rFonts w:ascii="仿宋_GB2312" w:eastAsia="仿宋_GB2312" w:cs="仿宋_GB2312" w:hAnsi="仿宋_GB2312" w:hint="eastAsia"/>
          <w:color w:val="000000"/>
          <w:sz w:val="32"/>
          <w:szCs w:val="32"/>
          <w14:textFill>
            <w14:solidFill>
              <w14:srgbClr w14:val="000000"/>
            </w14:solidFill>
          </w14:textFill>
        </w:rPr>
        <w:t>审查常务会议题及部门文件23件，提出法律意见50余条，有效防范了决策风险。</w:t>
      </w:r>
      <w:r>
        <w:rPr>
          <w:rFonts w:ascii="楷体_GB2312" w:eastAsia="楷体_GB2312" w:cs="楷体_GB2312" w:hAnsi="楷体_GB2312" w:hint="eastAsia"/>
          <w:b/>
          <w:bCs/>
          <w:color w:val="000000"/>
          <w:kern w:val="0"/>
          <w:sz w:val="32"/>
          <w:szCs w:val="32"/>
          <w:shd w:val="clear" w:color="auto" w:fill="FFFFFF"/>
          <w14:textFill>
            <w14:solidFill>
              <w14:srgbClr w14:val="000000"/>
            </w14:solidFill>
          </w14:textFill>
        </w:rPr>
        <w:t>三是强化决策法律支撑。</w:t>
      </w:r>
      <w:r>
        <w:rPr>
          <w:rFonts w:ascii="仿宋_GB2312" w:eastAsia="仿宋_GB2312" w:cs="仿宋_GB2312" w:hAnsi="仿宋_GB2312" w:hint="eastAsia"/>
          <w:color w:val="000000"/>
          <w:sz w:val="32"/>
          <w:szCs w:val="32"/>
          <w14:textFill>
            <w14:solidFill>
              <w14:srgbClr w14:val="000000"/>
            </w14:solidFill>
          </w14:textFill>
        </w:rPr>
        <w:t>区政府及各部门均实现法律顾问全覆盖，全区各部门、各乡镇均聘请了法律顾问，同时9名公职律师也为全区各部门决策积极提供法律意见，政府依法决策有了强有力的法律支撑。</w:t>
      </w:r>
    </w:p>
    <w:p>
      <w:pPr>
        <w:keepNext w:val="0"/>
        <w:keepLines w:val="0"/>
        <w:pageBreakBefore w:val="0"/>
        <w:widowControl w:val="0"/>
        <w:kinsoku/>
        <w:wordWrap/>
        <w:overflowPunct/>
        <w:topLinePunct w:val="0"/>
        <w:autoSpaceDE/>
        <w:autoSpaceDN/>
        <w:bidi w:val="0"/>
        <w:adjustRightInd/>
        <w:snapToGrid/>
        <w:spacing w:after="0" w:line="560" w:lineRule="exact"/>
        <w:ind w:firstLineChars="200" w:firstLine="640"/>
        <w:textAlignment w:val="auto"/>
        <w:rPr>
          <w:rFonts w:ascii="黑体" w:eastAsia="黑体" w:cs="黑体" w:hAnsi="黑体" w:hint="eastAsia"/>
          <w:color w:val="000000"/>
          <w:sz w:val="32"/>
          <w:szCs w:val="32"/>
          <w:shd w:val="clear" w:color="auto" w:fill="FFFFFF"/>
          <w14:textFill>
            <w14:solidFill>
              <w14:srgbClr w14:val="000000"/>
            </w14:solidFill>
          </w14:textFill>
        </w:rPr>
      </w:pPr>
      <w:r>
        <w:rPr>
          <w:rFonts w:ascii="黑体" w:eastAsia="黑体" w:cs="黑体" w:hAnsi="黑体"/>
          <w:color w:val="000000"/>
          <w:sz w:val="32"/>
          <w:szCs w:val="32"/>
          <w:shd w:val="clear" w:color="auto" w:fill="FFFFFF"/>
          <w14:textFill>
            <w14:solidFill>
              <w14:srgbClr w14:val="000000"/>
            </w14:solidFill>
          </w14:textFill>
        </w:rPr>
        <w:t>三</w:t>
      </w:r>
      <w:r>
        <w:rPr>
          <w:rFonts w:ascii="黑体" w:eastAsia="黑体" w:cs="黑体" w:hAnsi="黑体" w:hint="eastAsia"/>
          <w:color w:val="000000"/>
          <w:sz w:val="32"/>
          <w:szCs w:val="32"/>
          <w:shd w:val="clear" w:color="auto" w:fill="FFFFFF"/>
          <w14:textFill>
            <w14:solidFill>
              <w14:srgbClr w14:val="000000"/>
            </w14:solidFill>
          </w14:textFill>
        </w:rPr>
        <w:t>、深化</w:t>
      </w:r>
      <w:r>
        <w:rPr>
          <w:rFonts w:ascii="黑体" w:eastAsia="黑体" w:cs="黑体" w:hAnsi="黑体"/>
          <w:color w:val="000000"/>
          <w:sz w:val="32"/>
          <w:szCs w:val="32"/>
          <w:shd w:val="clear" w:color="auto" w:fill="FFFFFF"/>
          <w14:textFill>
            <w14:solidFill>
              <w14:srgbClr w14:val="000000"/>
            </w14:solidFill>
          </w14:textFill>
        </w:rPr>
        <w:t>政务服务</w:t>
      </w:r>
      <w:bookmarkStart w:id="0" w:name="_GoBack"/>
      <w:bookmarkEnd w:id="0"/>
      <w:r>
        <w:rPr>
          <w:rFonts w:ascii="黑体" w:eastAsia="黑体" w:cs="黑体" w:hAnsi="黑体" w:hint="eastAsia"/>
          <w:color w:val="000000"/>
          <w:sz w:val="32"/>
          <w:szCs w:val="32"/>
          <w:shd w:val="clear" w:color="auto" w:fill="FFFFFF"/>
          <w14:textFill>
            <w14:solidFill>
              <w14:srgbClr w14:val="000000"/>
            </w14:solidFill>
          </w14:textFill>
        </w:rPr>
        <w:t>改革，优化营商环境</w:t>
      </w:r>
    </w:p>
    <w:p>
      <w:pPr>
        <w:keepNext w:val="0"/>
        <w:keepLines w:val="0"/>
        <w:pageBreakBefore w:val="0"/>
        <w:widowControl w:val="0"/>
        <w:kinsoku/>
        <w:wordWrap/>
        <w:overflowPunct/>
        <w:topLinePunct w:val="0"/>
        <w:autoSpaceDE/>
        <w:autoSpaceDN/>
        <w:bidi w:val="0"/>
        <w:adjustRightInd/>
        <w:snapToGrid/>
        <w:spacing w:after="0" w:line="560" w:lineRule="exact"/>
        <w:ind w:firstLineChars="200" w:firstLine="640"/>
        <w:textAlignment w:val="auto"/>
        <w:rPr>
          <w:rFonts w:ascii="仿宋_GB2312" w:eastAsia="仿宋_GB2312" w:cs="仿宋_GB2312" w:hAnsi="仿宋_GB2312" w:hint="eastAsia"/>
          <w:color w:val="000000"/>
          <w:sz w:val="32"/>
          <w:szCs w:val="32"/>
          <w14:textFill>
            <w14:solidFill>
              <w14:srgbClr w14:val="000000"/>
            </w14:solidFill>
          </w14:textFill>
        </w:rPr>
      </w:pPr>
      <w:r>
        <w:rPr>
          <w:rFonts w:ascii="楷体_GB2312" w:eastAsia="楷体_GB2312" w:cs="楷体_GB2312" w:hAnsi="楷体_GB2312" w:hint="eastAsia"/>
          <w:b/>
          <w:bCs/>
          <w:color w:val="000000"/>
          <w:kern w:val="0"/>
          <w:sz w:val="32"/>
          <w:szCs w:val="32"/>
          <w:shd w:val="clear" w:color="auto" w:fill="FFFFFF"/>
          <w14:textFill>
            <w14:solidFill>
              <w14:srgbClr w14:val="000000"/>
            </w14:solidFill>
          </w14:textFill>
        </w:rPr>
        <w:t>一是提升政务服务效能。</w:t>
      </w:r>
      <w:r>
        <w:rPr>
          <w:rFonts w:ascii="仿宋_GB2312" w:eastAsia="仿宋_GB2312" w:cs="仿宋_GB2312" w:hAnsi="仿宋_GB2312" w:hint="eastAsia"/>
          <w:color w:val="000000"/>
          <w:sz w:val="32"/>
          <w:szCs w:val="32"/>
          <w14:textFill>
            <w14:solidFill>
              <w14:srgbClr w14:val="000000"/>
            </w14:solidFill>
          </w14:textFill>
        </w:rPr>
        <w:t>推行“互联网+政务服务”新模式，全区政务服务事项网上可办率达100%。截至目前，我区三级四通平台1364项行政审批事项已全部实现全流程网上办理。</w:t>
      </w:r>
      <w:r>
        <w:rPr>
          <w:rFonts w:ascii="楷体_GB2312" w:eastAsia="楷体_GB2312" w:cs="楷体_GB2312" w:hAnsi="楷体_GB2312" w:hint="eastAsia"/>
          <w:b/>
          <w:bCs/>
          <w:color w:val="000000"/>
          <w:kern w:val="0"/>
          <w:sz w:val="32"/>
          <w:szCs w:val="32"/>
          <w:shd w:val="clear" w:color="auto" w:fill="FFFFFF"/>
          <w14:textFill>
            <w14:solidFill>
              <w14:srgbClr w14:val="000000"/>
            </w14:solidFill>
          </w14:textFill>
        </w:rPr>
        <w:t>二是创新行政执法模式。</w:t>
      </w:r>
      <w:r>
        <w:rPr>
          <w:rFonts w:ascii="仿宋_GB2312" w:eastAsia="仿宋_GB2312" w:cs="仿宋_GB2312" w:hAnsi="仿宋_GB2312" w:hint="eastAsia"/>
          <w:color w:val="000000"/>
          <w:sz w:val="32"/>
          <w:szCs w:val="32"/>
          <w14:textFill>
            <w14:solidFill>
              <w14:srgbClr w14:val="000000"/>
            </w14:solidFill>
          </w14:textFill>
        </w:rPr>
        <w:t>推进“双随机、一公开”监管与企业信用风险分类管理深度融合，拓展“一业一查”联合抽查模式，联合相关部门开展联合检查，实现“进一次门、查多项事”。</w:t>
      </w:r>
      <w:r>
        <w:rPr>
          <w:rFonts w:ascii="楷体_GB2312" w:eastAsia="楷体_GB2312" w:cs="楷体_GB2312" w:hAnsi="楷体_GB2312" w:hint="eastAsia"/>
          <w:b/>
          <w:bCs/>
          <w:color w:val="000000"/>
          <w:kern w:val="0"/>
          <w:sz w:val="32"/>
          <w:szCs w:val="32"/>
          <w:shd w:val="clear" w:color="auto" w:fill="FFFFFF"/>
          <w14:textFill>
            <w14:solidFill>
              <w14:srgbClr w14:val="000000"/>
            </w14:solidFill>
          </w14:textFill>
        </w:rPr>
        <w:t>三是严格规范涉企行政检查。</w:t>
      </w:r>
      <w:r>
        <w:rPr>
          <w:rFonts w:ascii="仿宋_GB2312" w:eastAsia="仿宋_GB2312" w:cs="仿宋_GB2312" w:hAnsi="仿宋_GB2312" w:hint="eastAsia"/>
          <w:color w:val="000000"/>
          <w:sz w:val="32"/>
          <w:szCs w:val="32"/>
          <w14:textFill>
            <w14:solidFill>
              <w14:srgbClr w14:val="000000"/>
            </w14:solidFill>
          </w14:textFill>
        </w:rPr>
        <w:t>梳理入企检查主体和事项并向社会公开，严格控制入企检查频次，严禁不具备主体资格的组织实施行政检查。依托“扫码入企”平台，全面推广“扫码入企”新模式，使入企检查更加透明。2025年入企检查次数较去年下降约40%。同时推行柔性执法，对300余项首次违法、危害轻微并及时改正的行为实施柔性执法，依法不予行政处罚，切实减轻企业负担，打造公平透明的营商环境。</w:t>
      </w:r>
    </w:p>
    <w:p>
      <w:pPr>
        <w:keepNext w:val="0"/>
        <w:keepLines w:val="0"/>
        <w:pageBreakBefore w:val="0"/>
        <w:widowControl w:val="0"/>
        <w:kinsoku/>
        <w:wordWrap/>
        <w:overflowPunct/>
        <w:topLinePunct w:val="0"/>
        <w:autoSpaceDE/>
        <w:autoSpaceDN/>
        <w:bidi w:val="0"/>
        <w:adjustRightInd/>
        <w:snapToGrid/>
        <w:spacing w:after="0" w:line="560" w:lineRule="exact"/>
        <w:ind w:firstLineChars="200" w:firstLine="640"/>
        <w:textAlignment w:val="auto"/>
        <w:rPr>
          <w:rFonts w:ascii="黑体" w:eastAsia="黑体" w:cs="黑体" w:hAnsi="黑体" w:hint="eastAsia"/>
          <w:color w:val="000000"/>
          <w:sz w:val="32"/>
          <w:szCs w:val="32"/>
          <w:shd w:val="clear" w:color="auto" w:fill="FFFFFF"/>
          <w14:textFill>
            <w14:solidFill>
              <w14:srgbClr w14:val="000000"/>
            </w14:solidFill>
          </w14:textFill>
        </w:rPr>
      </w:pPr>
      <w:r>
        <w:rPr>
          <w:rFonts w:ascii="黑体" w:eastAsia="黑体" w:cs="黑体" w:hAnsi="黑体" w:hint="eastAsia"/>
          <w:color w:val="000000"/>
          <w:sz w:val="32"/>
          <w:szCs w:val="32"/>
          <w:shd w:val="clear" w:color="auto" w:fill="FFFFFF"/>
          <w14:textFill>
            <w14:solidFill>
              <w14:srgbClr w14:val="000000"/>
            </w14:solidFill>
          </w14:textFill>
        </w:rPr>
        <w:t>四、</w:t>
      </w:r>
      <w:r>
        <w:rPr>
          <w:rFonts w:ascii="黑体" w:eastAsia="黑体" w:cs="黑体" w:hAnsi="黑体"/>
          <w:color w:val="000000"/>
          <w:sz w:val="32"/>
          <w:szCs w:val="32"/>
          <w:shd w:val="clear" w:color="auto" w:fill="FFFFFF"/>
          <w14:textFill>
            <w14:solidFill>
              <w14:srgbClr w14:val="000000"/>
            </w14:solidFill>
          </w14:textFill>
        </w:rPr>
        <w:t>规范执法行为</w:t>
      </w:r>
      <w:r>
        <w:rPr>
          <w:rFonts w:ascii="黑体" w:eastAsia="黑体" w:cs="黑体" w:hAnsi="黑体" w:hint="eastAsia"/>
          <w:color w:val="000000"/>
          <w:sz w:val="32"/>
          <w:szCs w:val="32"/>
          <w:shd w:val="clear" w:color="auto" w:fill="FFFFFF"/>
          <w14:textFill>
            <w14:solidFill>
              <w14:srgbClr w14:val="000000"/>
            </w14:solidFill>
          </w14:textFill>
        </w:rPr>
        <w:t>，维护社会公平</w:t>
      </w:r>
      <w:r>
        <w:rPr>
          <w:rFonts w:ascii="黑体" w:eastAsia="黑体" w:cs="黑体" w:hAnsi="黑体"/>
          <w:color w:val="000000"/>
          <w:sz w:val="32"/>
          <w:szCs w:val="32"/>
          <w:shd w:val="clear" w:color="auto" w:fill="FFFFFF"/>
          <w14:textFill>
            <w14:solidFill>
              <w14:srgbClr w14:val="000000"/>
            </w14:solidFill>
          </w14:textFill>
        </w:rPr>
        <w:t>正义</w:t>
      </w:r>
    </w:p>
    <w:p>
      <w:pPr>
        <w:keepNext w:val="0"/>
        <w:keepLines w:val="0"/>
        <w:pageBreakBefore w:val="0"/>
        <w:widowControl w:val="0"/>
        <w:kinsoku/>
        <w:wordWrap/>
        <w:overflowPunct/>
        <w:topLinePunct w:val="0"/>
        <w:autoSpaceDE/>
        <w:autoSpaceDN/>
        <w:bidi w:val="0"/>
        <w:adjustRightInd/>
        <w:snapToGrid/>
        <w:spacing w:after="0" w:line="560" w:lineRule="exact"/>
        <w:ind w:firstLineChars="200" w:firstLine="640"/>
        <w:textAlignment w:val="auto"/>
        <w:rPr>
          <w:rFonts w:ascii="仿宋_GB2312" w:eastAsia="仿宋_GB2312" w:cs="仿宋_GB2312" w:hAnsi="仿宋_GB2312" w:hint="eastAsia"/>
          <w:color w:val="000000"/>
          <w:sz w:val="32"/>
          <w:szCs w:val="32"/>
          <w14:textFill>
            <w14:solidFill>
              <w14:srgbClr w14:val="000000"/>
            </w14:solidFill>
          </w14:textFill>
        </w:rPr>
      </w:pPr>
      <w:r>
        <w:rPr>
          <w:rFonts w:ascii="楷体_GB2312" w:eastAsia="楷体_GB2312" w:cs="楷体_GB2312" w:hAnsi="楷体_GB2312" w:hint="eastAsia"/>
          <w:b/>
          <w:bCs/>
          <w:color w:val="000000"/>
          <w:kern w:val="0"/>
          <w:sz w:val="32"/>
          <w:szCs w:val="32"/>
          <w:shd w:val="clear" w:color="auto" w:fill="FFFFFF"/>
          <w14:textFill>
            <w14:solidFill>
              <w14:srgbClr w14:val="000000"/>
            </w14:solidFill>
          </w14:textFill>
        </w:rPr>
        <w:t>一是全面落实行政执法“三项制度”。</w:t>
      </w:r>
      <w:r>
        <w:rPr>
          <w:rFonts w:ascii="仿宋_GB2312" w:eastAsia="仿宋_GB2312" w:cs="仿宋_GB2312" w:hAnsi="仿宋_GB2312" w:hint="eastAsia"/>
          <w:color w:val="000000"/>
          <w:sz w:val="32"/>
          <w:szCs w:val="32"/>
          <w14:textFill>
            <w14:solidFill>
              <w14:srgbClr w14:val="000000"/>
            </w14:solidFill>
          </w14:textFill>
        </w:rPr>
        <w:t>常态化开展案卷评查，抽查城管、卫健、医保等重点领域案卷43本，发现并纠正问题127条；</w:t>
      </w:r>
      <w:r>
        <w:rPr>
          <w:rFonts w:ascii="仿宋_GB2312" w:eastAsia="仿宋_GB2312" w:cs="仿宋_GB2312" w:hAnsi="仿宋_GB2312" w:hint="eastAsia"/>
          <w:color w:val="000000"/>
          <w:sz w:val="32"/>
          <w:szCs w:val="32"/>
          <w14:textFill>
            <w14:solidFill>
              <w14:srgbClr w14:val="000000"/>
            </w14:solidFill>
          </w14:textFill>
          <w:lang w:val="en-US" w:eastAsia="zh-CN"/>
        </w:rPr>
        <w:t>探索</w:t>
      </w:r>
      <w:r>
        <w:rPr>
          <w:rFonts w:ascii="仿宋_GB2312" w:eastAsia="仿宋_GB2312" w:cs="仿宋_GB2312" w:hAnsi="仿宋_GB2312" w:hint="eastAsia"/>
          <w:color w:val="000000"/>
          <w:sz w:val="32"/>
          <w:szCs w:val="32"/>
          <w14:textFill>
            <w14:solidFill>
              <w14:srgbClr w14:val="000000"/>
            </w14:solidFill>
          </w14:textFill>
        </w:rPr>
        <w:t>“伴随式”执法监督</w:t>
      </w:r>
      <w:r>
        <w:rPr>
          <w:rFonts w:ascii="仿宋_GB2312" w:eastAsia="仿宋_GB2312" w:cs="仿宋_GB2312" w:hAnsi="仿宋_GB2312" w:hint="eastAsia"/>
          <w:color w:val="000000"/>
          <w:sz w:val="32"/>
          <w:szCs w:val="32"/>
          <w14:textFill>
            <w14:solidFill>
              <w14:srgbClr w14:val="000000"/>
            </w14:solidFill>
          </w14:textFill>
          <w:lang w:val="en-US" w:eastAsia="zh-CN"/>
        </w:rPr>
        <w:t>新模式</w:t>
      </w:r>
      <w:r>
        <w:rPr>
          <w:rFonts w:ascii="仿宋_GB2312" w:eastAsia="仿宋_GB2312" w:cs="仿宋_GB2312" w:hAnsi="仿宋_GB2312" w:hint="eastAsia"/>
          <w:color w:val="000000"/>
          <w:sz w:val="32"/>
          <w:szCs w:val="32"/>
          <w14:textFill>
            <w14:solidFill>
              <w14:srgbClr w14:val="000000"/>
            </w14:solidFill>
          </w14:textFill>
        </w:rPr>
        <w:t>，重点关注执法人员是否亮证执法、执法程序是否合法合规、是否文明执法以及是否落实“扫码入企”制度等方面内容，2025年全年共计开展“伴随式”监督3批次，发现问题17条，均已整改到位。</w:t>
      </w:r>
      <w:r>
        <w:rPr>
          <w:rFonts w:ascii="楷体_GB2312" w:eastAsia="楷体_GB2312" w:cs="楷体_GB2312" w:hAnsi="楷体_GB2312" w:hint="eastAsia"/>
          <w:b/>
          <w:bCs/>
          <w:color w:val="000000"/>
          <w:kern w:val="0"/>
          <w:sz w:val="32"/>
          <w:szCs w:val="32"/>
          <w:shd w:val="clear" w:color="auto" w:fill="FFFFFF"/>
          <w14:textFill>
            <w14:solidFill>
              <w14:srgbClr w14:val="000000"/>
            </w14:solidFill>
          </w14:textFill>
        </w:rPr>
        <w:t>二是加强执法队伍建设。</w:t>
      </w:r>
      <w:r>
        <w:rPr>
          <w:rFonts w:ascii="仿宋_GB2312" w:eastAsia="仿宋_GB2312" w:cs="仿宋_GB2312" w:hAnsi="仿宋_GB2312" w:hint="eastAsia"/>
          <w:color w:val="000000"/>
          <w:sz w:val="32"/>
          <w:szCs w:val="32"/>
          <w14:textFill>
            <w14:solidFill>
              <w14:srgbClr w14:val="000000"/>
            </w14:solidFill>
          </w14:textFill>
        </w:rPr>
        <w:t>以“线上培训+线下考试”相结合的方式，组织</w:t>
      </w:r>
      <w:r>
        <w:rPr>
          <w:rFonts w:ascii="仿宋_GB2312" w:eastAsia="仿宋_GB2312" w:cs="仿宋_GB2312" w:hAnsi="仿宋_GB2312" w:hint="eastAsia"/>
          <w:color w:val="000000"/>
          <w:sz w:val="32"/>
          <w:szCs w:val="32"/>
          <w14:textFill>
            <w14:solidFill>
              <w14:srgbClr w14:val="000000"/>
            </w14:solidFill>
          </w14:textFill>
          <w:lang w:val="en-US" w:eastAsia="zh-CN"/>
        </w:rPr>
        <w:t>全区</w:t>
      </w:r>
      <w:r>
        <w:rPr>
          <w:rFonts w:ascii="仿宋_GB2312" w:eastAsia="仿宋_GB2312" w:cs="仿宋_GB2312" w:hAnsi="仿宋_GB2312" w:hint="eastAsia"/>
          <w:color w:val="000000"/>
          <w:sz w:val="32"/>
          <w:szCs w:val="32"/>
          <w14:textFill>
            <w14:solidFill>
              <w14:srgbClr w14:val="000000"/>
            </w14:solidFill>
          </w14:textFill>
        </w:rPr>
        <w:t>761名执法人员参加网络培训和线下考试，因未完成培训、考试不合格等原因注销执法证88个，暂扣执法证27个，倒逼执法人员提升执法水平。</w:t>
      </w:r>
      <w:r>
        <w:rPr>
          <w:rFonts w:ascii="楷体_GB2312" w:eastAsia="楷体_GB2312" w:cs="楷体_GB2312" w:hAnsi="楷体_GB2312" w:hint="eastAsia"/>
          <w:b/>
          <w:bCs/>
          <w:color w:val="000000"/>
          <w:kern w:val="0"/>
          <w:sz w:val="32"/>
          <w:szCs w:val="32"/>
          <w:shd w:val="clear" w:color="auto" w:fill="FFFFFF"/>
          <w14:textFill>
            <w14:solidFill>
              <w14:srgbClr w14:val="000000"/>
            </w14:solidFill>
          </w14:textFill>
        </w:rPr>
        <w:t>三是深化执法突出问题整治。</w:t>
      </w:r>
      <w:r>
        <w:rPr>
          <w:rFonts w:ascii="仿宋_GB2312" w:eastAsia="仿宋_GB2312" w:cs="仿宋_GB2312" w:hAnsi="仿宋_GB2312" w:hint="eastAsia"/>
          <w:color w:val="000000"/>
          <w:sz w:val="32"/>
          <w:szCs w:val="32"/>
          <w14:textFill>
            <w14:solidFill>
              <w14:srgbClr w14:val="000000"/>
            </w14:solidFill>
          </w14:textFill>
        </w:rPr>
        <w:t>聚焦“任性执法、选择性执法、运动式执法”等问题，依托12345热线平台，针对涉企行政执法的重点问题以及重点领域，精准筛查涉企行政执法相关问题，全年共计核查问题线索30余条；面向社会选聘10名行政执法社会监督员，</w:t>
      </w:r>
      <w:r>
        <w:rPr>
          <w:rFonts w:ascii="仿宋_GB2312" w:eastAsia="仿宋_GB2312" w:cs="仿宋_GB2312" w:hAnsi="仿宋_GB2312" w:hint="eastAsia"/>
          <w:color w:val="000000"/>
          <w:spacing w:val="-6"/>
          <w:sz w:val="32"/>
          <w:szCs w:val="32"/>
          <w14:textFill>
            <w14:solidFill>
              <w14:srgbClr w14:val="000000"/>
            </w14:solidFill>
          </w14:textFill>
        </w:rPr>
        <w:t>充分吸纳社会各界优秀代表，为行政执法监督工作注入新活力。</w:t>
      </w:r>
    </w:p>
    <w:p>
      <w:pPr>
        <w:keepNext w:val="0"/>
        <w:keepLines w:val="0"/>
        <w:pageBreakBefore w:val="0"/>
        <w:widowControl w:val="0"/>
        <w:kinsoku/>
        <w:wordWrap/>
        <w:overflowPunct/>
        <w:topLinePunct w:val="0"/>
        <w:autoSpaceDE/>
        <w:autoSpaceDN/>
        <w:bidi w:val="0"/>
        <w:adjustRightInd/>
        <w:snapToGrid/>
        <w:spacing w:after="0" w:line="560" w:lineRule="exact"/>
        <w:ind w:firstLineChars="200" w:firstLine="640"/>
        <w:textAlignment w:val="auto"/>
        <w:rPr>
          <w:rFonts w:ascii="黑体" w:eastAsia="黑体" w:cs="黑体" w:hAnsi="黑体" w:hint="eastAsia"/>
          <w:color w:val="000000"/>
          <w:sz w:val="32"/>
          <w:szCs w:val="32"/>
          <w:shd w:val="clear" w:color="auto" w:fill="FFFFFF"/>
          <w14:textFill>
            <w14:solidFill>
              <w14:srgbClr w14:val="000000"/>
            </w14:solidFill>
          </w14:textFill>
        </w:rPr>
      </w:pPr>
      <w:r>
        <w:rPr>
          <w:rFonts w:ascii="黑体" w:eastAsia="黑体" w:cs="黑体" w:hAnsi="黑体" w:hint="eastAsia"/>
          <w:color w:val="000000"/>
          <w:sz w:val="32"/>
          <w:szCs w:val="32"/>
          <w:shd w:val="clear" w:color="auto" w:fill="FFFFFF"/>
          <w14:textFill>
            <w14:solidFill>
              <w14:srgbClr w14:val="000000"/>
            </w14:solidFill>
          </w14:textFill>
        </w:rPr>
        <w:t>五、</w:t>
      </w:r>
      <w:r>
        <w:rPr>
          <w:rFonts w:ascii="黑体" w:eastAsia="黑体" w:cs="黑体" w:hAnsi="黑体"/>
          <w:color w:val="000000"/>
          <w:sz w:val="32"/>
          <w:szCs w:val="32"/>
          <w:shd w:val="clear" w:color="auto" w:fill="FFFFFF"/>
          <w14:textFill>
            <w14:solidFill>
              <w14:srgbClr w14:val="000000"/>
            </w14:solidFill>
          </w14:textFill>
        </w:rPr>
        <w:t>完善纠纷化解</w:t>
      </w:r>
      <w:r>
        <w:rPr>
          <w:rFonts w:ascii="黑体" w:eastAsia="黑体" w:cs="黑体" w:hAnsi="黑体" w:hint="eastAsia"/>
          <w:color w:val="000000"/>
          <w:sz w:val="32"/>
          <w:szCs w:val="32"/>
          <w:shd w:val="clear" w:color="auto" w:fill="FFFFFF"/>
          <w14:textFill>
            <w14:solidFill>
              <w14:srgbClr w14:val="000000"/>
            </w14:solidFill>
          </w14:textFill>
          <w:lang w:val="en-US" w:eastAsia="zh-CN"/>
        </w:rPr>
        <w:t>机制</w:t>
      </w:r>
      <w:r>
        <w:rPr>
          <w:rFonts w:ascii="黑体" w:eastAsia="黑体" w:cs="黑体" w:hAnsi="黑体" w:hint="eastAsia"/>
          <w:color w:val="000000"/>
          <w:sz w:val="32"/>
          <w:szCs w:val="32"/>
          <w:shd w:val="clear" w:color="auto" w:fill="FFFFFF"/>
          <w14:textFill>
            <w14:solidFill>
              <w14:srgbClr w14:val="000000"/>
            </w14:solidFill>
          </w14:textFill>
        </w:rPr>
        <w:t>，促进社会和谐稳定</w:t>
      </w:r>
    </w:p>
    <w:p>
      <w:pPr>
        <w:keepNext w:val="0"/>
        <w:keepLines w:val="0"/>
        <w:pageBreakBefore w:val="0"/>
        <w:widowControl w:val="0"/>
        <w:kinsoku/>
        <w:wordWrap/>
        <w:overflowPunct/>
        <w:topLinePunct w:val="0"/>
        <w:autoSpaceDE/>
        <w:autoSpaceDN/>
        <w:bidi w:val="0"/>
        <w:adjustRightInd/>
        <w:snapToGrid/>
        <w:spacing w:after="0" w:line="560" w:lineRule="exact"/>
        <w:ind w:firstLineChars="200" w:firstLine="640"/>
        <w:textAlignment w:val="auto"/>
        <w:rPr>
          <w:rFonts w:ascii="仿宋_GB2312" w:eastAsia="仿宋_GB2312" w:cs="仿宋_GB2312" w:hAnsi="仿宋_GB2312" w:hint="eastAsia"/>
          <w:color w:val="000000"/>
          <w:sz w:val="32"/>
          <w:szCs w:val="32"/>
          <w14:textFill>
            <w14:solidFill>
              <w14:srgbClr w14:val="000000"/>
            </w14:solidFill>
          </w14:textFill>
        </w:rPr>
      </w:pPr>
      <w:r>
        <w:rPr>
          <w:rFonts w:ascii="楷体_GB2312" w:eastAsia="楷体_GB2312" w:cs="楷体_GB2312" w:hAnsi="楷体_GB2312" w:hint="eastAsia"/>
          <w:b/>
          <w:bCs/>
          <w:color w:val="000000"/>
          <w:kern w:val="0"/>
          <w:sz w:val="32"/>
          <w:szCs w:val="32"/>
          <w:shd w:val="clear" w:color="auto" w:fill="FFFFFF"/>
          <w14:textFill>
            <w14:solidFill>
              <w14:srgbClr w14:val="000000"/>
            </w14:solidFill>
          </w14:textFill>
        </w:rPr>
        <w:t>一是推进行政争议实质性化解。</w:t>
      </w:r>
      <w:r>
        <w:rPr>
          <w:rFonts w:ascii="仿宋_GB2312" w:eastAsia="仿宋_GB2312" w:cs="仿宋_GB2312" w:hAnsi="仿宋_GB2312" w:hint="eastAsia"/>
          <w:color w:val="000000"/>
          <w:sz w:val="32"/>
          <w:szCs w:val="32"/>
          <w14:textFill>
            <w14:solidFill>
              <w14:srgbClr w14:val="000000"/>
            </w14:solidFill>
          </w14:textFill>
        </w:rPr>
        <w:t>全面施行“现场+邮寄+网络”多元申请模式，对行政复议案件做到“应收尽收、存疑先收”，简易程序案件30天内办结，普通程序案件100%听取当事人意见。</w:t>
      </w:r>
      <w:r>
        <w:rPr>
          <w:rFonts w:ascii="仿宋_GB2312" w:eastAsia="仿宋_GB2312" w:cs="仿宋_GB2312" w:hAnsi="仿宋_GB2312" w:hint="eastAsia"/>
          <w:color w:val="000000"/>
          <w:sz w:val="32"/>
          <w:szCs w:val="32"/>
          <w14:textFill>
            <w14:solidFill>
              <w14:srgbClr w14:val="000000"/>
            </w14:solidFill>
          </w14:textFill>
          <w:lang w:val="en-US" w:eastAsia="zh-CN"/>
        </w:rPr>
        <w:t>2025年共</w:t>
      </w:r>
      <w:r>
        <w:rPr>
          <w:rFonts w:ascii="仿宋_GB2312" w:eastAsia="仿宋_GB2312" w:cs="仿宋_GB2312" w:hAnsi="仿宋_GB2312" w:hint="eastAsia"/>
          <w:color w:val="000000"/>
          <w:sz w:val="32"/>
          <w:szCs w:val="32"/>
          <w14:textFill>
            <w14:solidFill>
              <w14:srgbClr w14:val="000000"/>
            </w14:solidFill>
          </w14:textFill>
        </w:rPr>
        <w:t>受理行政复议申请204件，审结189件，其中调解终止53件，调解率达28.04%</w:t>
      </w:r>
      <w:r>
        <w:rPr>
          <w:rFonts w:ascii="仿宋_GB2312" w:eastAsia="仿宋_GB2312" w:cs="仿宋_GB2312" w:hAnsi="仿宋_GB2312" w:hint="eastAsia"/>
          <w:color w:val="000000"/>
          <w:sz w:val="32"/>
          <w:szCs w:val="32"/>
          <w14:textFill>
            <w14:solidFill>
              <w14:srgbClr w14:val="000000"/>
            </w14:solidFill>
          </w14:textFill>
          <w:lang w:eastAsia="zh-CN"/>
        </w:rPr>
        <w:t>；</w:t>
      </w:r>
      <w:r>
        <w:rPr>
          <w:rFonts w:ascii="仿宋_GB2312" w:eastAsia="仿宋_GB2312" w:cs="仿宋_GB2312" w:hAnsi="仿宋_GB2312" w:hint="eastAsia"/>
          <w:color w:val="000000"/>
          <w:sz w:val="32"/>
          <w:szCs w:val="32"/>
          <w14:textFill>
            <w14:solidFill>
              <w14:srgbClr w14:val="000000"/>
            </w14:solidFill>
          </w14:textFill>
          <w:lang w:val="en-US" w:eastAsia="zh-CN"/>
        </w:rPr>
        <w:t>确认违法、撤销、责令履行21件，</w:t>
      </w:r>
      <w:r>
        <w:rPr>
          <w:rFonts w:ascii="仿宋_GB2312" w:eastAsia="仿宋_GB2312" w:cs="仿宋_GB2312" w:hAnsi="仿宋_GB2312" w:hint="eastAsia"/>
          <w:color w:val="000000"/>
          <w:sz w:val="32"/>
          <w:szCs w:val="32"/>
          <w14:textFill>
            <w14:solidFill>
              <w14:srgbClr w14:val="000000"/>
            </w14:solidFill>
          </w14:textFill>
        </w:rPr>
        <w:t>纠错率为11.11%，复议后引发诉讼8件，行政争议实质性化解率保持在95.77%。</w:t>
      </w:r>
      <w:r>
        <w:rPr>
          <w:rFonts w:ascii="楷体_GB2312" w:eastAsia="楷体_GB2312" w:cs="楷体_GB2312" w:hAnsi="楷体_GB2312" w:hint="eastAsia"/>
          <w:b/>
          <w:bCs/>
          <w:color w:val="000000"/>
          <w:kern w:val="0"/>
          <w:sz w:val="32"/>
          <w:szCs w:val="32"/>
          <w:shd w:val="clear" w:color="auto" w:fill="FFFFFF"/>
          <w14:textFill>
            <w14:solidFill>
              <w14:srgbClr w14:val="000000"/>
            </w14:solidFill>
          </w14:textFill>
        </w:rPr>
        <w:t>二是构建多元</w:t>
      </w:r>
      <w:r>
        <w:rPr>
          <w:rFonts w:ascii="楷体_GB2312" w:eastAsia="楷体_GB2312" w:cs="楷体_GB2312" w:hAnsi="楷体_GB2312" w:hint="eastAsia"/>
          <w:b/>
          <w:bCs/>
          <w:color w:val="000000"/>
          <w:kern w:val="0"/>
          <w:sz w:val="32"/>
          <w:szCs w:val="32"/>
          <w:shd w:val="clear" w:color="auto" w:fill="FFFFFF"/>
          <w14:textFill>
            <w14:solidFill>
              <w14:srgbClr w14:val="000000"/>
            </w14:solidFill>
          </w14:textFill>
          <w:lang w:val="en-US" w:eastAsia="zh-CN"/>
        </w:rPr>
        <w:t>纠纷</w:t>
      </w:r>
      <w:r>
        <w:rPr>
          <w:rFonts w:ascii="楷体_GB2312" w:eastAsia="楷体_GB2312" w:cs="楷体_GB2312" w:hAnsi="楷体_GB2312" w:hint="eastAsia"/>
          <w:b/>
          <w:bCs/>
          <w:color w:val="000000"/>
          <w:kern w:val="0"/>
          <w:sz w:val="32"/>
          <w:szCs w:val="32"/>
          <w:shd w:val="clear" w:color="auto" w:fill="FFFFFF"/>
          <w14:textFill>
            <w14:solidFill>
              <w14:srgbClr w14:val="000000"/>
            </w14:solidFill>
          </w14:textFill>
        </w:rPr>
        <w:t>调解体系。</w:t>
      </w:r>
      <w:r>
        <w:rPr>
          <w:rFonts w:ascii="仿宋_GB2312" w:eastAsia="仿宋_GB2312" w:cs="仿宋_GB2312" w:hAnsi="仿宋_GB2312" w:hint="eastAsia"/>
          <w:color w:val="000000"/>
          <w:sz w:val="32"/>
          <w:szCs w:val="32"/>
          <w14:textFill>
            <w14:solidFill>
              <w14:srgbClr w14:val="000000"/>
            </w14:solidFill>
          </w14:textFill>
        </w:rPr>
        <w:t>坚持和发展新时代“枫桥经验”，开通“网上枫桥·石时调”账号380个，纵向贯通区乡村三级，横向连接27个职能部门，实现矛盾纠纷线上录入、流转调解、风险预警、数据研判，全年录入矛盾纠纷3168件，办理2629件，办结率达83%，将大量矛盾化解在成诉成访之前。</w:t>
      </w:r>
      <w:r>
        <w:rPr>
          <w:rFonts w:ascii="楷体_GB2312" w:eastAsia="楷体_GB2312" w:cs="楷体_GB2312" w:hAnsi="楷体_GB2312" w:hint="eastAsia"/>
          <w:b/>
          <w:bCs/>
          <w:color w:val="000000"/>
          <w:kern w:val="0"/>
          <w:sz w:val="32"/>
          <w:szCs w:val="32"/>
          <w:shd w:val="clear" w:color="auto" w:fill="FFFFFF"/>
          <w14:textFill>
            <w14:solidFill>
              <w14:srgbClr w14:val="000000"/>
            </w14:solidFill>
          </w14:textFill>
        </w:rPr>
        <w:t>三是提升公共法律服务水平。</w:t>
      </w:r>
      <w:r>
        <w:rPr>
          <w:rFonts w:ascii="仿宋_GB2312" w:eastAsia="仿宋_GB2312" w:cs="仿宋_GB2312" w:hAnsi="仿宋_GB2312" w:hint="eastAsia"/>
          <w:color w:val="000000"/>
          <w:sz w:val="32"/>
          <w:szCs w:val="32"/>
          <w14:textFill>
            <w14:solidFill>
              <w14:srgbClr w14:val="000000"/>
            </w14:solidFill>
          </w14:textFill>
        </w:rPr>
        <w:t>扎实推进法律援助“提质扩面”，落实法律援助应援尽援、应援优援和刑事法律援助全覆盖，进一步简化法律援助申请手续，高质量完成我区困难群体法律维权工作；全面落实“谁执法谁普法”责任制，坚持线上线下普法相结合，深入开展“法律九进”“法治九建”系列活动200余场，全年普法</w:t>
      </w:r>
      <w:r>
        <w:rPr>
          <w:rFonts w:ascii="仿宋_GB2312" w:eastAsia="仿宋_GB2312" w:cs="仿宋_GB2312" w:hAnsi="仿宋_GB2312" w:hint="eastAsia"/>
          <w:color w:val="000000"/>
          <w:sz w:val="32"/>
          <w:szCs w:val="32"/>
          <w14:textFill>
            <w14:solidFill>
              <w14:srgbClr w14:val="000000"/>
            </w14:solidFill>
          </w14:textFill>
          <w:lang w:val="en-US" w:eastAsia="zh-CN"/>
        </w:rPr>
        <w:t>覆盖人群</w:t>
      </w:r>
      <w:r>
        <w:rPr>
          <w:rFonts w:ascii="仿宋_GB2312" w:eastAsia="仿宋_GB2312" w:cs="仿宋_GB2312" w:hAnsi="仿宋_GB2312" w:hint="eastAsia"/>
          <w:color w:val="000000"/>
          <w:sz w:val="32"/>
          <w:szCs w:val="32"/>
          <w14:textFill>
            <w14:solidFill>
              <w14:srgbClr w14:val="000000"/>
            </w14:solidFill>
          </w14:textFill>
        </w:rPr>
        <w:t>超过6万人</w:t>
      </w:r>
      <w:r>
        <w:rPr>
          <w:rFonts w:ascii="仿宋_GB2312" w:eastAsia="仿宋_GB2312" w:cs="仿宋_GB2312" w:hAnsi="仿宋_GB2312" w:hint="eastAsia"/>
          <w:color w:val="000000"/>
          <w:sz w:val="32"/>
          <w:szCs w:val="32"/>
          <w14:textFill>
            <w14:solidFill>
              <w14:srgbClr w14:val="000000"/>
            </w14:solidFill>
          </w14:textFill>
          <w:lang w:val="en-US" w:eastAsia="zh-CN"/>
        </w:rPr>
        <w:t>次</w:t>
      </w:r>
      <w:r>
        <w:rPr>
          <w:rFonts w:ascii="仿宋_GB2312" w:eastAsia="仿宋_GB2312" w:cs="仿宋_GB2312" w:hAnsi="仿宋_GB2312" w:hint="eastAsia"/>
          <w:color w:val="000000"/>
          <w:sz w:val="32"/>
          <w:szCs w:val="32"/>
          <w14:textFill>
            <w14:solidFill>
              <w14:srgbClr w14:val="000000"/>
            </w14:solidFill>
          </w14:textFill>
        </w:rPr>
        <w:t>；开展公证行业“减证便民”活动，落实公证“最多跑一次”公证事项清单，全面提升公证服务质量。</w:t>
      </w:r>
    </w:p>
    <w:p>
      <w:pPr>
        <w:keepNext w:val="0"/>
        <w:keepLines w:val="0"/>
        <w:pageBreakBefore w:val="0"/>
        <w:widowControl w:val="0"/>
        <w:kinsoku/>
        <w:wordWrap/>
        <w:overflowPunct/>
        <w:topLinePunct w:val="0"/>
        <w:autoSpaceDE/>
        <w:autoSpaceDN/>
        <w:bidi w:val="0"/>
        <w:adjustRightInd/>
        <w:snapToGrid/>
        <w:spacing w:after="0" w:line="560" w:lineRule="exact"/>
        <w:ind w:firstLineChars="200" w:firstLine="640"/>
        <w:textAlignment w:val="auto"/>
        <w:rPr>
          <w:rFonts w:ascii="黑体" w:eastAsia="黑体" w:cs="黑体" w:hAnsi="黑体" w:hint="eastAsia"/>
          <w:color w:val="000000"/>
          <w:sz w:val="32"/>
          <w:szCs w:val="32"/>
          <w:shd w:val="clear" w:color="auto" w:fill="FFFFFF"/>
          <w14:textFill>
            <w14:solidFill>
              <w14:srgbClr w14:val="000000"/>
            </w14:solidFill>
          </w14:textFill>
        </w:rPr>
      </w:pPr>
      <w:r>
        <w:rPr>
          <w:rFonts w:ascii="黑体" w:eastAsia="黑体" w:cs="黑体" w:hAnsi="黑体" w:hint="eastAsia"/>
          <w:color w:val="000000"/>
          <w:sz w:val="32"/>
          <w:szCs w:val="32"/>
          <w:shd w:val="clear" w:color="auto" w:fill="FFFFFF"/>
          <w14:textFill>
            <w14:solidFill>
              <w14:srgbClr w14:val="000000"/>
            </w14:solidFill>
          </w14:textFill>
        </w:rPr>
        <w:t>六、强化权力监督，确保权力</w:t>
      </w:r>
      <w:r>
        <w:rPr>
          <w:rFonts w:ascii="黑体" w:eastAsia="黑体" w:cs="黑体" w:hAnsi="黑体" w:hint="eastAsia"/>
          <w:color w:val="000000"/>
          <w:sz w:val="32"/>
          <w:szCs w:val="32"/>
          <w:shd w:val="clear" w:color="auto" w:fill="FFFFFF"/>
          <w14:textFill>
            <w14:solidFill>
              <w14:srgbClr w14:val="000000"/>
            </w14:solidFill>
          </w14:textFill>
          <w:lang w:val="en-US" w:eastAsia="zh-CN"/>
        </w:rPr>
        <w:t>在</w:t>
      </w:r>
      <w:r>
        <w:rPr>
          <w:rFonts w:ascii="黑体" w:eastAsia="黑体" w:cs="黑体" w:hAnsi="黑体" w:hint="eastAsia"/>
          <w:color w:val="000000"/>
          <w:sz w:val="32"/>
          <w:szCs w:val="32"/>
          <w:shd w:val="clear" w:color="auto" w:fill="FFFFFF"/>
          <w14:textFill>
            <w14:solidFill>
              <w14:srgbClr w14:val="000000"/>
            </w14:solidFill>
          </w14:textFill>
        </w:rPr>
        <w:t>阳光</w:t>
      </w:r>
      <w:r>
        <w:rPr>
          <w:rFonts w:ascii="黑体" w:eastAsia="黑体" w:cs="黑体" w:hAnsi="黑体" w:hint="eastAsia"/>
          <w:color w:val="000000"/>
          <w:sz w:val="32"/>
          <w:szCs w:val="32"/>
          <w:shd w:val="clear" w:color="auto" w:fill="FFFFFF"/>
          <w14:textFill>
            <w14:solidFill>
              <w14:srgbClr w14:val="000000"/>
            </w14:solidFill>
          </w14:textFill>
          <w:lang w:val="en-US" w:eastAsia="zh-CN"/>
        </w:rPr>
        <w:t>下</w:t>
      </w:r>
      <w:r>
        <w:rPr>
          <w:rFonts w:ascii="黑体" w:eastAsia="黑体" w:cs="黑体" w:hAnsi="黑体" w:hint="eastAsia"/>
          <w:color w:val="000000"/>
          <w:sz w:val="32"/>
          <w:szCs w:val="32"/>
          <w:shd w:val="clear" w:color="auto" w:fill="FFFFFF"/>
          <w14:textFill>
            <w14:solidFill>
              <w14:srgbClr w14:val="000000"/>
            </w14:solidFill>
          </w14:textFill>
        </w:rPr>
        <w:t>运行</w:t>
      </w:r>
    </w:p>
    <w:p>
      <w:pPr>
        <w:keepNext w:val="0"/>
        <w:keepLines w:val="0"/>
        <w:pageBreakBefore w:val="0"/>
        <w:widowControl w:val="0"/>
        <w:kinsoku/>
        <w:wordWrap/>
        <w:overflowPunct/>
        <w:topLinePunct w:val="0"/>
        <w:autoSpaceDE/>
        <w:autoSpaceDN/>
        <w:bidi w:val="0"/>
        <w:adjustRightInd/>
        <w:snapToGrid/>
        <w:spacing w:after="0" w:line="560" w:lineRule="exact"/>
        <w:ind w:firstLineChars="200" w:firstLine="640"/>
        <w:textAlignment w:val="auto"/>
        <w:rPr>
          <w:rFonts w:ascii="仿宋_GB2312" w:eastAsia="仿宋_GB2312" w:cs="仿宋_GB2312" w:hAnsi="仿宋_GB2312" w:hint="eastAsia"/>
          <w:color w:val="000000"/>
          <w:sz w:val="32"/>
          <w:szCs w:val="32"/>
          <w14:textFill>
            <w14:solidFill>
              <w14:srgbClr w14:val="000000"/>
            </w14:solidFill>
          </w14:textFill>
        </w:rPr>
      </w:pPr>
      <w:r>
        <w:rPr>
          <w:rFonts w:ascii="楷体_GB2312" w:eastAsia="楷体_GB2312" w:cs="楷体_GB2312" w:hAnsi="楷体_GB2312" w:hint="eastAsia"/>
          <w:b/>
          <w:bCs/>
          <w:color w:val="000000"/>
          <w:kern w:val="0"/>
          <w:sz w:val="32"/>
          <w:szCs w:val="32"/>
          <w:shd w:val="clear" w:color="auto" w:fill="FFFFFF"/>
          <w14:textFill>
            <w14:solidFill>
              <w14:srgbClr w14:val="000000"/>
            </w14:solidFill>
          </w14:textFill>
        </w:rPr>
        <w:t>一是主动接受外部监督。</w:t>
      </w:r>
      <w:r>
        <w:rPr>
          <w:rFonts w:ascii="仿宋_GB2312" w:eastAsia="仿宋_GB2312" w:cs="仿宋_GB2312" w:hAnsi="仿宋_GB2312" w:hint="eastAsia"/>
          <w:color w:val="000000"/>
          <w:sz w:val="32"/>
          <w:szCs w:val="32"/>
          <w14:textFill>
            <w14:solidFill>
              <w14:srgbClr w14:val="000000"/>
            </w14:solidFill>
          </w14:textFill>
        </w:rPr>
        <w:t>高质量</w:t>
      </w:r>
      <w:r>
        <w:rPr>
          <w:rFonts w:ascii="仿宋_GB2312" w:eastAsia="仿宋_GB2312" w:cs="仿宋_GB2312" w:hAnsi="仿宋_GB2312" w:hint="eastAsia"/>
          <w:color w:val="000000"/>
          <w:sz w:val="32"/>
          <w:szCs w:val="32"/>
          <w14:textFill>
            <w14:solidFill>
              <w14:srgbClr w14:val="000000"/>
            </w14:solidFill>
          </w14:textFill>
          <w:lang w:eastAsia="zh-CN"/>
        </w:rPr>
        <w:t>承办</w:t>
      </w:r>
      <w:r>
        <w:rPr>
          <w:rFonts w:ascii="仿宋_GB2312" w:eastAsia="仿宋_GB2312" w:cs="仿宋_GB2312" w:hAnsi="仿宋_GB2312" w:hint="eastAsia"/>
          <w:color w:val="000000"/>
          <w:sz w:val="32"/>
          <w:szCs w:val="32"/>
          <w14:textFill>
            <w14:solidFill>
              <w14:srgbClr w14:val="000000"/>
            </w14:solidFill>
          </w14:textFill>
        </w:rPr>
        <w:t>人大代表建议和政协提案</w:t>
      </w:r>
      <w:r>
        <w:rPr>
          <w:rFonts w:ascii="仿宋_GB2312" w:eastAsia="仿宋_GB2312" w:cs="仿宋_GB2312" w:hAnsi="仿宋_GB2312" w:hint="eastAsia"/>
          <w:color w:val="000000"/>
          <w:sz w:val="32"/>
          <w:szCs w:val="32"/>
          <w14:textFill>
            <w14:solidFill>
              <w14:srgbClr w14:val="000000"/>
            </w14:solidFill>
          </w14:textFill>
          <w:lang w:eastAsia="zh-CN"/>
        </w:rPr>
        <w:t>、建议共</w:t>
      </w:r>
      <w:r>
        <w:rPr>
          <w:rFonts w:ascii="仿宋_GB2312" w:eastAsia="仿宋_GB2312" w:cs="仿宋_GB2312" w:hAnsi="仿宋_GB2312" w:hint="eastAsia"/>
          <w:color w:val="000000"/>
          <w:sz w:val="32"/>
          <w:szCs w:val="32"/>
          <w14:textFill>
            <w14:solidFill>
              <w14:srgbClr w14:val="000000"/>
            </w14:solidFill>
          </w14:textFill>
          <w:lang w:val="en-US" w:eastAsia="zh-CN"/>
        </w:rPr>
        <w:t>167件</w:t>
      </w:r>
      <w:r>
        <w:rPr>
          <w:rFonts w:ascii="仿宋_GB2312" w:eastAsia="仿宋_GB2312" w:cs="仿宋_GB2312" w:hAnsi="仿宋_GB2312" w:hint="eastAsia"/>
          <w:color w:val="000000"/>
          <w:sz w:val="32"/>
          <w:szCs w:val="32"/>
          <w14:textFill>
            <w14:solidFill>
              <w14:srgbClr w14:val="000000"/>
            </w14:solidFill>
          </w14:textFill>
        </w:rPr>
        <w:t>，答复率、满意率均达100%。</w:t>
      </w:r>
      <w:r>
        <w:rPr>
          <w:rFonts w:ascii="楷体_GB2312" w:eastAsia="楷体_GB2312" w:cs="楷体_GB2312" w:hAnsi="楷体_GB2312" w:hint="eastAsia"/>
          <w:b/>
          <w:bCs/>
          <w:color w:val="000000"/>
          <w:kern w:val="0"/>
          <w:sz w:val="32"/>
          <w:szCs w:val="32"/>
          <w:shd w:val="clear" w:color="auto" w:fill="FFFFFF"/>
          <w14:textFill>
            <w14:solidFill>
              <w14:srgbClr w14:val="000000"/>
            </w14:solidFill>
          </w14:textFill>
        </w:rPr>
        <w:t>二是深化政务公开工作。</w:t>
      </w:r>
      <w:r>
        <w:rPr>
          <w:rFonts w:ascii="仿宋_GB2312" w:eastAsia="仿宋_GB2312" w:cs="仿宋_GB2312" w:hAnsi="仿宋_GB2312" w:hint="eastAsia"/>
          <w:color w:val="000000"/>
          <w:sz w:val="32"/>
          <w:szCs w:val="32"/>
          <w14:textFill>
            <w14:solidFill>
              <w14:srgbClr w14:val="000000"/>
            </w14:solidFill>
          </w14:textFill>
        </w:rPr>
        <w:t>严格落实政府信息公开条例，线上依托门户网站、政务新媒体，线下利用公开栏、服务窗口等多渠道公开信息。全年通过网站公开信息1000余条，办理依申请公开58件。</w:t>
      </w:r>
      <w:r>
        <w:rPr>
          <w:rFonts w:ascii="楷体_GB2312" w:eastAsia="楷体_GB2312" w:cs="楷体_GB2312" w:hAnsi="楷体_GB2312" w:hint="eastAsia"/>
          <w:b/>
          <w:bCs/>
          <w:color w:val="000000"/>
          <w:kern w:val="0"/>
          <w:sz w:val="32"/>
          <w:szCs w:val="32"/>
          <w:shd w:val="clear" w:color="auto" w:fill="FFFFFF"/>
          <w14:textFill>
            <w14:solidFill>
              <w14:srgbClr w14:val="000000"/>
            </w14:solidFill>
          </w14:textFill>
        </w:rPr>
        <w:t>三是规范复议应诉工作。</w:t>
      </w:r>
      <w:r>
        <w:rPr>
          <w:rFonts w:ascii="仿宋_GB2312" w:eastAsia="仿宋_GB2312" w:cs="仿宋_GB2312" w:hAnsi="仿宋_GB2312" w:hint="eastAsia"/>
          <w:color w:val="000000"/>
          <w:sz w:val="32"/>
          <w:szCs w:val="32"/>
          <w14:textFill>
            <w14:solidFill>
              <w14:srgbClr w14:val="000000"/>
            </w14:solidFill>
          </w14:textFill>
        </w:rPr>
        <w:t>出台《栾城区人民政府行政应诉实施细则》，进一步明确责任，规范行政应诉和复议答复工作，尊重并执行法院生效裁判和市政府行政复议决定，严格落实行政机关负责人出庭应诉制度，出庭应诉率达100%。</w:t>
      </w:r>
    </w:p>
    <w:p>
      <w:pPr>
        <w:keepNext w:val="0"/>
        <w:keepLines w:val="0"/>
        <w:pageBreakBefore w:val="0"/>
        <w:widowControl w:val="0"/>
        <w:kinsoku/>
        <w:wordWrap/>
        <w:overflowPunct w:val="0"/>
        <w:topLinePunct w:val="0"/>
        <w:autoSpaceDE/>
        <w:autoSpaceDN/>
        <w:bidi w:val="0"/>
        <w:adjustRightInd/>
        <w:snapToGrid/>
        <w:spacing w:after="0" w:line="560" w:lineRule="exact"/>
        <w:ind w:firstLineChars="200" w:firstLine="640"/>
        <w:textAlignment w:val="auto"/>
        <w:rPr>
          <w:rFonts w:ascii="仿宋_GB2312" w:eastAsia="仿宋_GB2312" w:cs="仿宋_GB2312" w:hAnsi="仿宋_GB2312" w:hint="eastAsia"/>
          <w:color w:val="000000"/>
          <w:sz w:val="32"/>
          <w:szCs w:val="32"/>
          <w14:textFill>
            <w14:solidFill>
              <w14:srgbClr w14:val="000000"/>
            </w14:solidFill>
          </w14:textFill>
        </w:rPr>
      </w:pPr>
      <w:r>
        <w:rPr>
          <w:rFonts w:ascii="仿宋_GB2312" w:eastAsia="仿宋_GB2312" w:cs="仿宋_GB2312" w:hAnsi="仿宋_GB2312" w:hint="eastAsia"/>
          <w:color w:val="000000"/>
          <w:sz w:val="32"/>
          <w:szCs w:val="32"/>
          <w14:textFill>
            <w14:solidFill>
              <w14:srgbClr w14:val="000000"/>
            </w14:solidFill>
          </w14:textFill>
        </w:rPr>
        <w:t>下一步，栾城区将继续坚定不移把法治政府建设放在经济社会事业发展全局中统筹谋划，全面建设职能科学、权责法定、执法严明、公开公正、智能高效、廉洁诚信、人民满意的法治政府。</w:t>
      </w:r>
      <w:r>
        <w:rPr>
          <w:rFonts w:ascii="楷体_GB2312" w:eastAsia="楷体_GB2312" w:cs="楷体_GB2312" w:hAnsi="楷体_GB2312" w:hint="eastAsia"/>
          <w:b/>
          <w:bCs/>
          <w:color w:val="000000"/>
          <w:kern w:val="0"/>
          <w:sz w:val="32"/>
          <w:szCs w:val="32"/>
          <w:shd w:val="clear" w:color="auto" w:fill="FFFFFF"/>
          <w14:textFill>
            <w14:solidFill>
              <w14:srgbClr w14:val="000000"/>
            </w14:solidFill>
          </w14:textFill>
        </w:rPr>
        <w:t>一是持续夯实法治政府建设基础。</w:t>
      </w:r>
      <w:r>
        <w:rPr>
          <w:rFonts w:ascii="仿宋_GB2312" w:eastAsia="仿宋_GB2312" w:cs="仿宋_GB2312" w:hAnsi="仿宋_GB2312" w:hint="eastAsia"/>
          <w:color w:val="000000"/>
          <w:sz w:val="32"/>
          <w:szCs w:val="32"/>
          <w14:textFill>
            <w14:solidFill>
              <w14:srgbClr w14:val="000000"/>
            </w14:solidFill>
          </w14:textFill>
        </w:rPr>
        <w:t>持续加快社会信用体系建设，提升政务服务水平，加大政府信息公开力度，深入推进重大行政决策公开，不断完善法治政府建设制度机制。</w:t>
      </w:r>
      <w:r>
        <w:rPr>
          <w:rFonts w:ascii="楷体_GB2312" w:eastAsia="楷体_GB2312" w:cs="楷体_GB2312" w:hAnsi="楷体_GB2312" w:hint="eastAsia"/>
          <w:b/>
          <w:bCs/>
          <w:color w:val="000000"/>
          <w:kern w:val="0"/>
          <w:sz w:val="32"/>
          <w:szCs w:val="32"/>
          <w:shd w:val="clear" w:color="auto" w:fill="FFFFFF"/>
          <w14:textFill>
            <w14:solidFill>
              <w14:srgbClr w14:val="000000"/>
            </w14:solidFill>
          </w14:textFill>
        </w:rPr>
        <w:t>二是全面提升行政执法规范化水平。</w:t>
      </w:r>
      <w:r>
        <w:rPr>
          <w:rFonts w:ascii="仿宋_GB2312" w:eastAsia="仿宋_GB2312" w:cs="仿宋_GB2312" w:hAnsi="仿宋_GB2312" w:hint="eastAsia"/>
          <w:color w:val="000000"/>
          <w:sz w:val="32"/>
          <w:szCs w:val="32"/>
          <w14:textFill>
            <w14:solidFill>
              <w14:srgbClr w14:val="000000"/>
            </w14:solidFill>
          </w14:textFill>
        </w:rPr>
        <w:t>推动行政执法“三项制度”全覆盖、全落实，通过执法培训、警示教育等方式，强化行政执法人员规范执法意识，确保制度严格执行，推进严格规范公正文明执法。</w:t>
      </w:r>
      <w:r>
        <w:rPr>
          <w:rFonts w:ascii="楷体_GB2312" w:eastAsia="楷体_GB2312" w:cs="楷体_GB2312" w:hAnsi="楷体_GB2312" w:hint="eastAsia"/>
          <w:b/>
          <w:bCs/>
          <w:color w:val="000000"/>
          <w:kern w:val="0"/>
          <w:sz w:val="32"/>
          <w:szCs w:val="32"/>
          <w:shd w:val="clear" w:color="auto" w:fill="FFFFFF"/>
          <w14:textFill>
            <w14:solidFill>
              <w14:srgbClr w14:val="000000"/>
            </w14:solidFill>
          </w14:textFill>
        </w:rPr>
        <w:t>三是深化多层次多领域依法治理。</w:t>
      </w:r>
      <w:r>
        <w:rPr>
          <w:rFonts w:ascii="仿宋_GB2312" w:eastAsia="仿宋_GB2312" w:cs="仿宋_GB2312" w:hAnsi="仿宋_GB2312" w:hint="eastAsia"/>
          <w:color w:val="000000"/>
          <w:sz w:val="32"/>
          <w:szCs w:val="32"/>
          <w14:textFill>
            <w14:solidFill>
              <w14:srgbClr w14:val="000000"/>
            </w14:solidFill>
          </w14:textFill>
        </w:rPr>
        <w:t>严格落实“谁执法谁普法”</w:t>
      </w:r>
      <w:r>
        <w:rPr>
          <w:rFonts w:ascii="仿宋_GB2312" w:eastAsia="仿宋_GB2312" w:cs="仿宋_GB2312" w:hAnsi="仿宋_GB2312" w:hint="eastAsia"/>
          <w:color w:val="000000"/>
          <w:sz w:val="32"/>
          <w:szCs w:val="32"/>
          <w14:textFill>
            <w14:solidFill>
              <w14:srgbClr w14:val="000000"/>
            </w14:solidFill>
          </w14:textFill>
          <w:lang w:val="en-US" w:eastAsia="zh-CN"/>
        </w:rPr>
        <w:t>责任制</w:t>
      </w:r>
      <w:r>
        <w:rPr>
          <w:rFonts w:ascii="仿宋_GB2312" w:eastAsia="仿宋_GB2312" w:cs="仿宋_GB2312" w:hAnsi="仿宋_GB2312" w:hint="eastAsia"/>
          <w:color w:val="000000"/>
          <w:sz w:val="32"/>
          <w:szCs w:val="32"/>
          <w14:textFill>
            <w14:solidFill>
              <w14:srgbClr w14:val="000000"/>
            </w14:solidFill>
          </w14:textFill>
        </w:rPr>
        <w:t>，深化村居法律顾问服务</w:t>
      </w:r>
      <w:r>
        <w:rPr>
          <w:rFonts w:ascii="仿宋_GB2312" w:eastAsia="仿宋_GB2312" w:cs="仿宋_GB2312" w:hAnsi="仿宋_GB2312" w:hint="eastAsia"/>
          <w:color w:val="000000"/>
          <w:sz w:val="32"/>
          <w:szCs w:val="32"/>
          <w14:textFill>
            <w14:solidFill>
              <w14:srgbClr w14:val="000000"/>
            </w14:solidFill>
          </w14:textFill>
          <w:lang w:val="en-US" w:eastAsia="zh-CN"/>
        </w:rPr>
        <w:t>体系</w:t>
      </w:r>
      <w:r>
        <w:rPr>
          <w:rFonts w:ascii="仿宋_GB2312" w:eastAsia="仿宋_GB2312" w:cs="仿宋_GB2312" w:hAnsi="仿宋_GB2312" w:hint="eastAsia"/>
          <w:color w:val="000000"/>
          <w:sz w:val="32"/>
          <w:szCs w:val="32"/>
          <w14:textFill>
            <w14:solidFill>
              <w14:srgbClr w14:val="000000"/>
            </w14:solidFill>
          </w14:textFill>
        </w:rPr>
        <w:t>，提升基层治理法治化水平，为法治栾城建设提供坚实保障。</w:t>
      </w:r>
    </w:p>
    <w:p>
      <w:pPr>
        <w:pStyle w:val="25"/>
        <w:keepNext w:val="0"/>
        <w:keepLines w:val="0"/>
        <w:pageBreakBefore w:val="0"/>
        <w:widowControl w:val="0"/>
        <w:kinsoku/>
        <w:wordWrap/>
        <w:topLinePunct w:val="0"/>
        <w:autoSpaceDE/>
        <w:autoSpaceDN/>
        <w:bidi w:val="0"/>
        <w:adjustRightInd/>
        <w:snapToGrid/>
        <w:spacing w:line="556" w:lineRule="exact"/>
        <w:rPr>
          <w:rFonts w:ascii="楷体_GB2312" w:eastAsia="楷体_GB2312" w:cs="楷体_GB2312" w:hAnsi="楷体_GB2312" w:hint="eastAsia"/>
          <w:b w:val="0"/>
          <w:bCs w:val="0"/>
          <w:color w:val="000000"/>
          <w:spacing w:val="-4"/>
          <w:sz w:val="32"/>
          <w:szCs w:val="32"/>
          <w14:textFill>
            <w14:solidFill>
              <w14:srgbClr w14:val="000000"/>
            </w14:solidFill>
          </w14:textFill>
          <w:lang w:val="en-US" w:eastAsia="zh-CN" w:bidi="ar-SA"/>
        </w:rPr>
      </w:pPr>
    </w:p>
    <w:p>
      <w:pPr>
        <w:keepNext w:val="0"/>
        <w:keepLines w:val="0"/>
        <w:pageBreakBefore w:val="0"/>
        <w:widowControl w:val="0"/>
        <w:kinsoku/>
        <w:wordWrap/>
        <w:topLinePunct w:val="0"/>
        <w:autoSpaceDE/>
        <w:autoSpaceDN/>
        <w:bidi w:val="0"/>
        <w:adjustRightInd/>
        <w:snapToGrid/>
        <w:spacing w:line="556" w:lineRule="exact"/>
      </w:pPr>
    </w:p>
    <w:p>
      <w:pPr>
        <w:keepNext w:val="0"/>
        <w:keepLines w:val="0"/>
        <w:pageBreakBefore w:val="0"/>
        <w:widowControl w:val="0"/>
        <w:kinsoku/>
        <w:wordWrap/>
        <w:topLinePunct w:val="0"/>
        <w:autoSpaceDE/>
        <w:autoSpaceDN/>
        <w:bidi w:val="0"/>
        <w:adjustRightInd/>
        <w:snapToGrid/>
        <w:spacing w:line="556" w:lineRule="exact"/>
      </w:pPr>
    </w:p>
    <w:p>
      <w:pPr>
        <w:pStyle w:val="24"/>
        <w:keepNext w:val="0"/>
        <w:keepLines w:val="0"/>
        <w:pageBreakBefore w:val="0"/>
        <w:widowControl w:val="0"/>
        <w:kinsoku/>
        <w:wordWrap/>
        <w:topLinePunct w:val="0"/>
        <w:autoSpaceDE/>
        <w:autoSpaceDN/>
        <w:bidi w:val="0"/>
        <w:adjustRightInd/>
        <w:snapToGrid/>
        <w:spacing w:line="556" w:lineRule="exact"/>
      </w:pPr>
    </w:p>
    <w:p>
      <w:pPr>
        <w:keepNext w:val="0"/>
        <w:keepLines w:val="0"/>
        <w:pageBreakBefore w:val="0"/>
        <w:widowControl w:val="0"/>
        <w:kinsoku/>
        <w:wordWrap/>
        <w:topLinePunct w:val="0"/>
        <w:autoSpaceDE/>
        <w:autoSpaceDN/>
        <w:bidi w:val="0"/>
        <w:adjustRightInd/>
        <w:snapToGrid/>
        <w:spacing w:line="556" w:lineRule="exact"/>
      </w:pPr>
    </w:p>
    <w:p>
      <w:pPr>
        <w:keepNext w:val="0"/>
        <w:keepLines w:val="0"/>
        <w:pageBreakBefore w:val="0"/>
        <w:widowControl w:val="0"/>
        <w:kinsoku/>
        <w:wordWrap/>
        <w:topLinePunct w:val="0"/>
        <w:autoSpaceDE/>
        <w:autoSpaceDN/>
        <w:bidi w:val="0"/>
        <w:adjustRightInd/>
        <w:snapToGrid/>
        <w:spacing w:line="556" w:lineRule="exact"/>
        <w:rPr>
          <w:rFonts w:hint="eastAsia"/>
        </w:rPr>
      </w:pPr>
    </w:p>
    <w:sectPr>
      <w:footerReference w:type="default" r:id="rId2"/>
      <w:footerReference w:type="even" r:id="rId3"/>
      <w:footerReference w:type="first" r:id="rId4"/>
      <w:pgSz w:w="11907" w:h="16840"/>
      <w:pgMar w:top="1871" w:right="1701" w:bottom="1701" w:left="1701" w:header="851" w:footer="992" w:gutter="0"/>
      <w:pgNumType w:fmt="numberInDash"/>
      <w:cols w:num="1" w:space="720"/>
      <w:docGrid w:type="lines" w:linePitch="312" w:charSpace="0"/>
    </w:sectPr>
  </w:body>
</w:document>
</file>

<file path=word/fontTable.xml><?xml version="1.0" encoding="utf-8"?>
<w:fonts xmlns:w="http://schemas.openxmlformats.org/wordprocessingml/2006/main" xmlns:r="http://schemas.openxmlformats.org/officeDocument/2006/relationships">
  <w:font w:name="仿宋_GB2312">
    <w:panose1 w:val="02010609030101010101"/>
    <w:charset w:val="86"/>
    <w:family w:val="modern"/>
    <w:pitch w:val="variable"/>
    <w:sig w:usb0="00000001" w:usb1="080E0000" w:usb2="00000000" w:usb3="00000000" w:csb0="00040000" w:csb1="00000000"/>
  </w:font>
  <w:font w:name="黑体">
    <w:panose1 w:val="02010609060101010101"/>
    <w:charset w:val="86"/>
    <w:family w:val="auto"/>
    <w:pitch w:val="variable"/>
    <w:sig w:usb0="800002BF" w:usb1="38CF7CFA" w:usb2="00000016" w:usb3="00000000" w:csb0="00040001" w:csb1="00000000"/>
  </w:font>
  <w:font w:name="方正小标宋简体">
    <w:panose1 w:val="02000000000000000000"/>
    <w:charset w:val="86"/>
    <w:family w:val="auto"/>
    <w:pitch w:val="variable"/>
    <w:sig w:usb0="A00002BF" w:usb1="184F6CFA" w:usb2="00000012" w:usb3="00000000" w:csb0="00040001" w:csb1="00000000"/>
  </w:font>
  <w:font w:name="楷体_GB2312">
    <w:panose1 w:val="02010609030101010101"/>
    <w:charset w:val="86"/>
    <w:family w:val="auto"/>
    <w:pitch w:val="variable"/>
    <w:sig w:usb0="00000001" w:usb1="080E0000" w:usb2="00000000" w:usb3="00000000" w:csb0="00040000" w:csb1="00000000"/>
  </w:font>
  <w:font w:name="Times New Roman">
    <w:altName w:val="DejaVu Sans"/>
    <w:panose1 w:val="02020603050405020304"/>
    <w:charset w:val="01"/>
    <w:family w:val="auto"/>
    <w:pitch w:val="variable"/>
    <w:sig w:usb0="00000000" w:usb1="00000000" w:usb2="00000009" w:usb3="00000000" w:csb0="400001FF" w:csb1="FFFF0000"/>
  </w:font>
  <w:font w:name="宋体">
    <w:altName w:val="方正书宋_GBK"/>
    <w:panose1 w:val="02010600030101010101"/>
    <w:charset w:val="7A"/>
    <w:family w:val="auto"/>
    <w:pitch w:val="variable"/>
    <w:sig w:usb0="00000000" w:usb1="00000000" w:usb2="00000006" w:usb3="00000000" w:csb0="00040001" w:csb1="00000000"/>
  </w:font>
  <w:font w:name="Arial">
    <w:altName w:val="DejaVu Sans"/>
    <w:panose1 w:val="020B0604020202020204"/>
    <w:charset w:val="01"/>
    <w:family w:val="swiss"/>
    <w:pitch w:val="variable"/>
    <w:sig w:usb0="E0002AFF" w:usb1="C0007843" w:usb2="00000009" w:usb3="00000000" w:csb0="400001FF" w:csb1="FFFF0000"/>
  </w:font>
  <w:font w:name="Calibri">
    <w:altName w:val="DejaVu Sans"/>
    <w:panose1 w:val="020F0502020204030204"/>
    <w:charset w:val="00"/>
    <w:family w:val="swiss"/>
    <w:pitch w:val="variable"/>
    <w:sig w:usb0="00000000" w:usb1="00000000" w:usb2="00000001" w:usb3="00000000" w:csb0="0000019F" w:csb1="0000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8"/>
      <w:framePr w:w="0" w:hRule="auto" w:wrap="around" w:vAnchor="text" w:hAnchor="margin" w:xAlign="outside" w:y="1" w:anchorLock="0"/>
      <w:pBdr>
        <w:top w:val="none" w:sz="0" w:space="0" w:color="auto"/>
        <w:left w:val="none" w:sz="0" w:space="0" w:color="auto"/>
        <w:bottom w:val="none" w:sz="0" w:space="0" w:color="auto"/>
        <w:right w:val="none" w:sz="0" w:space="0" w:color="auto"/>
      </w:pBdr>
      <w:tabs>
        <w:tab w:val="center" w:pos="4153"/>
        <w:tab w:val="right" w:pos="8307"/>
      </w:tabs>
      <w:rPr>
        <w:rFonts w:ascii="仿宋_GB2312" w:eastAsia="仿宋_GB2312" w:hint="eastAsia"/>
        <w:b/>
        <w:bCs/>
        <w:sz w:val="28"/>
        <w:szCs w:val="28"/>
      </w:rPr>
    </w:pPr>
    <w:r>
      <w:rPr>
        <w:rStyle w:val="22"/>
        <w:rFonts w:ascii="仿宋_GB2312" w:eastAsia="仿宋_GB2312" w:hint="eastAsia"/>
        <w:b/>
        <w:bCs/>
        <w:sz w:val="28"/>
        <w:szCs w:val="28"/>
      </w:rPr>
      <w:fldChar w:fldCharType="begin"/>
    </w:r>
    <w:r>
      <w:rPr>
        <w:rStyle w:val="22"/>
        <w:rFonts w:ascii="仿宋_GB2312" w:eastAsia="仿宋_GB2312" w:hint="eastAsia"/>
        <w:b/>
        <w:bCs/>
        <w:sz w:val="28"/>
        <w:szCs w:val="28"/>
      </w:rPr>
      <w:instrText>Page</w:instrText>
    </w:r>
    <w:r>
      <w:rPr>
        <w:rStyle w:val="22"/>
        <w:rFonts w:ascii="仿宋_GB2312" w:eastAsia="仿宋_GB2312" w:hint="eastAsia"/>
        <w:b/>
        <w:bCs/>
        <w:sz w:val="28"/>
        <w:szCs w:val="28"/>
      </w:rPr>
      <w:fldChar w:fldCharType="separate"/>
    </w:r>
    <w:r>
      <w:rPr>
        <w:rStyle w:val="22"/>
        <w:rFonts w:ascii="仿宋_GB2312" w:eastAsia="仿宋_GB2312" w:hint="eastAsia"/>
        <w:b/>
        <w:bCs/>
        <w:sz w:val="28"/>
        <w:szCs w:val="28"/>
      </w:rPr>
      <w:t>- 1 -</w:t>
    </w:r>
    <w:r>
      <w:rPr>
        <w:rStyle w:val="22"/>
        <w:rFonts w:ascii="仿宋_GB2312" w:eastAsia="仿宋_GB2312" w:hint="eastAsia"/>
        <w:b/>
        <w:bCs/>
        <w:sz w:val="28"/>
        <w:szCs w:val="28"/>
      </w:rPr>
      <w:fldChar w:fldCharType="end"/>
    </w:r>
  </w:p>
  <w:p>
    <w:pPr>
      <w:pStyle w:val="18"/>
      <w:tabs>
        <w:tab w:val="center" w:pos="4153"/>
        <w:tab w:val="right" w:pos="8307"/>
      </w:tabs>
      <w:ind w:right="360" w:firstLine="360"/>
    </w:pP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8"/>
      <w:framePr w:w="0" w:hRule="auto" w:wrap="around" w:vAnchor="text" w:hAnchor="margin" w:xAlign="outside" w:y="1" w:anchorLock="0"/>
      <w:pBdr>
        <w:top w:val="none" w:sz="0" w:space="0" w:color="auto"/>
        <w:left w:val="none" w:sz="0" w:space="0" w:color="auto"/>
        <w:bottom w:val="none" w:sz="0" w:space="0" w:color="auto"/>
        <w:right w:val="none" w:sz="0" w:space="0" w:color="auto"/>
      </w:pBdr>
      <w:tabs>
        <w:tab w:val="center" w:pos="4153"/>
        <w:tab w:val="right" w:pos="8307"/>
      </w:tabs>
    </w:pPr>
    <w:r>
      <w:rPr>
        <w:rStyle w:val="22"/>
      </w:rPr>
      <w:fldChar w:fldCharType="begin"/>
    </w:r>
    <w:r>
      <w:rPr>
        <w:rStyle w:val="22"/>
      </w:rPr>
      <w:instrText>Page</w:instrText>
    </w:r>
    <w:r>
      <w:rPr>
        <w:rStyle w:val="22"/>
      </w:rPr>
      <w:fldChar w:fldCharType="separate"/>
    </w:r>
    <w:r>
      <w:rPr>
        <w:rStyle w:val="22"/>
      </w:rPr>
      <w:t>- 1 -</w:t>
    </w:r>
    <w:r>
      <w:rPr>
        <w:rStyle w:val="22"/>
      </w:rPr>
      <w:fldChar w:fldCharType="end"/>
    </w:r>
  </w:p>
  <w:p>
    <w:pPr>
      <w:pStyle w:val="18"/>
      <w:tabs>
        <w:tab w:val="center" w:pos="4153"/>
        <w:tab w:val="right" w:pos="8307"/>
      </w:tabs>
      <w:ind w:right="360" w:firstLine="360"/>
    </w:pPr>
  </w:p>
</w:ftr>
</file>

<file path=word/footer3.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8"/>
      <w:framePr w:w="0" w:hRule="auto" w:wrap="around" w:vAnchor="text" w:hAnchor="margin" w:xAlign="outside" w:y="1" w:anchorLock="0"/>
      <w:pBdr>
        <w:top w:val="none" w:sz="0" w:space="0" w:color="auto"/>
        <w:left w:val="none" w:sz="0" w:space="0" w:color="auto"/>
        <w:bottom w:val="none" w:sz="0" w:space="0" w:color="auto"/>
        <w:right w:val="none" w:sz="0" w:space="0" w:color="auto"/>
      </w:pBdr>
      <w:tabs>
        <w:tab w:val="center" w:pos="4153"/>
        <w:tab w:val="right" w:pos="8307"/>
      </w:tabs>
    </w:pPr>
    <w:r>
      <w:rPr>
        <w:rStyle w:val="22"/>
      </w:rPr>
      <w:fldChar w:fldCharType="begin"/>
    </w:r>
    <w:r>
      <w:rPr>
        <w:rStyle w:val="22"/>
      </w:rPr>
      <w:instrText>Page</w:instrText>
    </w:r>
    <w:r>
      <w:rPr>
        <w:rStyle w:val="22"/>
      </w:rPr>
      <w:fldChar w:fldCharType="separate"/>
    </w:r>
    <w:r>
      <w:rPr>
        <w:rStyle w:val="22"/>
      </w:rPr>
      <w:t>- 1 -</w:t>
    </w:r>
    <w:r>
      <w:rPr>
        <w:rStyle w:val="22"/>
      </w:rPr>
      <w:fldChar w:fldCharType="end"/>
    </w:r>
  </w:p>
  <w:p>
    <w:pPr>
      <w:pStyle w:val="18"/>
      <w:tabs>
        <w:tab w:val="center" w:pos="4153"/>
        <w:tab w:val="right" w:pos="8307"/>
      </w:tabs>
      <w:ind w:right="360" w:firstLine="360"/>
    </w:pPr>
  </w:p>
</w:ftr>
</file>

<file path=word/numbering.xml><?xml version="1.0" encoding="utf-8"?>
<w:numbering xmlns:w="http://schemas.openxmlformats.org/wordprocessingml/2006/main" xmlns:o="urn:schemas-microsoft-com:office:office" xmlns:r="http://schemas.openxmlformats.org/officeDocument/2006/relationships" xmlns:m="http://schemas.openxmlformats.org/officeDocument/2006/math" xmlns:v="urn:schemas-microsoft-com:vml" xmlns:mc="http://schemas.openxmlformats.org/markup-compatibility/2006" xmlns:w14="http://schemas.microsoft.com/office/word/2010/wordml">
  <w:abstractNum w:abstractNumId="0">
    <w:nsid w:val="8A6160A8"/>
    <w:multiLevelType w:val="multilevel"/>
    <w:tmpl w:val="8A6160A8"/>
    <w:lvl w:ilvl="0">
      <w:start w:val="1"/>
      <w:numFmt w:val="chineseCountingThousand"/>
      <w:lvlRestart w:val="0"/>
      <w:suff w:val="nothing"/>
      <w:lvlText w:val="%1、"/>
      <w:lvlJc w:val="left"/>
      <w:pPr>
        <w:ind w:left="0" w:hanging="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num w:numId="1">
    <w:abstractNumId w:val="0"/>
  </w:num>
</w:numbering>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70"/>
  <w:displayBackgroundShape/>
  <w:bordersDoNotSurroundHeader/>
  <w:bordersDoNotSurroundFooter/>
  <w:defaultTabStop w:val="420"/>
  <w:drawingGridHorizontalSpacing w:val="105"/>
  <w:drawingGridVerticalSpacing w:val="156"/>
  <w:displayHorizontalDrawingGridEvery w:val="0"/>
  <w:displayVerticalDrawingGridEvery w:val="1"/>
  <w:characterSpacingControl w:val="compressPunctuation"/>
  <w:compat>
    <w:spaceForUL/>
    <w:balanceSingleByteDoubleByteWidth/>
    <w:ulTrailSpace/>
    <w:doNotExpandShiftReturn/>
    <w:adjustLineHeightInTable/>
    <w:useAltKinsokuLineBreakRules/>
    <w:compatSetting w:name="compatibilityMode" w:uri="http://schemas.microsoft.com/office/word" w:val="15"/>
  </w:compat>
  <m:mathPr>
    <m:mathFont m:val="Cambria Math"/>
    <m:brkBin m:val="before"/>
    <m:brkBinSub m:val="--"/>
    <m:smallFrac m:val="0"/>
    <m:dispDef/>
    <m:lMargin m:val="0"/>
    <m:rMargin m:val="0"/>
    <m:defJc m:val="centerGroup"/>
    <m:wrapIndent m:val="1440"/>
    <m:intLim m:val="subSup"/>
    <m:naryLim m:val="undOvr"/>
  </m:mathPr>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qFormat/>
    <w:next w:val="15"/>
    <w:pPr>
      <w:widowControl w:val="0"/>
      <w:spacing w:line="240" w:lineRule="auto"/>
      <w:jc w:val="both"/>
    </w:pPr>
    <w:rPr>
      <w:rFonts w:ascii="Times New Roman" w:eastAsia="宋体" w:cs="Times New Roman" w:hAnsi="Times New Roman"/>
      <w:kern w:val="2"/>
      <w:sz w:val="21"/>
      <w:szCs w:val="21"/>
      <w:lang w:val="en-US" w:eastAsia="zh-CN" w:bidi="ar-SA"/>
    </w:rPr>
  </w:style>
  <w:style w:type="paragraph" w:styleId="1">
    <w:name w:val="heading 1"/>
    <w:qFormat/>
    <w:basedOn w:val="0"/>
    <w:next w:val="0"/>
    <w:link w:val="1Char"/>
    <w:pPr>
      <w:keepNext/>
      <w:keepLines/>
      <w:widowControl w:val="0"/>
      <w:spacing w:before="340" w:after="330" w:line="578" w:lineRule="auto"/>
      <w:outlineLvl w:val="0"/>
    </w:pPr>
    <w:rPr>
      <w:b/>
      <w:bCs/>
      <w:kern w:val="44"/>
      <w:sz w:val="44"/>
      <w:szCs w:val="44"/>
    </w:rPr>
  </w:style>
  <w:style w:type="character" w:customStyle="1" w:styleId="1Char">
    <w:name w:val="heading 1 Char"/>
    <w:basedOn w:val="10"/>
    <w:link w:val="1"/>
    <w:rPr>
      <w:rFonts w:ascii="Times New Roman" w:eastAsia="宋体" w:cs="Times New Roman" w:hAnsi="Times New Roman"/>
      <w:b/>
      <w:bCs/>
      <w:kern w:val="44"/>
      <w:sz w:val="44"/>
      <w:szCs w:val="44"/>
      <w:lang w:val="en-US" w:eastAsia="zh-CN" w:bidi="ar-SA"/>
    </w:rPr>
  </w:style>
  <w:style w:type="paragraph" w:styleId="2">
    <w:name w:val="heading 2"/>
    <w:qFormat/>
    <w:basedOn w:val="0"/>
    <w:next w:val="0"/>
    <w:link w:val="2Char"/>
    <w:pPr>
      <w:keepNext/>
      <w:keepLines/>
      <w:widowControl w:val="0"/>
      <w:spacing w:before="260" w:after="260" w:line="415" w:lineRule="auto"/>
      <w:outlineLvl w:val="1"/>
    </w:pPr>
    <w:rPr>
      <w:rFonts w:ascii="Times New Roman" w:eastAsia="黑体" w:hAnsi="Times New Roman"/>
      <w:b/>
      <w:bCs/>
      <w:sz w:val="32"/>
      <w:szCs w:val="32"/>
    </w:rPr>
  </w:style>
  <w:style w:type="character" w:customStyle="1" w:styleId="2Char">
    <w:name w:val="heading 2 Char"/>
    <w:basedOn w:val="10"/>
    <w:link w:val="2"/>
    <w:rPr>
      <w:rFonts w:ascii="Times New Roman" w:eastAsia="黑体" w:cs="Times New Roman" w:hAnsi="Times New Roman"/>
      <w:b/>
      <w:bCs/>
      <w:kern w:val="2"/>
      <w:sz w:val="32"/>
      <w:szCs w:val="32"/>
      <w:lang w:val="en-US" w:eastAsia="zh-CN" w:bidi="ar-SA"/>
    </w:rPr>
  </w:style>
  <w:style w:type="paragraph" w:styleId="3">
    <w:name w:val="heading 3"/>
    <w:qFormat/>
    <w:basedOn w:val="0"/>
    <w:next w:val="0"/>
    <w:link w:val="3Char"/>
    <w:pPr>
      <w:keepNext/>
      <w:keepLines/>
      <w:widowControl w:val="0"/>
      <w:spacing w:before="260" w:after="260" w:line="415" w:lineRule="auto"/>
      <w:outlineLvl w:val="2"/>
    </w:pPr>
    <w:rPr>
      <w:b/>
      <w:bCs/>
      <w:sz w:val="32"/>
      <w:szCs w:val="32"/>
    </w:rPr>
  </w:style>
  <w:style w:type="character" w:customStyle="1" w:styleId="3Char">
    <w:name w:val="heading 3 Char"/>
    <w:basedOn w:val="10"/>
    <w:link w:val="3"/>
    <w:rPr>
      <w:rFonts w:ascii="Times New Roman" w:eastAsia="宋体" w:cs="Times New Roman" w:hAnsi="Times New Roman"/>
      <w:b/>
      <w:bCs/>
      <w:kern w:val="2"/>
      <w:sz w:val="32"/>
      <w:szCs w:val="32"/>
      <w:lang w:val="en-US" w:eastAsia="zh-CN" w:bidi="ar-SA"/>
    </w:rPr>
  </w:style>
  <w:style w:type="character" w:default="1" w:styleId="10">
    <w:name w:val="Default Paragraph Font"/>
    <w:qFormat/>
  </w:style>
  <w:style w:type="paragraph" w:styleId="15">
    <w:name w:val="Normal Indent"/>
    <w:qFormat/>
    <w:basedOn w:val="0"/>
    <w:next w:val="16"/>
    <w:pPr>
      <w:ind w:firstLineChars="200" w:firstLine="200"/>
    </w:pPr>
    <w:rPr>
      <w:rFonts w:ascii="Times New Roman" w:cs="Times New Roman" w:hAnsi="Times New Roman"/>
      <w:lang w:bidi="ar-SA"/>
    </w:rPr>
  </w:style>
  <w:style w:type="paragraph" w:styleId="16">
    <w:name w:val="Subtitle"/>
    <w:qFormat/>
    <w:basedOn w:val="0"/>
    <w:next w:val="0"/>
    <w:pPr>
      <w:spacing w:line="700" w:lineRule="exact"/>
      <w:jc w:val="center"/>
      <w:outlineLvl w:val="1"/>
    </w:pPr>
    <w:rPr>
      <w:rFonts w:ascii="Arial" w:eastAsia="方正小标宋简体" w:cs="Arial" w:hAnsi="Arial"/>
      <w:b/>
      <w:bCs/>
      <w:kern w:val="28"/>
      <w:sz w:val="44"/>
      <w:szCs w:val="44"/>
    </w:rPr>
  </w:style>
  <w:style w:type="paragraph" w:styleId="17">
    <w:name w:val="index 5"/>
    <w:qFormat/>
    <w:basedOn w:val="0"/>
    <w:next w:val="0"/>
    <w:pPr>
      <w:ind w:left="1680"/>
    </w:pPr>
  </w:style>
  <w:style w:type="paragraph" w:styleId="18">
    <w:name w:val="footer"/>
    <w:qFormat/>
    <w:basedOn w:val="0"/>
    <w:pPr>
      <w:tabs>
        <w:tab w:val="center" w:pos="4153"/>
        <w:tab w:val="right" w:pos="8307"/>
      </w:tabs>
      <w:snapToGrid w:val="0"/>
      <w:jc w:val="left"/>
    </w:pPr>
    <w:rPr>
      <w:sz w:val="18"/>
      <w:szCs w:val="18"/>
    </w:rPr>
  </w:style>
  <w:style w:type="paragraph" w:styleId="19">
    <w:name w:val="header"/>
    <w:qFormat/>
    <w:basedOn w:val="0"/>
    <w:next w:val="15"/>
    <w:pPr>
      <w:pBdr>
        <w:bottom w:val="single" w:sz="6" w:space="1" w:color="auto"/>
      </w:pBdr>
      <w:tabs>
        <w:tab w:val="center" w:pos="4153"/>
        <w:tab w:val="right" w:pos="8307"/>
      </w:tabs>
      <w:snapToGrid w:val="0"/>
      <w:jc w:val="center"/>
    </w:pPr>
    <w:rPr>
      <w:sz w:val="18"/>
      <w:szCs w:val="18"/>
    </w:rPr>
  </w:style>
  <w:style w:type="paragraph" w:styleId="20">
    <w:name w:val="Normal (Web)"/>
    <w:qFormat/>
    <w:basedOn w:val="0"/>
    <w:pPr>
      <w:spacing w:before="100" w:beforeAutospacing="1" w:after="100" w:afterAutospacing="1"/>
      <w:jc w:val="left"/>
    </w:pPr>
    <w:rPr>
      <w:kern w:val="0"/>
      <w:sz w:val="24"/>
    </w:rPr>
  </w:style>
  <w:style w:type="paragraph" w:styleId="21">
    <w:name w:val="Body Text First Indent 2"/>
    <w:qFormat/>
    <w:basedOn w:val="0"/>
    <w:next w:val="17"/>
    <w:pPr>
      <w:widowControl w:val="0"/>
      <w:spacing w:after="0" w:line="360" w:lineRule="auto"/>
      <w:ind w:left="0" w:firstLineChars="200" w:firstLine="200"/>
      <w:jc w:val="both"/>
      <w:textAlignment w:val="baseline"/>
    </w:pPr>
    <w:rPr>
      <w:rFonts w:ascii="Calibri" w:eastAsia="宋体" w:cs="Times New Roman" w:hAnsi="Calibri"/>
      <w:kern w:val="2"/>
      <w:sz w:val="24"/>
      <w:szCs w:val="24"/>
      <w:lang w:val="en-US" w:eastAsia="zh-CN" w:bidi="ar-SA"/>
    </w:rPr>
  </w:style>
  <w:style w:type="character" w:styleId="22">
    <w:name w:val="page number"/>
    <w:qFormat/>
    <w:basedOn w:val="10"/>
  </w:style>
  <w:style w:type="character" w:styleId="23">
    <w:name w:val="Hyperlink"/>
    <w:qFormat/>
    <w:basedOn w:val="10"/>
    <w:rPr>
      <w:color w:val="0000FF"/>
      <w:u w:val="single"/>
    </w:rPr>
  </w:style>
  <w:style w:type="paragraph" w:customStyle="1" w:yozoId="4094" w:styleId="24">
    <w:name w:val="TOC2"/>
    <w:qFormat/>
    <w:basedOn w:val="0"/>
    <w:next w:val="0"/>
    <w:pPr>
      <w:ind w:leftChars="200" w:left="200"/>
      <w:textAlignment w:val="baseline"/>
    </w:pPr>
  </w:style>
  <w:style w:type="paragraph" w:customStyle="1" w:yozoId="4094" w:styleId="25">
    <w:name w:val="无间隔1"/>
    <w:qFormat/>
    <w:pPr>
      <w:widowControl w:val="0"/>
      <w:jc w:val="both"/>
    </w:pPr>
    <w:rPr>
      <w:rFonts w:ascii="宋体" w:eastAsia="仿宋_GB2312" w:cs="宋体" w:hAnsi="宋体"/>
      <w:kern w:val="2"/>
      <w:sz w:val="32"/>
      <w:szCs w:val="32"/>
      <w:lang w:val="en-US" w:eastAsia="zh-CN" w:bidi="ar-SA"/>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footer" Target="footer3.xml"/><Relationship Id="rId5" Type="http://schemas.openxmlformats.org/officeDocument/2006/relationships/styles" Target="styles.xml"/><Relationship Id="rId6" Type="http://schemas.openxmlformats.org/officeDocument/2006/relationships/numbering" Target="numbering.xml"/><Relationship Id="rId7" Type="http://schemas.openxmlformats.org/officeDocument/2006/relationships/fontTable" Target="fontTable.xml"/><Relationship Id="rId8" Type="http://schemas.openxmlformats.org/officeDocument/2006/relationships/customXml" Target="../customXml/item1.xml"/><Relationship Id="rId9" Type="http://schemas.openxmlformats.org/officeDocument/2006/relationships/theme" Target="theme/theme1.xml"/></Relationships>
</file>

<file path=word/theme/theme1.xml><?xml version="1.0" encoding="utf-8"?>
<a:theme xmlns:a="http://schemas.openxmlformats.org/drawingml/2006/main" name="Offic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
        <a:ea typeface=""/>
        <a:cs typeface=""/>
      </a:majorFont>
      <a:minorFont>
        <a:latin typeface=""/>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1"/>
        </a:gradFill>
      </a:fillStyleLst>
      <a:lnStyleLst>
        <a:ln w="9525" cmpd="sng" cap="flat">
          <a:solidFill>
            <a:schemeClr val="phClr">
              <a:shade val="95000"/>
              <a:satMod val="105000"/>
            </a:schemeClr>
          </a:solidFill>
          <a:prstDash val="solid"/>
          <a:round/>
        </a:ln>
        <a:ln w="25400" cmpd="sng" cap="flat">
          <a:solidFill>
            <a:schemeClr val="phClr"/>
          </a:solidFill>
          <a:prstDash val="solid"/>
          <a:round/>
        </a:ln>
        <a:ln w="38100" cmpd="sng" cap="flat">
          <a:solidFill>
            <a:schemeClr val="phClr"/>
          </a:solidFill>
          <a:prstDash val="solid"/>
          <a:round/>
        </a:ln>
      </a:lnStyleLst>
      <a:effectStyleLst>
        <a:effectStyle>
          <a:effectLst>
            <a:outerShdw sx="100000" sy="100000" algn="b" rotWithShape="0" blurRad="40000" dist="20000" dir="5400000">
              <a:srgbClr val="000000">
                <a:alpha val="37647"/>
              </a:srgbClr>
            </a:outerShdw>
          </a:effectLst>
        </a:effectStyle>
        <a:effectStyle>
          <a:effectLst>
            <a:outerShdw sx="100000" sy="100000" algn="b" rotWithShape="0" blurRad="40000" dist="23000" dir="5400000">
              <a:srgbClr val="000000">
                <a:alpha val="34509"/>
              </a:srgbClr>
            </a:outerShdw>
          </a:effectLst>
        </a:effectStyle>
        <a:effectStyle>
          <a:effectLst>
            <a:outerShdw sx="100000" sy="100000" algn="b" rotWithShape="0" blurRad="40000" dist="23000" dir="5400000">
              <a:srgbClr val="000000">
                <a:alpha val="34509"/>
              </a:srgbClr>
            </a:outerShdw>
          </a:effectLst>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50000" r="50000" b="50000"/>
          </a:path>
          <a:tileRect/>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678 0 1 1 1 1"/>
    <sectPr/>
  </customProps>
</customData>
</file>

<file path=customXml/itemProps1.xml><?xml version="1.0" encoding="utf-8"?>
<ds:datastoreItem xmlns:ds="http://schemas.openxmlformats.org/officeDocument/2006/customXml" ds:itemID="{F511C77A-9301-453C-AD81-2E879B4B42F3}">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6</TotalTime>
  <Application>WPS_Yozo_Office9.0.5545.102ZH.HE03</Application>
  <Pages>6</Pages>
  <Words>0</Words>
  <Characters>2104</Characters>
  <Lines>0</Lines>
  <Paragraphs>35</Paragraphs>
  <CharactersWithSpaces>2806</CharactersWithSpaces>
</Properties>
</file>

<file path=docProps/core.xml><?xml version="1.0" encoding="utf-8"?>
<cp:coreProperties xmlns:cp="http://schemas.openxmlformats.org/package/2006/metadata/core-properties" xmlns:dc="http://purl.org/dc/elements/1.1/" xmlns:dcterms="http://purl.org/dc/terms/" xmlns:xsi="http://www.w3.org/2001/XMLSchema-instance">
  <dc:creator>ggb1</dc:creator>
  <cp:lastModifiedBy>lenovo</cp:lastModifiedBy>
  <cp:revision>2</cp:revision>
  <cp:lastPrinted>2023-12-11T03:20:00Z</cp:lastPrinted>
  <dcterms:created xsi:type="dcterms:W3CDTF">2023-11-26T09:10:00Z</dcterms:created>
  <dcterms:modified xsi:type="dcterms:W3CDTF">2026-01-27T01:20:46Z</dcterms:modified>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2052-11.8.2.9583</vt:lpwstr>
  </property>
</Properties>
</file>