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211栾城区委宣传部</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616.92</w:t>
            </w:r>
          </w:p>
        </w:tc>
        <w:tc>
          <w:tcPr>
            <w:tcW w:w="4535" w:type="dxa"/>
            <w:vAlign w:val="center"/>
          </w:tcPr>
          <w:p>
            <w:pPr>
              <w:pStyle w:val="16"/>
            </w:pPr>
            <w:r>
              <w:t>一、一般公共服务支出</w:t>
            </w:r>
          </w:p>
        </w:tc>
        <w:tc>
          <w:tcPr>
            <w:tcW w:w="2126" w:type="dxa"/>
            <w:vAlign w:val="center"/>
          </w:tcPr>
          <w:p>
            <w:pPr>
              <w:pStyle w:val="15"/>
            </w:pPr>
            <w:r>
              <w:t>309.89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2.00</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r>
              <w:t>265.60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618.92</w:t>
            </w:r>
          </w:p>
        </w:tc>
        <w:tc>
          <w:tcPr>
            <w:tcW w:w="4535" w:type="dxa"/>
            <w:vAlign w:val="center"/>
          </w:tcPr>
          <w:p>
            <w:pPr>
              <w:pStyle w:val="18"/>
            </w:pPr>
            <w:r>
              <w:t>本年支出合计</w:t>
            </w:r>
          </w:p>
        </w:tc>
        <w:tc>
          <w:tcPr>
            <w:tcW w:w="2126" w:type="dxa"/>
            <w:vAlign w:val="center"/>
          </w:tcPr>
          <w:p>
            <w:pPr>
              <w:pStyle w:val="19"/>
            </w:pPr>
            <w:r>
              <w:t>618.92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618.92</w:t>
            </w:r>
          </w:p>
        </w:tc>
        <w:tc>
          <w:tcPr>
            <w:tcW w:w="4535" w:type="dxa"/>
            <w:vAlign w:val="center"/>
          </w:tcPr>
          <w:p>
            <w:pPr>
              <w:pStyle w:val="18"/>
            </w:pPr>
            <w:r>
              <w:t>支出总计</w:t>
            </w:r>
          </w:p>
        </w:tc>
        <w:tc>
          <w:tcPr>
            <w:tcW w:w="2126" w:type="dxa"/>
            <w:vAlign w:val="center"/>
          </w:tcPr>
          <w:p>
            <w:pPr>
              <w:pStyle w:val="19"/>
            </w:pPr>
            <w:r>
              <w:t>618.92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211栾城区委宣传部</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618.92</w:t>
            </w:r>
          </w:p>
        </w:tc>
        <w:tc>
          <w:tcPr>
            <w:tcW w:w="1134" w:type="dxa"/>
            <w:vAlign w:val="center"/>
          </w:tcPr>
          <w:p>
            <w:pPr>
              <w:pStyle w:val="19"/>
            </w:pPr>
            <w:r>
              <w:t>618.92</w:t>
            </w:r>
          </w:p>
        </w:tc>
        <w:tc>
          <w:tcPr>
            <w:tcW w:w="1134" w:type="dxa"/>
            <w:vAlign w:val="center"/>
          </w:tcPr>
          <w:p>
            <w:pPr>
              <w:pStyle w:val="19"/>
            </w:pPr>
            <w:r>
              <w:t>618.92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309.89</w:t>
            </w:r>
          </w:p>
        </w:tc>
        <w:tc>
          <w:tcPr>
            <w:tcW w:w="1134" w:type="dxa"/>
            <w:vAlign w:val="center"/>
          </w:tcPr>
          <w:p>
            <w:pPr>
              <w:pStyle w:val="15"/>
            </w:pPr>
            <w:r>
              <w:t>309.89</w:t>
            </w:r>
          </w:p>
        </w:tc>
        <w:tc>
          <w:tcPr>
            <w:tcW w:w="1134" w:type="dxa"/>
            <w:vAlign w:val="center"/>
          </w:tcPr>
          <w:p>
            <w:pPr>
              <w:pStyle w:val="15"/>
            </w:pPr>
            <w:r>
              <w:t>309.89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20133</w:t>
            </w:r>
          </w:p>
        </w:tc>
        <w:tc>
          <w:tcPr>
            <w:tcW w:w="1559" w:type="dxa"/>
            <w:vAlign w:val="center"/>
          </w:tcPr>
          <w:p>
            <w:pPr>
              <w:pStyle w:val="16"/>
            </w:pPr>
            <w:r>
              <w:t>宣传事务</w:t>
            </w:r>
          </w:p>
        </w:tc>
        <w:tc>
          <w:tcPr>
            <w:tcW w:w="1134" w:type="dxa"/>
            <w:vAlign w:val="center"/>
          </w:tcPr>
          <w:p>
            <w:pPr>
              <w:pStyle w:val="15"/>
            </w:pPr>
            <w:r>
              <w:t>309.89</w:t>
            </w:r>
          </w:p>
        </w:tc>
        <w:tc>
          <w:tcPr>
            <w:tcW w:w="1134" w:type="dxa"/>
            <w:vAlign w:val="center"/>
          </w:tcPr>
          <w:p>
            <w:pPr>
              <w:pStyle w:val="15"/>
            </w:pPr>
            <w:r>
              <w:t>309.89</w:t>
            </w:r>
          </w:p>
        </w:tc>
        <w:tc>
          <w:tcPr>
            <w:tcW w:w="1134" w:type="dxa"/>
            <w:vAlign w:val="center"/>
          </w:tcPr>
          <w:p>
            <w:pPr>
              <w:pStyle w:val="15"/>
            </w:pPr>
            <w:r>
              <w:t>309.89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2013301</w:t>
            </w:r>
          </w:p>
        </w:tc>
        <w:tc>
          <w:tcPr>
            <w:tcW w:w="1559" w:type="dxa"/>
            <w:vAlign w:val="center"/>
          </w:tcPr>
          <w:p>
            <w:pPr>
              <w:pStyle w:val="16"/>
            </w:pPr>
            <w:r>
              <w:t>行政运行</w:t>
            </w:r>
          </w:p>
        </w:tc>
        <w:tc>
          <w:tcPr>
            <w:tcW w:w="1134" w:type="dxa"/>
            <w:vAlign w:val="center"/>
          </w:tcPr>
          <w:p>
            <w:pPr>
              <w:pStyle w:val="15"/>
            </w:pPr>
            <w:r>
              <w:t>216.59</w:t>
            </w:r>
          </w:p>
        </w:tc>
        <w:tc>
          <w:tcPr>
            <w:tcW w:w="1134" w:type="dxa"/>
            <w:vAlign w:val="center"/>
          </w:tcPr>
          <w:p>
            <w:pPr>
              <w:pStyle w:val="15"/>
            </w:pPr>
            <w:r>
              <w:t>216.59</w:t>
            </w:r>
          </w:p>
        </w:tc>
        <w:tc>
          <w:tcPr>
            <w:tcW w:w="1134" w:type="dxa"/>
            <w:vAlign w:val="center"/>
          </w:tcPr>
          <w:p>
            <w:pPr>
              <w:pStyle w:val="15"/>
            </w:pPr>
            <w:r>
              <w:t>216.59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2013350</w:t>
            </w:r>
          </w:p>
        </w:tc>
        <w:tc>
          <w:tcPr>
            <w:tcW w:w="1559" w:type="dxa"/>
            <w:vAlign w:val="center"/>
          </w:tcPr>
          <w:p>
            <w:pPr>
              <w:pStyle w:val="16"/>
            </w:pPr>
            <w:r>
              <w:t>事业运行</w:t>
            </w:r>
          </w:p>
        </w:tc>
        <w:tc>
          <w:tcPr>
            <w:tcW w:w="1134" w:type="dxa"/>
            <w:vAlign w:val="center"/>
          </w:tcPr>
          <w:p>
            <w:pPr>
              <w:pStyle w:val="15"/>
            </w:pPr>
            <w:r>
              <w:t>93.30</w:t>
            </w:r>
          </w:p>
        </w:tc>
        <w:tc>
          <w:tcPr>
            <w:tcW w:w="1134" w:type="dxa"/>
            <w:vAlign w:val="center"/>
          </w:tcPr>
          <w:p>
            <w:pPr>
              <w:pStyle w:val="15"/>
            </w:pPr>
            <w:r>
              <w:t>93.30</w:t>
            </w:r>
          </w:p>
        </w:tc>
        <w:tc>
          <w:tcPr>
            <w:tcW w:w="1134" w:type="dxa"/>
            <w:vAlign w:val="center"/>
          </w:tcPr>
          <w:p>
            <w:pPr>
              <w:pStyle w:val="15"/>
            </w:pPr>
            <w:r>
              <w:t>93.30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207</w:t>
            </w:r>
          </w:p>
        </w:tc>
        <w:tc>
          <w:tcPr>
            <w:tcW w:w="1559" w:type="dxa"/>
            <w:vAlign w:val="center"/>
          </w:tcPr>
          <w:p>
            <w:pPr>
              <w:pStyle w:val="16"/>
            </w:pPr>
            <w:r>
              <w:t>文化旅游体育与传媒支出</w:t>
            </w:r>
          </w:p>
        </w:tc>
        <w:tc>
          <w:tcPr>
            <w:tcW w:w="1134" w:type="dxa"/>
            <w:vAlign w:val="center"/>
          </w:tcPr>
          <w:p>
            <w:pPr>
              <w:pStyle w:val="15"/>
            </w:pPr>
            <w:r>
              <w:t>265.60</w:t>
            </w:r>
          </w:p>
        </w:tc>
        <w:tc>
          <w:tcPr>
            <w:tcW w:w="1134" w:type="dxa"/>
            <w:vAlign w:val="center"/>
          </w:tcPr>
          <w:p>
            <w:pPr>
              <w:pStyle w:val="15"/>
            </w:pPr>
            <w:r>
              <w:t>265.60</w:t>
            </w:r>
          </w:p>
        </w:tc>
        <w:tc>
          <w:tcPr>
            <w:tcW w:w="1134" w:type="dxa"/>
            <w:vAlign w:val="center"/>
          </w:tcPr>
          <w:p>
            <w:pPr>
              <w:pStyle w:val="15"/>
            </w:pPr>
            <w:r>
              <w:t>265.60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20707</w:t>
            </w:r>
          </w:p>
        </w:tc>
        <w:tc>
          <w:tcPr>
            <w:tcW w:w="1559" w:type="dxa"/>
            <w:vAlign w:val="center"/>
          </w:tcPr>
          <w:p>
            <w:pPr>
              <w:pStyle w:val="16"/>
            </w:pPr>
            <w:r>
              <w:t>国家电影事业发展专项资金安排的支出</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2070799</w:t>
            </w:r>
          </w:p>
        </w:tc>
        <w:tc>
          <w:tcPr>
            <w:tcW w:w="1559" w:type="dxa"/>
            <w:vAlign w:val="center"/>
          </w:tcPr>
          <w:p>
            <w:pPr>
              <w:pStyle w:val="16"/>
            </w:pPr>
            <w:r>
              <w:t>其他国家电影事业发展专项资金支出</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20799</w:t>
            </w:r>
          </w:p>
        </w:tc>
        <w:tc>
          <w:tcPr>
            <w:tcW w:w="1559" w:type="dxa"/>
            <w:vAlign w:val="center"/>
          </w:tcPr>
          <w:p>
            <w:pPr>
              <w:pStyle w:val="16"/>
            </w:pPr>
            <w:r>
              <w:t>其他文化旅游体育与传媒支出</w:t>
            </w:r>
          </w:p>
        </w:tc>
        <w:tc>
          <w:tcPr>
            <w:tcW w:w="1134" w:type="dxa"/>
            <w:vAlign w:val="center"/>
          </w:tcPr>
          <w:p>
            <w:pPr>
              <w:pStyle w:val="15"/>
            </w:pPr>
            <w:r>
              <w:t>263.60</w:t>
            </w:r>
          </w:p>
        </w:tc>
        <w:tc>
          <w:tcPr>
            <w:tcW w:w="1134" w:type="dxa"/>
            <w:vAlign w:val="center"/>
          </w:tcPr>
          <w:p>
            <w:pPr>
              <w:pStyle w:val="15"/>
            </w:pPr>
            <w:r>
              <w:t>263.60</w:t>
            </w:r>
          </w:p>
        </w:tc>
        <w:tc>
          <w:tcPr>
            <w:tcW w:w="1134" w:type="dxa"/>
            <w:vAlign w:val="center"/>
          </w:tcPr>
          <w:p>
            <w:pPr>
              <w:pStyle w:val="15"/>
            </w:pPr>
            <w:r>
              <w:t>263.60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2079999</w:t>
            </w:r>
          </w:p>
        </w:tc>
        <w:tc>
          <w:tcPr>
            <w:tcW w:w="1559" w:type="dxa"/>
            <w:vAlign w:val="center"/>
          </w:tcPr>
          <w:p>
            <w:pPr>
              <w:pStyle w:val="16"/>
            </w:pPr>
            <w:r>
              <w:t>其他文化旅游体育与传媒支出</w:t>
            </w:r>
          </w:p>
        </w:tc>
        <w:tc>
          <w:tcPr>
            <w:tcW w:w="1134" w:type="dxa"/>
            <w:vAlign w:val="center"/>
          </w:tcPr>
          <w:p>
            <w:pPr>
              <w:pStyle w:val="15"/>
            </w:pPr>
            <w:r>
              <w:t>263.60</w:t>
            </w:r>
          </w:p>
        </w:tc>
        <w:tc>
          <w:tcPr>
            <w:tcW w:w="1134" w:type="dxa"/>
            <w:vAlign w:val="center"/>
          </w:tcPr>
          <w:p>
            <w:pPr>
              <w:pStyle w:val="15"/>
            </w:pPr>
            <w:r>
              <w:t>263.60</w:t>
            </w:r>
          </w:p>
        </w:tc>
        <w:tc>
          <w:tcPr>
            <w:tcW w:w="1134" w:type="dxa"/>
            <w:vAlign w:val="center"/>
          </w:tcPr>
          <w:p>
            <w:pPr>
              <w:pStyle w:val="15"/>
            </w:pPr>
            <w:r>
              <w:t>263.60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29.04</w:t>
            </w:r>
          </w:p>
        </w:tc>
        <w:tc>
          <w:tcPr>
            <w:tcW w:w="1134" w:type="dxa"/>
            <w:vAlign w:val="center"/>
          </w:tcPr>
          <w:p>
            <w:pPr>
              <w:pStyle w:val="15"/>
            </w:pPr>
            <w:r>
              <w:t>29.04</w:t>
            </w:r>
          </w:p>
        </w:tc>
        <w:tc>
          <w:tcPr>
            <w:tcW w:w="1134" w:type="dxa"/>
            <w:vAlign w:val="center"/>
          </w:tcPr>
          <w:p>
            <w:pPr>
              <w:pStyle w:val="15"/>
            </w:pPr>
            <w:r>
              <w:t>29.04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28.06</w:t>
            </w:r>
          </w:p>
        </w:tc>
        <w:tc>
          <w:tcPr>
            <w:tcW w:w="1134" w:type="dxa"/>
            <w:vAlign w:val="center"/>
          </w:tcPr>
          <w:p>
            <w:pPr>
              <w:pStyle w:val="15"/>
            </w:pPr>
            <w:r>
              <w:t>28.06</w:t>
            </w:r>
          </w:p>
        </w:tc>
        <w:tc>
          <w:tcPr>
            <w:tcW w:w="1134" w:type="dxa"/>
            <w:vAlign w:val="center"/>
          </w:tcPr>
          <w:p>
            <w:pPr>
              <w:pStyle w:val="15"/>
            </w:pPr>
            <w:r>
              <w:t>28.06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28.06</w:t>
            </w:r>
          </w:p>
        </w:tc>
        <w:tc>
          <w:tcPr>
            <w:tcW w:w="1134" w:type="dxa"/>
            <w:vAlign w:val="center"/>
          </w:tcPr>
          <w:p>
            <w:pPr>
              <w:pStyle w:val="15"/>
            </w:pPr>
            <w:r>
              <w:t>28.06</w:t>
            </w:r>
          </w:p>
        </w:tc>
        <w:tc>
          <w:tcPr>
            <w:tcW w:w="1134" w:type="dxa"/>
            <w:vAlign w:val="center"/>
          </w:tcPr>
          <w:p>
            <w:pPr>
              <w:pStyle w:val="15"/>
            </w:pPr>
            <w:r>
              <w:t>28.06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20827</w:t>
            </w:r>
          </w:p>
        </w:tc>
        <w:tc>
          <w:tcPr>
            <w:tcW w:w="1559" w:type="dxa"/>
            <w:vAlign w:val="center"/>
          </w:tcPr>
          <w:p>
            <w:pPr>
              <w:pStyle w:val="16"/>
            </w:pPr>
            <w:r>
              <w:t>财政对其他社会保险基金的补助</w:t>
            </w:r>
          </w:p>
        </w:tc>
        <w:tc>
          <w:tcPr>
            <w:tcW w:w="1134" w:type="dxa"/>
            <w:vAlign w:val="center"/>
          </w:tcPr>
          <w:p>
            <w:pPr>
              <w:pStyle w:val="15"/>
            </w:pPr>
            <w:r>
              <w:t>0.98</w:t>
            </w:r>
          </w:p>
        </w:tc>
        <w:tc>
          <w:tcPr>
            <w:tcW w:w="1134" w:type="dxa"/>
            <w:vAlign w:val="center"/>
          </w:tcPr>
          <w:p>
            <w:pPr>
              <w:pStyle w:val="15"/>
            </w:pPr>
            <w:r>
              <w:t>0.98</w:t>
            </w:r>
          </w:p>
        </w:tc>
        <w:tc>
          <w:tcPr>
            <w:tcW w:w="1134" w:type="dxa"/>
            <w:vAlign w:val="center"/>
          </w:tcPr>
          <w:p>
            <w:pPr>
              <w:pStyle w:val="15"/>
            </w:pPr>
            <w:r>
              <w:t>0.98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2082701</w:t>
            </w:r>
          </w:p>
        </w:tc>
        <w:tc>
          <w:tcPr>
            <w:tcW w:w="1559" w:type="dxa"/>
            <w:vAlign w:val="center"/>
          </w:tcPr>
          <w:p>
            <w:pPr>
              <w:pStyle w:val="16"/>
            </w:pPr>
            <w:r>
              <w:t>财政对失业保险基金的补助</w:t>
            </w:r>
          </w:p>
        </w:tc>
        <w:tc>
          <w:tcPr>
            <w:tcW w:w="1134" w:type="dxa"/>
            <w:vAlign w:val="center"/>
          </w:tcPr>
          <w:p>
            <w:pPr>
              <w:pStyle w:val="15"/>
            </w:pPr>
            <w:r>
              <w:t>0.33</w:t>
            </w:r>
          </w:p>
        </w:tc>
        <w:tc>
          <w:tcPr>
            <w:tcW w:w="1134" w:type="dxa"/>
            <w:vAlign w:val="center"/>
          </w:tcPr>
          <w:p>
            <w:pPr>
              <w:pStyle w:val="15"/>
            </w:pPr>
            <w:r>
              <w:t>0.33</w:t>
            </w:r>
          </w:p>
        </w:tc>
        <w:tc>
          <w:tcPr>
            <w:tcW w:w="1134" w:type="dxa"/>
            <w:vAlign w:val="center"/>
          </w:tcPr>
          <w:p>
            <w:pPr>
              <w:pStyle w:val="15"/>
            </w:pPr>
            <w:r>
              <w:t>0.33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2082702</w:t>
            </w:r>
          </w:p>
        </w:tc>
        <w:tc>
          <w:tcPr>
            <w:tcW w:w="1559" w:type="dxa"/>
            <w:vAlign w:val="center"/>
          </w:tcPr>
          <w:p>
            <w:pPr>
              <w:pStyle w:val="16"/>
            </w:pPr>
            <w:r>
              <w:t>财政对工伤保险基金的补助</w:t>
            </w:r>
          </w:p>
        </w:tc>
        <w:tc>
          <w:tcPr>
            <w:tcW w:w="1134" w:type="dxa"/>
            <w:vAlign w:val="center"/>
          </w:tcPr>
          <w:p>
            <w:pPr>
              <w:pStyle w:val="15"/>
            </w:pPr>
            <w:r>
              <w:t>0.66</w:t>
            </w:r>
          </w:p>
        </w:tc>
        <w:tc>
          <w:tcPr>
            <w:tcW w:w="1134" w:type="dxa"/>
            <w:vAlign w:val="center"/>
          </w:tcPr>
          <w:p>
            <w:pPr>
              <w:pStyle w:val="15"/>
            </w:pPr>
            <w:r>
              <w:t>0.66</w:t>
            </w:r>
          </w:p>
        </w:tc>
        <w:tc>
          <w:tcPr>
            <w:tcW w:w="1134" w:type="dxa"/>
            <w:vAlign w:val="center"/>
          </w:tcPr>
          <w:p>
            <w:pPr>
              <w:pStyle w:val="15"/>
            </w:pPr>
            <w:r>
              <w:t>0.66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14.39</w:t>
            </w:r>
          </w:p>
        </w:tc>
        <w:tc>
          <w:tcPr>
            <w:tcW w:w="1134" w:type="dxa"/>
            <w:vAlign w:val="center"/>
          </w:tcPr>
          <w:p>
            <w:pPr>
              <w:pStyle w:val="15"/>
            </w:pPr>
            <w:r>
              <w:t>14.39</w:t>
            </w:r>
          </w:p>
        </w:tc>
        <w:tc>
          <w:tcPr>
            <w:tcW w:w="1134" w:type="dxa"/>
            <w:vAlign w:val="center"/>
          </w:tcPr>
          <w:p>
            <w:pPr>
              <w:pStyle w:val="15"/>
            </w:pPr>
            <w:r>
              <w:t>14.39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14.39</w:t>
            </w:r>
          </w:p>
        </w:tc>
        <w:tc>
          <w:tcPr>
            <w:tcW w:w="1134" w:type="dxa"/>
            <w:vAlign w:val="center"/>
          </w:tcPr>
          <w:p>
            <w:pPr>
              <w:pStyle w:val="15"/>
            </w:pPr>
            <w:r>
              <w:t>14.39</w:t>
            </w:r>
          </w:p>
        </w:tc>
        <w:tc>
          <w:tcPr>
            <w:tcW w:w="1134" w:type="dxa"/>
            <w:vAlign w:val="center"/>
          </w:tcPr>
          <w:p>
            <w:pPr>
              <w:pStyle w:val="15"/>
            </w:pPr>
            <w:r>
              <w:t>14.39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9.05</w:t>
            </w:r>
          </w:p>
        </w:tc>
        <w:tc>
          <w:tcPr>
            <w:tcW w:w="1134" w:type="dxa"/>
            <w:vAlign w:val="center"/>
          </w:tcPr>
          <w:p>
            <w:pPr>
              <w:pStyle w:val="15"/>
            </w:pPr>
            <w:r>
              <w:t>9.05</w:t>
            </w:r>
          </w:p>
        </w:tc>
        <w:tc>
          <w:tcPr>
            <w:tcW w:w="1134" w:type="dxa"/>
            <w:vAlign w:val="center"/>
          </w:tcPr>
          <w:p>
            <w:pPr>
              <w:pStyle w:val="15"/>
            </w:pPr>
            <w:r>
              <w:t>9.05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5.34</w:t>
            </w:r>
          </w:p>
        </w:tc>
        <w:tc>
          <w:tcPr>
            <w:tcW w:w="1134" w:type="dxa"/>
            <w:vAlign w:val="center"/>
          </w:tcPr>
          <w:p>
            <w:pPr>
              <w:pStyle w:val="15"/>
            </w:pPr>
            <w:r>
              <w:t>5.34</w:t>
            </w:r>
          </w:p>
        </w:tc>
        <w:tc>
          <w:tcPr>
            <w:tcW w:w="1134" w:type="dxa"/>
            <w:vAlign w:val="center"/>
          </w:tcPr>
          <w:p>
            <w:pPr>
              <w:pStyle w:val="15"/>
            </w:pPr>
            <w:r>
              <w:t>5.34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211栾城区委宣传部</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618.92</w:t>
            </w:r>
          </w:p>
        </w:tc>
        <w:tc>
          <w:tcPr>
            <w:tcW w:w="1361" w:type="dxa"/>
            <w:vAlign w:val="center"/>
          </w:tcPr>
          <w:p>
            <w:pPr>
              <w:pStyle w:val="19"/>
            </w:pPr>
            <w:r>
              <w:t>353.32</w:t>
            </w:r>
          </w:p>
        </w:tc>
        <w:tc>
          <w:tcPr>
            <w:tcW w:w="1361" w:type="dxa"/>
            <w:vAlign w:val="center"/>
          </w:tcPr>
          <w:p>
            <w:pPr>
              <w:pStyle w:val="19"/>
            </w:pPr>
            <w:r>
              <w:t>265.60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309.89</w:t>
            </w:r>
          </w:p>
        </w:tc>
        <w:tc>
          <w:tcPr>
            <w:tcW w:w="1361" w:type="dxa"/>
            <w:vAlign w:val="center"/>
          </w:tcPr>
          <w:p>
            <w:pPr>
              <w:pStyle w:val="15"/>
            </w:pPr>
            <w:r>
              <w:t>309.89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20133</w:t>
            </w:r>
          </w:p>
        </w:tc>
        <w:tc>
          <w:tcPr>
            <w:tcW w:w="4535" w:type="dxa"/>
            <w:vAlign w:val="center"/>
          </w:tcPr>
          <w:p>
            <w:pPr>
              <w:pStyle w:val="16"/>
            </w:pPr>
            <w:r>
              <w:t>宣传事务</w:t>
            </w:r>
          </w:p>
        </w:tc>
        <w:tc>
          <w:tcPr>
            <w:tcW w:w="1361" w:type="dxa"/>
            <w:vAlign w:val="center"/>
          </w:tcPr>
          <w:p>
            <w:pPr>
              <w:pStyle w:val="15"/>
            </w:pPr>
            <w:r>
              <w:t>309.89</w:t>
            </w:r>
          </w:p>
        </w:tc>
        <w:tc>
          <w:tcPr>
            <w:tcW w:w="1361" w:type="dxa"/>
            <w:vAlign w:val="center"/>
          </w:tcPr>
          <w:p>
            <w:pPr>
              <w:pStyle w:val="15"/>
            </w:pPr>
            <w:r>
              <w:t>309.89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2013301</w:t>
            </w:r>
          </w:p>
        </w:tc>
        <w:tc>
          <w:tcPr>
            <w:tcW w:w="4535" w:type="dxa"/>
            <w:vAlign w:val="center"/>
          </w:tcPr>
          <w:p>
            <w:pPr>
              <w:pStyle w:val="16"/>
            </w:pPr>
            <w:r>
              <w:t>行政运行</w:t>
            </w:r>
          </w:p>
        </w:tc>
        <w:tc>
          <w:tcPr>
            <w:tcW w:w="1361" w:type="dxa"/>
            <w:vAlign w:val="center"/>
          </w:tcPr>
          <w:p>
            <w:pPr>
              <w:pStyle w:val="15"/>
            </w:pPr>
            <w:r>
              <w:t>216.59</w:t>
            </w:r>
          </w:p>
        </w:tc>
        <w:tc>
          <w:tcPr>
            <w:tcW w:w="1361" w:type="dxa"/>
            <w:vAlign w:val="center"/>
          </w:tcPr>
          <w:p>
            <w:pPr>
              <w:pStyle w:val="15"/>
            </w:pPr>
            <w:r>
              <w:t>216.59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2013350</w:t>
            </w:r>
          </w:p>
        </w:tc>
        <w:tc>
          <w:tcPr>
            <w:tcW w:w="4535" w:type="dxa"/>
            <w:vAlign w:val="center"/>
          </w:tcPr>
          <w:p>
            <w:pPr>
              <w:pStyle w:val="16"/>
            </w:pPr>
            <w:r>
              <w:t>事业运行</w:t>
            </w:r>
          </w:p>
        </w:tc>
        <w:tc>
          <w:tcPr>
            <w:tcW w:w="1361" w:type="dxa"/>
            <w:vAlign w:val="center"/>
          </w:tcPr>
          <w:p>
            <w:pPr>
              <w:pStyle w:val="15"/>
            </w:pPr>
            <w:r>
              <w:t>93.30</w:t>
            </w:r>
          </w:p>
        </w:tc>
        <w:tc>
          <w:tcPr>
            <w:tcW w:w="1361" w:type="dxa"/>
            <w:vAlign w:val="center"/>
          </w:tcPr>
          <w:p>
            <w:pPr>
              <w:pStyle w:val="15"/>
            </w:pPr>
            <w:r>
              <w:t>93.30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207</w:t>
            </w:r>
          </w:p>
        </w:tc>
        <w:tc>
          <w:tcPr>
            <w:tcW w:w="4535" w:type="dxa"/>
            <w:vAlign w:val="center"/>
          </w:tcPr>
          <w:p>
            <w:pPr>
              <w:pStyle w:val="16"/>
            </w:pPr>
            <w:r>
              <w:t>文化旅游体育与传媒支出</w:t>
            </w:r>
          </w:p>
        </w:tc>
        <w:tc>
          <w:tcPr>
            <w:tcW w:w="1361" w:type="dxa"/>
            <w:vAlign w:val="center"/>
          </w:tcPr>
          <w:p>
            <w:pPr>
              <w:pStyle w:val="15"/>
            </w:pPr>
            <w:r>
              <w:t>265.60</w:t>
            </w:r>
          </w:p>
        </w:tc>
        <w:tc>
          <w:tcPr>
            <w:tcW w:w="1361" w:type="dxa"/>
            <w:vAlign w:val="center"/>
          </w:tcPr>
          <w:p>
            <w:pPr>
              <w:pStyle w:val="15"/>
            </w:pPr>
          </w:p>
        </w:tc>
        <w:tc>
          <w:tcPr>
            <w:tcW w:w="1361" w:type="dxa"/>
            <w:vAlign w:val="center"/>
          </w:tcPr>
          <w:p>
            <w:pPr>
              <w:pStyle w:val="15"/>
            </w:pPr>
            <w:r>
              <w:t>265.60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20707</w:t>
            </w:r>
          </w:p>
        </w:tc>
        <w:tc>
          <w:tcPr>
            <w:tcW w:w="4535" w:type="dxa"/>
            <w:vAlign w:val="center"/>
          </w:tcPr>
          <w:p>
            <w:pPr>
              <w:pStyle w:val="16"/>
            </w:pPr>
            <w:r>
              <w:t>国家电影事业发展专项资金安排的支出</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2070799</w:t>
            </w:r>
          </w:p>
        </w:tc>
        <w:tc>
          <w:tcPr>
            <w:tcW w:w="4535" w:type="dxa"/>
            <w:vAlign w:val="center"/>
          </w:tcPr>
          <w:p>
            <w:pPr>
              <w:pStyle w:val="16"/>
            </w:pPr>
            <w:r>
              <w:t>其他国家电影事业发展专项资金支出</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20799</w:t>
            </w:r>
          </w:p>
        </w:tc>
        <w:tc>
          <w:tcPr>
            <w:tcW w:w="4535" w:type="dxa"/>
            <w:vAlign w:val="center"/>
          </w:tcPr>
          <w:p>
            <w:pPr>
              <w:pStyle w:val="16"/>
            </w:pPr>
            <w:r>
              <w:t>其他文化旅游体育与传媒支出</w:t>
            </w:r>
          </w:p>
        </w:tc>
        <w:tc>
          <w:tcPr>
            <w:tcW w:w="1361" w:type="dxa"/>
            <w:vAlign w:val="center"/>
          </w:tcPr>
          <w:p>
            <w:pPr>
              <w:pStyle w:val="15"/>
            </w:pPr>
            <w:r>
              <w:t>263.60</w:t>
            </w:r>
          </w:p>
        </w:tc>
        <w:tc>
          <w:tcPr>
            <w:tcW w:w="1361" w:type="dxa"/>
            <w:vAlign w:val="center"/>
          </w:tcPr>
          <w:p>
            <w:pPr>
              <w:pStyle w:val="15"/>
            </w:pPr>
          </w:p>
        </w:tc>
        <w:tc>
          <w:tcPr>
            <w:tcW w:w="1361" w:type="dxa"/>
            <w:vAlign w:val="center"/>
          </w:tcPr>
          <w:p>
            <w:pPr>
              <w:pStyle w:val="15"/>
            </w:pPr>
            <w:r>
              <w:t>263.60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2079999</w:t>
            </w:r>
          </w:p>
        </w:tc>
        <w:tc>
          <w:tcPr>
            <w:tcW w:w="4535" w:type="dxa"/>
            <w:vAlign w:val="center"/>
          </w:tcPr>
          <w:p>
            <w:pPr>
              <w:pStyle w:val="16"/>
            </w:pPr>
            <w:r>
              <w:t>其他文化旅游体育与传媒支出</w:t>
            </w:r>
          </w:p>
        </w:tc>
        <w:tc>
          <w:tcPr>
            <w:tcW w:w="1361" w:type="dxa"/>
            <w:vAlign w:val="center"/>
          </w:tcPr>
          <w:p>
            <w:pPr>
              <w:pStyle w:val="15"/>
            </w:pPr>
            <w:r>
              <w:t>263.60</w:t>
            </w:r>
          </w:p>
        </w:tc>
        <w:tc>
          <w:tcPr>
            <w:tcW w:w="1361" w:type="dxa"/>
            <w:vAlign w:val="center"/>
          </w:tcPr>
          <w:p>
            <w:pPr>
              <w:pStyle w:val="15"/>
            </w:pPr>
          </w:p>
        </w:tc>
        <w:tc>
          <w:tcPr>
            <w:tcW w:w="1361" w:type="dxa"/>
            <w:vAlign w:val="center"/>
          </w:tcPr>
          <w:p>
            <w:pPr>
              <w:pStyle w:val="15"/>
            </w:pPr>
            <w:r>
              <w:t>263.60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29.04</w:t>
            </w:r>
          </w:p>
        </w:tc>
        <w:tc>
          <w:tcPr>
            <w:tcW w:w="1361" w:type="dxa"/>
            <w:vAlign w:val="center"/>
          </w:tcPr>
          <w:p>
            <w:pPr>
              <w:pStyle w:val="15"/>
            </w:pPr>
            <w:r>
              <w:t>29.04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28.06</w:t>
            </w:r>
          </w:p>
        </w:tc>
        <w:tc>
          <w:tcPr>
            <w:tcW w:w="1361" w:type="dxa"/>
            <w:vAlign w:val="center"/>
          </w:tcPr>
          <w:p>
            <w:pPr>
              <w:pStyle w:val="15"/>
            </w:pPr>
            <w:r>
              <w:t>28.06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28.06</w:t>
            </w:r>
          </w:p>
        </w:tc>
        <w:tc>
          <w:tcPr>
            <w:tcW w:w="1361" w:type="dxa"/>
            <w:vAlign w:val="center"/>
          </w:tcPr>
          <w:p>
            <w:pPr>
              <w:pStyle w:val="15"/>
            </w:pPr>
            <w:r>
              <w:t>28.06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20827</w:t>
            </w:r>
          </w:p>
        </w:tc>
        <w:tc>
          <w:tcPr>
            <w:tcW w:w="4535" w:type="dxa"/>
            <w:vAlign w:val="center"/>
          </w:tcPr>
          <w:p>
            <w:pPr>
              <w:pStyle w:val="16"/>
            </w:pPr>
            <w:r>
              <w:t>财政对其他社会保险基金的补助</w:t>
            </w:r>
          </w:p>
        </w:tc>
        <w:tc>
          <w:tcPr>
            <w:tcW w:w="1361" w:type="dxa"/>
            <w:vAlign w:val="center"/>
          </w:tcPr>
          <w:p>
            <w:pPr>
              <w:pStyle w:val="15"/>
            </w:pPr>
            <w:r>
              <w:t>0.98</w:t>
            </w:r>
          </w:p>
        </w:tc>
        <w:tc>
          <w:tcPr>
            <w:tcW w:w="1361" w:type="dxa"/>
            <w:vAlign w:val="center"/>
          </w:tcPr>
          <w:p>
            <w:pPr>
              <w:pStyle w:val="15"/>
            </w:pPr>
            <w:r>
              <w:t>0.98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2082701</w:t>
            </w:r>
          </w:p>
        </w:tc>
        <w:tc>
          <w:tcPr>
            <w:tcW w:w="4535" w:type="dxa"/>
            <w:vAlign w:val="center"/>
          </w:tcPr>
          <w:p>
            <w:pPr>
              <w:pStyle w:val="16"/>
            </w:pPr>
            <w:r>
              <w:t>财政对失业保险基金的补助</w:t>
            </w:r>
          </w:p>
        </w:tc>
        <w:tc>
          <w:tcPr>
            <w:tcW w:w="1361" w:type="dxa"/>
            <w:vAlign w:val="center"/>
          </w:tcPr>
          <w:p>
            <w:pPr>
              <w:pStyle w:val="15"/>
            </w:pPr>
            <w:r>
              <w:t>0.33</w:t>
            </w:r>
          </w:p>
        </w:tc>
        <w:tc>
          <w:tcPr>
            <w:tcW w:w="1361" w:type="dxa"/>
            <w:vAlign w:val="center"/>
          </w:tcPr>
          <w:p>
            <w:pPr>
              <w:pStyle w:val="15"/>
            </w:pPr>
            <w:r>
              <w:t>0.33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2082702</w:t>
            </w:r>
          </w:p>
        </w:tc>
        <w:tc>
          <w:tcPr>
            <w:tcW w:w="4535" w:type="dxa"/>
            <w:vAlign w:val="center"/>
          </w:tcPr>
          <w:p>
            <w:pPr>
              <w:pStyle w:val="16"/>
            </w:pPr>
            <w:r>
              <w:t>财政对工伤保险基金的补助</w:t>
            </w:r>
          </w:p>
        </w:tc>
        <w:tc>
          <w:tcPr>
            <w:tcW w:w="1361" w:type="dxa"/>
            <w:vAlign w:val="center"/>
          </w:tcPr>
          <w:p>
            <w:pPr>
              <w:pStyle w:val="15"/>
            </w:pPr>
            <w:r>
              <w:t>0.66</w:t>
            </w:r>
          </w:p>
        </w:tc>
        <w:tc>
          <w:tcPr>
            <w:tcW w:w="1361" w:type="dxa"/>
            <w:vAlign w:val="center"/>
          </w:tcPr>
          <w:p>
            <w:pPr>
              <w:pStyle w:val="15"/>
            </w:pPr>
            <w:r>
              <w:t>0.66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14.39</w:t>
            </w:r>
          </w:p>
        </w:tc>
        <w:tc>
          <w:tcPr>
            <w:tcW w:w="1361" w:type="dxa"/>
            <w:vAlign w:val="center"/>
          </w:tcPr>
          <w:p>
            <w:pPr>
              <w:pStyle w:val="15"/>
            </w:pPr>
            <w:r>
              <w:t>14.39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14.39</w:t>
            </w:r>
          </w:p>
        </w:tc>
        <w:tc>
          <w:tcPr>
            <w:tcW w:w="1361" w:type="dxa"/>
            <w:vAlign w:val="center"/>
          </w:tcPr>
          <w:p>
            <w:pPr>
              <w:pStyle w:val="15"/>
            </w:pPr>
            <w:r>
              <w:t>14.39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9.05</w:t>
            </w:r>
          </w:p>
        </w:tc>
        <w:tc>
          <w:tcPr>
            <w:tcW w:w="1361" w:type="dxa"/>
            <w:vAlign w:val="center"/>
          </w:tcPr>
          <w:p>
            <w:pPr>
              <w:pStyle w:val="15"/>
            </w:pPr>
            <w:r>
              <w:t>9.05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5.34</w:t>
            </w:r>
          </w:p>
        </w:tc>
        <w:tc>
          <w:tcPr>
            <w:tcW w:w="1361" w:type="dxa"/>
            <w:vAlign w:val="center"/>
          </w:tcPr>
          <w:p>
            <w:pPr>
              <w:pStyle w:val="15"/>
            </w:pPr>
            <w:r>
              <w:t>5.34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211栾城区委宣传部</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616.92</w:t>
            </w:r>
          </w:p>
        </w:tc>
        <w:tc>
          <w:tcPr>
            <w:tcW w:w="3402" w:type="dxa"/>
            <w:vAlign w:val="center"/>
          </w:tcPr>
          <w:p>
            <w:pPr>
              <w:pStyle w:val="16"/>
            </w:pPr>
            <w:r>
              <w:t>一、一般公共服务支出</w:t>
            </w:r>
          </w:p>
        </w:tc>
        <w:tc>
          <w:tcPr>
            <w:tcW w:w="1474" w:type="dxa"/>
            <w:vAlign w:val="center"/>
          </w:tcPr>
          <w:p>
            <w:pPr>
              <w:pStyle w:val="15"/>
            </w:pPr>
            <w:r>
              <w:t>309.89</w:t>
            </w:r>
          </w:p>
        </w:tc>
        <w:tc>
          <w:tcPr>
            <w:tcW w:w="1474" w:type="dxa"/>
            <w:vAlign w:val="center"/>
          </w:tcPr>
          <w:p>
            <w:pPr>
              <w:pStyle w:val="15"/>
            </w:pPr>
            <w:r>
              <w:t>309.89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2.00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r>
              <w:t>265.60</w:t>
            </w:r>
          </w:p>
        </w:tc>
        <w:tc>
          <w:tcPr>
            <w:tcW w:w="1474" w:type="dxa"/>
            <w:vAlign w:val="center"/>
          </w:tcPr>
          <w:p>
            <w:pPr>
              <w:pStyle w:val="15"/>
            </w:pPr>
            <w:r>
              <w:t>263.60</w:t>
            </w:r>
          </w:p>
        </w:tc>
        <w:tc>
          <w:tcPr>
            <w:tcW w:w="1474" w:type="dxa"/>
            <w:vAlign w:val="center"/>
          </w:tcPr>
          <w:p>
            <w:pPr>
              <w:pStyle w:val="15"/>
            </w:pPr>
            <w:r>
              <w:t>2.00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29.04</w:t>
            </w:r>
          </w:p>
        </w:tc>
        <w:tc>
          <w:tcPr>
            <w:tcW w:w="1474" w:type="dxa"/>
            <w:vAlign w:val="center"/>
          </w:tcPr>
          <w:p>
            <w:pPr>
              <w:pStyle w:val="15"/>
            </w:pPr>
            <w:r>
              <w:t>29.04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14.39</w:t>
            </w:r>
          </w:p>
        </w:tc>
        <w:tc>
          <w:tcPr>
            <w:tcW w:w="1474" w:type="dxa"/>
            <w:vAlign w:val="center"/>
          </w:tcPr>
          <w:p>
            <w:pPr>
              <w:pStyle w:val="15"/>
            </w:pPr>
            <w:r>
              <w:t>14.39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618.92</w:t>
            </w:r>
          </w:p>
        </w:tc>
        <w:tc>
          <w:tcPr>
            <w:tcW w:w="3402" w:type="dxa"/>
            <w:vAlign w:val="center"/>
          </w:tcPr>
          <w:p>
            <w:pPr>
              <w:pStyle w:val="18"/>
            </w:pPr>
            <w:r>
              <w:t>本年支出合计</w:t>
            </w:r>
          </w:p>
        </w:tc>
        <w:tc>
          <w:tcPr>
            <w:tcW w:w="1474" w:type="dxa"/>
            <w:vAlign w:val="center"/>
          </w:tcPr>
          <w:p>
            <w:pPr>
              <w:pStyle w:val="19"/>
            </w:pPr>
            <w:r>
              <w:t>618.92</w:t>
            </w:r>
          </w:p>
        </w:tc>
        <w:tc>
          <w:tcPr>
            <w:tcW w:w="1474" w:type="dxa"/>
            <w:vAlign w:val="center"/>
          </w:tcPr>
          <w:p>
            <w:pPr>
              <w:pStyle w:val="19"/>
            </w:pPr>
            <w:r>
              <w:t>616.92</w:t>
            </w:r>
          </w:p>
        </w:tc>
        <w:tc>
          <w:tcPr>
            <w:tcW w:w="1474" w:type="dxa"/>
            <w:vAlign w:val="center"/>
          </w:tcPr>
          <w:p>
            <w:pPr>
              <w:pStyle w:val="19"/>
            </w:pPr>
            <w:r>
              <w:t>2.00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618.92</w:t>
            </w:r>
          </w:p>
        </w:tc>
        <w:tc>
          <w:tcPr>
            <w:tcW w:w="3402" w:type="dxa"/>
            <w:vAlign w:val="center"/>
          </w:tcPr>
          <w:p>
            <w:pPr>
              <w:pStyle w:val="18"/>
            </w:pPr>
            <w:r>
              <w:t>支出总计</w:t>
            </w:r>
          </w:p>
        </w:tc>
        <w:tc>
          <w:tcPr>
            <w:tcW w:w="1474" w:type="dxa"/>
            <w:vAlign w:val="center"/>
          </w:tcPr>
          <w:p>
            <w:pPr>
              <w:pStyle w:val="19"/>
            </w:pPr>
            <w:r>
              <w:t>618.92</w:t>
            </w:r>
          </w:p>
        </w:tc>
        <w:tc>
          <w:tcPr>
            <w:tcW w:w="1474" w:type="dxa"/>
            <w:vAlign w:val="center"/>
          </w:tcPr>
          <w:p>
            <w:pPr>
              <w:pStyle w:val="19"/>
            </w:pPr>
            <w:r>
              <w:t>616.92</w:t>
            </w:r>
          </w:p>
        </w:tc>
        <w:tc>
          <w:tcPr>
            <w:tcW w:w="1474" w:type="dxa"/>
            <w:vAlign w:val="center"/>
          </w:tcPr>
          <w:p>
            <w:pPr>
              <w:pStyle w:val="19"/>
            </w:pPr>
            <w:r>
              <w:t>2.00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211栾城区委宣传部</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616.92</w:t>
            </w:r>
          </w:p>
        </w:tc>
        <w:tc>
          <w:tcPr>
            <w:tcW w:w="2551" w:type="dxa"/>
            <w:vAlign w:val="center"/>
          </w:tcPr>
          <w:p>
            <w:pPr>
              <w:pStyle w:val="19"/>
            </w:pPr>
            <w:r>
              <w:t>353.32</w:t>
            </w:r>
          </w:p>
        </w:tc>
        <w:tc>
          <w:tcPr>
            <w:tcW w:w="2551" w:type="dxa"/>
            <w:vAlign w:val="center"/>
          </w:tcPr>
          <w:p>
            <w:pPr>
              <w:pStyle w:val="19"/>
            </w:pPr>
            <w:r>
              <w:t>263.60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309.89</w:t>
            </w:r>
          </w:p>
        </w:tc>
        <w:tc>
          <w:tcPr>
            <w:tcW w:w="2551" w:type="dxa"/>
            <w:vAlign w:val="center"/>
          </w:tcPr>
          <w:p>
            <w:pPr>
              <w:pStyle w:val="15"/>
            </w:pPr>
            <w:r>
              <w:t>309.89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20133</w:t>
            </w:r>
          </w:p>
        </w:tc>
        <w:tc>
          <w:tcPr>
            <w:tcW w:w="4535" w:type="dxa"/>
            <w:vAlign w:val="center"/>
          </w:tcPr>
          <w:p>
            <w:pPr>
              <w:pStyle w:val="16"/>
            </w:pPr>
            <w:r>
              <w:t>宣传事务</w:t>
            </w:r>
          </w:p>
        </w:tc>
        <w:tc>
          <w:tcPr>
            <w:tcW w:w="2551" w:type="dxa"/>
            <w:vAlign w:val="center"/>
          </w:tcPr>
          <w:p>
            <w:pPr>
              <w:pStyle w:val="15"/>
            </w:pPr>
            <w:r>
              <w:t>309.89</w:t>
            </w:r>
          </w:p>
        </w:tc>
        <w:tc>
          <w:tcPr>
            <w:tcW w:w="2551" w:type="dxa"/>
            <w:vAlign w:val="center"/>
          </w:tcPr>
          <w:p>
            <w:pPr>
              <w:pStyle w:val="15"/>
            </w:pPr>
            <w:r>
              <w:t>309.89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2013301</w:t>
            </w:r>
          </w:p>
        </w:tc>
        <w:tc>
          <w:tcPr>
            <w:tcW w:w="4535" w:type="dxa"/>
            <w:vAlign w:val="center"/>
          </w:tcPr>
          <w:p>
            <w:pPr>
              <w:pStyle w:val="16"/>
            </w:pPr>
            <w:r>
              <w:t>行政运行</w:t>
            </w:r>
          </w:p>
        </w:tc>
        <w:tc>
          <w:tcPr>
            <w:tcW w:w="2551" w:type="dxa"/>
            <w:vAlign w:val="center"/>
          </w:tcPr>
          <w:p>
            <w:pPr>
              <w:pStyle w:val="15"/>
            </w:pPr>
            <w:r>
              <w:t>216.59</w:t>
            </w:r>
          </w:p>
        </w:tc>
        <w:tc>
          <w:tcPr>
            <w:tcW w:w="2551" w:type="dxa"/>
            <w:vAlign w:val="center"/>
          </w:tcPr>
          <w:p>
            <w:pPr>
              <w:pStyle w:val="15"/>
            </w:pPr>
            <w:r>
              <w:t>216.59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2013350</w:t>
            </w:r>
          </w:p>
        </w:tc>
        <w:tc>
          <w:tcPr>
            <w:tcW w:w="4535" w:type="dxa"/>
            <w:vAlign w:val="center"/>
          </w:tcPr>
          <w:p>
            <w:pPr>
              <w:pStyle w:val="16"/>
            </w:pPr>
            <w:r>
              <w:t>事业运行</w:t>
            </w:r>
          </w:p>
        </w:tc>
        <w:tc>
          <w:tcPr>
            <w:tcW w:w="2551" w:type="dxa"/>
            <w:vAlign w:val="center"/>
          </w:tcPr>
          <w:p>
            <w:pPr>
              <w:pStyle w:val="15"/>
            </w:pPr>
            <w:r>
              <w:t>93.30</w:t>
            </w:r>
          </w:p>
        </w:tc>
        <w:tc>
          <w:tcPr>
            <w:tcW w:w="2551" w:type="dxa"/>
            <w:vAlign w:val="center"/>
          </w:tcPr>
          <w:p>
            <w:pPr>
              <w:pStyle w:val="15"/>
            </w:pPr>
            <w:r>
              <w:t>93.30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207</w:t>
            </w:r>
          </w:p>
        </w:tc>
        <w:tc>
          <w:tcPr>
            <w:tcW w:w="4535" w:type="dxa"/>
            <w:vAlign w:val="center"/>
          </w:tcPr>
          <w:p>
            <w:pPr>
              <w:pStyle w:val="16"/>
            </w:pPr>
            <w:r>
              <w:t>文化旅游体育与传媒支出</w:t>
            </w:r>
          </w:p>
        </w:tc>
        <w:tc>
          <w:tcPr>
            <w:tcW w:w="2551" w:type="dxa"/>
            <w:vAlign w:val="center"/>
          </w:tcPr>
          <w:p>
            <w:pPr>
              <w:pStyle w:val="15"/>
            </w:pPr>
            <w:r>
              <w:t>263.60</w:t>
            </w:r>
          </w:p>
        </w:tc>
        <w:tc>
          <w:tcPr>
            <w:tcW w:w="2551" w:type="dxa"/>
            <w:vAlign w:val="center"/>
          </w:tcPr>
          <w:p>
            <w:pPr>
              <w:pStyle w:val="15"/>
            </w:pPr>
          </w:p>
        </w:tc>
        <w:tc>
          <w:tcPr>
            <w:tcW w:w="2551" w:type="dxa"/>
            <w:vAlign w:val="center"/>
          </w:tcPr>
          <w:p>
            <w:pPr>
              <w:pStyle w:val="15"/>
            </w:pPr>
            <w:r>
              <w:t>263.60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20799</w:t>
            </w:r>
          </w:p>
        </w:tc>
        <w:tc>
          <w:tcPr>
            <w:tcW w:w="4535" w:type="dxa"/>
            <w:vAlign w:val="center"/>
          </w:tcPr>
          <w:p>
            <w:pPr>
              <w:pStyle w:val="16"/>
            </w:pPr>
            <w:r>
              <w:t>其他文化旅游体育与传媒支出</w:t>
            </w:r>
          </w:p>
        </w:tc>
        <w:tc>
          <w:tcPr>
            <w:tcW w:w="2551" w:type="dxa"/>
            <w:vAlign w:val="center"/>
          </w:tcPr>
          <w:p>
            <w:pPr>
              <w:pStyle w:val="15"/>
            </w:pPr>
            <w:r>
              <w:t>263.60</w:t>
            </w:r>
          </w:p>
        </w:tc>
        <w:tc>
          <w:tcPr>
            <w:tcW w:w="2551" w:type="dxa"/>
            <w:vAlign w:val="center"/>
          </w:tcPr>
          <w:p>
            <w:pPr>
              <w:pStyle w:val="15"/>
            </w:pPr>
          </w:p>
        </w:tc>
        <w:tc>
          <w:tcPr>
            <w:tcW w:w="2551" w:type="dxa"/>
            <w:vAlign w:val="center"/>
          </w:tcPr>
          <w:p>
            <w:pPr>
              <w:pStyle w:val="15"/>
            </w:pPr>
            <w:r>
              <w:t>263.60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2079999</w:t>
            </w:r>
          </w:p>
        </w:tc>
        <w:tc>
          <w:tcPr>
            <w:tcW w:w="4535" w:type="dxa"/>
            <w:vAlign w:val="center"/>
          </w:tcPr>
          <w:p>
            <w:pPr>
              <w:pStyle w:val="16"/>
            </w:pPr>
            <w:r>
              <w:t>其他文化旅游体育与传媒支出</w:t>
            </w:r>
          </w:p>
        </w:tc>
        <w:tc>
          <w:tcPr>
            <w:tcW w:w="2551" w:type="dxa"/>
            <w:vAlign w:val="center"/>
          </w:tcPr>
          <w:p>
            <w:pPr>
              <w:pStyle w:val="15"/>
            </w:pPr>
            <w:r>
              <w:t>263.60</w:t>
            </w:r>
          </w:p>
        </w:tc>
        <w:tc>
          <w:tcPr>
            <w:tcW w:w="2551" w:type="dxa"/>
            <w:vAlign w:val="center"/>
          </w:tcPr>
          <w:p>
            <w:pPr>
              <w:pStyle w:val="15"/>
            </w:pPr>
          </w:p>
        </w:tc>
        <w:tc>
          <w:tcPr>
            <w:tcW w:w="2551" w:type="dxa"/>
            <w:vAlign w:val="center"/>
          </w:tcPr>
          <w:p>
            <w:pPr>
              <w:pStyle w:val="15"/>
            </w:pPr>
            <w:r>
              <w:t>263.60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29.04</w:t>
            </w:r>
          </w:p>
        </w:tc>
        <w:tc>
          <w:tcPr>
            <w:tcW w:w="2551" w:type="dxa"/>
            <w:vAlign w:val="center"/>
          </w:tcPr>
          <w:p>
            <w:pPr>
              <w:pStyle w:val="15"/>
            </w:pPr>
            <w:r>
              <w:t>29.04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28.06</w:t>
            </w:r>
          </w:p>
        </w:tc>
        <w:tc>
          <w:tcPr>
            <w:tcW w:w="2551" w:type="dxa"/>
            <w:vAlign w:val="center"/>
          </w:tcPr>
          <w:p>
            <w:pPr>
              <w:pStyle w:val="15"/>
            </w:pPr>
            <w:r>
              <w:t>28.06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28.06</w:t>
            </w:r>
          </w:p>
        </w:tc>
        <w:tc>
          <w:tcPr>
            <w:tcW w:w="2551" w:type="dxa"/>
            <w:vAlign w:val="center"/>
          </w:tcPr>
          <w:p>
            <w:pPr>
              <w:pStyle w:val="15"/>
            </w:pPr>
            <w:r>
              <w:t>28.06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20827</w:t>
            </w:r>
          </w:p>
        </w:tc>
        <w:tc>
          <w:tcPr>
            <w:tcW w:w="4535" w:type="dxa"/>
            <w:vAlign w:val="center"/>
          </w:tcPr>
          <w:p>
            <w:pPr>
              <w:pStyle w:val="16"/>
            </w:pPr>
            <w:r>
              <w:t>财政对其他社会保险基金的补助</w:t>
            </w:r>
          </w:p>
        </w:tc>
        <w:tc>
          <w:tcPr>
            <w:tcW w:w="2551" w:type="dxa"/>
            <w:vAlign w:val="center"/>
          </w:tcPr>
          <w:p>
            <w:pPr>
              <w:pStyle w:val="15"/>
            </w:pPr>
            <w:r>
              <w:t>0.98</w:t>
            </w:r>
          </w:p>
        </w:tc>
        <w:tc>
          <w:tcPr>
            <w:tcW w:w="2551" w:type="dxa"/>
            <w:vAlign w:val="center"/>
          </w:tcPr>
          <w:p>
            <w:pPr>
              <w:pStyle w:val="15"/>
            </w:pPr>
            <w:r>
              <w:t>0.98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2082701</w:t>
            </w:r>
          </w:p>
        </w:tc>
        <w:tc>
          <w:tcPr>
            <w:tcW w:w="4535" w:type="dxa"/>
            <w:vAlign w:val="center"/>
          </w:tcPr>
          <w:p>
            <w:pPr>
              <w:pStyle w:val="16"/>
            </w:pPr>
            <w:r>
              <w:t>财政对失业保险基金的补助</w:t>
            </w:r>
          </w:p>
        </w:tc>
        <w:tc>
          <w:tcPr>
            <w:tcW w:w="2551" w:type="dxa"/>
            <w:vAlign w:val="center"/>
          </w:tcPr>
          <w:p>
            <w:pPr>
              <w:pStyle w:val="15"/>
            </w:pPr>
            <w:r>
              <w:t>0.33</w:t>
            </w:r>
          </w:p>
        </w:tc>
        <w:tc>
          <w:tcPr>
            <w:tcW w:w="2551" w:type="dxa"/>
            <w:vAlign w:val="center"/>
          </w:tcPr>
          <w:p>
            <w:pPr>
              <w:pStyle w:val="15"/>
            </w:pPr>
            <w:r>
              <w:t>0.33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2082702</w:t>
            </w:r>
          </w:p>
        </w:tc>
        <w:tc>
          <w:tcPr>
            <w:tcW w:w="4535" w:type="dxa"/>
            <w:vAlign w:val="center"/>
          </w:tcPr>
          <w:p>
            <w:pPr>
              <w:pStyle w:val="16"/>
            </w:pPr>
            <w:r>
              <w:t>财政对工伤保险基金的补助</w:t>
            </w:r>
          </w:p>
        </w:tc>
        <w:tc>
          <w:tcPr>
            <w:tcW w:w="2551" w:type="dxa"/>
            <w:vAlign w:val="center"/>
          </w:tcPr>
          <w:p>
            <w:pPr>
              <w:pStyle w:val="15"/>
            </w:pPr>
            <w:r>
              <w:t>0.66</w:t>
            </w:r>
          </w:p>
        </w:tc>
        <w:tc>
          <w:tcPr>
            <w:tcW w:w="2551" w:type="dxa"/>
            <w:vAlign w:val="center"/>
          </w:tcPr>
          <w:p>
            <w:pPr>
              <w:pStyle w:val="15"/>
            </w:pPr>
            <w:r>
              <w:t>0.66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14.39</w:t>
            </w:r>
          </w:p>
        </w:tc>
        <w:tc>
          <w:tcPr>
            <w:tcW w:w="2551" w:type="dxa"/>
            <w:vAlign w:val="center"/>
          </w:tcPr>
          <w:p>
            <w:pPr>
              <w:pStyle w:val="15"/>
            </w:pPr>
            <w:r>
              <w:t>14.39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14.39</w:t>
            </w:r>
          </w:p>
        </w:tc>
        <w:tc>
          <w:tcPr>
            <w:tcW w:w="2551" w:type="dxa"/>
            <w:vAlign w:val="center"/>
          </w:tcPr>
          <w:p>
            <w:pPr>
              <w:pStyle w:val="15"/>
            </w:pPr>
            <w:r>
              <w:t>14.39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9.05</w:t>
            </w:r>
          </w:p>
        </w:tc>
        <w:tc>
          <w:tcPr>
            <w:tcW w:w="2551" w:type="dxa"/>
            <w:vAlign w:val="center"/>
          </w:tcPr>
          <w:p>
            <w:pPr>
              <w:pStyle w:val="15"/>
            </w:pPr>
            <w:r>
              <w:t>9.05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5.34</w:t>
            </w:r>
          </w:p>
        </w:tc>
        <w:tc>
          <w:tcPr>
            <w:tcW w:w="2551" w:type="dxa"/>
            <w:vAlign w:val="center"/>
          </w:tcPr>
          <w:p>
            <w:pPr>
              <w:pStyle w:val="15"/>
            </w:pPr>
            <w:r>
              <w:t>5.34</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211栾城区委宣传部</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353.32</w:t>
            </w:r>
          </w:p>
        </w:tc>
        <w:tc>
          <w:tcPr>
            <w:tcW w:w="2551" w:type="dxa"/>
            <w:vAlign w:val="center"/>
          </w:tcPr>
          <w:p>
            <w:pPr>
              <w:pStyle w:val="19"/>
            </w:pPr>
            <w:r>
              <w:t>327.60</w:t>
            </w:r>
          </w:p>
        </w:tc>
        <w:tc>
          <w:tcPr>
            <w:tcW w:w="2551" w:type="dxa"/>
            <w:vAlign w:val="center"/>
          </w:tcPr>
          <w:p>
            <w:pPr>
              <w:pStyle w:val="19"/>
            </w:pPr>
            <w:r>
              <w:t>25.72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290.27</w:t>
            </w:r>
          </w:p>
        </w:tc>
        <w:tc>
          <w:tcPr>
            <w:tcW w:w="2551" w:type="dxa"/>
            <w:vAlign w:val="center"/>
          </w:tcPr>
          <w:p>
            <w:pPr>
              <w:pStyle w:val="15"/>
            </w:pPr>
            <w:r>
              <w:t>290.27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79.48</w:t>
            </w:r>
          </w:p>
        </w:tc>
        <w:tc>
          <w:tcPr>
            <w:tcW w:w="2551" w:type="dxa"/>
            <w:vAlign w:val="center"/>
          </w:tcPr>
          <w:p>
            <w:pPr>
              <w:pStyle w:val="15"/>
            </w:pPr>
            <w:r>
              <w:t>79.48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46.90</w:t>
            </w:r>
          </w:p>
        </w:tc>
        <w:tc>
          <w:tcPr>
            <w:tcW w:w="2551" w:type="dxa"/>
            <w:vAlign w:val="center"/>
          </w:tcPr>
          <w:p>
            <w:pPr>
              <w:pStyle w:val="15"/>
            </w:pPr>
            <w:r>
              <w:t>46.90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48.03</w:t>
            </w:r>
          </w:p>
        </w:tc>
        <w:tc>
          <w:tcPr>
            <w:tcW w:w="2551" w:type="dxa"/>
            <w:vAlign w:val="center"/>
          </w:tcPr>
          <w:p>
            <w:pPr>
              <w:pStyle w:val="15"/>
            </w:pPr>
            <w:r>
              <w:t>48.03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47.71</w:t>
            </w:r>
          </w:p>
        </w:tc>
        <w:tc>
          <w:tcPr>
            <w:tcW w:w="2551" w:type="dxa"/>
            <w:vAlign w:val="center"/>
          </w:tcPr>
          <w:p>
            <w:pPr>
              <w:pStyle w:val="15"/>
            </w:pPr>
            <w:r>
              <w:t>47.71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28.06</w:t>
            </w:r>
          </w:p>
        </w:tc>
        <w:tc>
          <w:tcPr>
            <w:tcW w:w="2551" w:type="dxa"/>
            <w:vAlign w:val="center"/>
          </w:tcPr>
          <w:p>
            <w:pPr>
              <w:pStyle w:val="15"/>
            </w:pPr>
            <w:r>
              <w:t>28.06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11.34</w:t>
            </w:r>
          </w:p>
        </w:tc>
        <w:tc>
          <w:tcPr>
            <w:tcW w:w="2551" w:type="dxa"/>
            <w:vAlign w:val="center"/>
          </w:tcPr>
          <w:p>
            <w:pPr>
              <w:pStyle w:val="15"/>
            </w:pPr>
            <w:r>
              <w:t>11.34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3.04</w:t>
            </w:r>
          </w:p>
        </w:tc>
        <w:tc>
          <w:tcPr>
            <w:tcW w:w="2551" w:type="dxa"/>
            <w:vAlign w:val="center"/>
          </w:tcPr>
          <w:p>
            <w:pPr>
              <w:pStyle w:val="15"/>
            </w:pPr>
            <w:r>
              <w:t>3.04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0.98</w:t>
            </w:r>
          </w:p>
        </w:tc>
        <w:tc>
          <w:tcPr>
            <w:tcW w:w="2551" w:type="dxa"/>
            <w:vAlign w:val="center"/>
          </w:tcPr>
          <w:p>
            <w:pPr>
              <w:pStyle w:val="15"/>
            </w:pPr>
            <w:r>
              <w:t>0.98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24.72</w:t>
            </w:r>
          </w:p>
        </w:tc>
        <w:tc>
          <w:tcPr>
            <w:tcW w:w="2551" w:type="dxa"/>
            <w:vAlign w:val="center"/>
          </w:tcPr>
          <w:p>
            <w:pPr>
              <w:pStyle w:val="15"/>
            </w:pPr>
            <w:r>
              <w:t>24.72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25.72</w:t>
            </w:r>
          </w:p>
        </w:tc>
        <w:tc>
          <w:tcPr>
            <w:tcW w:w="2551" w:type="dxa"/>
            <w:vAlign w:val="center"/>
          </w:tcPr>
          <w:p>
            <w:pPr>
              <w:pStyle w:val="15"/>
            </w:pPr>
          </w:p>
        </w:tc>
        <w:tc>
          <w:tcPr>
            <w:tcW w:w="2551" w:type="dxa"/>
            <w:vAlign w:val="center"/>
          </w:tcPr>
          <w:p>
            <w:pPr>
              <w:pStyle w:val="15"/>
            </w:pPr>
            <w:r>
              <w:t>25.72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6.92</w:t>
            </w:r>
          </w:p>
        </w:tc>
        <w:tc>
          <w:tcPr>
            <w:tcW w:w="2551" w:type="dxa"/>
            <w:vAlign w:val="center"/>
          </w:tcPr>
          <w:p>
            <w:pPr>
              <w:pStyle w:val="15"/>
            </w:pPr>
          </w:p>
        </w:tc>
        <w:tc>
          <w:tcPr>
            <w:tcW w:w="2551" w:type="dxa"/>
            <w:vAlign w:val="center"/>
          </w:tcPr>
          <w:p>
            <w:pPr>
              <w:pStyle w:val="15"/>
            </w:pPr>
            <w:r>
              <w:t>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6.49</w:t>
            </w:r>
          </w:p>
        </w:tc>
        <w:tc>
          <w:tcPr>
            <w:tcW w:w="2551" w:type="dxa"/>
            <w:vAlign w:val="center"/>
          </w:tcPr>
          <w:p>
            <w:pPr>
              <w:pStyle w:val="15"/>
            </w:pPr>
          </w:p>
        </w:tc>
        <w:tc>
          <w:tcPr>
            <w:tcW w:w="2551" w:type="dxa"/>
            <w:vAlign w:val="center"/>
          </w:tcPr>
          <w:p>
            <w:pPr>
              <w:pStyle w:val="15"/>
            </w:pPr>
            <w:r>
              <w:t>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0.71</w:t>
            </w:r>
          </w:p>
        </w:tc>
        <w:tc>
          <w:tcPr>
            <w:tcW w:w="2551" w:type="dxa"/>
            <w:vAlign w:val="center"/>
          </w:tcPr>
          <w:p>
            <w:pPr>
              <w:pStyle w:val="15"/>
            </w:pPr>
          </w:p>
        </w:tc>
        <w:tc>
          <w:tcPr>
            <w:tcW w:w="2551" w:type="dxa"/>
            <w:vAlign w:val="center"/>
          </w:tcPr>
          <w:p>
            <w:pPr>
              <w:pStyle w:val="15"/>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0.83</w:t>
            </w:r>
          </w:p>
        </w:tc>
        <w:tc>
          <w:tcPr>
            <w:tcW w:w="2551" w:type="dxa"/>
            <w:vAlign w:val="center"/>
          </w:tcPr>
          <w:p>
            <w:pPr>
              <w:pStyle w:val="15"/>
            </w:pPr>
          </w:p>
        </w:tc>
        <w:tc>
          <w:tcPr>
            <w:tcW w:w="2551" w:type="dxa"/>
            <w:vAlign w:val="center"/>
          </w:tcPr>
          <w:p>
            <w:pPr>
              <w:pStyle w:val="15"/>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1.53</w:t>
            </w:r>
          </w:p>
        </w:tc>
        <w:tc>
          <w:tcPr>
            <w:tcW w:w="2551" w:type="dxa"/>
            <w:vAlign w:val="center"/>
          </w:tcPr>
          <w:p>
            <w:pPr>
              <w:pStyle w:val="15"/>
            </w:pPr>
          </w:p>
        </w:tc>
        <w:tc>
          <w:tcPr>
            <w:tcW w:w="2551" w:type="dxa"/>
            <w:vAlign w:val="center"/>
          </w:tcPr>
          <w:p>
            <w:pPr>
              <w:pStyle w:val="15"/>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7.56</w:t>
            </w:r>
          </w:p>
        </w:tc>
        <w:tc>
          <w:tcPr>
            <w:tcW w:w="2551" w:type="dxa"/>
            <w:vAlign w:val="center"/>
          </w:tcPr>
          <w:p>
            <w:pPr>
              <w:pStyle w:val="15"/>
            </w:pPr>
          </w:p>
        </w:tc>
        <w:tc>
          <w:tcPr>
            <w:tcW w:w="2551" w:type="dxa"/>
            <w:vAlign w:val="center"/>
          </w:tcPr>
          <w:p>
            <w:pPr>
              <w:pStyle w:val="15"/>
            </w:pPr>
            <w:r>
              <w:t>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1.68</w:t>
            </w:r>
          </w:p>
        </w:tc>
        <w:tc>
          <w:tcPr>
            <w:tcW w:w="2551" w:type="dxa"/>
            <w:vAlign w:val="center"/>
          </w:tcPr>
          <w:p>
            <w:pPr>
              <w:pStyle w:val="15"/>
            </w:pPr>
          </w:p>
        </w:tc>
        <w:tc>
          <w:tcPr>
            <w:tcW w:w="2551" w:type="dxa"/>
            <w:vAlign w:val="center"/>
          </w:tcPr>
          <w:p>
            <w:pPr>
              <w:pStyle w:val="15"/>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37.33</w:t>
            </w:r>
          </w:p>
        </w:tc>
        <w:tc>
          <w:tcPr>
            <w:tcW w:w="2551" w:type="dxa"/>
            <w:vAlign w:val="center"/>
          </w:tcPr>
          <w:p>
            <w:pPr>
              <w:pStyle w:val="15"/>
            </w:pPr>
            <w:r>
              <w:t>37.33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36.53</w:t>
            </w:r>
          </w:p>
        </w:tc>
        <w:tc>
          <w:tcPr>
            <w:tcW w:w="2551" w:type="dxa"/>
            <w:vAlign w:val="center"/>
          </w:tcPr>
          <w:p>
            <w:pPr>
              <w:pStyle w:val="15"/>
            </w:pPr>
            <w:r>
              <w:t>36.53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0.81</w:t>
            </w:r>
          </w:p>
        </w:tc>
        <w:tc>
          <w:tcPr>
            <w:tcW w:w="2551" w:type="dxa"/>
            <w:vAlign w:val="center"/>
          </w:tcPr>
          <w:p>
            <w:pPr>
              <w:pStyle w:val="15"/>
            </w:pPr>
            <w:r>
              <w:t>0.81</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211栾城区委宣传部</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2.00</w:t>
            </w:r>
          </w:p>
        </w:tc>
        <w:tc>
          <w:tcPr>
            <w:tcW w:w="2551" w:type="dxa"/>
            <w:vAlign w:val="center"/>
          </w:tcPr>
          <w:p>
            <w:pPr>
              <w:pStyle w:val="19"/>
            </w:pPr>
          </w:p>
        </w:tc>
        <w:tc>
          <w:tcPr>
            <w:tcW w:w="2551" w:type="dxa"/>
            <w:vAlign w:val="center"/>
          </w:tcPr>
          <w:p>
            <w:pPr>
              <w:pStyle w:val="19"/>
            </w:pPr>
            <w:r>
              <w:t>2.00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207</w:t>
            </w:r>
          </w:p>
        </w:tc>
        <w:tc>
          <w:tcPr>
            <w:tcW w:w="4535" w:type="dxa"/>
            <w:vAlign w:val="center"/>
          </w:tcPr>
          <w:p>
            <w:pPr>
              <w:pStyle w:val="16"/>
            </w:pPr>
            <w:r>
              <w:t>文化旅游体育与传媒支出</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20707</w:t>
            </w:r>
          </w:p>
        </w:tc>
        <w:tc>
          <w:tcPr>
            <w:tcW w:w="4535" w:type="dxa"/>
            <w:vAlign w:val="center"/>
          </w:tcPr>
          <w:p>
            <w:pPr>
              <w:pStyle w:val="16"/>
            </w:pPr>
            <w:r>
              <w:t>国家电影事业发展专项资金安排的支出</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2070799</w:t>
            </w:r>
          </w:p>
        </w:tc>
        <w:tc>
          <w:tcPr>
            <w:tcW w:w="4535" w:type="dxa"/>
            <w:vAlign w:val="center"/>
          </w:tcPr>
          <w:p>
            <w:pPr>
              <w:pStyle w:val="16"/>
            </w:pPr>
            <w:r>
              <w:t>其他国家电影事业发展专项资金支出</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211栾城区委宣传部</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211栾城区委宣传部</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公务用车运行维护费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9"/>
        <w:rPr>
          <w:rFonts w:ascii="方正书宋_GBK" w:hAnsi="方正书宋_GBK" w:eastAsia="方正书宋_GBK" w:cs="方正书宋_GBK"/>
          <w:color w:val="FFFFFF"/>
          <w:sz w:val="21"/>
        </w:rPr>
      </w:pP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栾城区委宣传部2026年部门预算信息公开情况说明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栾城区委宣传部2026年部门预算信息公开情况说明</w:t>
      </w:r>
    </w:p>
    <w:p>
      <w:pPr>
        <w:spacing w:before="0" w:after="0" w:line="500" w:lineRule="exact"/>
        <w:ind w:firstLine="560"/>
        <w:jc w:val="both"/>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按照《中华人民共和国预算法》、《地方预决算公开操作规程》和《关于进一步推进预算公开工作的实施意见》规定，现将栾城区委宣传部2026年部门预算公开如下：</w:t>
      </w:r>
    </w:p>
    <w:p>
      <w:pPr>
        <w:spacing w:before="10" w:after="10" w:line="360" w:lineRule="auto"/>
        <w:ind w:firstLine="640"/>
        <w:jc w:val="both"/>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both"/>
        <w:outlineLvl w:val="9"/>
      </w:pPr>
      <w:r>
        <w:rPr>
          <w:rFonts w:ascii="方正楷体_GBK" w:hAnsi="方正楷体_GBK" w:eastAsia="方正楷体_GBK" w:cs="方正楷体_GBK"/>
          <w:b/>
          <w:color w:val="000000"/>
          <w:sz w:val="32"/>
        </w:rPr>
        <w:t>部门职责：</w:t>
      </w:r>
    </w:p>
    <w:p>
      <w:pPr>
        <w:pStyle w:val="21"/>
        <w:jc w:val="both"/>
      </w:pPr>
      <w:r>
        <w:t>区委宣传部的主要职责是：</w:t>
      </w:r>
    </w:p>
    <w:p>
      <w:pPr>
        <w:pStyle w:val="21"/>
        <w:jc w:val="both"/>
      </w:pPr>
      <w:r>
        <w:t>（一）拟订全区宣传思想文化工作重大方针政策和事业发展总体规划，统筹协调推进宣传思想文化领域法治建设，按照区委统一部署，协调宣传思想文化系统各部门之间的工作。</w:t>
      </w:r>
    </w:p>
    <w:p>
      <w:pPr>
        <w:pStyle w:val="21"/>
        <w:jc w:val="both"/>
      </w:pPr>
      <w:r>
        <w:t>（二）统筹协调全区党的意识形态工作，贯彻落实区委关于意识形态工作决策部署，组织协调意识形态工作责任制落实和日常监督检查。</w:t>
      </w:r>
    </w:p>
    <w:p>
      <w:pPr>
        <w:pStyle w:val="21"/>
        <w:jc w:val="both"/>
      </w:pPr>
      <w:r>
        <w:t>（三）统筹指导协调全区理论研究、理论学习、理论宣传工作，组织推动理论武装工作，推动落实马克思主义理论研究和建设工程任务，负责区委理论学习中心组理论学习的有关工作。</w:t>
      </w:r>
    </w:p>
    <w:p>
      <w:pPr>
        <w:pStyle w:val="21"/>
        <w:jc w:val="both"/>
      </w:pPr>
      <w: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和全区国防教育工作。</w:t>
      </w:r>
    </w:p>
    <w:p>
      <w:pPr>
        <w:pStyle w:val="21"/>
        <w:jc w:val="both"/>
      </w:pPr>
      <w:r>
        <w:t>（五）统筹分析研判和引导全区社会舆论，指导协调区直新闻单位工作，组织全区突发公共事件应急新闻工作。</w:t>
      </w:r>
    </w:p>
    <w:p>
      <w:pPr>
        <w:pStyle w:val="21"/>
        <w:jc w:val="both"/>
      </w:pPr>
      <w: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联系国内报社、通讯社、记者站来栾采访的监督管理工作，负责全区新闻记者证的审核管理。</w:t>
      </w:r>
    </w:p>
    <w:p>
      <w:pPr>
        <w:pStyle w:val="21"/>
        <w:jc w:val="both"/>
      </w:pPr>
      <w:r>
        <w:t>（七）从宏观上统筹指导协调全区互联网宣传和信息内容管理工作。统筹数字新媒体的建设和管理。</w:t>
      </w:r>
    </w:p>
    <w:p>
      <w:pPr>
        <w:pStyle w:val="21"/>
        <w:jc w:val="both"/>
      </w:pPr>
      <w:r>
        <w:t>（八）从宏观上统筹指导协调推动全区精神文化产品的创作和生产，协调组织中华优秀传统文化传承发展有关工作，指导协调推动群众文化建设。负责全区志愿服务工作。负责协调全区未成年人思想道德建设工作。</w:t>
      </w:r>
    </w:p>
    <w:p>
      <w:pPr>
        <w:pStyle w:val="21"/>
        <w:jc w:val="both"/>
      </w:pPr>
      <w:r>
        <w:t>（九）负责管理全区电影行政事务，指导监管电影制片、发行、放映工作，组织对电影内容进行审查，指导协调全区性重大电影活动。</w:t>
      </w:r>
    </w:p>
    <w:p>
      <w:pPr>
        <w:pStyle w:val="21"/>
        <w:jc w:val="both"/>
      </w:pPr>
      <w:r>
        <w:t>（十）对全区新闻出版、广播影视、文化艺术业改革发展研究提出政策性建议，统筹指导协调文化体制改革和文化事业、文化产业及旅游业发展，负责区级文化企业国有资产监督管理。承担区文化体制改革和文化产业发展工作领导小组办公室日常工作。</w:t>
      </w:r>
    </w:p>
    <w:p>
      <w:pPr>
        <w:pStyle w:val="21"/>
        <w:jc w:val="both"/>
      </w:pPr>
      <w:r>
        <w:t>（十一）统筹指导全区舆情信息工作，组织协调开展区内外舆情信息收集分析研判工作，跟踪了解、研究掌握宣传舆情动态。</w:t>
      </w:r>
    </w:p>
    <w:p>
      <w:pPr>
        <w:pStyle w:val="21"/>
        <w:jc w:val="both"/>
      </w:pPr>
      <w:r>
        <w:t>（十二）统筹研究拟订有关全区精神文明建设的方针、政策。规划部署全区精神文明建设工作，组织指导全区群众性精神文明创建活动。</w:t>
      </w:r>
    </w:p>
    <w:p>
      <w:pPr>
        <w:pStyle w:val="21"/>
        <w:jc w:val="both"/>
      </w:pPr>
      <w:r>
        <w:t>（十三）统筹协调全区对外宣传工作。指导协调有关部门研究拟订全区对外宣传事业发展规划，组织协调我区对外宣传文化交流工作，会同有关部门做好境外记者采访事务方面工作。</w:t>
      </w:r>
    </w:p>
    <w:p>
      <w:pPr>
        <w:pStyle w:val="21"/>
        <w:jc w:val="both"/>
      </w:pPr>
      <w:r>
        <w:t>（十四）统筹协调组织开展新闻发布工作。承担区委新闻发布有关组织协调工作，负责区政府新闻发布组织实施工作。指导协调区政府各部门和各乡镇的新闻发布工作，推动新闻发言人制度落实。</w:t>
      </w:r>
    </w:p>
    <w:p>
      <w:pPr>
        <w:pStyle w:val="21"/>
        <w:jc w:val="both"/>
      </w:pPr>
      <w:r>
        <w:t>（十五）统筹指导协调全区哲学社会科学发展工作。组织制定发展战略、中长期规划和专项计划。负责组织社会科学课题项目评审和成果转化应用等工作。</w:t>
      </w:r>
    </w:p>
    <w:p>
      <w:pPr>
        <w:pStyle w:val="21"/>
        <w:jc w:val="both"/>
      </w:pPr>
      <w:r>
        <w:t>（十六）受区委委托，会同区委组织部管理新闻、文化、社会科学研究和互联网信息等方面区直宣传思想文化单位的领导干部。对各乡镇党委宣传委员和文化站站长的任免提出意见。负责有关重要宣传舆论阵地和重要岗位领导干部管理工作。统筹组织开展宣传思想文化系统干部教育培训和人才工作。</w:t>
      </w:r>
    </w:p>
    <w:p>
      <w:pPr>
        <w:pStyle w:val="21"/>
        <w:jc w:val="both"/>
      </w:pPr>
      <w:r>
        <w:t>（十七）对区委网络安全和信息化委员会办公室（区互联网信息办公室）互联网宣传和信息内容管理方面的工作实施方针、政策的指导。归口领导区新闻中心、区文化广电体育和旅游局。受区委委托，代管区文联。负责管理全区思想政治工作有关事宜。</w:t>
      </w:r>
    </w:p>
    <w:p>
      <w:pPr>
        <w:pStyle w:val="21"/>
        <w:jc w:val="both"/>
      </w:pPr>
      <w:r>
        <w:t>（十八）完成区委交办的其他任务。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栾城区委宣传部本级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石家庄市栾城区新时代文明实践指导中心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栾城区精神文明宣教中心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jc w:val="both"/>
      </w:pPr>
      <w:r>
        <w:t>按照预算管理有关规定，目前部门预算的编制实行综合预算管理，即全部收入和支出都反映在预算中。栾城区委宣传部机关及所属事业单位的收支包含在部门预算中。</w:t>
      </w:r>
    </w:p>
    <w:p>
      <w:pPr>
        <w:pStyle w:val="22"/>
        <w:jc w:val="both"/>
      </w:pPr>
      <w:r>
        <w:t>1、收入说明</w:t>
      </w:r>
    </w:p>
    <w:p>
      <w:pPr>
        <w:pStyle w:val="22"/>
        <w:jc w:val="both"/>
      </w:pPr>
      <w:r>
        <w:t>反映本部门当年全部收入。2026年预算收入618.92万元，其中：一般公共预算收入616.92万元，基金预算收入2.00万元，国有资本经营预算收入0.00万元，财政专户核拨收入0.00万元，单位资金收入0.00万元，上年结转结余0.00万元。</w:t>
      </w:r>
    </w:p>
    <w:p>
      <w:pPr>
        <w:pStyle w:val="22"/>
        <w:jc w:val="both"/>
      </w:pPr>
      <w:r>
        <w:t>2、支出说明</w:t>
      </w:r>
    </w:p>
    <w:p>
      <w:pPr>
        <w:pStyle w:val="22"/>
        <w:jc w:val="both"/>
      </w:pPr>
      <w:r>
        <w:t>收支预算总表支出栏、基本支出表、项目支出表按经济分类和支出功能分类科目编制，反映栾城区委宣传部年度部门预算中支出预算的总体情况。2026年支出预算618.92万元，其中基本支出353.32万元，包括人员经费327.60万元和日常公用经费25.72万元；项目支出265.60万元，主要为主要用于新闻宣传服务活动及新时代文明实践活动。；预计下年使用的单位资金结余0.00万元。委托业务费共计安排0.00万元，主要用于因技术原因确需对外委托的辅助性工作和确有必要对外委托开展咨询、评审、规划等工作。</w:t>
      </w:r>
    </w:p>
    <w:p>
      <w:pPr>
        <w:pStyle w:val="22"/>
        <w:jc w:val="both"/>
      </w:pPr>
      <w:r>
        <w:t>3、比上年增减情况</w:t>
      </w:r>
    </w:p>
    <w:p>
      <w:pPr>
        <w:pStyle w:val="22"/>
        <w:jc w:val="both"/>
      </w:pPr>
      <w:r>
        <w:t>2026年预算收支安排618.92万元，较2025年预算减少32.81万元，其中：基本支出增加48.87万元，主要为新招录一名事业人员，新调入一名公务员项目支出减少81.68万元，主要为经费减少，组织宣传活动减少。预计下年使用的单位资金结余增加0.00万元。</w:t>
      </w:r>
    </w:p>
    <w:p>
      <w:pPr>
        <w:spacing w:before="10" w:after="10" w:line="360" w:lineRule="auto"/>
        <w:ind w:firstLine="640"/>
        <w:jc w:val="both"/>
        <w:outlineLvl w:val="2"/>
      </w:pPr>
      <w:bookmarkStart w:id="11" w:name="_Toc_3_3_0000000012"/>
      <w:r>
        <w:rPr>
          <w:rFonts w:ascii="黑体" w:hAnsi="黑体" w:eastAsia="黑体" w:cs="黑体"/>
          <w:color w:val="000000"/>
          <w:sz w:val="32"/>
        </w:rPr>
        <w:t>三、机关运行经费安排情况</w:t>
      </w:r>
      <w:bookmarkEnd w:id="11"/>
    </w:p>
    <w:p>
      <w:pPr>
        <w:pStyle w:val="23"/>
        <w:jc w:val="both"/>
      </w:pPr>
      <w:r>
        <w:t>2026年，我部门机关运行经费共计安排25.72万元，主要用于日常维修、办公用房水电费等日常运行支出。</w:t>
      </w:r>
    </w:p>
    <w:p>
      <w:pPr>
        <w:spacing w:before="10" w:after="10" w:line="360" w:lineRule="auto"/>
        <w:ind w:firstLine="640"/>
        <w:jc w:val="both"/>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jc w:val="both"/>
        <w:rPr>
          <w:rFonts w:hint="eastAsia" w:eastAsia="方正仿宋_GBK"/>
          <w:lang w:eastAsia="zh-CN"/>
        </w:rPr>
      </w:pPr>
      <w:r>
        <w:t>2026年，我部门财政拨款“三公”经费预算安排0万元，其中因公出国（境）费0万元；公务用车购置及运维费0万元（其中：公务用车购置费为0万元，公务用车运维费0万元)；公务接待费0万元。与2025年相比增加0万元，</w:t>
      </w:r>
      <w:r>
        <w:rPr>
          <w:rFonts w:hint="eastAsia"/>
          <w:lang w:eastAsia="zh-CN"/>
        </w:rPr>
        <w:t>无</w:t>
      </w:r>
      <w:r>
        <w:t>增减变化</w:t>
      </w:r>
      <w:r>
        <w:rPr>
          <w:rFonts w:hint="eastAsia"/>
          <w:lang w:eastAsia="zh-CN"/>
        </w:rPr>
        <w:t>。</w:t>
      </w:r>
    </w:p>
    <w:p>
      <w:pPr>
        <w:spacing w:before="10" w:after="10" w:line="360" w:lineRule="auto"/>
        <w:ind w:firstLine="640"/>
        <w:jc w:val="both"/>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both"/>
        <w:outlineLvl w:val="9"/>
      </w:pPr>
      <w:r>
        <w:rPr>
          <w:rFonts w:ascii="Times New Roman" w:hAnsi="Times New Roman" w:eastAsia="方正仿宋_GBK" w:cs="Times New Roman"/>
          <w:color w:val="000000"/>
          <w:sz w:val="28"/>
        </w:rPr>
        <w:t>（一）总体绩效目标</w:t>
      </w:r>
    </w:p>
    <w:p>
      <w:pPr>
        <w:pStyle w:val="25"/>
        <w:jc w:val="both"/>
      </w:pPr>
      <w:r>
        <w:t>区委宣传部将围绕全区工作大局，以宣传贯彻党的二十大精神为主线，以“五个加强”为抓手，进一步加强意识形态、精神文明创建及宣传思想文化工作。持续推进美丽栾城建设，更好学习贯彻党的二十大精神，推动栾城经济发展。</w:t>
      </w:r>
    </w:p>
    <w:p>
      <w:pPr>
        <w:spacing w:before="0" w:after="0" w:line="500" w:lineRule="exact"/>
        <w:ind w:firstLine="560"/>
        <w:jc w:val="both"/>
        <w:outlineLvl w:val="9"/>
      </w:pPr>
      <w:r>
        <w:rPr>
          <w:rFonts w:ascii="Times New Roman" w:hAnsi="Times New Roman" w:eastAsia="方正仿宋_GBK" w:cs="Times New Roman"/>
          <w:color w:val="000000"/>
          <w:sz w:val="28"/>
        </w:rPr>
        <w:t>（二）分项绩效目标</w:t>
      </w:r>
    </w:p>
    <w:p>
      <w:pPr>
        <w:pStyle w:val="26"/>
        <w:jc w:val="both"/>
      </w:pPr>
      <w:r>
        <w:t>1、加强督促指导，推动意识形态工作落实。</w:t>
      </w:r>
    </w:p>
    <w:p>
      <w:pPr>
        <w:pStyle w:val="26"/>
        <w:jc w:val="both"/>
      </w:pPr>
      <w:r>
        <w:t>绩效目标：进一步加强对意识形态工作的领导，加强意识形态领导小组成员单位之间的协调配合。</w:t>
      </w:r>
    </w:p>
    <w:p>
      <w:pPr>
        <w:pStyle w:val="26"/>
        <w:jc w:val="both"/>
      </w:pPr>
      <w:r>
        <w:t>绩效指标：统筹部署2024年工作，认真执行《意识形态工作责任制实施细则》。严格意识形态阵地管理，定期开展意识形态工作专项督导，促进各项制度规定落到实处、取得实效。督促宣传思想文化系统认真学习贯彻习近平文化思想，落实《中央宣传工作条例》。</w:t>
      </w:r>
    </w:p>
    <w:p>
      <w:pPr>
        <w:pStyle w:val="26"/>
        <w:jc w:val="both"/>
      </w:pPr>
      <w:r>
        <w:t>2、深化理论学习，加强党员干部理论武装。</w:t>
      </w:r>
    </w:p>
    <w:p>
      <w:pPr>
        <w:pStyle w:val="26"/>
        <w:jc w:val="both"/>
      </w:pPr>
      <w:r>
        <w:t>绩效目标：围绕学习贯彻习近平新时代中国特色社会主义思想主题教育，持续开展多种多样学习宣讲活动。</w:t>
      </w:r>
    </w:p>
    <w:p>
      <w:pPr>
        <w:pStyle w:val="26"/>
        <w:jc w:val="both"/>
      </w:pPr>
      <w:r>
        <w:t>绩效指标：组织好区委理论学习中心组学习。开展形式多样的基层理论宣讲，让党的理论政策“飞入寻常百姓家”。依托爱国主义教育基地、国防教育基地、新时代文明实践中心（所、站），开展各类弘扬社会主义核心价值观活动。用好“学习强国”学习平台，不断提高平台注册率和使用率。健全社会宣传三级响应工作机制。建立社科专家平台，开展座谈、调研、社科普及等活动。</w:t>
      </w:r>
    </w:p>
    <w:p>
      <w:pPr>
        <w:pStyle w:val="26"/>
        <w:jc w:val="both"/>
      </w:pPr>
      <w:r>
        <w:t>3、改进新闻宣传，牢牢掌握舆论话语权。</w:t>
      </w:r>
    </w:p>
    <w:p>
      <w:pPr>
        <w:pStyle w:val="26"/>
        <w:jc w:val="both"/>
      </w:pPr>
      <w:r>
        <w:t>绩效目标：围绕全区重点中心工作开展宣传，充分利用《栾城报道》“掌上栾城”等媒体平台，扎实开展区内宣传报道，展示干部群众在主题教育促进下取得的各项工作成效。</w:t>
      </w:r>
    </w:p>
    <w:p>
      <w:pPr>
        <w:pStyle w:val="26"/>
        <w:jc w:val="both"/>
      </w:pPr>
      <w:r>
        <w:t>绩效指标：加强新闻线索挖掘，不断做好重点专题专栏等主题策划，通过草莓采摘节、紫麦丰收节等特色活动开展大型宣传报道，增加中央级媒体稿件发布的数量和质量，持续扩大栾城知名度、影响力。做好舆情发现和处置，为经济社会建设营造良好的舆论氛围。</w:t>
      </w:r>
    </w:p>
    <w:p>
      <w:pPr>
        <w:pStyle w:val="26"/>
        <w:jc w:val="both"/>
      </w:pPr>
      <w:r>
        <w:t>4、弘扬文明风尚，提升城区精神文明建设。</w:t>
      </w:r>
    </w:p>
    <w:p>
      <w:pPr>
        <w:pStyle w:val="26"/>
        <w:jc w:val="both"/>
      </w:pPr>
      <w:r>
        <w:t>绩效目标：继续做好文明城市常态化创建工作，组织开展新时代文明实践活动。</w:t>
      </w:r>
    </w:p>
    <w:p>
      <w:pPr>
        <w:pStyle w:val="26"/>
        <w:jc w:val="both"/>
      </w:pPr>
      <w:r>
        <w:t>绩效指标：对文明城创建情况开展实地暗访检查和随机测评。落实新时代文明实践指导中心机构和编制，配齐专职在编工作人员，搭建融通共享平台，正式上线“新时代文明实践在栾城”小程序。结合传统节日等时间节点开展文明实践志愿服务活动，召开志愿服务培训会，持续规范志愿服务机制。继续深化农村移风易俗、弘扬文明新风行动。持续推进公民思想道德建设，组织开展好区级“道德模范”“栾城好人”“新时代好少年”等先进个人评选。</w:t>
      </w:r>
    </w:p>
    <w:p>
      <w:pPr>
        <w:pStyle w:val="26"/>
        <w:jc w:val="both"/>
      </w:pPr>
      <w:r>
        <w:t>5、加强文化管理，促进文化事业繁荣发展。</w:t>
      </w:r>
    </w:p>
    <w:p>
      <w:pPr>
        <w:pStyle w:val="26"/>
        <w:jc w:val="both"/>
      </w:pPr>
      <w:r>
        <w:t>绩效目标：推进各项惠民文化活动顺利开展，打造文化栾城。</w:t>
      </w:r>
    </w:p>
    <w:p>
      <w:pPr>
        <w:pStyle w:val="26"/>
        <w:jc w:val="both"/>
      </w:pPr>
      <w:r>
        <w:t>绩效指标：加强对辖区内印刷、发行、电影等行业日常督导检查，落实行业安全生产监管责任。持续开展软件正版化工作，强化对版权登记工作的督导，提高作品登记数量。抓好农家书屋建设，利用好农家书屋阵地，开展形式丰富的全民阅读活动。加大扫黄打非工作力度，完善乡村级基层站点建设。建好用好文化名家工作室，利用好文化宣传阵地开展群众文化活动。</w:t>
      </w:r>
    </w:p>
    <w:p>
      <w:pPr>
        <w:spacing w:before="0" w:after="0" w:line="500" w:lineRule="exact"/>
        <w:ind w:firstLine="560"/>
        <w:jc w:val="both"/>
        <w:outlineLvl w:val="9"/>
      </w:pPr>
      <w:r>
        <w:rPr>
          <w:rFonts w:ascii="Times New Roman" w:hAnsi="Times New Roman" w:eastAsia="方正仿宋_GBK" w:cs="Times New Roman"/>
          <w:color w:val="000000"/>
          <w:sz w:val="28"/>
        </w:rPr>
        <w:t>（三）工作保障措施</w:t>
      </w:r>
    </w:p>
    <w:p>
      <w:pPr>
        <w:pStyle w:val="27"/>
        <w:jc w:val="both"/>
      </w:pPr>
      <w:r>
        <w:t>1、组织机构。建立有效制度机构，成立一把手负总责的领导小组，各成员各司其职，上下联动，分工合作，更好落实绩效管理工作。</w:t>
      </w:r>
    </w:p>
    <w:p>
      <w:pPr>
        <w:pStyle w:val="27"/>
        <w:jc w:val="both"/>
      </w:pPr>
      <w:r>
        <w:t>2、加强学习。更好与宣传贯彻党的二十大精神结合起来，学习党的二十大精神的同时加强绩效管理工作，更好融会贯通。</w:t>
      </w:r>
    </w:p>
    <w:p>
      <w:pPr>
        <w:pStyle w:val="27"/>
        <w:jc w:val="both"/>
        <w:sectPr>
          <w:pgSz w:w="16840" w:h="11900" w:orient="landscape"/>
          <w:pgMar w:top="1361" w:right="1020" w:bottom="1361" w:left="1020" w:header="720" w:footer="720" w:gutter="0"/>
          <w:cols w:space="720" w:num="1"/>
        </w:sectPr>
      </w:pPr>
      <w:r>
        <w:t>3、制度保障。建立绩效管理制度机制，加强绩效管理监督，定期检查，加强整改，保证工作高质量完成。</w:t>
      </w:r>
    </w:p>
    <w:p>
      <w:pPr>
        <w:spacing w:before="10" w:after="10" w:line="360" w:lineRule="auto"/>
        <w:ind w:firstLine="640"/>
        <w:jc w:val="left"/>
        <w:outlineLvl w:val="2"/>
        <w:rPr>
          <w:rFonts w:hint="eastAsia"/>
        </w:rPr>
      </w:pPr>
      <w:bookmarkStart w:id="14" w:name="_Toc_3_3_0000000015"/>
      <w:r>
        <w:rPr>
          <w:rFonts w:ascii="黑体" w:hAnsi="黑体" w:eastAsia="黑体" w:cs="黑体"/>
          <w:color w:val="000000"/>
          <w:sz w:val="32"/>
        </w:rPr>
        <w:t>六、部门主管专项资金预算安排情况及绩效目标</w:t>
      </w:r>
      <w:bookmarkEnd w:id="14"/>
    </w:p>
    <w:p>
      <w:pPr>
        <w:pStyle w:val="27"/>
        <w:jc w:val="both"/>
        <w:rPr>
          <w:rFonts w:hint="eastAsia"/>
          <w:lang w:val="en-US" w:eastAsia="zh-CN"/>
        </w:rPr>
        <w:sectPr>
          <w:pgSz w:w="16840" w:h="11900" w:orient="landscape"/>
          <w:pgMar w:top="1361" w:right="1020" w:bottom="1134" w:left="1020" w:header="720" w:footer="720" w:gutter="0"/>
          <w:cols w:space="720" w:num="1"/>
        </w:sectPr>
      </w:pPr>
      <w:r>
        <w:rPr>
          <w:rFonts w:hint="eastAsia"/>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1、2026年播音主持人费用绩效目标表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13011126P00000410608H</w:t>
            </w:r>
          </w:p>
        </w:tc>
        <w:tc>
          <w:tcPr>
            <w:tcW w:w="2835" w:type="dxa"/>
            <w:vAlign w:val="center"/>
          </w:tcPr>
          <w:p>
            <w:pPr>
              <w:pStyle w:val="14"/>
            </w:pPr>
            <w:r>
              <w:t>项目名称</w:t>
            </w:r>
          </w:p>
        </w:tc>
        <w:tc>
          <w:tcPr>
            <w:tcW w:w="6095" w:type="dxa"/>
            <w:gridSpan w:val="3"/>
            <w:vAlign w:val="center"/>
          </w:tcPr>
          <w:p>
            <w:pPr>
              <w:pStyle w:val="16"/>
            </w:pPr>
            <w:r>
              <w:t>2026年播音主持人费用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13.00</w:t>
            </w:r>
          </w:p>
        </w:tc>
        <w:tc>
          <w:tcPr>
            <w:tcW w:w="2835" w:type="dxa"/>
            <w:vAlign w:val="center"/>
          </w:tcPr>
          <w:p>
            <w:pPr>
              <w:pStyle w:val="14"/>
            </w:pPr>
            <w:r>
              <w:t>其中：财政    资金</w:t>
            </w:r>
          </w:p>
        </w:tc>
        <w:tc>
          <w:tcPr>
            <w:tcW w:w="2551" w:type="dxa"/>
            <w:vAlign w:val="center"/>
          </w:tcPr>
          <w:p>
            <w:pPr>
              <w:pStyle w:val="16"/>
            </w:pPr>
            <w:r>
              <w:t>13.00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2026年播音主持人费用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4.00</w:t>
            </w:r>
          </w:p>
        </w:tc>
        <w:tc>
          <w:tcPr>
            <w:tcW w:w="2551" w:type="dxa"/>
            <w:vAlign w:val="center"/>
          </w:tcPr>
          <w:p>
            <w:pPr>
              <w:pStyle w:val="17"/>
            </w:pPr>
            <w:r>
              <w:t>6.00</w:t>
            </w:r>
          </w:p>
        </w:tc>
        <w:tc>
          <w:tcPr>
            <w:tcW w:w="3544" w:type="dxa"/>
            <w:gridSpan w:val="2"/>
            <w:vAlign w:val="center"/>
          </w:tcPr>
          <w:p>
            <w:pPr>
              <w:pStyle w:val="17"/>
            </w:pPr>
            <w:r>
              <w:t>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1.2026年播音主持人费用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主持人数量</w:t>
            </w:r>
          </w:p>
        </w:tc>
        <w:tc>
          <w:tcPr>
            <w:tcW w:w="5386" w:type="dxa"/>
            <w:vAlign w:val="center"/>
          </w:tcPr>
          <w:p>
            <w:pPr>
              <w:pStyle w:val="16"/>
            </w:pPr>
            <w:r>
              <w:t>主持人数量</w:t>
            </w:r>
          </w:p>
        </w:tc>
        <w:tc>
          <w:tcPr>
            <w:tcW w:w="2268" w:type="dxa"/>
            <w:vAlign w:val="center"/>
          </w:tcPr>
          <w:p>
            <w:pPr>
              <w:pStyle w:val="16"/>
            </w:pPr>
            <w:r>
              <w:t>1个</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更好的宣传栾城</w:t>
            </w:r>
          </w:p>
        </w:tc>
        <w:tc>
          <w:tcPr>
            <w:tcW w:w="5386" w:type="dxa"/>
            <w:vAlign w:val="center"/>
          </w:tcPr>
          <w:p>
            <w:pPr>
              <w:pStyle w:val="16"/>
            </w:pPr>
            <w:r>
              <w:t>更好的宣传栾城</w:t>
            </w:r>
          </w:p>
        </w:tc>
        <w:tc>
          <w:tcPr>
            <w:tcW w:w="2268" w:type="dxa"/>
            <w:vAlign w:val="center"/>
          </w:tcPr>
          <w:p>
            <w:pPr>
              <w:pStyle w:val="16"/>
            </w:pPr>
            <w:r>
              <w:t>更好的宣传栾城</w:t>
            </w:r>
          </w:p>
        </w:tc>
        <w:tc>
          <w:tcPr>
            <w:tcW w:w="1276" w:type="dxa"/>
            <w:vAlign w:val="center"/>
          </w:tcPr>
          <w:p>
            <w:pPr>
              <w:pStyle w:val="16"/>
            </w:pPr>
            <w:r>
              <w:t>合同规定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及时支付性</w:t>
            </w:r>
          </w:p>
        </w:tc>
        <w:tc>
          <w:tcPr>
            <w:tcW w:w="5386" w:type="dxa"/>
            <w:vAlign w:val="center"/>
          </w:tcPr>
          <w:p>
            <w:pPr>
              <w:pStyle w:val="16"/>
            </w:pPr>
            <w:r>
              <w:t>及时支付性</w:t>
            </w:r>
          </w:p>
        </w:tc>
        <w:tc>
          <w:tcPr>
            <w:tcW w:w="2268" w:type="dxa"/>
            <w:vAlign w:val="center"/>
          </w:tcPr>
          <w:p>
            <w:pPr>
              <w:pStyle w:val="16"/>
            </w:pPr>
            <w:r>
              <w:t>及时支付性</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成本控制性</w:t>
            </w:r>
          </w:p>
        </w:tc>
        <w:tc>
          <w:tcPr>
            <w:tcW w:w="2268" w:type="dxa"/>
            <w:vAlign w:val="center"/>
          </w:tcPr>
          <w:p>
            <w:pPr>
              <w:pStyle w:val="16"/>
            </w:pPr>
            <w:r>
              <w:t>13万元</w:t>
            </w:r>
          </w:p>
        </w:tc>
        <w:tc>
          <w:tcPr>
            <w:tcW w:w="1276" w:type="dxa"/>
            <w:vAlign w:val="center"/>
          </w:tcPr>
          <w:p>
            <w:pPr>
              <w:pStyle w:val="16"/>
            </w:pPr>
            <w:r>
              <w:t>预算金额</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更好的宣传栾城</w:t>
            </w:r>
          </w:p>
        </w:tc>
        <w:tc>
          <w:tcPr>
            <w:tcW w:w="5386" w:type="dxa"/>
            <w:vAlign w:val="center"/>
          </w:tcPr>
          <w:p>
            <w:pPr>
              <w:pStyle w:val="16"/>
            </w:pPr>
            <w:r>
              <w:t>更好的宣传栾城</w:t>
            </w:r>
          </w:p>
        </w:tc>
        <w:tc>
          <w:tcPr>
            <w:tcW w:w="2268" w:type="dxa"/>
            <w:vAlign w:val="center"/>
          </w:tcPr>
          <w:p>
            <w:pPr>
              <w:pStyle w:val="16"/>
            </w:pPr>
            <w:r>
              <w:t>更好的宣传栾城</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≥100百分比</w:t>
            </w:r>
          </w:p>
        </w:tc>
        <w:tc>
          <w:tcPr>
            <w:tcW w:w="1276" w:type="dxa"/>
            <w:vAlign w:val="center"/>
          </w:tcPr>
          <w:p>
            <w:pPr>
              <w:pStyle w:val="16"/>
            </w:pPr>
            <w:r>
              <w:t>历年经验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2、2026年采购新闻产品项目预算绩效目标表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13011126P00000410925A</w:t>
            </w:r>
          </w:p>
        </w:tc>
        <w:tc>
          <w:tcPr>
            <w:tcW w:w="2835" w:type="dxa"/>
            <w:vAlign w:val="center"/>
          </w:tcPr>
          <w:p>
            <w:pPr>
              <w:pStyle w:val="14"/>
            </w:pPr>
            <w:r>
              <w:t>项目名称</w:t>
            </w:r>
          </w:p>
        </w:tc>
        <w:tc>
          <w:tcPr>
            <w:tcW w:w="6095" w:type="dxa"/>
            <w:gridSpan w:val="3"/>
            <w:vAlign w:val="center"/>
          </w:tcPr>
          <w:p>
            <w:pPr>
              <w:pStyle w:val="16"/>
            </w:pPr>
            <w:r>
              <w:t>2026年采购新闻产品项目预算</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170.00</w:t>
            </w:r>
          </w:p>
        </w:tc>
        <w:tc>
          <w:tcPr>
            <w:tcW w:w="2835" w:type="dxa"/>
            <w:vAlign w:val="center"/>
          </w:tcPr>
          <w:p>
            <w:pPr>
              <w:pStyle w:val="14"/>
            </w:pPr>
            <w:r>
              <w:t>其中：财政    资金</w:t>
            </w:r>
          </w:p>
        </w:tc>
        <w:tc>
          <w:tcPr>
            <w:tcW w:w="2551" w:type="dxa"/>
            <w:vAlign w:val="center"/>
          </w:tcPr>
          <w:p>
            <w:pPr>
              <w:pStyle w:val="16"/>
            </w:pPr>
            <w:r>
              <w:t>170.00</w:t>
            </w:r>
          </w:p>
        </w:tc>
        <w:tc>
          <w:tcPr>
            <w:tcW w:w="2268" w:type="dxa"/>
            <w:vAlign w:val="center"/>
          </w:tcPr>
          <w:p>
            <w:pPr>
              <w:pStyle w:val="14"/>
            </w:pPr>
            <w:r>
              <w:t>其他资金</w:t>
            </w:r>
          </w:p>
        </w:tc>
        <w:tc>
          <w:tcPr>
            <w:tcW w:w="1276" w:type="dxa"/>
            <w:vAlign w:val="center"/>
          </w:tcPr>
          <w:p>
            <w:pPr>
              <w:pStyle w:val="16"/>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该项目是宣传栾城，促进新闻发展</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30.00</w:t>
            </w:r>
          </w:p>
        </w:tc>
        <w:tc>
          <w:tcPr>
            <w:tcW w:w="2551" w:type="dxa"/>
            <w:vAlign w:val="center"/>
          </w:tcPr>
          <w:p>
            <w:pPr>
              <w:pStyle w:val="17"/>
            </w:pPr>
            <w:r>
              <w:t>80.00</w:t>
            </w:r>
          </w:p>
        </w:tc>
        <w:tc>
          <w:tcPr>
            <w:tcW w:w="3544" w:type="dxa"/>
            <w:gridSpan w:val="2"/>
            <w:vAlign w:val="center"/>
          </w:tcPr>
          <w:p>
            <w:pPr>
              <w:pStyle w:val="17"/>
            </w:pPr>
            <w:r>
              <w:t>60.00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1.该项目是宣传栾城，促进新闻发展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每年固定发表新闻条数</w:t>
            </w:r>
          </w:p>
        </w:tc>
        <w:tc>
          <w:tcPr>
            <w:tcW w:w="5386" w:type="dxa"/>
            <w:vAlign w:val="center"/>
          </w:tcPr>
          <w:p>
            <w:pPr>
              <w:pStyle w:val="16"/>
            </w:pPr>
            <w:r>
              <w:t>每年固定发表新闻条数</w:t>
            </w:r>
          </w:p>
        </w:tc>
        <w:tc>
          <w:tcPr>
            <w:tcW w:w="2268" w:type="dxa"/>
            <w:vAlign w:val="center"/>
          </w:tcPr>
          <w:p>
            <w:pPr>
              <w:pStyle w:val="16"/>
            </w:pPr>
            <w:r>
              <w:t>≥200条</w:t>
            </w:r>
          </w:p>
        </w:tc>
        <w:tc>
          <w:tcPr>
            <w:tcW w:w="1276"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新闻条数合格率</w:t>
            </w:r>
          </w:p>
        </w:tc>
        <w:tc>
          <w:tcPr>
            <w:tcW w:w="5386" w:type="dxa"/>
            <w:vAlign w:val="center"/>
          </w:tcPr>
          <w:p>
            <w:pPr>
              <w:pStyle w:val="16"/>
            </w:pPr>
            <w:r>
              <w:t>新闻条数合格率</w:t>
            </w:r>
          </w:p>
        </w:tc>
        <w:tc>
          <w:tcPr>
            <w:tcW w:w="2268" w:type="dxa"/>
            <w:vAlign w:val="center"/>
          </w:tcPr>
          <w:p>
            <w:pPr>
              <w:pStyle w:val="16"/>
            </w:pPr>
            <w:r>
              <w:t>≥95百分比</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任务及时完成</w:t>
            </w:r>
          </w:p>
        </w:tc>
        <w:tc>
          <w:tcPr>
            <w:tcW w:w="5386" w:type="dxa"/>
            <w:vAlign w:val="center"/>
          </w:tcPr>
          <w:p>
            <w:pPr>
              <w:pStyle w:val="16"/>
            </w:pPr>
            <w:r>
              <w:t>任务及时完成</w:t>
            </w:r>
          </w:p>
        </w:tc>
        <w:tc>
          <w:tcPr>
            <w:tcW w:w="2268" w:type="dxa"/>
            <w:vAlign w:val="center"/>
          </w:tcPr>
          <w:p>
            <w:pPr>
              <w:pStyle w:val="16"/>
            </w:pPr>
            <w:r>
              <w:t>≥100百分比</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成本控制性</w:t>
            </w:r>
          </w:p>
        </w:tc>
        <w:tc>
          <w:tcPr>
            <w:tcW w:w="2268" w:type="dxa"/>
            <w:vAlign w:val="center"/>
          </w:tcPr>
          <w:p>
            <w:pPr>
              <w:pStyle w:val="16"/>
            </w:pPr>
            <w:r>
              <w:t>170万元</w:t>
            </w:r>
          </w:p>
        </w:tc>
        <w:tc>
          <w:tcPr>
            <w:tcW w:w="1276" w:type="dxa"/>
            <w:vAlign w:val="center"/>
          </w:tcPr>
          <w:p>
            <w:pPr>
              <w:pStyle w:val="16"/>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提升宣传引导力</w:t>
            </w:r>
          </w:p>
        </w:tc>
        <w:tc>
          <w:tcPr>
            <w:tcW w:w="5386" w:type="dxa"/>
            <w:vAlign w:val="center"/>
          </w:tcPr>
          <w:p>
            <w:pPr>
              <w:pStyle w:val="16"/>
            </w:pPr>
            <w:r>
              <w:t>提升宣传引导力</w:t>
            </w:r>
          </w:p>
        </w:tc>
        <w:tc>
          <w:tcPr>
            <w:tcW w:w="2268" w:type="dxa"/>
            <w:vAlign w:val="center"/>
          </w:tcPr>
          <w:p>
            <w:pPr>
              <w:pStyle w:val="16"/>
            </w:pPr>
            <w:r>
              <w:t>≥98百分比</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≥98百分比</w:t>
            </w:r>
          </w:p>
        </w:tc>
        <w:tc>
          <w:tcPr>
            <w:tcW w:w="1276"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3、2026年老放映员补助资金绩效目标表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13011126P00000410603F</w:t>
            </w:r>
          </w:p>
        </w:tc>
        <w:tc>
          <w:tcPr>
            <w:tcW w:w="2835" w:type="dxa"/>
            <w:vAlign w:val="center"/>
          </w:tcPr>
          <w:p>
            <w:pPr>
              <w:pStyle w:val="14"/>
            </w:pPr>
            <w:r>
              <w:t>项目名称</w:t>
            </w:r>
          </w:p>
        </w:tc>
        <w:tc>
          <w:tcPr>
            <w:tcW w:w="6095" w:type="dxa"/>
            <w:gridSpan w:val="3"/>
            <w:vAlign w:val="center"/>
          </w:tcPr>
          <w:p>
            <w:pPr>
              <w:pStyle w:val="16"/>
            </w:pPr>
            <w:r>
              <w:t>2026年老放映员补助资金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7.18</w:t>
            </w:r>
          </w:p>
        </w:tc>
        <w:tc>
          <w:tcPr>
            <w:tcW w:w="2835" w:type="dxa"/>
            <w:vAlign w:val="center"/>
          </w:tcPr>
          <w:p>
            <w:pPr>
              <w:pStyle w:val="14"/>
            </w:pPr>
            <w:r>
              <w:t>其中：财政    资金</w:t>
            </w:r>
          </w:p>
        </w:tc>
        <w:tc>
          <w:tcPr>
            <w:tcW w:w="2551" w:type="dxa"/>
            <w:vAlign w:val="center"/>
          </w:tcPr>
          <w:p>
            <w:pPr>
              <w:pStyle w:val="16"/>
            </w:pPr>
            <w:r>
              <w:t>7.18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2026年老放映员补助资金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4.00</w:t>
            </w:r>
          </w:p>
        </w:tc>
        <w:tc>
          <w:tcPr>
            <w:tcW w:w="2551" w:type="dxa"/>
            <w:vAlign w:val="center"/>
          </w:tcPr>
          <w:p>
            <w:pPr>
              <w:pStyle w:val="17"/>
            </w:pPr>
            <w:r>
              <w:t>6.00</w:t>
            </w:r>
          </w:p>
        </w:tc>
        <w:tc>
          <w:tcPr>
            <w:tcW w:w="3544" w:type="dxa"/>
            <w:gridSpan w:val="2"/>
            <w:vAlign w:val="center"/>
          </w:tcPr>
          <w:p>
            <w:pPr>
              <w:pStyle w:val="17"/>
            </w:pPr>
            <w:r>
              <w:t>7.18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1.2026年老放映员补助资金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老放映员数量</w:t>
            </w:r>
          </w:p>
        </w:tc>
        <w:tc>
          <w:tcPr>
            <w:tcW w:w="5386" w:type="dxa"/>
            <w:vAlign w:val="center"/>
          </w:tcPr>
          <w:p>
            <w:pPr>
              <w:pStyle w:val="16"/>
            </w:pPr>
            <w:r>
              <w:t>老放映员数量</w:t>
            </w:r>
          </w:p>
        </w:tc>
        <w:tc>
          <w:tcPr>
            <w:tcW w:w="2268" w:type="dxa"/>
            <w:vAlign w:val="center"/>
          </w:tcPr>
          <w:p>
            <w:pPr>
              <w:pStyle w:val="16"/>
            </w:pPr>
            <w:r>
              <w:t>≥10个</w:t>
            </w:r>
          </w:p>
        </w:tc>
        <w:tc>
          <w:tcPr>
            <w:tcW w:w="1276" w:type="dxa"/>
            <w:vAlign w:val="center"/>
          </w:tcPr>
          <w:p>
            <w:pPr>
              <w:pStyle w:val="16"/>
            </w:pPr>
            <w:r>
              <w:t>合同规定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保障正常运行</w:t>
            </w:r>
          </w:p>
        </w:tc>
        <w:tc>
          <w:tcPr>
            <w:tcW w:w="5386" w:type="dxa"/>
            <w:vAlign w:val="center"/>
          </w:tcPr>
          <w:p>
            <w:pPr>
              <w:pStyle w:val="16"/>
            </w:pPr>
            <w:r>
              <w:t>保障正常运行</w:t>
            </w:r>
          </w:p>
        </w:tc>
        <w:tc>
          <w:tcPr>
            <w:tcW w:w="2268" w:type="dxa"/>
            <w:vAlign w:val="center"/>
          </w:tcPr>
          <w:p>
            <w:pPr>
              <w:pStyle w:val="16"/>
            </w:pPr>
            <w:r>
              <w:t>≥100百分比</w:t>
            </w:r>
          </w:p>
        </w:tc>
        <w:tc>
          <w:tcPr>
            <w:tcW w:w="1276" w:type="dxa"/>
            <w:vAlign w:val="center"/>
          </w:tcPr>
          <w:p>
            <w:pPr>
              <w:pStyle w:val="16"/>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支付及时性</w:t>
            </w:r>
          </w:p>
        </w:tc>
        <w:tc>
          <w:tcPr>
            <w:tcW w:w="5386" w:type="dxa"/>
            <w:vAlign w:val="center"/>
          </w:tcPr>
          <w:p>
            <w:pPr>
              <w:pStyle w:val="16"/>
            </w:pPr>
            <w:r>
              <w:t>支付及时性</w:t>
            </w:r>
          </w:p>
        </w:tc>
        <w:tc>
          <w:tcPr>
            <w:tcW w:w="2268" w:type="dxa"/>
            <w:vAlign w:val="center"/>
          </w:tcPr>
          <w:p>
            <w:pPr>
              <w:pStyle w:val="16"/>
            </w:pPr>
            <w:r>
              <w:t>及时支付</w:t>
            </w:r>
          </w:p>
        </w:tc>
        <w:tc>
          <w:tcPr>
            <w:tcW w:w="1276" w:type="dxa"/>
            <w:vAlign w:val="center"/>
          </w:tcPr>
          <w:p>
            <w:pPr>
              <w:pStyle w:val="16"/>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成本控制性</w:t>
            </w:r>
          </w:p>
        </w:tc>
        <w:tc>
          <w:tcPr>
            <w:tcW w:w="2268" w:type="dxa"/>
            <w:vAlign w:val="center"/>
          </w:tcPr>
          <w:p>
            <w:pPr>
              <w:pStyle w:val="16"/>
            </w:pPr>
            <w:r>
              <w:t>7.18万元</w:t>
            </w:r>
          </w:p>
        </w:tc>
        <w:tc>
          <w:tcPr>
            <w:tcW w:w="1276" w:type="dxa"/>
            <w:vAlign w:val="center"/>
          </w:tcPr>
          <w:p>
            <w:pPr>
              <w:pStyle w:val="16"/>
            </w:pPr>
            <w:r>
              <w:t>预算金额</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提升老放映员满意度</w:t>
            </w:r>
          </w:p>
        </w:tc>
        <w:tc>
          <w:tcPr>
            <w:tcW w:w="5386" w:type="dxa"/>
            <w:vAlign w:val="center"/>
          </w:tcPr>
          <w:p>
            <w:pPr>
              <w:pStyle w:val="16"/>
            </w:pPr>
            <w:r>
              <w:t>提升老放映员满意度</w:t>
            </w:r>
          </w:p>
        </w:tc>
        <w:tc>
          <w:tcPr>
            <w:tcW w:w="2268" w:type="dxa"/>
            <w:vAlign w:val="center"/>
          </w:tcPr>
          <w:p>
            <w:pPr>
              <w:pStyle w:val="16"/>
            </w:pPr>
            <w:r>
              <w:t>≥100百分比</w:t>
            </w:r>
          </w:p>
        </w:tc>
        <w:tc>
          <w:tcPr>
            <w:tcW w:w="1276" w:type="dxa"/>
            <w:vAlign w:val="center"/>
          </w:tcPr>
          <w:p>
            <w:pPr>
              <w:pStyle w:val="16"/>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≥100百分比</w:t>
            </w:r>
          </w:p>
        </w:tc>
        <w:tc>
          <w:tcPr>
            <w:tcW w:w="1276"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4、关于提前下达2026年省级公共文化服务体系建设补助资金的通知绩效目标表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13011126P00000410991Y</w:t>
            </w:r>
          </w:p>
        </w:tc>
        <w:tc>
          <w:tcPr>
            <w:tcW w:w="2835" w:type="dxa"/>
            <w:vAlign w:val="center"/>
          </w:tcPr>
          <w:p>
            <w:pPr>
              <w:pStyle w:val="14"/>
            </w:pPr>
            <w:r>
              <w:t>项目名称</w:t>
            </w:r>
          </w:p>
        </w:tc>
        <w:tc>
          <w:tcPr>
            <w:tcW w:w="6095" w:type="dxa"/>
            <w:gridSpan w:val="3"/>
            <w:vAlign w:val="center"/>
          </w:tcPr>
          <w:p>
            <w:pPr>
              <w:pStyle w:val="16"/>
            </w:pPr>
            <w:r>
              <w:t>关于提前下达2026年省级公共文化服务体系建设补助资金的通知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7.81</w:t>
            </w:r>
          </w:p>
        </w:tc>
        <w:tc>
          <w:tcPr>
            <w:tcW w:w="2835" w:type="dxa"/>
            <w:vAlign w:val="center"/>
          </w:tcPr>
          <w:p>
            <w:pPr>
              <w:pStyle w:val="14"/>
            </w:pPr>
            <w:r>
              <w:t>其中：财政    资金</w:t>
            </w:r>
          </w:p>
        </w:tc>
        <w:tc>
          <w:tcPr>
            <w:tcW w:w="2551" w:type="dxa"/>
            <w:vAlign w:val="center"/>
          </w:tcPr>
          <w:p>
            <w:pPr>
              <w:pStyle w:val="16"/>
            </w:pPr>
            <w:r>
              <w:t>7.81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更好举办活动，增强栾城新闻宣传力度，丰富群众娱乐活动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5.00</w:t>
            </w:r>
          </w:p>
        </w:tc>
        <w:tc>
          <w:tcPr>
            <w:tcW w:w="2551" w:type="dxa"/>
            <w:vAlign w:val="center"/>
          </w:tcPr>
          <w:p>
            <w:pPr>
              <w:pStyle w:val="17"/>
            </w:pPr>
            <w:r>
              <w:t>7.00</w:t>
            </w:r>
          </w:p>
        </w:tc>
        <w:tc>
          <w:tcPr>
            <w:tcW w:w="3544" w:type="dxa"/>
            <w:gridSpan w:val="2"/>
            <w:vAlign w:val="center"/>
          </w:tcPr>
          <w:p>
            <w:pPr>
              <w:pStyle w:val="17"/>
            </w:pPr>
            <w:r>
              <w:t>7.81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1.更好举办活动，增强栾城新闻宣传力度，丰富群众娱乐活动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举办活动次数</w:t>
            </w:r>
          </w:p>
        </w:tc>
        <w:tc>
          <w:tcPr>
            <w:tcW w:w="5386" w:type="dxa"/>
            <w:vAlign w:val="center"/>
          </w:tcPr>
          <w:p>
            <w:pPr>
              <w:pStyle w:val="16"/>
            </w:pPr>
            <w:r>
              <w:t>举办活动次数</w:t>
            </w:r>
          </w:p>
        </w:tc>
        <w:tc>
          <w:tcPr>
            <w:tcW w:w="2268" w:type="dxa"/>
            <w:vAlign w:val="center"/>
          </w:tcPr>
          <w:p>
            <w:pPr>
              <w:pStyle w:val="16"/>
            </w:pPr>
            <w:r>
              <w:t>≥5次</w:t>
            </w:r>
          </w:p>
        </w:tc>
        <w:tc>
          <w:tcPr>
            <w:tcW w:w="1276" w:type="dxa"/>
            <w:vAlign w:val="center"/>
          </w:tcPr>
          <w:p>
            <w:pPr>
              <w:pStyle w:val="16"/>
            </w:pPr>
            <w:r>
              <w:t>上级要求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举办活动维持天数</w:t>
            </w:r>
          </w:p>
        </w:tc>
        <w:tc>
          <w:tcPr>
            <w:tcW w:w="5386" w:type="dxa"/>
            <w:vAlign w:val="center"/>
          </w:tcPr>
          <w:p>
            <w:pPr>
              <w:pStyle w:val="16"/>
            </w:pPr>
            <w:r>
              <w:t>举办活动维持天数</w:t>
            </w:r>
          </w:p>
        </w:tc>
        <w:tc>
          <w:tcPr>
            <w:tcW w:w="2268" w:type="dxa"/>
            <w:vAlign w:val="center"/>
          </w:tcPr>
          <w:p>
            <w:pPr>
              <w:pStyle w:val="16"/>
            </w:pPr>
            <w:r>
              <w:t>≥10天</w:t>
            </w:r>
          </w:p>
        </w:tc>
        <w:tc>
          <w:tcPr>
            <w:tcW w:w="1276" w:type="dxa"/>
            <w:vAlign w:val="center"/>
          </w:tcPr>
          <w:p>
            <w:pPr>
              <w:pStyle w:val="16"/>
            </w:pPr>
            <w:r>
              <w:t>上级要求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拨付及时</w:t>
            </w:r>
          </w:p>
        </w:tc>
        <w:tc>
          <w:tcPr>
            <w:tcW w:w="5386" w:type="dxa"/>
            <w:vAlign w:val="center"/>
          </w:tcPr>
          <w:p>
            <w:pPr>
              <w:pStyle w:val="16"/>
            </w:pPr>
            <w:r>
              <w:t>拨付及时</w:t>
            </w:r>
          </w:p>
        </w:tc>
        <w:tc>
          <w:tcPr>
            <w:tcW w:w="2268" w:type="dxa"/>
            <w:vAlign w:val="center"/>
          </w:tcPr>
          <w:p>
            <w:pPr>
              <w:pStyle w:val="16"/>
            </w:pPr>
            <w:r>
              <w:t>100百分比</w:t>
            </w:r>
          </w:p>
        </w:tc>
        <w:tc>
          <w:tcPr>
            <w:tcW w:w="1276" w:type="dxa"/>
            <w:vAlign w:val="center"/>
          </w:tcPr>
          <w:p>
            <w:pPr>
              <w:pStyle w:val="16"/>
            </w:pPr>
            <w:r>
              <w:t>上级要求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不超成本</w:t>
            </w:r>
          </w:p>
        </w:tc>
        <w:tc>
          <w:tcPr>
            <w:tcW w:w="5386" w:type="dxa"/>
            <w:vAlign w:val="center"/>
          </w:tcPr>
          <w:p>
            <w:pPr>
              <w:pStyle w:val="16"/>
            </w:pPr>
            <w:r>
              <w:t>不超成本</w:t>
            </w:r>
          </w:p>
        </w:tc>
        <w:tc>
          <w:tcPr>
            <w:tcW w:w="2268" w:type="dxa"/>
            <w:vAlign w:val="center"/>
          </w:tcPr>
          <w:p>
            <w:pPr>
              <w:pStyle w:val="16"/>
            </w:pPr>
            <w:r>
              <w:t>≤7.8万元</w:t>
            </w:r>
          </w:p>
        </w:tc>
        <w:tc>
          <w:tcPr>
            <w:tcW w:w="1276" w:type="dxa"/>
            <w:vAlign w:val="center"/>
          </w:tcPr>
          <w:p>
            <w:pPr>
              <w:pStyle w:val="16"/>
            </w:pPr>
            <w:r>
              <w:t>上级要求</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提升全区娱乐文化水平</w:t>
            </w:r>
          </w:p>
        </w:tc>
        <w:tc>
          <w:tcPr>
            <w:tcW w:w="5386" w:type="dxa"/>
            <w:vAlign w:val="center"/>
          </w:tcPr>
          <w:p>
            <w:pPr>
              <w:pStyle w:val="16"/>
            </w:pPr>
            <w:r>
              <w:t>提升全区娱乐文化水平</w:t>
            </w:r>
          </w:p>
        </w:tc>
        <w:tc>
          <w:tcPr>
            <w:tcW w:w="2268" w:type="dxa"/>
            <w:vAlign w:val="center"/>
          </w:tcPr>
          <w:p>
            <w:pPr>
              <w:pStyle w:val="16"/>
            </w:pPr>
            <w:r>
              <w:t>提升全区娱乐文化水平</w:t>
            </w:r>
          </w:p>
        </w:tc>
        <w:tc>
          <w:tcPr>
            <w:tcW w:w="1276" w:type="dxa"/>
            <w:vAlign w:val="center"/>
          </w:tcPr>
          <w:p>
            <w:pPr>
              <w:pStyle w:val="16"/>
            </w:pPr>
            <w:r>
              <w:t>上级要求</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群众满意度</w:t>
            </w:r>
          </w:p>
        </w:tc>
        <w:tc>
          <w:tcPr>
            <w:tcW w:w="2268" w:type="dxa"/>
            <w:vAlign w:val="center"/>
          </w:tcPr>
          <w:p>
            <w:pPr>
              <w:pStyle w:val="16"/>
            </w:pPr>
            <w:r>
              <w:t>≥95百分比</w:t>
            </w:r>
          </w:p>
        </w:tc>
        <w:tc>
          <w:tcPr>
            <w:tcW w:w="1276" w:type="dxa"/>
            <w:vAlign w:val="center"/>
          </w:tcPr>
          <w:p>
            <w:pPr>
              <w:pStyle w:val="16"/>
            </w:pPr>
            <w:r>
              <w:t>上级要求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5、关于提前下达2026年省级国家电影事业发展专项资金绩效目标表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13011126P000004109381</w:t>
            </w:r>
          </w:p>
        </w:tc>
        <w:tc>
          <w:tcPr>
            <w:tcW w:w="2835" w:type="dxa"/>
            <w:vAlign w:val="center"/>
          </w:tcPr>
          <w:p>
            <w:pPr>
              <w:pStyle w:val="14"/>
            </w:pPr>
            <w:r>
              <w:t>项目名称</w:t>
            </w:r>
          </w:p>
        </w:tc>
        <w:tc>
          <w:tcPr>
            <w:tcW w:w="6095" w:type="dxa"/>
            <w:gridSpan w:val="3"/>
            <w:vAlign w:val="center"/>
          </w:tcPr>
          <w:p>
            <w:pPr>
              <w:pStyle w:val="16"/>
            </w:pPr>
            <w:r>
              <w:t>关于提前下达2026年省级国家电影事业发展专项资金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关于提前下达2026年省级国家电影事业发展专项资金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0.50</w:t>
            </w:r>
          </w:p>
        </w:tc>
        <w:tc>
          <w:tcPr>
            <w:tcW w:w="2551" w:type="dxa"/>
            <w:vAlign w:val="center"/>
          </w:tcPr>
          <w:p>
            <w:pPr>
              <w:pStyle w:val="17"/>
            </w:pPr>
            <w:r>
              <w:t>1.00</w:t>
            </w:r>
          </w:p>
        </w:tc>
        <w:tc>
          <w:tcPr>
            <w:tcW w:w="3544" w:type="dxa"/>
            <w:gridSpan w:val="2"/>
            <w:vAlign w:val="center"/>
          </w:tcPr>
          <w:p>
            <w:pPr>
              <w:pStyle w:val="17"/>
            </w:pPr>
            <w:r>
              <w:t>0.50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1.关于提前下达2026年省级国家电影事业发展专项资金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播放电影天数</w:t>
            </w:r>
          </w:p>
        </w:tc>
        <w:tc>
          <w:tcPr>
            <w:tcW w:w="5386" w:type="dxa"/>
            <w:vAlign w:val="center"/>
          </w:tcPr>
          <w:p>
            <w:pPr>
              <w:pStyle w:val="16"/>
            </w:pPr>
            <w:r>
              <w:t>播放电影天数</w:t>
            </w:r>
          </w:p>
        </w:tc>
        <w:tc>
          <w:tcPr>
            <w:tcW w:w="2268" w:type="dxa"/>
            <w:vAlign w:val="center"/>
          </w:tcPr>
          <w:p>
            <w:pPr>
              <w:pStyle w:val="16"/>
            </w:pPr>
            <w:r>
              <w:t>≥365天</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保障正常运行</w:t>
            </w:r>
          </w:p>
        </w:tc>
        <w:tc>
          <w:tcPr>
            <w:tcW w:w="5386" w:type="dxa"/>
            <w:vAlign w:val="center"/>
          </w:tcPr>
          <w:p>
            <w:pPr>
              <w:pStyle w:val="16"/>
            </w:pPr>
            <w:r>
              <w:t>保障正常运行</w:t>
            </w:r>
          </w:p>
        </w:tc>
        <w:tc>
          <w:tcPr>
            <w:tcW w:w="2268" w:type="dxa"/>
            <w:vAlign w:val="center"/>
          </w:tcPr>
          <w:p>
            <w:pPr>
              <w:pStyle w:val="16"/>
            </w:pPr>
            <w:r>
              <w:t>≥98百分比</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及时支付性</w:t>
            </w:r>
          </w:p>
        </w:tc>
        <w:tc>
          <w:tcPr>
            <w:tcW w:w="5386" w:type="dxa"/>
            <w:vAlign w:val="center"/>
          </w:tcPr>
          <w:p>
            <w:pPr>
              <w:pStyle w:val="16"/>
            </w:pPr>
            <w:r>
              <w:t>及时支付性</w:t>
            </w:r>
          </w:p>
        </w:tc>
        <w:tc>
          <w:tcPr>
            <w:tcW w:w="2268" w:type="dxa"/>
            <w:vAlign w:val="center"/>
          </w:tcPr>
          <w:p>
            <w:pPr>
              <w:pStyle w:val="16"/>
            </w:pPr>
            <w:r>
              <w:t>≥100百分比</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成本控制性</w:t>
            </w:r>
          </w:p>
        </w:tc>
        <w:tc>
          <w:tcPr>
            <w:tcW w:w="2268" w:type="dxa"/>
            <w:vAlign w:val="center"/>
          </w:tcPr>
          <w:p>
            <w:pPr>
              <w:pStyle w:val="16"/>
            </w:pPr>
            <w:r>
              <w:t>2万元</w:t>
            </w:r>
          </w:p>
        </w:tc>
        <w:tc>
          <w:tcPr>
            <w:tcW w:w="1276" w:type="dxa"/>
            <w:vAlign w:val="center"/>
          </w:tcPr>
          <w:p>
            <w:pPr>
              <w:pStyle w:val="16"/>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提升公共服务水平</w:t>
            </w:r>
          </w:p>
        </w:tc>
        <w:tc>
          <w:tcPr>
            <w:tcW w:w="5386" w:type="dxa"/>
            <w:vAlign w:val="center"/>
          </w:tcPr>
          <w:p>
            <w:pPr>
              <w:pStyle w:val="16"/>
            </w:pPr>
            <w:r>
              <w:t>提升公共服务水平</w:t>
            </w:r>
          </w:p>
        </w:tc>
        <w:tc>
          <w:tcPr>
            <w:tcW w:w="2268" w:type="dxa"/>
            <w:vAlign w:val="center"/>
          </w:tcPr>
          <w:p>
            <w:pPr>
              <w:pStyle w:val="16"/>
            </w:pPr>
            <w:r>
              <w:t>≥100百分比</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≥100百分比</w:t>
            </w:r>
          </w:p>
        </w:tc>
        <w:tc>
          <w:tcPr>
            <w:tcW w:w="1276"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6、关于提前下达中央支持地方公共文化服务体系建设补助资金绩效目标表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13011126P00000410937D</w:t>
            </w:r>
          </w:p>
        </w:tc>
        <w:tc>
          <w:tcPr>
            <w:tcW w:w="2835" w:type="dxa"/>
            <w:vAlign w:val="center"/>
          </w:tcPr>
          <w:p>
            <w:pPr>
              <w:pStyle w:val="14"/>
            </w:pPr>
            <w:r>
              <w:t>项目名称</w:t>
            </w:r>
          </w:p>
        </w:tc>
        <w:tc>
          <w:tcPr>
            <w:tcW w:w="6095" w:type="dxa"/>
            <w:gridSpan w:val="3"/>
            <w:vAlign w:val="center"/>
          </w:tcPr>
          <w:p>
            <w:pPr>
              <w:pStyle w:val="16"/>
            </w:pPr>
            <w:r>
              <w:t>关于提前下达中央支持地方公共文化服务体系建设补助资金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15.00</w:t>
            </w:r>
          </w:p>
        </w:tc>
        <w:tc>
          <w:tcPr>
            <w:tcW w:w="2835" w:type="dxa"/>
            <w:vAlign w:val="center"/>
          </w:tcPr>
          <w:p>
            <w:pPr>
              <w:pStyle w:val="14"/>
            </w:pPr>
            <w:r>
              <w:t>其中：财政    资金</w:t>
            </w:r>
          </w:p>
        </w:tc>
        <w:tc>
          <w:tcPr>
            <w:tcW w:w="2551" w:type="dxa"/>
            <w:vAlign w:val="center"/>
          </w:tcPr>
          <w:p>
            <w:pPr>
              <w:pStyle w:val="16"/>
            </w:pPr>
            <w:r>
              <w:t>15.00</w:t>
            </w:r>
          </w:p>
        </w:tc>
        <w:tc>
          <w:tcPr>
            <w:tcW w:w="2268" w:type="dxa"/>
            <w:vAlign w:val="center"/>
          </w:tcPr>
          <w:p>
            <w:pPr>
              <w:pStyle w:val="14"/>
            </w:pPr>
            <w:r>
              <w:t>其他资金</w:t>
            </w:r>
          </w:p>
        </w:tc>
        <w:tc>
          <w:tcPr>
            <w:tcW w:w="1276" w:type="dxa"/>
            <w:vAlign w:val="center"/>
          </w:tcPr>
          <w:p>
            <w:pPr>
              <w:pStyle w:val="16"/>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关于提前下达中央支持地方公共文化服务体系建设补助资金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3.00</w:t>
            </w:r>
          </w:p>
        </w:tc>
        <w:tc>
          <w:tcPr>
            <w:tcW w:w="2551" w:type="dxa"/>
            <w:vAlign w:val="center"/>
          </w:tcPr>
          <w:p>
            <w:pPr>
              <w:pStyle w:val="17"/>
            </w:pPr>
            <w:r>
              <w:t>10.00</w:t>
            </w:r>
          </w:p>
        </w:tc>
        <w:tc>
          <w:tcPr>
            <w:tcW w:w="3544" w:type="dxa"/>
            <w:gridSpan w:val="2"/>
            <w:vAlign w:val="center"/>
          </w:tcPr>
          <w:p>
            <w:pPr>
              <w:pStyle w:val="17"/>
            </w:pPr>
            <w:r>
              <w:t>2.00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1.关于提前下达中央支持地方公共文化服务体系建设补助资金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举办活动次数</w:t>
            </w:r>
          </w:p>
        </w:tc>
        <w:tc>
          <w:tcPr>
            <w:tcW w:w="5386" w:type="dxa"/>
            <w:vAlign w:val="center"/>
          </w:tcPr>
          <w:p>
            <w:pPr>
              <w:pStyle w:val="16"/>
            </w:pPr>
            <w:r>
              <w:t>举办活动次数</w:t>
            </w:r>
          </w:p>
        </w:tc>
        <w:tc>
          <w:tcPr>
            <w:tcW w:w="2268" w:type="dxa"/>
            <w:vAlign w:val="center"/>
          </w:tcPr>
          <w:p>
            <w:pPr>
              <w:pStyle w:val="16"/>
            </w:pPr>
            <w:r>
              <w:t>≥5次</w:t>
            </w:r>
          </w:p>
        </w:tc>
        <w:tc>
          <w:tcPr>
            <w:tcW w:w="1276" w:type="dxa"/>
            <w:vAlign w:val="center"/>
          </w:tcPr>
          <w:p>
            <w:pPr>
              <w:pStyle w:val="16"/>
            </w:pPr>
            <w:r>
              <w:t>合同规定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保障正常运行</w:t>
            </w:r>
          </w:p>
        </w:tc>
        <w:tc>
          <w:tcPr>
            <w:tcW w:w="5386" w:type="dxa"/>
            <w:vAlign w:val="center"/>
          </w:tcPr>
          <w:p>
            <w:pPr>
              <w:pStyle w:val="16"/>
            </w:pPr>
            <w:r>
              <w:t>保障正常运行</w:t>
            </w:r>
          </w:p>
        </w:tc>
        <w:tc>
          <w:tcPr>
            <w:tcW w:w="2268" w:type="dxa"/>
            <w:vAlign w:val="center"/>
          </w:tcPr>
          <w:p>
            <w:pPr>
              <w:pStyle w:val="16"/>
            </w:pPr>
            <w:r>
              <w:t>≥100百分比</w:t>
            </w:r>
          </w:p>
        </w:tc>
        <w:tc>
          <w:tcPr>
            <w:tcW w:w="1276" w:type="dxa"/>
            <w:vAlign w:val="center"/>
          </w:tcPr>
          <w:p>
            <w:pPr>
              <w:pStyle w:val="16"/>
            </w:pPr>
            <w:r>
              <w:t>合同规定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支持及时性</w:t>
            </w:r>
          </w:p>
        </w:tc>
        <w:tc>
          <w:tcPr>
            <w:tcW w:w="5386" w:type="dxa"/>
            <w:vAlign w:val="center"/>
          </w:tcPr>
          <w:p>
            <w:pPr>
              <w:pStyle w:val="16"/>
            </w:pPr>
            <w:r>
              <w:t>支持及时性</w:t>
            </w:r>
          </w:p>
        </w:tc>
        <w:tc>
          <w:tcPr>
            <w:tcW w:w="2268" w:type="dxa"/>
            <w:vAlign w:val="center"/>
          </w:tcPr>
          <w:p>
            <w:pPr>
              <w:pStyle w:val="16"/>
            </w:pPr>
            <w:r>
              <w:t>≥100百分比</w:t>
            </w:r>
          </w:p>
        </w:tc>
        <w:tc>
          <w:tcPr>
            <w:tcW w:w="1276" w:type="dxa"/>
            <w:vAlign w:val="center"/>
          </w:tcPr>
          <w:p>
            <w:pPr>
              <w:pStyle w:val="16"/>
            </w:pPr>
            <w:r>
              <w:t>合同规定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成本控制性</w:t>
            </w:r>
          </w:p>
        </w:tc>
        <w:tc>
          <w:tcPr>
            <w:tcW w:w="2268" w:type="dxa"/>
            <w:vAlign w:val="center"/>
          </w:tcPr>
          <w:p>
            <w:pPr>
              <w:pStyle w:val="16"/>
            </w:pPr>
            <w:r>
              <w:t>15万元</w:t>
            </w:r>
          </w:p>
        </w:tc>
        <w:tc>
          <w:tcPr>
            <w:tcW w:w="1276" w:type="dxa"/>
            <w:vAlign w:val="center"/>
          </w:tcPr>
          <w:p>
            <w:pPr>
              <w:pStyle w:val="16"/>
            </w:pPr>
            <w:r>
              <w:t>预算金额</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提升公共服务水平</w:t>
            </w:r>
          </w:p>
        </w:tc>
        <w:tc>
          <w:tcPr>
            <w:tcW w:w="5386" w:type="dxa"/>
            <w:vAlign w:val="center"/>
          </w:tcPr>
          <w:p>
            <w:pPr>
              <w:pStyle w:val="16"/>
            </w:pPr>
            <w:r>
              <w:t>提升公共服务水平</w:t>
            </w:r>
          </w:p>
        </w:tc>
        <w:tc>
          <w:tcPr>
            <w:tcW w:w="2268" w:type="dxa"/>
            <w:vAlign w:val="center"/>
          </w:tcPr>
          <w:p>
            <w:pPr>
              <w:pStyle w:val="16"/>
            </w:pPr>
            <w:r>
              <w:t>≥100百分比</w:t>
            </w:r>
          </w:p>
        </w:tc>
        <w:tc>
          <w:tcPr>
            <w:tcW w:w="1276" w:type="dxa"/>
            <w:vAlign w:val="center"/>
          </w:tcPr>
          <w:p>
            <w:pPr>
              <w:pStyle w:val="16"/>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≥100百分比</w:t>
            </w:r>
          </w:p>
        </w:tc>
        <w:tc>
          <w:tcPr>
            <w:tcW w:w="1276"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7、离退休人员统筹外工资待遇绩效目标表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13011126P00000410584Q</w:t>
            </w:r>
          </w:p>
        </w:tc>
        <w:tc>
          <w:tcPr>
            <w:tcW w:w="2835" w:type="dxa"/>
            <w:vAlign w:val="center"/>
          </w:tcPr>
          <w:p>
            <w:pPr>
              <w:pStyle w:val="14"/>
            </w:pPr>
            <w:r>
              <w:t>项目名称</w:t>
            </w:r>
          </w:p>
        </w:tc>
        <w:tc>
          <w:tcPr>
            <w:tcW w:w="6095" w:type="dxa"/>
            <w:gridSpan w:val="3"/>
            <w:vAlign w:val="center"/>
          </w:tcPr>
          <w:p>
            <w:pPr>
              <w:pStyle w:val="16"/>
            </w:pPr>
            <w:r>
              <w:t>离退休人员统筹外工资待遇</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0.58</w:t>
            </w:r>
          </w:p>
        </w:tc>
        <w:tc>
          <w:tcPr>
            <w:tcW w:w="2835" w:type="dxa"/>
            <w:vAlign w:val="center"/>
          </w:tcPr>
          <w:p>
            <w:pPr>
              <w:pStyle w:val="14"/>
            </w:pPr>
            <w:r>
              <w:t>其中：财政    资金</w:t>
            </w:r>
          </w:p>
        </w:tc>
        <w:tc>
          <w:tcPr>
            <w:tcW w:w="2551" w:type="dxa"/>
            <w:vAlign w:val="center"/>
          </w:tcPr>
          <w:p>
            <w:pPr>
              <w:pStyle w:val="16"/>
            </w:pPr>
            <w:r>
              <w:t>0.58</w:t>
            </w:r>
          </w:p>
        </w:tc>
        <w:tc>
          <w:tcPr>
            <w:tcW w:w="2268" w:type="dxa"/>
            <w:vAlign w:val="center"/>
          </w:tcPr>
          <w:p>
            <w:pPr>
              <w:pStyle w:val="14"/>
            </w:pPr>
            <w:r>
              <w:t>其他资金</w:t>
            </w:r>
          </w:p>
        </w:tc>
        <w:tc>
          <w:tcPr>
            <w:tcW w:w="1276" w:type="dxa"/>
            <w:vAlign w:val="center"/>
          </w:tcPr>
          <w:p>
            <w:pPr>
              <w:pStyle w:val="16"/>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离退休人员统筹外工资</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0.20</w:t>
            </w:r>
          </w:p>
        </w:tc>
        <w:tc>
          <w:tcPr>
            <w:tcW w:w="2551" w:type="dxa"/>
            <w:vAlign w:val="center"/>
          </w:tcPr>
          <w:p>
            <w:pPr>
              <w:pStyle w:val="17"/>
            </w:pPr>
            <w:r>
              <w:t>0.50</w:t>
            </w:r>
          </w:p>
        </w:tc>
        <w:tc>
          <w:tcPr>
            <w:tcW w:w="3544" w:type="dxa"/>
            <w:gridSpan w:val="2"/>
            <w:vAlign w:val="center"/>
          </w:tcPr>
          <w:p>
            <w:pPr>
              <w:pStyle w:val="17"/>
            </w:pPr>
            <w:r>
              <w:t>0.58</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1.离退休人员统筹外工资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退休人员数量</w:t>
            </w:r>
          </w:p>
        </w:tc>
        <w:tc>
          <w:tcPr>
            <w:tcW w:w="5386" w:type="dxa"/>
            <w:vAlign w:val="center"/>
          </w:tcPr>
          <w:p>
            <w:pPr>
              <w:pStyle w:val="16"/>
            </w:pPr>
            <w:r>
              <w:t>退休人员数量</w:t>
            </w:r>
          </w:p>
        </w:tc>
        <w:tc>
          <w:tcPr>
            <w:tcW w:w="2268" w:type="dxa"/>
            <w:vAlign w:val="center"/>
          </w:tcPr>
          <w:p>
            <w:pPr>
              <w:pStyle w:val="16"/>
            </w:pPr>
            <w:r>
              <w:t>8个</w:t>
            </w:r>
          </w:p>
        </w:tc>
        <w:tc>
          <w:tcPr>
            <w:tcW w:w="1276" w:type="dxa"/>
            <w:vAlign w:val="center"/>
          </w:tcPr>
          <w:p>
            <w:pPr>
              <w:pStyle w:val="16"/>
            </w:pPr>
            <w:r>
              <w:t>合同规定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离退休人员补助质量</w:t>
            </w:r>
          </w:p>
        </w:tc>
        <w:tc>
          <w:tcPr>
            <w:tcW w:w="5386" w:type="dxa"/>
            <w:vAlign w:val="center"/>
          </w:tcPr>
          <w:p>
            <w:pPr>
              <w:pStyle w:val="16"/>
            </w:pPr>
            <w:r>
              <w:t>离退休人员补助到位质量高</w:t>
            </w:r>
          </w:p>
        </w:tc>
        <w:tc>
          <w:tcPr>
            <w:tcW w:w="2268" w:type="dxa"/>
            <w:vAlign w:val="center"/>
          </w:tcPr>
          <w:p>
            <w:pPr>
              <w:pStyle w:val="16"/>
            </w:pPr>
            <w:r>
              <w:t>≥100百分比</w:t>
            </w:r>
          </w:p>
        </w:tc>
        <w:tc>
          <w:tcPr>
            <w:tcW w:w="1276" w:type="dxa"/>
            <w:vAlign w:val="center"/>
          </w:tcPr>
          <w:p>
            <w:pPr>
              <w:pStyle w:val="16"/>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及时支付性</w:t>
            </w:r>
          </w:p>
        </w:tc>
        <w:tc>
          <w:tcPr>
            <w:tcW w:w="5386" w:type="dxa"/>
            <w:vAlign w:val="center"/>
          </w:tcPr>
          <w:p>
            <w:pPr>
              <w:pStyle w:val="16"/>
            </w:pPr>
            <w:r>
              <w:t>及时支付</w:t>
            </w:r>
          </w:p>
        </w:tc>
        <w:tc>
          <w:tcPr>
            <w:tcW w:w="2268" w:type="dxa"/>
            <w:vAlign w:val="center"/>
          </w:tcPr>
          <w:p>
            <w:pPr>
              <w:pStyle w:val="16"/>
            </w:pPr>
            <w:r>
              <w:t>≥100百分比</w:t>
            </w:r>
          </w:p>
        </w:tc>
        <w:tc>
          <w:tcPr>
            <w:tcW w:w="1276" w:type="dxa"/>
            <w:vAlign w:val="center"/>
          </w:tcPr>
          <w:p>
            <w:pPr>
              <w:pStyle w:val="16"/>
            </w:pPr>
            <w:r>
              <w:t>合同规定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≤0.58万元</w:t>
            </w:r>
          </w:p>
        </w:tc>
        <w:tc>
          <w:tcPr>
            <w:tcW w:w="1276" w:type="dxa"/>
            <w:vAlign w:val="center"/>
          </w:tcPr>
          <w:p>
            <w:pPr>
              <w:pStyle w:val="16"/>
            </w:pPr>
            <w:r>
              <w:t>预算金额</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提升退休人员满意度</w:t>
            </w:r>
          </w:p>
        </w:tc>
        <w:tc>
          <w:tcPr>
            <w:tcW w:w="5386" w:type="dxa"/>
            <w:vAlign w:val="center"/>
          </w:tcPr>
          <w:p>
            <w:pPr>
              <w:pStyle w:val="16"/>
            </w:pPr>
            <w:r>
              <w:t>提升退休人员满意度</w:t>
            </w:r>
          </w:p>
        </w:tc>
        <w:tc>
          <w:tcPr>
            <w:tcW w:w="2268" w:type="dxa"/>
            <w:vAlign w:val="center"/>
          </w:tcPr>
          <w:p>
            <w:pPr>
              <w:pStyle w:val="16"/>
            </w:pPr>
            <w:r>
              <w:t>≥100百分比</w:t>
            </w:r>
          </w:p>
        </w:tc>
        <w:tc>
          <w:tcPr>
            <w:tcW w:w="1276" w:type="dxa"/>
            <w:vAlign w:val="center"/>
          </w:tcPr>
          <w:p>
            <w:pPr>
              <w:pStyle w:val="16"/>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≥100百分比</w:t>
            </w:r>
          </w:p>
        </w:tc>
        <w:tc>
          <w:tcPr>
            <w:tcW w:w="1276"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8、实践中心残保金绩效目标表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13011126P000004106114</w:t>
            </w:r>
          </w:p>
        </w:tc>
        <w:tc>
          <w:tcPr>
            <w:tcW w:w="2835" w:type="dxa"/>
            <w:vAlign w:val="center"/>
          </w:tcPr>
          <w:p>
            <w:pPr>
              <w:pStyle w:val="14"/>
            </w:pPr>
            <w:r>
              <w:t>项目名称</w:t>
            </w:r>
          </w:p>
        </w:tc>
        <w:tc>
          <w:tcPr>
            <w:tcW w:w="6095" w:type="dxa"/>
            <w:gridSpan w:val="3"/>
            <w:vAlign w:val="center"/>
          </w:tcPr>
          <w:p>
            <w:pPr>
              <w:pStyle w:val="16"/>
            </w:pPr>
            <w:r>
              <w:t>实践中心残保金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0.11</w:t>
            </w:r>
          </w:p>
        </w:tc>
        <w:tc>
          <w:tcPr>
            <w:tcW w:w="2835" w:type="dxa"/>
            <w:vAlign w:val="center"/>
          </w:tcPr>
          <w:p>
            <w:pPr>
              <w:pStyle w:val="14"/>
            </w:pPr>
            <w:r>
              <w:t>其中：财政    资金</w:t>
            </w:r>
          </w:p>
        </w:tc>
        <w:tc>
          <w:tcPr>
            <w:tcW w:w="2551" w:type="dxa"/>
            <w:vAlign w:val="center"/>
          </w:tcPr>
          <w:p>
            <w:pPr>
              <w:pStyle w:val="16"/>
            </w:pPr>
            <w:r>
              <w:t>0.11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实践中心残保金用于残疾人保障金支出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0.11</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1.实践中心残保金用于残疾人保障金支出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残疾人保障金维持天数</w:t>
            </w:r>
          </w:p>
        </w:tc>
        <w:tc>
          <w:tcPr>
            <w:tcW w:w="5386" w:type="dxa"/>
            <w:vAlign w:val="center"/>
          </w:tcPr>
          <w:p>
            <w:pPr>
              <w:pStyle w:val="16"/>
            </w:pPr>
            <w:r>
              <w:t>残疾人保障金维持天数</w:t>
            </w:r>
          </w:p>
        </w:tc>
        <w:tc>
          <w:tcPr>
            <w:tcW w:w="2268" w:type="dxa"/>
            <w:vAlign w:val="center"/>
          </w:tcPr>
          <w:p>
            <w:pPr>
              <w:pStyle w:val="16"/>
            </w:pPr>
            <w:r>
              <w:t>≥365天</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保障运行</w:t>
            </w:r>
          </w:p>
        </w:tc>
        <w:tc>
          <w:tcPr>
            <w:tcW w:w="5386" w:type="dxa"/>
            <w:vAlign w:val="center"/>
          </w:tcPr>
          <w:p>
            <w:pPr>
              <w:pStyle w:val="16"/>
            </w:pPr>
            <w:r>
              <w:t>保障运行</w:t>
            </w:r>
          </w:p>
        </w:tc>
        <w:tc>
          <w:tcPr>
            <w:tcW w:w="2268" w:type="dxa"/>
            <w:vAlign w:val="center"/>
          </w:tcPr>
          <w:p>
            <w:pPr>
              <w:pStyle w:val="16"/>
            </w:pPr>
            <w:r>
              <w:t>100百分比</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及时支付性</w:t>
            </w:r>
          </w:p>
        </w:tc>
        <w:tc>
          <w:tcPr>
            <w:tcW w:w="5386" w:type="dxa"/>
            <w:vAlign w:val="center"/>
          </w:tcPr>
          <w:p>
            <w:pPr>
              <w:pStyle w:val="16"/>
            </w:pPr>
            <w:r>
              <w:t>支付及时</w:t>
            </w:r>
          </w:p>
        </w:tc>
        <w:tc>
          <w:tcPr>
            <w:tcW w:w="2268" w:type="dxa"/>
            <w:vAlign w:val="center"/>
          </w:tcPr>
          <w:p>
            <w:pPr>
              <w:pStyle w:val="16"/>
            </w:pPr>
            <w:r>
              <w:t>100百分比</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成本控制性</w:t>
            </w:r>
          </w:p>
        </w:tc>
        <w:tc>
          <w:tcPr>
            <w:tcW w:w="2268" w:type="dxa"/>
            <w:vAlign w:val="center"/>
          </w:tcPr>
          <w:p>
            <w:pPr>
              <w:pStyle w:val="16"/>
            </w:pPr>
            <w:r>
              <w:t>0.11万元</w:t>
            </w:r>
          </w:p>
        </w:tc>
        <w:tc>
          <w:tcPr>
            <w:tcW w:w="1276" w:type="dxa"/>
            <w:vAlign w:val="center"/>
          </w:tcPr>
          <w:p>
            <w:pPr>
              <w:pStyle w:val="16"/>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提升公共服务</w:t>
            </w:r>
          </w:p>
        </w:tc>
        <w:tc>
          <w:tcPr>
            <w:tcW w:w="5386" w:type="dxa"/>
            <w:vAlign w:val="center"/>
          </w:tcPr>
          <w:p>
            <w:pPr>
              <w:pStyle w:val="16"/>
            </w:pPr>
            <w:r>
              <w:t>提升公共服务</w:t>
            </w:r>
          </w:p>
        </w:tc>
        <w:tc>
          <w:tcPr>
            <w:tcW w:w="2268" w:type="dxa"/>
            <w:vAlign w:val="center"/>
          </w:tcPr>
          <w:p>
            <w:pPr>
              <w:pStyle w:val="16"/>
            </w:pPr>
            <w:r>
              <w:t>100百分比</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≥100百分比</w:t>
            </w:r>
          </w:p>
        </w:tc>
        <w:tc>
          <w:tcPr>
            <w:tcW w:w="1276"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9、宣传部残保金绩效目标表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13011126P000004106095</w:t>
            </w:r>
          </w:p>
        </w:tc>
        <w:tc>
          <w:tcPr>
            <w:tcW w:w="2835" w:type="dxa"/>
            <w:vAlign w:val="center"/>
          </w:tcPr>
          <w:p>
            <w:pPr>
              <w:pStyle w:val="14"/>
            </w:pPr>
            <w:r>
              <w:t>项目名称</w:t>
            </w:r>
          </w:p>
        </w:tc>
        <w:tc>
          <w:tcPr>
            <w:tcW w:w="6095" w:type="dxa"/>
            <w:gridSpan w:val="3"/>
            <w:vAlign w:val="center"/>
          </w:tcPr>
          <w:p>
            <w:pPr>
              <w:pStyle w:val="16"/>
            </w:pPr>
            <w:r>
              <w:t>宣传部残保金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1.57</w:t>
            </w:r>
          </w:p>
        </w:tc>
        <w:tc>
          <w:tcPr>
            <w:tcW w:w="2835" w:type="dxa"/>
            <w:vAlign w:val="center"/>
          </w:tcPr>
          <w:p>
            <w:pPr>
              <w:pStyle w:val="14"/>
            </w:pPr>
            <w:r>
              <w:t>其中：财政    资金</w:t>
            </w:r>
          </w:p>
        </w:tc>
        <w:tc>
          <w:tcPr>
            <w:tcW w:w="2551" w:type="dxa"/>
            <w:vAlign w:val="center"/>
          </w:tcPr>
          <w:p>
            <w:pPr>
              <w:pStyle w:val="16"/>
            </w:pPr>
            <w:r>
              <w:t>1.57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宣传部残保金用于残疾人残保金支出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1.57</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1.宣传部残保金用于残疾人残保金支出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残疾人保障金维持天数</w:t>
            </w:r>
          </w:p>
        </w:tc>
        <w:tc>
          <w:tcPr>
            <w:tcW w:w="5386" w:type="dxa"/>
            <w:vAlign w:val="center"/>
          </w:tcPr>
          <w:p>
            <w:pPr>
              <w:pStyle w:val="16"/>
            </w:pPr>
            <w:r>
              <w:t>残疾人保障金维持天数</w:t>
            </w:r>
          </w:p>
        </w:tc>
        <w:tc>
          <w:tcPr>
            <w:tcW w:w="2268" w:type="dxa"/>
            <w:vAlign w:val="center"/>
          </w:tcPr>
          <w:p>
            <w:pPr>
              <w:pStyle w:val="16"/>
            </w:pPr>
            <w:r>
              <w:t>≤365天</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保障运行</w:t>
            </w:r>
          </w:p>
        </w:tc>
        <w:tc>
          <w:tcPr>
            <w:tcW w:w="5386" w:type="dxa"/>
            <w:vAlign w:val="center"/>
          </w:tcPr>
          <w:p>
            <w:pPr>
              <w:pStyle w:val="16"/>
            </w:pPr>
            <w:r>
              <w:t>保障运行</w:t>
            </w:r>
          </w:p>
        </w:tc>
        <w:tc>
          <w:tcPr>
            <w:tcW w:w="2268" w:type="dxa"/>
            <w:vAlign w:val="center"/>
          </w:tcPr>
          <w:p>
            <w:pPr>
              <w:pStyle w:val="16"/>
            </w:pPr>
            <w:r>
              <w:t>≥100百分比</w:t>
            </w:r>
          </w:p>
        </w:tc>
        <w:tc>
          <w:tcPr>
            <w:tcW w:w="1276" w:type="dxa"/>
            <w:vAlign w:val="center"/>
          </w:tcPr>
          <w:p>
            <w:pPr>
              <w:pStyle w:val="16"/>
            </w:pPr>
            <w:r>
              <w:t>合同规定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支持及时性</w:t>
            </w:r>
          </w:p>
        </w:tc>
        <w:tc>
          <w:tcPr>
            <w:tcW w:w="5386" w:type="dxa"/>
            <w:vAlign w:val="center"/>
          </w:tcPr>
          <w:p>
            <w:pPr>
              <w:pStyle w:val="16"/>
            </w:pPr>
            <w:r>
              <w:t>支持及时性</w:t>
            </w:r>
          </w:p>
        </w:tc>
        <w:tc>
          <w:tcPr>
            <w:tcW w:w="2268" w:type="dxa"/>
            <w:vAlign w:val="center"/>
          </w:tcPr>
          <w:p>
            <w:pPr>
              <w:pStyle w:val="16"/>
            </w:pPr>
            <w:r>
              <w:t>≥100百分比</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成本控制性</w:t>
            </w:r>
          </w:p>
        </w:tc>
        <w:tc>
          <w:tcPr>
            <w:tcW w:w="2268" w:type="dxa"/>
            <w:vAlign w:val="center"/>
          </w:tcPr>
          <w:p>
            <w:pPr>
              <w:pStyle w:val="16"/>
            </w:pPr>
            <w:r>
              <w:t>1.57万元</w:t>
            </w:r>
          </w:p>
        </w:tc>
        <w:tc>
          <w:tcPr>
            <w:tcW w:w="1276" w:type="dxa"/>
            <w:vAlign w:val="center"/>
          </w:tcPr>
          <w:p>
            <w:pPr>
              <w:pStyle w:val="16"/>
            </w:pPr>
            <w:r>
              <w:t>预算金额</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提升公共服务</w:t>
            </w:r>
          </w:p>
        </w:tc>
        <w:tc>
          <w:tcPr>
            <w:tcW w:w="5386" w:type="dxa"/>
            <w:vAlign w:val="center"/>
          </w:tcPr>
          <w:p>
            <w:pPr>
              <w:pStyle w:val="16"/>
            </w:pPr>
            <w:r>
              <w:t>提升公共服务</w:t>
            </w:r>
          </w:p>
        </w:tc>
        <w:tc>
          <w:tcPr>
            <w:tcW w:w="2268" w:type="dxa"/>
            <w:vAlign w:val="center"/>
          </w:tcPr>
          <w:p>
            <w:pPr>
              <w:pStyle w:val="16"/>
            </w:pPr>
            <w:r>
              <w:t>≥100百分比</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服务满意度</w:t>
            </w:r>
          </w:p>
        </w:tc>
        <w:tc>
          <w:tcPr>
            <w:tcW w:w="5386" w:type="dxa"/>
            <w:vAlign w:val="center"/>
          </w:tcPr>
          <w:p>
            <w:pPr>
              <w:pStyle w:val="16"/>
            </w:pPr>
            <w:r>
              <w:t>服务满意度</w:t>
            </w:r>
          </w:p>
        </w:tc>
        <w:tc>
          <w:tcPr>
            <w:tcW w:w="2268" w:type="dxa"/>
            <w:vAlign w:val="center"/>
          </w:tcPr>
          <w:p>
            <w:pPr>
              <w:pStyle w:val="16"/>
            </w:pPr>
            <w:r>
              <w:t>≥100百分比</w:t>
            </w:r>
          </w:p>
        </w:tc>
        <w:tc>
          <w:tcPr>
            <w:tcW w:w="1276"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10、宣教中心残保金绩效目标表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13011126P00000410613B</w:t>
            </w:r>
          </w:p>
        </w:tc>
        <w:tc>
          <w:tcPr>
            <w:tcW w:w="2835" w:type="dxa"/>
            <w:vAlign w:val="center"/>
          </w:tcPr>
          <w:p>
            <w:pPr>
              <w:pStyle w:val="14"/>
            </w:pPr>
            <w:r>
              <w:t>项目名称</w:t>
            </w:r>
          </w:p>
        </w:tc>
        <w:tc>
          <w:tcPr>
            <w:tcW w:w="6095" w:type="dxa"/>
            <w:gridSpan w:val="3"/>
            <w:vAlign w:val="center"/>
          </w:tcPr>
          <w:p>
            <w:pPr>
              <w:pStyle w:val="16"/>
            </w:pPr>
            <w:r>
              <w:t>宣教中心残保金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0.36</w:t>
            </w:r>
          </w:p>
        </w:tc>
        <w:tc>
          <w:tcPr>
            <w:tcW w:w="2835" w:type="dxa"/>
            <w:vAlign w:val="center"/>
          </w:tcPr>
          <w:p>
            <w:pPr>
              <w:pStyle w:val="14"/>
            </w:pPr>
            <w:r>
              <w:t>其中：财政    资金</w:t>
            </w:r>
          </w:p>
        </w:tc>
        <w:tc>
          <w:tcPr>
            <w:tcW w:w="2551" w:type="dxa"/>
            <w:vAlign w:val="center"/>
          </w:tcPr>
          <w:p>
            <w:pPr>
              <w:pStyle w:val="16"/>
            </w:pPr>
            <w:r>
              <w:t>0.36</w:t>
            </w:r>
          </w:p>
        </w:tc>
        <w:tc>
          <w:tcPr>
            <w:tcW w:w="2268" w:type="dxa"/>
            <w:vAlign w:val="center"/>
          </w:tcPr>
          <w:p>
            <w:pPr>
              <w:pStyle w:val="14"/>
            </w:pPr>
            <w:r>
              <w:t>其他资金</w:t>
            </w:r>
          </w:p>
        </w:tc>
        <w:tc>
          <w:tcPr>
            <w:tcW w:w="1276" w:type="dxa"/>
            <w:vAlign w:val="center"/>
          </w:tcPr>
          <w:p>
            <w:pPr>
              <w:pStyle w:val="16"/>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宣教中心残保金用于残疾人保障金支出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0.36</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1.宣教中心残保金用于残疾人保障金支出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残疾人维持天数</w:t>
            </w:r>
          </w:p>
        </w:tc>
        <w:tc>
          <w:tcPr>
            <w:tcW w:w="5386" w:type="dxa"/>
            <w:vAlign w:val="center"/>
          </w:tcPr>
          <w:p>
            <w:pPr>
              <w:pStyle w:val="16"/>
            </w:pPr>
            <w:r>
              <w:t>残疾人维持天数</w:t>
            </w:r>
          </w:p>
        </w:tc>
        <w:tc>
          <w:tcPr>
            <w:tcW w:w="2268" w:type="dxa"/>
            <w:vAlign w:val="center"/>
          </w:tcPr>
          <w:p>
            <w:pPr>
              <w:pStyle w:val="16"/>
            </w:pPr>
            <w:r>
              <w:t>≥100百分比</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保障运行</w:t>
            </w:r>
          </w:p>
        </w:tc>
        <w:tc>
          <w:tcPr>
            <w:tcW w:w="5386" w:type="dxa"/>
            <w:vAlign w:val="center"/>
          </w:tcPr>
          <w:p>
            <w:pPr>
              <w:pStyle w:val="16"/>
            </w:pPr>
            <w:r>
              <w:t>保障运行</w:t>
            </w:r>
          </w:p>
        </w:tc>
        <w:tc>
          <w:tcPr>
            <w:tcW w:w="2268" w:type="dxa"/>
            <w:vAlign w:val="center"/>
          </w:tcPr>
          <w:p>
            <w:pPr>
              <w:pStyle w:val="16"/>
            </w:pPr>
            <w:r>
              <w:t>≥100百分比</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支持及时性</w:t>
            </w:r>
          </w:p>
        </w:tc>
        <w:tc>
          <w:tcPr>
            <w:tcW w:w="5386" w:type="dxa"/>
            <w:vAlign w:val="center"/>
          </w:tcPr>
          <w:p>
            <w:pPr>
              <w:pStyle w:val="16"/>
            </w:pPr>
            <w:r>
              <w:t>支持及时性</w:t>
            </w:r>
          </w:p>
        </w:tc>
        <w:tc>
          <w:tcPr>
            <w:tcW w:w="2268" w:type="dxa"/>
            <w:vAlign w:val="center"/>
          </w:tcPr>
          <w:p>
            <w:pPr>
              <w:pStyle w:val="16"/>
            </w:pPr>
            <w:r>
              <w:t>≥100百分比</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成本控制性</w:t>
            </w:r>
          </w:p>
        </w:tc>
        <w:tc>
          <w:tcPr>
            <w:tcW w:w="2268" w:type="dxa"/>
            <w:vAlign w:val="center"/>
          </w:tcPr>
          <w:p>
            <w:pPr>
              <w:pStyle w:val="16"/>
            </w:pPr>
            <w:r>
              <w:t>0.36百分比</w:t>
            </w:r>
          </w:p>
        </w:tc>
        <w:tc>
          <w:tcPr>
            <w:tcW w:w="1276" w:type="dxa"/>
            <w:vAlign w:val="center"/>
          </w:tcPr>
          <w:p>
            <w:pPr>
              <w:pStyle w:val="16"/>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提升公共服务水平</w:t>
            </w:r>
          </w:p>
        </w:tc>
        <w:tc>
          <w:tcPr>
            <w:tcW w:w="5386" w:type="dxa"/>
            <w:vAlign w:val="center"/>
          </w:tcPr>
          <w:p>
            <w:pPr>
              <w:pStyle w:val="16"/>
            </w:pPr>
            <w:r>
              <w:t>提升公共服务水平</w:t>
            </w:r>
          </w:p>
        </w:tc>
        <w:tc>
          <w:tcPr>
            <w:tcW w:w="2268" w:type="dxa"/>
            <w:vAlign w:val="center"/>
          </w:tcPr>
          <w:p>
            <w:pPr>
              <w:pStyle w:val="16"/>
            </w:pPr>
            <w:r>
              <w:t>≥100百分比</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≥100百分比</w:t>
            </w:r>
          </w:p>
        </w:tc>
        <w:tc>
          <w:tcPr>
            <w:tcW w:w="1276" w:type="dxa"/>
            <w:vAlign w:val="center"/>
          </w:tcPr>
          <w:p>
            <w:pPr>
              <w:pStyle w:val="16"/>
            </w:pPr>
            <w:r>
              <w:t>合同规定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11、运转经费绩效目标表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13011126P00000410893W</w:t>
            </w:r>
          </w:p>
        </w:tc>
        <w:tc>
          <w:tcPr>
            <w:tcW w:w="2835" w:type="dxa"/>
            <w:vAlign w:val="center"/>
          </w:tcPr>
          <w:p>
            <w:pPr>
              <w:pStyle w:val="14"/>
            </w:pPr>
            <w:r>
              <w:t>项目名称</w:t>
            </w:r>
          </w:p>
        </w:tc>
        <w:tc>
          <w:tcPr>
            <w:tcW w:w="6095" w:type="dxa"/>
            <w:gridSpan w:val="3"/>
            <w:vAlign w:val="center"/>
          </w:tcPr>
          <w:p>
            <w:pPr>
              <w:pStyle w:val="16"/>
            </w:pPr>
            <w:r>
              <w:t>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48.00</w:t>
            </w:r>
          </w:p>
        </w:tc>
        <w:tc>
          <w:tcPr>
            <w:tcW w:w="2835" w:type="dxa"/>
            <w:vAlign w:val="center"/>
          </w:tcPr>
          <w:p>
            <w:pPr>
              <w:pStyle w:val="14"/>
            </w:pPr>
            <w:r>
              <w:t>其中：财政    资金</w:t>
            </w:r>
          </w:p>
        </w:tc>
        <w:tc>
          <w:tcPr>
            <w:tcW w:w="2551" w:type="dxa"/>
            <w:vAlign w:val="center"/>
          </w:tcPr>
          <w:p>
            <w:pPr>
              <w:pStyle w:val="16"/>
            </w:pPr>
            <w:r>
              <w:t>48.00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宣传栾城，新闻宣传发稿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10.00</w:t>
            </w:r>
          </w:p>
        </w:tc>
        <w:tc>
          <w:tcPr>
            <w:tcW w:w="2551" w:type="dxa"/>
            <w:vAlign w:val="center"/>
          </w:tcPr>
          <w:p>
            <w:pPr>
              <w:pStyle w:val="17"/>
            </w:pPr>
            <w:r>
              <w:t>30.00</w:t>
            </w:r>
          </w:p>
        </w:tc>
        <w:tc>
          <w:tcPr>
            <w:tcW w:w="3544" w:type="dxa"/>
            <w:gridSpan w:val="2"/>
            <w:vAlign w:val="center"/>
          </w:tcPr>
          <w:p>
            <w:pPr>
              <w:pStyle w:val="17"/>
            </w:pPr>
            <w:r>
              <w:t>48.00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1.新闻宣传发稿，宣传栾城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新闻宣传发稿</w:t>
            </w:r>
          </w:p>
        </w:tc>
        <w:tc>
          <w:tcPr>
            <w:tcW w:w="5386" w:type="dxa"/>
            <w:vAlign w:val="center"/>
          </w:tcPr>
          <w:p>
            <w:pPr>
              <w:pStyle w:val="16"/>
            </w:pPr>
            <w:r>
              <w:t>新闻宣传发稿</w:t>
            </w:r>
          </w:p>
        </w:tc>
        <w:tc>
          <w:tcPr>
            <w:tcW w:w="2268" w:type="dxa"/>
            <w:vAlign w:val="center"/>
          </w:tcPr>
          <w:p>
            <w:pPr>
              <w:pStyle w:val="16"/>
            </w:pPr>
            <w:r>
              <w:t>≥200条</w:t>
            </w:r>
          </w:p>
        </w:tc>
        <w:tc>
          <w:tcPr>
            <w:tcW w:w="1276" w:type="dxa"/>
            <w:vAlign w:val="center"/>
          </w:tcPr>
          <w:p>
            <w:pPr>
              <w:pStyle w:val="16"/>
            </w:pPr>
            <w:r>
              <w:t>政策依据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新闻发稿质量</w:t>
            </w:r>
          </w:p>
        </w:tc>
        <w:tc>
          <w:tcPr>
            <w:tcW w:w="5386" w:type="dxa"/>
            <w:vAlign w:val="center"/>
          </w:tcPr>
          <w:p>
            <w:pPr>
              <w:pStyle w:val="16"/>
            </w:pPr>
            <w:r>
              <w:t>新闻发稿质量</w:t>
            </w:r>
          </w:p>
        </w:tc>
        <w:tc>
          <w:tcPr>
            <w:tcW w:w="2268" w:type="dxa"/>
            <w:vAlign w:val="center"/>
          </w:tcPr>
          <w:p>
            <w:pPr>
              <w:pStyle w:val="16"/>
            </w:pPr>
            <w:r>
              <w:t>≥100佰分比</w:t>
            </w:r>
          </w:p>
        </w:tc>
        <w:tc>
          <w:tcPr>
            <w:tcW w:w="1276" w:type="dxa"/>
            <w:vAlign w:val="center"/>
          </w:tcPr>
          <w:p>
            <w:pPr>
              <w:pStyle w:val="16"/>
            </w:pPr>
            <w:r>
              <w:t>政策依据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任务及时完成</w:t>
            </w:r>
          </w:p>
        </w:tc>
        <w:tc>
          <w:tcPr>
            <w:tcW w:w="5386" w:type="dxa"/>
            <w:vAlign w:val="center"/>
          </w:tcPr>
          <w:p>
            <w:pPr>
              <w:pStyle w:val="16"/>
            </w:pPr>
            <w:r>
              <w:t>任务及时完成</w:t>
            </w:r>
          </w:p>
        </w:tc>
        <w:tc>
          <w:tcPr>
            <w:tcW w:w="2268" w:type="dxa"/>
            <w:vAlign w:val="center"/>
          </w:tcPr>
          <w:p>
            <w:pPr>
              <w:pStyle w:val="16"/>
            </w:pPr>
            <w:r>
              <w:t>≥100佰分比</w:t>
            </w:r>
          </w:p>
        </w:tc>
        <w:tc>
          <w:tcPr>
            <w:tcW w:w="1276" w:type="dxa"/>
            <w:vAlign w:val="center"/>
          </w:tcPr>
          <w:p>
            <w:pPr>
              <w:pStyle w:val="16"/>
            </w:pPr>
            <w:r>
              <w:t>政策依据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成本控制性</w:t>
            </w:r>
          </w:p>
        </w:tc>
        <w:tc>
          <w:tcPr>
            <w:tcW w:w="2268" w:type="dxa"/>
            <w:vAlign w:val="center"/>
          </w:tcPr>
          <w:p>
            <w:pPr>
              <w:pStyle w:val="16"/>
            </w:pPr>
            <w:r>
              <w:t>48万元</w:t>
            </w:r>
          </w:p>
        </w:tc>
        <w:tc>
          <w:tcPr>
            <w:tcW w:w="1276" w:type="dxa"/>
            <w:vAlign w:val="center"/>
          </w:tcPr>
          <w:p>
            <w:pPr>
              <w:pStyle w:val="16"/>
            </w:pPr>
            <w:r>
              <w:t>预算成本</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提升宣传力</w:t>
            </w:r>
          </w:p>
        </w:tc>
        <w:tc>
          <w:tcPr>
            <w:tcW w:w="5386" w:type="dxa"/>
            <w:vAlign w:val="center"/>
          </w:tcPr>
          <w:p>
            <w:pPr>
              <w:pStyle w:val="16"/>
            </w:pPr>
            <w:r>
              <w:t>提升宣传力</w:t>
            </w:r>
          </w:p>
        </w:tc>
        <w:tc>
          <w:tcPr>
            <w:tcW w:w="2268" w:type="dxa"/>
            <w:vAlign w:val="center"/>
          </w:tcPr>
          <w:p>
            <w:pPr>
              <w:pStyle w:val="16"/>
            </w:pPr>
            <w:r>
              <w:t>≥100佰分比</w:t>
            </w:r>
          </w:p>
        </w:tc>
        <w:tc>
          <w:tcPr>
            <w:tcW w:w="1276" w:type="dxa"/>
            <w:vAlign w:val="center"/>
          </w:tcPr>
          <w:p>
            <w:pPr>
              <w:pStyle w:val="16"/>
            </w:pPr>
            <w:r>
              <w:t>政策依据</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≥100佰分比</w:t>
            </w:r>
          </w:p>
        </w:tc>
        <w:tc>
          <w:tcPr>
            <w:tcW w:w="1276" w:type="dxa"/>
            <w:vAlign w:val="center"/>
          </w:tcPr>
          <w:p>
            <w:pPr>
              <w:pStyle w:val="16"/>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211栾城区委宣传部</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171.00</w:t>
            </w:r>
          </w:p>
        </w:tc>
        <w:tc>
          <w:tcPr>
            <w:tcW w:w="964" w:type="dxa"/>
            <w:vAlign w:val="center"/>
          </w:tcPr>
          <w:p>
            <w:pPr>
              <w:pStyle w:val="19"/>
            </w:pPr>
            <w:r>
              <w:t>171.00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171.00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栾城区委宣传部本级小计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171.00</w:t>
            </w:r>
          </w:p>
        </w:tc>
        <w:tc>
          <w:tcPr>
            <w:tcW w:w="964" w:type="dxa"/>
            <w:vAlign w:val="center"/>
          </w:tcPr>
          <w:p>
            <w:pPr>
              <w:pStyle w:val="19"/>
            </w:pPr>
            <w:r>
              <w:t>171.00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171.00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5.52</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500</w:t>
            </w:r>
          </w:p>
        </w:tc>
        <w:tc>
          <w:tcPr>
            <w:tcW w:w="850" w:type="dxa"/>
            <w:vAlign w:val="center"/>
          </w:tcPr>
          <w:p>
            <w:pPr>
              <w:pStyle w:val="15"/>
            </w:pPr>
            <w:r>
              <w:t>0.00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2026年采购新闻产品项目预算</w:t>
            </w:r>
          </w:p>
        </w:tc>
        <w:tc>
          <w:tcPr>
            <w:tcW w:w="964" w:type="dxa"/>
            <w:vAlign w:val="center"/>
          </w:tcPr>
          <w:p>
            <w:pPr>
              <w:pStyle w:val="15"/>
            </w:pPr>
            <w:r>
              <w:t>170.00</w:t>
            </w:r>
          </w:p>
        </w:tc>
        <w:tc>
          <w:tcPr>
            <w:tcW w:w="1134" w:type="dxa"/>
            <w:vAlign w:val="center"/>
          </w:tcPr>
          <w:p>
            <w:pPr>
              <w:pStyle w:val="16"/>
            </w:pPr>
            <w:r>
              <w:t>新闻服务</w:t>
            </w:r>
          </w:p>
        </w:tc>
        <w:tc>
          <w:tcPr>
            <w:tcW w:w="1134" w:type="dxa"/>
            <w:vAlign w:val="center"/>
          </w:tcPr>
          <w:p>
            <w:pPr>
              <w:pStyle w:val="16"/>
            </w:pPr>
            <w:r>
              <w:t>C06010000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170.00</w:t>
            </w:r>
          </w:p>
        </w:tc>
        <w:tc>
          <w:tcPr>
            <w:tcW w:w="964" w:type="dxa"/>
            <w:vAlign w:val="center"/>
          </w:tcPr>
          <w:p>
            <w:pPr>
              <w:pStyle w:val="15"/>
            </w:pPr>
            <w:r>
              <w:t>170.00</w:t>
            </w:r>
          </w:p>
        </w:tc>
        <w:tc>
          <w:tcPr>
            <w:tcW w:w="964" w:type="dxa"/>
            <w:vAlign w:val="center"/>
          </w:tcPr>
          <w:p>
            <w:pPr>
              <w:pStyle w:val="15"/>
            </w:pPr>
            <w:r>
              <w:t>170.00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170.00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栾城区委宣传部（含所属单位）上年末固定资产金额为187.67万元（详见下表）。本年度拟购置固定资产总额为0.00万元，已按要求列入政府采购预算，详见政府采购预算表。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211栾城区委宣传部</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187.67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200</w:t>
            </w:r>
          </w:p>
        </w:tc>
        <w:tc>
          <w:tcPr>
            <w:tcW w:w="2835" w:type="dxa"/>
            <w:vAlign w:val="center"/>
          </w:tcPr>
          <w:p>
            <w:pPr>
              <w:pStyle w:val="15"/>
            </w:pPr>
            <w:r>
              <w:t>187.67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w:t>
      </w:r>
      <w:r>
        <w:rPr>
          <w:rFonts w:hint="eastAsia" w:eastAsia="方正仿宋_GBK" w:cs="Times New Roman"/>
          <w:b w:val="0"/>
          <w:color w:val="000000"/>
          <w:sz w:val="28"/>
          <w:lang w:eastAsia="zh-CN"/>
        </w:rPr>
        <w:t>项。</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Q5NmJjOGNmMDI2ZDMwNzNkNzA0YTVhZWNmMjc4ZGMifQ=="/>
  </w:docVars>
  <w:rsids>
    <w:rsidRoot w:val="00000000"/>
    <w:rsid w:val="0062519D"/>
    <w:rsid w:val="014F496E"/>
    <w:rsid w:val="06F7755F"/>
    <w:rsid w:val="08CD6EE3"/>
    <w:rsid w:val="0DC857B1"/>
    <w:rsid w:val="107132F0"/>
    <w:rsid w:val="11797107"/>
    <w:rsid w:val="12244F80"/>
    <w:rsid w:val="12EF15FF"/>
    <w:rsid w:val="16481B85"/>
    <w:rsid w:val="196321D2"/>
    <w:rsid w:val="1D0460DA"/>
    <w:rsid w:val="1D5A4738"/>
    <w:rsid w:val="1F086E69"/>
    <w:rsid w:val="266B71CA"/>
    <w:rsid w:val="288503DE"/>
    <w:rsid w:val="2ACA2711"/>
    <w:rsid w:val="2DE65084"/>
    <w:rsid w:val="31C12F80"/>
    <w:rsid w:val="33AA7583"/>
    <w:rsid w:val="33B0446E"/>
    <w:rsid w:val="36CE2866"/>
    <w:rsid w:val="36DE4A8C"/>
    <w:rsid w:val="36E302E1"/>
    <w:rsid w:val="38972697"/>
    <w:rsid w:val="3A307F5A"/>
    <w:rsid w:val="3BA64AD4"/>
    <w:rsid w:val="3CD33919"/>
    <w:rsid w:val="3D1E4B3E"/>
    <w:rsid w:val="40077B0C"/>
    <w:rsid w:val="409372A6"/>
    <w:rsid w:val="40AA1C33"/>
    <w:rsid w:val="43397FDC"/>
    <w:rsid w:val="437A3BAA"/>
    <w:rsid w:val="44B82E53"/>
    <w:rsid w:val="45367346"/>
    <w:rsid w:val="46C0058C"/>
    <w:rsid w:val="471B4592"/>
    <w:rsid w:val="47BE4880"/>
    <w:rsid w:val="47CA38F8"/>
    <w:rsid w:val="4880045B"/>
    <w:rsid w:val="49C20B73"/>
    <w:rsid w:val="4A404346"/>
    <w:rsid w:val="4FDF1F0B"/>
    <w:rsid w:val="57A752A1"/>
    <w:rsid w:val="59E243BE"/>
    <w:rsid w:val="5AC54BBA"/>
    <w:rsid w:val="5D706898"/>
    <w:rsid w:val="5E2558D5"/>
    <w:rsid w:val="5EE94B54"/>
    <w:rsid w:val="60A94F31"/>
    <w:rsid w:val="637A3808"/>
    <w:rsid w:val="64BF6991"/>
    <w:rsid w:val="68491692"/>
    <w:rsid w:val="69575D85"/>
    <w:rsid w:val="6C3C4515"/>
    <w:rsid w:val="6D0007FC"/>
    <w:rsid w:val="6E6715F2"/>
    <w:rsid w:val="6EC6456A"/>
    <w:rsid w:val="6FF14338"/>
    <w:rsid w:val="70916E3D"/>
    <w:rsid w:val="72111FA0"/>
    <w:rsid w:val="74DF348F"/>
    <w:rsid w:val="74EA0887"/>
    <w:rsid w:val="779C230C"/>
    <w:rsid w:val="7AE6239C"/>
    <w:rsid w:val="7BA7127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130</Pages>
  <TotalTime>1</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2026-03-09T09:23:00Z</dcterms:created>
  <dc:creator>lenovo</dc:creator>
  <cp:lastModifiedBy>Administrator</cp:lastModifiedBy>
  <dcterms:modified xsi:type="dcterms:W3CDTF">2026-03-10T07:42:20Z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7AC62AF57E58495CAD8B7BF8C1331CEB_13</vt:lpwstr>
  </property>
</Properties>
</file>