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2026年部门所属单位预算预算信息公开目录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一、栾城区委政法委(本级)收支预算</w:t>
      </w:r>
      <w:r>
        <w:tab/>
      </w:r>
      <w:r>
        <w:rPr>
          <w:rFonts w:hint="eastAsia"/>
          <w:lang w:val="en-US" w:eastAsia="zh-CN"/>
        </w:rPr>
        <w:t>3</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二、石家庄市栾城区社会治安综合治理中心收支预算</w:t>
      </w:r>
      <w:r>
        <w:tab/>
      </w:r>
      <w:r>
        <w:rPr>
          <w:rFonts w:hint="eastAsia"/>
          <w:lang w:val="en-US" w:eastAsia="zh-CN"/>
        </w:rPr>
        <w:t>3</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2" w:name="_GoBack"/>
      <w:bookmarkEnd w:id="2"/>
      <w:bookmarkStart w:id="0" w:name="_Toc_4_4_0000000021"/>
      <w:r>
        <w:rPr>
          <w:rFonts w:ascii="方正小标宋_GBK" w:hAnsi="方正小标宋_GBK" w:eastAsia="方正小标宋_GBK" w:cs="方正小标宋_GBK"/>
          <w:b w:val="0"/>
          <w:color w:val="000000"/>
          <w:sz w:val="44"/>
        </w:rPr>
        <w:t>一、栾城区委政法委(本级)收支预算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215001栾城区委政法委(本级)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587.24</w:t>
            </w:r>
          </w:p>
        </w:tc>
        <w:tc>
          <w:tcPr>
            <w:tcW w:w="4535" w:type="dxa"/>
            <w:vAlign w:val="center"/>
          </w:tcPr>
          <w:p>
            <w:pPr>
              <w:pStyle w:val="14"/>
            </w:pPr>
            <w:r>
              <w:t>一、一般公共服务支出</w:t>
            </w:r>
          </w:p>
        </w:tc>
        <w:tc>
          <w:tcPr>
            <w:tcW w:w="2126" w:type="dxa"/>
            <w:vAlign w:val="center"/>
          </w:tcPr>
          <w:p>
            <w:pPr>
              <w:pStyle w:val="13"/>
            </w:pPr>
            <w:r>
              <w:t>548.72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587.24</w:t>
            </w:r>
          </w:p>
        </w:tc>
        <w:tc>
          <w:tcPr>
            <w:tcW w:w="4535" w:type="dxa"/>
            <w:vAlign w:val="center"/>
          </w:tcPr>
          <w:p>
            <w:pPr>
              <w:pStyle w:val="16"/>
            </w:pPr>
            <w:r>
              <w:t>本年支出合计</w:t>
            </w:r>
          </w:p>
        </w:tc>
        <w:tc>
          <w:tcPr>
            <w:tcW w:w="2126" w:type="dxa"/>
            <w:vAlign w:val="center"/>
          </w:tcPr>
          <w:p>
            <w:pPr>
              <w:pStyle w:val="17"/>
            </w:pPr>
            <w:r>
              <w:t>587.24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587.24</w:t>
            </w:r>
          </w:p>
        </w:tc>
        <w:tc>
          <w:tcPr>
            <w:tcW w:w="4535" w:type="dxa"/>
            <w:vAlign w:val="center"/>
          </w:tcPr>
          <w:p>
            <w:pPr>
              <w:pStyle w:val="16"/>
            </w:pPr>
            <w:r>
              <w:t>支出总计</w:t>
            </w:r>
          </w:p>
        </w:tc>
        <w:tc>
          <w:tcPr>
            <w:tcW w:w="2126" w:type="dxa"/>
            <w:vAlign w:val="center"/>
          </w:tcPr>
          <w:p>
            <w:pPr>
              <w:pStyle w:val="17"/>
            </w:pPr>
            <w:r>
              <w:t>587.24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215001栾城区委政法委(本级)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587.24</w:t>
            </w:r>
          </w:p>
        </w:tc>
        <w:tc>
          <w:tcPr>
            <w:tcW w:w="1134" w:type="dxa"/>
            <w:vAlign w:val="center"/>
          </w:tcPr>
          <w:p>
            <w:pPr>
              <w:pStyle w:val="17"/>
            </w:pPr>
            <w:r>
              <w:t>587.24</w:t>
            </w:r>
          </w:p>
        </w:tc>
        <w:tc>
          <w:tcPr>
            <w:tcW w:w="1134" w:type="dxa"/>
            <w:vAlign w:val="center"/>
          </w:tcPr>
          <w:p>
            <w:pPr>
              <w:pStyle w:val="17"/>
            </w:pPr>
            <w:r>
              <w:t>587.24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548.72</w:t>
            </w:r>
          </w:p>
        </w:tc>
        <w:tc>
          <w:tcPr>
            <w:tcW w:w="1134" w:type="dxa"/>
            <w:vAlign w:val="center"/>
          </w:tcPr>
          <w:p>
            <w:pPr>
              <w:pStyle w:val="13"/>
            </w:pPr>
            <w:r>
              <w:t>548.72</w:t>
            </w:r>
          </w:p>
        </w:tc>
        <w:tc>
          <w:tcPr>
            <w:tcW w:w="1134" w:type="dxa"/>
            <w:vAlign w:val="center"/>
          </w:tcPr>
          <w:p>
            <w:pPr>
              <w:pStyle w:val="13"/>
            </w:pPr>
            <w:r>
              <w:t>548.72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548.72</w:t>
            </w:r>
          </w:p>
        </w:tc>
        <w:tc>
          <w:tcPr>
            <w:tcW w:w="1134" w:type="dxa"/>
            <w:vAlign w:val="center"/>
          </w:tcPr>
          <w:p>
            <w:pPr>
              <w:pStyle w:val="13"/>
            </w:pPr>
            <w:r>
              <w:t>548.72</w:t>
            </w:r>
          </w:p>
        </w:tc>
        <w:tc>
          <w:tcPr>
            <w:tcW w:w="1134" w:type="dxa"/>
            <w:vAlign w:val="center"/>
          </w:tcPr>
          <w:p>
            <w:pPr>
              <w:pStyle w:val="13"/>
            </w:pPr>
            <w:r>
              <w:t>548.72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259.34</w:t>
            </w:r>
          </w:p>
        </w:tc>
        <w:tc>
          <w:tcPr>
            <w:tcW w:w="1134" w:type="dxa"/>
            <w:vAlign w:val="center"/>
          </w:tcPr>
          <w:p>
            <w:pPr>
              <w:pStyle w:val="13"/>
            </w:pPr>
            <w:r>
              <w:t>259.34</w:t>
            </w:r>
          </w:p>
        </w:tc>
        <w:tc>
          <w:tcPr>
            <w:tcW w:w="1134" w:type="dxa"/>
            <w:vAlign w:val="center"/>
          </w:tcPr>
          <w:p>
            <w:pPr>
              <w:pStyle w:val="13"/>
            </w:pPr>
            <w:r>
              <w:t>259.34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2013602</w:t>
            </w:r>
          </w:p>
        </w:tc>
        <w:tc>
          <w:tcPr>
            <w:tcW w:w="1559" w:type="dxa"/>
            <w:vAlign w:val="center"/>
          </w:tcPr>
          <w:p>
            <w:pPr>
              <w:pStyle w:val="14"/>
            </w:pPr>
            <w:r>
              <w:t>一般行政管理事务</w:t>
            </w:r>
          </w:p>
        </w:tc>
        <w:tc>
          <w:tcPr>
            <w:tcW w:w="1134" w:type="dxa"/>
            <w:vAlign w:val="center"/>
          </w:tcPr>
          <w:p>
            <w:pPr>
              <w:pStyle w:val="13"/>
            </w:pPr>
            <w:r>
              <w:t>268.30</w:t>
            </w:r>
          </w:p>
        </w:tc>
        <w:tc>
          <w:tcPr>
            <w:tcW w:w="1134" w:type="dxa"/>
            <w:vAlign w:val="center"/>
          </w:tcPr>
          <w:p>
            <w:pPr>
              <w:pStyle w:val="13"/>
            </w:pPr>
            <w:r>
              <w:t>268.30</w:t>
            </w:r>
          </w:p>
        </w:tc>
        <w:tc>
          <w:tcPr>
            <w:tcW w:w="1134" w:type="dxa"/>
            <w:vAlign w:val="center"/>
          </w:tcPr>
          <w:p>
            <w:pPr>
              <w:pStyle w:val="13"/>
            </w:pPr>
            <w:r>
              <w:t>268.30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21.08</w:t>
            </w:r>
          </w:p>
        </w:tc>
        <w:tc>
          <w:tcPr>
            <w:tcW w:w="1134" w:type="dxa"/>
            <w:vAlign w:val="center"/>
          </w:tcPr>
          <w:p>
            <w:pPr>
              <w:pStyle w:val="13"/>
            </w:pPr>
            <w:r>
              <w:t>21.08</w:t>
            </w:r>
          </w:p>
        </w:tc>
        <w:tc>
          <w:tcPr>
            <w:tcW w:w="1134" w:type="dxa"/>
            <w:vAlign w:val="center"/>
          </w:tcPr>
          <w:p>
            <w:pPr>
              <w:pStyle w:val="13"/>
            </w:pPr>
            <w:r>
              <w:t>21.08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25.85</w:t>
            </w:r>
          </w:p>
        </w:tc>
        <w:tc>
          <w:tcPr>
            <w:tcW w:w="1134" w:type="dxa"/>
            <w:vAlign w:val="center"/>
          </w:tcPr>
          <w:p>
            <w:pPr>
              <w:pStyle w:val="13"/>
            </w:pPr>
            <w:r>
              <w:t>25.85</w:t>
            </w:r>
          </w:p>
        </w:tc>
        <w:tc>
          <w:tcPr>
            <w:tcW w:w="1134" w:type="dxa"/>
            <w:vAlign w:val="center"/>
          </w:tcPr>
          <w:p>
            <w:pPr>
              <w:pStyle w:val="13"/>
            </w:pPr>
            <w:r>
              <w:t>25.85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25.24</w:t>
            </w:r>
          </w:p>
        </w:tc>
        <w:tc>
          <w:tcPr>
            <w:tcW w:w="1134" w:type="dxa"/>
            <w:vAlign w:val="center"/>
          </w:tcPr>
          <w:p>
            <w:pPr>
              <w:pStyle w:val="13"/>
            </w:pPr>
            <w:r>
              <w:t>25.24</w:t>
            </w:r>
          </w:p>
        </w:tc>
        <w:tc>
          <w:tcPr>
            <w:tcW w:w="1134" w:type="dxa"/>
            <w:vAlign w:val="center"/>
          </w:tcPr>
          <w:p>
            <w:pPr>
              <w:pStyle w:val="13"/>
            </w:pPr>
            <w:r>
              <w:t>25.24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25.24</w:t>
            </w:r>
          </w:p>
        </w:tc>
        <w:tc>
          <w:tcPr>
            <w:tcW w:w="1134" w:type="dxa"/>
            <w:vAlign w:val="center"/>
          </w:tcPr>
          <w:p>
            <w:pPr>
              <w:pStyle w:val="13"/>
            </w:pPr>
            <w:r>
              <w:t>25.24</w:t>
            </w:r>
          </w:p>
        </w:tc>
        <w:tc>
          <w:tcPr>
            <w:tcW w:w="1134" w:type="dxa"/>
            <w:vAlign w:val="center"/>
          </w:tcPr>
          <w:p>
            <w:pPr>
              <w:pStyle w:val="13"/>
            </w:pPr>
            <w:r>
              <w:t>25.24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r>
              <w:t>0.61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r>
              <w:t>12.68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587.24</w:t>
            </w:r>
          </w:p>
        </w:tc>
        <w:tc>
          <w:tcPr>
            <w:tcW w:w="1361" w:type="dxa"/>
            <w:vAlign w:val="center"/>
          </w:tcPr>
          <w:p>
            <w:pPr>
              <w:pStyle w:val="17"/>
            </w:pPr>
            <w:r>
              <w:t>317.42</w:t>
            </w:r>
          </w:p>
        </w:tc>
        <w:tc>
          <w:tcPr>
            <w:tcW w:w="1361" w:type="dxa"/>
            <w:vAlign w:val="center"/>
          </w:tcPr>
          <w:p>
            <w:pPr>
              <w:pStyle w:val="17"/>
            </w:pPr>
            <w:r>
              <w:t>269.82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548.72</w:t>
            </w:r>
          </w:p>
        </w:tc>
        <w:tc>
          <w:tcPr>
            <w:tcW w:w="1361" w:type="dxa"/>
            <w:vAlign w:val="center"/>
          </w:tcPr>
          <w:p>
            <w:pPr>
              <w:pStyle w:val="13"/>
            </w:pPr>
            <w:r>
              <w:t>278.90</w:t>
            </w:r>
          </w:p>
        </w:tc>
        <w:tc>
          <w:tcPr>
            <w:tcW w:w="1361" w:type="dxa"/>
            <w:vAlign w:val="center"/>
          </w:tcPr>
          <w:p>
            <w:pPr>
              <w:pStyle w:val="13"/>
            </w:pPr>
            <w:r>
              <w:t>269.82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548.72</w:t>
            </w:r>
          </w:p>
        </w:tc>
        <w:tc>
          <w:tcPr>
            <w:tcW w:w="1361" w:type="dxa"/>
            <w:vAlign w:val="center"/>
          </w:tcPr>
          <w:p>
            <w:pPr>
              <w:pStyle w:val="13"/>
            </w:pPr>
            <w:r>
              <w:t>278.90</w:t>
            </w:r>
          </w:p>
        </w:tc>
        <w:tc>
          <w:tcPr>
            <w:tcW w:w="1361" w:type="dxa"/>
            <w:vAlign w:val="center"/>
          </w:tcPr>
          <w:p>
            <w:pPr>
              <w:pStyle w:val="13"/>
            </w:pPr>
            <w:r>
              <w:t>269.82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259.34</w:t>
            </w:r>
          </w:p>
        </w:tc>
        <w:tc>
          <w:tcPr>
            <w:tcW w:w="1361" w:type="dxa"/>
            <w:vAlign w:val="center"/>
          </w:tcPr>
          <w:p>
            <w:pPr>
              <w:pStyle w:val="13"/>
            </w:pPr>
            <w:r>
              <w:t>259.34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2013602</w:t>
            </w:r>
          </w:p>
        </w:tc>
        <w:tc>
          <w:tcPr>
            <w:tcW w:w="4535" w:type="dxa"/>
            <w:vAlign w:val="center"/>
          </w:tcPr>
          <w:p>
            <w:pPr>
              <w:pStyle w:val="14"/>
            </w:pPr>
            <w:r>
              <w:t>一般行政管理事务</w:t>
            </w:r>
          </w:p>
        </w:tc>
        <w:tc>
          <w:tcPr>
            <w:tcW w:w="1361" w:type="dxa"/>
            <w:vAlign w:val="center"/>
          </w:tcPr>
          <w:p>
            <w:pPr>
              <w:pStyle w:val="13"/>
            </w:pPr>
            <w:r>
              <w:t>268.30</w:t>
            </w:r>
          </w:p>
        </w:tc>
        <w:tc>
          <w:tcPr>
            <w:tcW w:w="1361" w:type="dxa"/>
            <w:vAlign w:val="center"/>
          </w:tcPr>
          <w:p>
            <w:pPr>
              <w:pStyle w:val="13"/>
            </w:pPr>
          </w:p>
        </w:tc>
        <w:tc>
          <w:tcPr>
            <w:tcW w:w="1361" w:type="dxa"/>
            <w:vAlign w:val="center"/>
          </w:tcPr>
          <w:p>
            <w:pPr>
              <w:pStyle w:val="13"/>
            </w:pPr>
            <w:r>
              <w:t>268.30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21.08</w:t>
            </w:r>
          </w:p>
        </w:tc>
        <w:tc>
          <w:tcPr>
            <w:tcW w:w="1361" w:type="dxa"/>
            <w:vAlign w:val="center"/>
          </w:tcPr>
          <w:p>
            <w:pPr>
              <w:pStyle w:val="13"/>
            </w:pPr>
            <w:r>
              <w:t>19.56</w:t>
            </w:r>
          </w:p>
        </w:tc>
        <w:tc>
          <w:tcPr>
            <w:tcW w:w="1361" w:type="dxa"/>
            <w:vAlign w:val="center"/>
          </w:tcPr>
          <w:p>
            <w:pPr>
              <w:pStyle w:val="13"/>
            </w:pPr>
            <w:r>
              <w:t>1.52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25.85</w:t>
            </w:r>
          </w:p>
        </w:tc>
        <w:tc>
          <w:tcPr>
            <w:tcW w:w="1361" w:type="dxa"/>
            <w:vAlign w:val="center"/>
          </w:tcPr>
          <w:p>
            <w:pPr>
              <w:pStyle w:val="13"/>
            </w:pPr>
            <w:r>
              <w:t>25.85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25.24</w:t>
            </w:r>
          </w:p>
        </w:tc>
        <w:tc>
          <w:tcPr>
            <w:tcW w:w="1361" w:type="dxa"/>
            <w:vAlign w:val="center"/>
          </w:tcPr>
          <w:p>
            <w:pPr>
              <w:pStyle w:val="13"/>
            </w:pPr>
            <w:r>
              <w:t>25.24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25.24</w:t>
            </w:r>
          </w:p>
        </w:tc>
        <w:tc>
          <w:tcPr>
            <w:tcW w:w="1361" w:type="dxa"/>
            <w:vAlign w:val="center"/>
          </w:tcPr>
          <w:p>
            <w:pPr>
              <w:pStyle w:val="13"/>
            </w:pPr>
            <w:r>
              <w:t>25.24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0.61</w:t>
            </w:r>
          </w:p>
        </w:tc>
        <w:tc>
          <w:tcPr>
            <w:tcW w:w="1361" w:type="dxa"/>
            <w:vAlign w:val="center"/>
          </w:tcPr>
          <w:p>
            <w:pPr>
              <w:pStyle w:val="13"/>
            </w:pPr>
            <w:r>
              <w:t>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0.61</w:t>
            </w:r>
          </w:p>
        </w:tc>
        <w:tc>
          <w:tcPr>
            <w:tcW w:w="1361" w:type="dxa"/>
            <w:vAlign w:val="center"/>
          </w:tcPr>
          <w:p>
            <w:pPr>
              <w:pStyle w:val="13"/>
            </w:pPr>
            <w:r>
              <w:t>0.61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12.68</w:t>
            </w:r>
          </w:p>
        </w:tc>
        <w:tc>
          <w:tcPr>
            <w:tcW w:w="1361" w:type="dxa"/>
            <w:vAlign w:val="center"/>
          </w:tcPr>
          <w:p>
            <w:pPr>
              <w:pStyle w:val="13"/>
            </w:pPr>
            <w:r>
              <w:t>12.68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12.68</w:t>
            </w:r>
          </w:p>
        </w:tc>
        <w:tc>
          <w:tcPr>
            <w:tcW w:w="1361" w:type="dxa"/>
            <w:vAlign w:val="center"/>
          </w:tcPr>
          <w:p>
            <w:pPr>
              <w:pStyle w:val="13"/>
            </w:pPr>
            <w:r>
              <w:t>12.68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12.68</w:t>
            </w:r>
          </w:p>
        </w:tc>
        <w:tc>
          <w:tcPr>
            <w:tcW w:w="1361" w:type="dxa"/>
            <w:vAlign w:val="center"/>
          </w:tcPr>
          <w:p>
            <w:pPr>
              <w:pStyle w:val="13"/>
            </w:pPr>
            <w:r>
              <w:t>12.68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587.24</w:t>
            </w:r>
          </w:p>
        </w:tc>
        <w:tc>
          <w:tcPr>
            <w:tcW w:w="3402" w:type="dxa"/>
            <w:vAlign w:val="center"/>
          </w:tcPr>
          <w:p>
            <w:pPr>
              <w:pStyle w:val="14"/>
            </w:pPr>
            <w:r>
              <w:t>一、一般公共服务支出</w:t>
            </w:r>
          </w:p>
        </w:tc>
        <w:tc>
          <w:tcPr>
            <w:tcW w:w="1474" w:type="dxa"/>
            <w:vAlign w:val="center"/>
          </w:tcPr>
          <w:p>
            <w:pPr>
              <w:pStyle w:val="13"/>
            </w:pPr>
            <w:r>
              <w:t>548.72</w:t>
            </w:r>
          </w:p>
        </w:tc>
        <w:tc>
          <w:tcPr>
            <w:tcW w:w="1474" w:type="dxa"/>
            <w:vAlign w:val="center"/>
          </w:tcPr>
          <w:p>
            <w:pPr>
              <w:pStyle w:val="13"/>
            </w:pPr>
            <w:r>
              <w:t>548.72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25.85</w:t>
            </w:r>
          </w:p>
        </w:tc>
        <w:tc>
          <w:tcPr>
            <w:tcW w:w="1474" w:type="dxa"/>
            <w:vAlign w:val="center"/>
          </w:tcPr>
          <w:p>
            <w:pPr>
              <w:pStyle w:val="13"/>
            </w:pPr>
            <w:r>
              <w:t>25.85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12.68</w:t>
            </w:r>
          </w:p>
        </w:tc>
        <w:tc>
          <w:tcPr>
            <w:tcW w:w="1474" w:type="dxa"/>
            <w:vAlign w:val="center"/>
          </w:tcPr>
          <w:p>
            <w:pPr>
              <w:pStyle w:val="13"/>
            </w:pPr>
            <w:r>
              <w:t>12.68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587.24</w:t>
            </w:r>
          </w:p>
        </w:tc>
        <w:tc>
          <w:tcPr>
            <w:tcW w:w="3402" w:type="dxa"/>
            <w:vAlign w:val="center"/>
          </w:tcPr>
          <w:p>
            <w:pPr>
              <w:pStyle w:val="16"/>
            </w:pPr>
            <w:r>
              <w:t>本年支出合计</w:t>
            </w:r>
          </w:p>
        </w:tc>
        <w:tc>
          <w:tcPr>
            <w:tcW w:w="1474" w:type="dxa"/>
            <w:vAlign w:val="center"/>
          </w:tcPr>
          <w:p>
            <w:pPr>
              <w:pStyle w:val="17"/>
            </w:pPr>
            <w:r>
              <w:t>587.24</w:t>
            </w:r>
          </w:p>
        </w:tc>
        <w:tc>
          <w:tcPr>
            <w:tcW w:w="1474" w:type="dxa"/>
            <w:vAlign w:val="center"/>
          </w:tcPr>
          <w:p>
            <w:pPr>
              <w:pStyle w:val="17"/>
            </w:pPr>
            <w:r>
              <w:t>587.24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587.24</w:t>
            </w:r>
          </w:p>
        </w:tc>
        <w:tc>
          <w:tcPr>
            <w:tcW w:w="3402" w:type="dxa"/>
            <w:vAlign w:val="center"/>
          </w:tcPr>
          <w:p>
            <w:pPr>
              <w:pStyle w:val="16"/>
            </w:pPr>
            <w:r>
              <w:t>支出总计</w:t>
            </w:r>
          </w:p>
        </w:tc>
        <w:tc>
          <w:tcPr>
            <w:tcW w:w="1474" w:type="dxa"/>
            <w:vAlign w:val="center"/>
          </w:tcPr>
          <w:p>
            <w:pPr>
              <w:pStyle w:val="17"/>
            </w:pPr>
            <w:r>
              <w:t>587.24</w:t>
            </w:r>
          </w:p>
        </w:tc>
        <w:tc>
          <w:tcPr>
            <w:tcW w:w="1474" w:type="dxa"/>
            <w:vAlign w:val="center"/>
          </w:tcPr>
          <w:p>
            <w:pPr>
              <w:pStyle w:val="17"/>
            </w:pPr>
            <w:r>
              <w:t>587.24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587.24</w:t>
            </w:r>
          </w:p>
        </w:tc>
        <w:tc>
          <w:tcPr>
            <w:tcW w:w="2551" w:type="dxa"/>
            <w:vAlign w:val="center"/>
          </w:tcPr>
          <w:p>
            <w:pPr>
              <w:pStyle w:val="17"/>
            </w:pPr>
            <w:r>
              <w:t>317.42</w:t>
            </w:r>
          </w:p>
        </w:tc>
        <w:tc>
          <w:tcPr>
            <w:tcW w:w="2551" w:type="dxa"/>
            <w:vAlign w:val="center"/>
          </w:tcPr>
          <w:p>
            <w:pPr>
              <w:pStyle w:val="17"/>
            </w:pPr>
            <w:r>
              <w:t>269.82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548.72</w:t>
            </w:r>
          </w:p>
        </w:tc>
        <w:tc>
          <w:tcPr>
            <w:tcW w:w="2551" w:type="dxa"/>
            <w:vAlign w:val="center"/>
          </w:tcPr>
          <w:p>
            <w:pPr>
              <w:pStyle w:val="13"/>
            </w:pPr>
            <w:r>
              <w:t>278.90</w:t>
            </w:r>
          </w:p>
        </w:tc>
        <w:tc>
          <w:tcPr>
            <w:tcW w:w="2551" w:type="dxa"/>
            <w:vAlign w:val="center"/>
          </w:tcPr>
          <w:p>
            <w:pPr>
              <w:pStyle w:val="13"/>
            </w:pPr>
            <w:r>
              <w:t>269.82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548.72</w:t>
            </w:r>
          </w:p>
        </w:tc>
        <w:tc>
          <w:tcPr>
            <w:tcW w:w="2551" w:type="dxa"/>
            <w:vAlign w:val="center"/>
          </w:tcPr>
          <w:p>
            <w:pPr>
              <w:pStyle w:val="13"/>
            </w:pPr>
            <w:r>
              <w:t>278.90</w:t>
            </w:r>
          </w:p>
        </w:tc>
        <w:tc>
          <w:tcPr>
            <w:tcW w:w="2551" w:type="dxa"/>
            <w:vAlign w:val="center"/>
          </w:tcPr>
          <w:p>
            <w:pPr>
              <w:pStyle w:val="13"/>
            </w:pPr>
            <w:r>
              <w:t>269.82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259.34</w:t>
            </w:r>
          </w:p>
        </w:tc>
        <w:tc>
          <w:tcPr>
            <w:tcW w:w="2551" w:type="dxa"/>
            <w:vAlign w:val="center"/>
          </w:tcPr>
          <w:p>
            <w:pPr>
              <w:pStyle w:val="13"/>
            </w:pPr>
            <w:r>
              <w:t>259.34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2013602</w:t>
            </w:r>
          </w:p>
        </w:tc>
        <w:tc>
          <w:tcPr>
            <w:tcW w:w="4535" w:type="dxa"/>
            <w:vAlign w:val="center"/>
          </w:tcPr>
          <w:p>
            <w:pPr>
              <w:pStyle w:val="14"/>
            </w:pPr>
            <w:r>
              <w:t>一般行政管理事务</w:t>
            </w:r>
          </w:p>
        </w:tc>
        <w:tc>
          <w:tcPr>
            <w:tcW w:w="2551" w:type="dxa"/>
            <w:vAlign w:val="center"/>
          </w:tcPr>
          <w:p>
            <w:pPr>
              <w:pStyle w:val="13"/>
            </w:pPr>
            <w:r>
              <w:t>268.30</w:t>
            </w:r>
          </w:p>
        </w:tc>
        <w:tc>
          <w:tcPr>
            <w:tcW w:w="2551" w:type="dxa"/>
            <w:vAlign w:val="center"/>
          </w:tcPr>
          <w:p>
            <w:pPr>
              <w:pStyle w:val="13"/>
            </w:pPr>
          </w:p>
        </w:tc>
        <w:tc>
          <w:tcPr>
            <w:tcW w:w="2551" w:type="dxa"/>
            <w:vAlign w:val="center"/>
          </w:tcPr>
          <w:p>
            <w:pPr>
              <w:pStyle w:val="13"/>
            </w:pPr>
            <w:r>
              <w:t>268.30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21.08</w:t>
            </w:r>
          </w:p>
        </w:tc>
        <w:tc>
          <w:tcPr>
            <w:tcW w:w="2551" w:type="dxa"/>
            <w:vAlign w:val="center"/>
          </w:tcPr>
          <w:p>
            <w:pPr>
              <w:pStyle w:val="13"/>
            </w:pPr>
            <w:r>
              <w:t>19.56</w:t>
            </w:r>
          </w:p>
        </w:tc>
        <w:tc>
          <w:tcPr>
            <w:tcW w:w="2551" w:type="dxa"/>
            <w:vAlign w:val="center"/>
          </w:tcPr>
          <w:p>
            <w:pPr>
              <w:pStyle w:val="13"/>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25.85</w:t>
            </w:r>
          </w:p>
        </w:tc>
        <w:tc>
          <w:tcPr>
            <w:tcW w:w="2551" w:type="dxa"/>
            <w:vAlign w:val="center"/>
          </w:tcPr>
          <w:p>
            <w:pPr>
              <w:pStyle w:val="13"/>
            </w:pPr>
            <w:r>
              <w:t>25.85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25.24</w:t>
            </w:r>
          </w:p>
        </w:tc>
        <w:tc>
          <w:tcPr>
            <w:tcW w:w="2551" w:type="dxa"/>
            <w:vAlign w:val="center"/>
          </w:tcPr>
          <w:p>
            <w:pPr>
              <w:pStyle w:val="13"/>
            </w:pPr>
            <w:r>
              <w:t>25.24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25.24</w:t>
            </w:r>
          </w:p>
        </w:tc>
        <w:tc>
          <w:tcPr>
            <w:tcW w:w="2551" w:type="dxa"/>
            <w:vAlign w:val="center"/>
          </w:tcPr>
          <w:p>
            <w:pPr>
              <w:pStyle w:val="13"/>
            </w:pPr>
            <w:r>
              <w:t>25.24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12.68</w:t>
            </w:r>
          </w:p>
        </w:tc>
        <w:tc>
          <w:tcPr>
            <w:tcW w:w="2551" w:type="dxa"/>
            <w:vAlign w:val="center"/>
          </w:tcPr>
          <w:p>
            <w:pPr>
              <w:pStyle w:val="13"/>
            </w:pPr>
            <w:r>
              <w:t>12.68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12.68</w:t>
            </w:r>
          </w:p>
        </w:tc>
        <w:tc>
          <w:tcPr>
            <w:tcW w:w="2551" w:type="dxa"/>
            <w:vAlign w:val="center"/>
          </w:tcPr>
          <w:p>
            <w:pPr>
              <w:pStyle w:val="13"/>
            </w:pPr>
            <w:r>
              <w:t>12.68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12.68</w:t>
            </w:r>
          </w:p>
        </w:tc>
        <w:tc>
          <w:tcPr>
            <w:tcW w:w="2551" w:type="dxa"/>
            <w:vAlign w:val="center"/>
          </w:tcPr>
          <w:p>
            <w:pPr>
              <w:pStyle w:val="13"/>
            </w:pPr>
            <w:r>
              <w:t>12.68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317.42</w:t>
            </w:r>
          </w:p>
        </w:tc>
        <w:tc>
          <w:tcPr>
            <w:tcW w:w="2551" w:type="dxa"/>
            <w:vAlign w:val="center"/>
          </w:tcPr>
          <w:p>
            <w:pPr>
              <w:pStyle w:val="17"/>
            </w:pPr>
            <w:r>
              <w:t>290.66</w:t>
            </w:r>
          </w:p>
        </w:tc>
        <w:tc>
          <w:tcPr>
            <w:tcW w:w="2551" w:type="dxa"/>
            <w:vAlign w:val="center"/>
          </w:tcPr>
          <w:p>
            <w:pPr>
              <w:pStyle w:val="17"/>
            </w:pPr>
            <w:r>
              <w:t>26.76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276.43</w:t>
            </w:r>
          </w:p>
        </w:tc>
        <w:tc>
          <w:tcPr>
            <w:tcW w:w="2551" w:type="dxa"/>
            <w:vAlign w:val="center"/>
          </w:tcPr>
          <w:p>
            <w:pPr>
              <w:pStyle w:val="13"/>
            </w:pPr>
            <w:r>
              <w:t>276.43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78.32</w:t>
            </w:r>
          </w:p>
        </w:tc>
        <w:tc>
          <w:tcPr>
            <w:tcW w:w="2551" w:type="dxa"/>
            <w:vAlign w:val="center"/>
          </w:tcPr>
          <w:p>
            <w:pPr>
              <w:pStyle w:val="13"/>
            </w:pPr>
            <w:r>
              <w:t>78.32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74.88</w:t>
            </w:r>
          </w:p>
        </w:tc>
        <w:tc>
          <w:tcPr>
            <w:tcW w:w="2551" w:type="dxa"/>
            <w:vAlign w:val="center"/>
          </w:tcPr>
          <w:p>
            <w:pPr>
              <w:pStyle w:val="13"/>
            </w:pPr>
            <w:r>
              <w:t>74.88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62.86</w:t>
            </w:r>
          </w:p>
        </w:tc>
        <w:tc>
          <w:tcPr>
            <w:tcW w:w="2551" w:type="dxa"/>
            <w:vAlign w:val="center"/>
          </w:tcPr>
          <w:p>
            <w:pPr>
              <w:pStyle w:val="13"/>
            </w:pPr>
            <w:r>
              <w:t>62.86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25.24</w:t>
            </w:r>
          </w:p>
        </w:tc>
        <w:tc>
          <w:tcPr>
            <w:tcW w:w="2551" w:type="dxa"/>
            <w:vAlign w:val="center"/>
          </w:tcPr>
          <w:p>
            <w:pPr>
              <w:pStyle w:val="13"/>
            </w:pPr>
            <w:r>
              <w:t>25.24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8.41</w:t>
            </w:r>
          </w:p>
        </w:tc>
        <w:tc>
          <w:tcPr>
            <w:tcW w:w="2551" w:type="dxa"/>
            <w:vAlign w:val="center"/>
          </w:tcPr>
          <w:p>
            <w:pPr>
              <w:pStyle w:val="13"/>
            </w:pPr>
            <w:r>
              <w:t>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4.27</w:t>
            </w:r>
          </w:p>
        </w:tc>
        <w:tc>
          <w:tcPr>
            <w:tcW w:w="2551" w:type="dxa"/>
            <w:vAlign w:val="center"/>
          </w:tcPr>
          <w:p>
            <w:pPr>
              <w:pStyle w:val="13"/>
            </w:pPr>
            <w:r>
              <w:t>4.27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0.61</w:t>
            </w:r>
          </w:p>
        </w:tc>
        <w:tc>
          <w:tcPr>
            <w:tcW w:w="2551" w:type="dxa"/>
            <w:vAlign w:val="center"/>
          </w:tcPr>
          <w:p>
            <w:pPr>
              <w:pStyle w:val="13"/>
            </w:pPr>
            <w:r>
              <w:t>0.61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21.85</w:t>
            </w:r>
          </w:p>
        </w:tc>
        <w:tc>
          <w:tcPr>
            <w:tcW w:w="2551" w:type="dxa"/>
            <w:vAlign w:val="center"/>
          </w:tcPr>
          <w:p>
            <w:pPr>
              <w:pStyle w:val="13"/>
            </w:pPr>
            <w:r>
              <w:t>21.85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26.76</w:t>
            </w:r>
          </w:p>
        </w:tc>
        <w:tc>
          <w:tcPr>
            <w:tcW w:w="2551" w:type="dxa"/>
            <w:vAlign w:val="center"/>
          </w:tcPr>
          <w:p>
            <w:pPr>
              <w:pStyle w:val="13"/>
            </w:pPr>
          </w:p>
        </w:tc>
        <w:tc>
          <w:tcPr>
            <w:tcW w:w="2551" w:type="dxa"/>
            <w:vAlign w:val="center"/>
          </w:tcPr>
          <w:p>
            <w:pPr>
              <w:pStyle w:val="13"/>
            </w:pPr>
            <w:r>
              <w:t>26.76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7.84</w:t>
            </w:r>
          </w:p>
        </w:tc>
        <w:tc>
          <w:tcPr>
            <w:tcW w:w="2551" w:type="dxa"/>
            <w:vAlign w:val="center"/>
          </w:tcPr>
          <w:p>
            <w:pPr>
              <w:pStyle w:val="13"/>
            </w:pPr>
          </w:p>
        </w:tc>
        <w:tc>
          <w:tcPr>
            <w:tcW w:w="2551" w:type="dxa"/>
            <w:vAlign w:val="center"/>
          </w:tcPr>
          <w:p>
            <w:pPr>
              <w:pStyle w:val="13"/>
            </w:pPr>
            <w:r>
              <w:t>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0.66</w:t>
            </w:r>
          </w:p>
        </w:tc>
        <w:tc>
          <w:tcPr>
            <w:tcW w:w="2551" w:type="dxa"/>
            <w:vAlign w:val="center"/>
          </w:tcPr>
          <w:p>
            <w:pPr>
              <w:pStyle w:val="13"/>
            </w:pPr>
          </w:p>
        </w:tc>
        <w:tc>
          <w:tcPr>
            <w:tcW w:w="2551"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0.94</w:t>
            </w:r>
          </w:p>
        </w:tc>
        <w:tc>
          <w:tcPr>
            <w:tcW w:w="2551" w:type="dxa"/>
            <w:vAlign w:val="center"/>
          </w:tcPr>
          <w:p>
            <w:pPr>
              <w:pStyle w:val="13"/>
            </w:pPr>
          </w:p>
        </w:tc>
        <w:tc>
          <w:tcPr>
            <w:tcW w:w="2551" w:type="dxa"/>
            <w:vAlign w:val="center"/>
          </w:tcPr>
          <w:p>
            <w:pPr>
              <w:pStyle w:val="13"/>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1.39</w:t>
            </w:r>
          </w:p>
        </w:tc>
        <w:tc>
          <w:tcPr>
            <w:tcW w:w="2551" w:type="dxa"/>
            <w:vAlign w:val="center"/>
          </w:tcPr>
          <w:p>
            <w:pPr>
              <w:pStyle w:val="13"/>
            </w:pPr>
          </w:p>
        </w:tc>
        <w:tc>
          <w:tcPr>
            <w:tcW w:w="2551" w:type="dxa"/>
            <w:vAlign w:val="center"/>
          </w:tcPr>
          <w:p>
            <w:pPr>
              <w:pStyle w:val="13"/>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9.60</w:t>
            </w:r>
          </w:p>
        </w:tc>
        <w:tc>
          <w:tcPr>
            <w:tcW w:w="2551" w:type="dxa"/>
            <w:vAlign w:val="center"/>
          </w:tcPr>
          <w:p>
            <w:pPr>
              <w:pStyle w:val="13"/>
            </w:pPr>
          </w:p>
        </w:tc>
        <w:tc>
          <w:tcPr>
            <w:tcW w:w="2551"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0.73</w:t>
            </w:r>
          </w:p>
        </w:tc>
        <w:tc>
          <w:tcPr>
            <w:tcW w:w="2551" w:type="dxa"/>
            <w:vAlign w:val="center"/>
          </w:tcPr>
          <w:p>
            <w:pPr>
              <w:pStyle w:val="13"/>
            </w:pPr>
          </w:p>
        </w:tc>
        <w:tc>
          <w:tcPr>
            <w:tcW w:w="2551"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14.23</w:t>
            </w:r>
          </w:p>
        </w:tc>
        <w:tc>
          <w:tcPr>
            <w:tcW w:w="2551" w:type="dxa"/>
            <w:vAlign w:val="center"/>
          </w:tcPr>
          <w:p>
            <w:pPr>
              <w:pStyle w:val="13"/>
            </w:pPr>
            <w:r>
              <w:t>14.23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14.23</w:t>
            </w:r>
          </w:p>
        </w:tc>
        <w:tc>
          <w:tcPr>
            <w:tcW w:w="2551" w:type="dxa"/>
            <w:vAlign w:val="center"/>
          </w:tcPr>
          <w:p>
            <w:pPr>
              <w:pStyle w:val="13"/>
            </w:pPr>
            <w:r>
              <w:t>14.23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215001栾城区委政法委(本级)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栾城区委政法委(本级)2026年单位预算信息公开情况说明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按照《中华人民共和国预算法》、《地方预决算公开操作规程》和《关于进一步推进预算公开工作的实施意见》规定，现将栾城区委政法委(本级)2026年单位预算公开如下：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根据《栾城区委政法委职能配置、内设机构和人员编制规定》 栾城区委政法委的主要职责是：按照中央省市政法工作和扫黑除恶专项斗争部署及区委、区政府安排，深入贯彻习近平新时代中国特色社会主义思想和党的十九届五中全会精神。组织政法综治战线，围绕全区工作大局，统筹扎实推进政法、平安建设、扫黑除恶、维护稳定社会治理创新，各项工作实现了新提升，成效良好，全区社会大局保持平稳，为建设高质量现代新区、美丽栾城提供了有力支撑。做好敏感期维稳，按照“最严要求、最硬措施、最铁纪律、最强保障”标准做好维稳安保工作，严格各项安保措施落实，充实应急处突备勤，做好防恐反暴工作。有效打击各种犯罪和涉黑涉恶活动，维护正常的社会秩序、经济秩序和国家安全。实现“网格全覆盖、工作无缝隙、服务零距离、管理无漏洞”，提高了服务群众能力。对2105名严重精神障碍患者续交责任险，86名三级以上患者监护人落实“以奖代补”，救治救助患者7名。240名社区矫正人员实现无脱漏管。政法综治维稳和平安建设各项工作扎实开展，全区社会保持平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栾城区委政法委(本级)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587.24万元，其中：一般公共预算收入587.24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委政法委(本级)年度单位预算中支出预算的总体情况。2026年支出预算587.24万元，其中基本支出317.42万元，包括人员经费290.66万元和日常公用经费26.76万元；项目支出269.82万元，主要为严重精神病管理费用（精神病责任保险、监护人以奖代）、重点时期铁路护路费用及人员经费、政法四级网维保费用、“雪亮工程”视频监控租赁费等机关运转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587.24万元，较2025年预算增加189.92万元，其中：基本支出增加12.16万元，主要为增加人员经费及日常公用经费增加。项目支出增加177.77万元，主要为增加项目支出政法四级网维保费用及“雪亮工程”视频监控租赁费等2个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2026年，我单位机关运行经费共计安排26.76万元，</w:t>
      </w:r>
      <w:r>
        <w:rPr>
          <w:rFonts w:hint="eastAsia" w:ascii="Times New Roman" w:hAnsi="Times New Roman" w:eastAsia="方正仿宋_GBK" w:cs="Times New Roman"/>
          <w:b w:val="0"/>
          <w:color w:val="000000"/>
          <w:sz w:val="28"/>
          <w:lang w:val="en-US" w:eastAsia="uk-UA"/>
        </w:rPr>
        <w:t>主要用于保证机关正常运转的办公及印刷费、邮电费、差旅费、会议费、福利费、</w:t>
      </w:r>
      <w:r>
        <w:rPr>
          <w:rFonts w:hint="eastAsia" w:ascii="Times New Roman" w:hAnsi="Times New Roman" w:eastAsia="方正仿宋_GBK" w:cs="Times New Roman"/>
          <w:b w:val="0"/>
          <w:color w:val="000000"/>
          <w:sz w:val="28"/>
          <w:lang w:val="en-US" w:eastAsia="zh-CN"/>
        </w:rPr>
        <w:t>工会经费、</w:t>
      </w:r>
      <w:r>
        <w:rPr>
          <w:rFonts w:hint="eastAsia" w:ascii="Times New Roman" w:hAnsi="Times New Roman" w:eastAsia="方正仿宋_GBK" w:cs="Times New Roman"/>
          <w:b w:val="0"/>
          <w:color w:val="000000"/>
          <w:sz w:val="28"/>
          <w:lang w:val="en-US" w:eastAsia="uk-UA"/>
        </w:rPr>
        <w:t>专用材料及一般</w:t>
      </w:r>
      <w:r>
        <w:rPr>
          <w:rFonts w:hint="eastAsia" w:ascii="Times New Roman" w:hAnsi="Times New Roman" w:eastAsia="方正仿宋_GBK" w:cs="Times New Roman"/>
          <w:b w:val="0"/>
          <w:color w:val="000000"/>
          <w:sz w:val="28"/>
          <w:lang w:val="en-US" w:eastAsia="zh-CN"/>
        </w:rPr>
        <w:t>办公</w:t>
      </w:r>
      <w:r>
        <w:rPr>
          <w:rFonts w:hint="eastAsia" w:ascii="Times New Roman" w:hAnsi="Times New Roman" w:eastAsia="方正仿宋_GBK" w:cs="Times New Roman"/>
          <w:b w:val="0"/>
          <w:color w:val="000000"/>
          <w:sz w:val="28"/>
          <w:lang w:val="en-US" w:eastAsia="uk-UA"/>
        </w:rPr>
        <w:t>设备购置费等支出。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1、“雪亮工程”视频监控租赁费绩效目标表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13011126P00000411014A</w:t>
            </w:r>
          </w:p>
        </w:tc>
        <w:tc>
          <w:tcPr>
            <w:tcW w:w="2835" w:type="dxa"/>
            <w:vAlign w:val="center"/>
          </w:tcPr>
          <w:p>
            <w:pPr>
              <w:pStyle w:val="12"/>
            </w:pPr>
            <w:r>
              <w:t>项目名称</w:t>
            </w:r>
          </w:p>
        </w:tc>
        <w:tc>
          <w:tcPr>
            <w:tcW w:w="6095" w:type="dxa"/>
            <w:gridSpan w:val="3"/>
            <w:vAlign w:val="center"/>
          </w:tcPr>
          <w:p>
            <w:pPr>
              <w:pStyle w:val="14"/>
            </w:pPr>
            <w:r>
              <w:t>“雪亮工程”视频监控租赁费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51.00</w:t>
            </w:r>
          </w:p>
        </w:tc>
        <w:tc>
          <w:tcPr>
            <w:tcW w:w="2835" w:type="dxa"/>
            <w:vAlign w:val="center"/>
          </w:tcPr>
          <w:p>
            <w:pPr>
              <w:pStyle w:val="12"/>
            </w:pPr>
            <w:r>
              <w:t>其中：财政    资金</w:t>
            </w:r>
          </w:p>
        </w:tc>
        <w:tc>
          <w:tcPr>
            <w:tcW w:w="2551" w:type="dxa"/>
            <w:vAlign w:val="center"/>
          </w:tcPr>
          <w:p>
            <w:pPr>
              <w:pStyle w:val="14"/>
            </w:pPr>
            <w:r>
              <w:t>51.00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及时支付“雪亮工程”视频监控租赁费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1.全面提升综治信息化、科技防范智能化水平，接入公安视频资源系统，实现资源共享。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2路300余个摄像头</w:t>
            </w:r>
          </w:p>
        </w:tc>
        <w:tc>
          <w:tcPr>
            <w:tcW w:w="5386" w:type="dxa"/>
            <w:vAlign w:val="center"/>
          </w:tcPr>
          <w:p>
            <w:pPr>
              <w:pStyle w:val="14"/>
            </w:pPr>
            <w:r>
              <w:t>对2路300个重点路段、重点小区摄像头进行维护，确保线路通畅。</w:t>
            </w:r>
          </w:p>
        </w:tc>
        <w:tc>
          <w:tcPr>
            <w:tcW w:w="2268" w:type="dxa"/>
            <w:vAlign w:val="center"/>
          </w:tcPr>
          <w:p>
            <w:pPr>
              <w:pStyle w:val="14"/>
            </w:pPr>
            <w:r>
              <w:t>2路300余个摄像头</w:t>
            </w:r>
          </w:p>
        </w:tc>
        <w:tc>
          <w:tcPr>
            <w:tcW w:w="1276" w:type="dxa"/>
            <w:vAlign w:val="center"/>
          </w:tcPr>
          <w:p>
            <w:pPr>
              <w:pStyle w:val="14"/>
            </w:pPr>
            <w:r>
              <w:t>2路300余个摄像头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科技防范</w:t>
            </w:r>
          </w:p>
        </w:tc>
        <w:tc>
          <w:tcPr>
            <w:tcW w:w="5386" w:type="dxa"/>
            <w:vAlign w:val="center"/>
          </w:tcPr>
          <w:p>
            <w:pPr>
              <w:pStyle w:val="14"/>
            </w:pPr>
            <w:r>
              <w:t>全面提升综治信息化、科技防范智能化水平</w:t>
            </w:r>
          </w:p>
        </w:tc>
        <w:tc>
          <w:tcPr>
            <w:tcW w:w="2268" w:type="dxa"/>
            <w:vAlign w:val="center"/>
          </w:tcPr>
          <w:p>
            <w:pPr>
              <w:pStyle w:val="14"/>
            </w:pPr>
            <w:r>
              <w:t>科技防范</w:t>
            </w:r>
          </w:p>
        </w:tc>
        <w:tc>
          <w:tcPr>
            <w:tcW w:w="1276" w:type="dxa"/>
            <w:vAlign w:val="center"/>
          </w:tcPr>
          <w:p>
            <w:pPr>
              <w:pStyle w:val="14"/>
            </w:pPr>
            <w:r>
              <w:t>科技防范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及时支付租赁费</w:t>
            </w:r>
          </w:p>
        </w:tc>
        <w:tc>
          <w:tcPr>
            <w:tcW w:w="5386" w:type="dxa"/>
            <w:vAlign w:val="center"/>
          </w:tcPr>
          <w:p>
            <w:pPr>
              <w:pStyle w:val="14"/>
            </w:pPr>
            <w:r>
              <w:t>广电部门做好视频监控维护，确保线路通畅，按照合同要求，及时支付租赁费</w:t>
            </w:r>
          </w:p>
        </w:tc>
        <w:tc>
          <w:tcPr>
            <w:tcW w:w="2268" w:type="dxa"/>
            <w:vAlign w:val="center"/>
          </w:tcPr>
          <w:p>
            <w:pPr>
              <w:pStyle w:val="14"/>
            </w:pPr>
            <w:r>
              <w:t>及时支付租赁费</w:t>
            </w:r>
          </w:p>
        </w:tc>
        <w:tc>
          <w:tcPr>
            <w:tcW w:w="1276" w:type="dxa"/>
            <w:vAlign w:val="center"/>
          </w:tcPr>
          <w:p>
            <w:pPr>
              <w:pStyle w:val="14"/>
            </w:pPr>
            <w:r>
              <w:t>及时支付租赁费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维护稳定</w:t>
            </w:r>
          </w:p>
        </w:tc>
        <w:tc>
          <w:tcPr>
            <w:tcW w:w="5386" w:type="dxa"/>
            <w:vAlign w:val="center"/>
          </w:tcPr>
          <w:p>
            <w:pPr>
              <w:pStyle w:val="14"/>
            </w:pPr>
            <w:r>
              <w:t>加大重点路段、重点小区接入社会资源监控探头，有效提高预防打击违法犯罪、防范化解风险能力，创造安全稳定的社会环境。</w:t>
            </w:r>
          </w:p>
        </w:tc>
        <w:tc>
          <w:tcPr>
            <w:tcW w:w="2268" w:type="dxa"/>
            <w:vAlign w:val="center"/>
          </w:tcPr>
          <w:p>
            <w:pPr>
              <w:pStyle w:val="14"/>
            </w:pPr>
            <w:r>
              <w:t>维护稳定</w:t>
            </w:r>
          </w:p>
        </w:tc>
        <w:tc>
          <w:tcPr>
            <w:tcW w:w="1276" w:type="dxa"/>
            <w:vAlign w:val="center"/>
          </w:tcPr>
          <w:p>
            <w:pPr>
              <w:pStyle w:val="14"/>
            </w:pPr>
            <w:r>
              <w:t>维护稳定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广电维护满意度</w:t>
            </w:r>
          </w:p>
        </w:tc>
        <w:tc>
          <w:tcPr>
            <w:tcW w:w="5386" w:type="dxa"/>
            <w:vAlign w:val="center"/>
          </w:tcPr>
          <w:p>
            <w:pPr>
              <w:pStyle w:val="14"/>
            </w:pPr>
            <w:r>
              <w:t>广电做好视频监控探头的维护运行，确保正常运行。</w:t>
            </w:r>
          </w:p>
        </w:tc>
        <w:tc>
          <w:tcPr>
            <w:tcW w:w="2268" w:type="dxa"/>
            <w:vAlign w:val="center"/>
          </w:tcPr>
          <w:p>
            <w:pPr>
              <w:pStyle w:val="14"/>
            </w:pPr>
            <w:r>
              <w:t>广电维护满意度</w:t>
            </w:r>
          </w:p>
        </w:tc>
        <w:tc>
          <w:tcPr>
            <w:tcW w:w="1276" w:type="dxa"/>
            <w:vAlign w:val="center"/>
          </w:tcPr>
          <w:p>
            <w:pPr>
              <w:pStyle w:val="14"/>
            </w:pPr>
            <w:r>
              <w:t>广电维护满意度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13011126P00000410147Y</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12.08</w:t>
            </w:r>
          </w:p>
        </w:tc>
        <w:tc>
          <w:tcPr>
            <w:tcW w:w="2835" w:type="dxa"/>
            <w:vAlign w:val="center"/>
          </w:tcPr>
          <w:p>
            <w:pPr>
              <w:pStyle w:val="12"/>
            </w:pPr>
            <w:r>
              <w:t>其中：财政    资金</w:t>
            </w:r>
          </w:p>
        </w:tc>
        <w:tc>
          <w:tcPr>
            <w:tcW w:w="2551" w:type="dxa"/>
            <w:vAlign w:val="center"/>
          </w:tcPr>
          <w:p>
            <w:pPr>
              <w:pStyle w:val="14"/>
            </w:pPr>
            <w:r>
              <w:t>12.08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及时支付劳务派遣人员工资及保险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3.02</w:t>
            </w:r>
          </w:p>
        </w:tc>
        <w:tc>
          <w:tcPr>
            <w:tcW w:w="2835" w:type="dxa"/>
            <w:vAlign w:val="center"/>
          </w:tcPr>
          <w:p>
            <w:pPr>
              <w:pStyle w:val="15"/>
            </w:pPr>
            <w:r>
              <w:t>6.04</w:t>
            </w:r>
          </w:p>
        </w:tc>
        <w:tc>
          <w:tcPr>
            <w:tcW w:w="2551" w:type="dxa"/>
            <w:vAlign w:val="center"/>
          </w:tcPr>
          <w:p>
            <w:pPr>
              <w:pStyle w:val="15"/>
            </w:pPr>
            <w:r>
              <w:t>9.06</w:t>
            </w:r>
          </w:p>
        </w:tc>
        <w:tc>
          <w:tcPr>
            <w:tcW w:w="3544" w:type="dxa"/>
            <w:gridSpan w:val="2"/>
            <w:vAlign w:val="center"/>
          </w:tcPr>
          <w:p>
            <w:pPr>
              <w:pStyle w:val="15"/>
            </w:pPr>
            <w:r>
              <w:t>12.08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1.及时支付劳务派遣人员工资及保险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5386" w:type="dxa"/>
            <w:vAlign w:val="center"/>
          </w:tcPr>
          <w:p>
            <w:pPr>
              <w:pStyle w:val="14"/>
            </w:pPr>
            <w:r>
              <w:t>2名</w:t>
            </w:r>
          </w:p>
        </w:tc>
        <w:tc>
          <w:tcPr>
            <w:tcW w:w="2268" w:type="dxa"/>
            <w:vAlign w:val="center"/>
          </w:tcPr>
          <w:p>
            <w:pPr>
              <w:pStyle w:val="14"/>
            </w:pPr>
            <w:r>
              <w:t>劳务派遣人员数量</w:t>
            </w:r>
          </w:p>
        </w:tc>
        <w:tc>
          <w:tcPr>
            <w:tcW w:w="1276" w:type="dxa"/>
            <w:vAlign w:val="center"/>
          </w:tcPr>
          <w:p>
            <w:pPr>
              <w:pStyle w:val="14"/>
            </w:pPr>
            <w:r>
              <w:t>劳务派遣人员数量</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单位正常运转</w:t>
            </w:r>
          </w:p>
        </w:tc>
        <w:tc>
          <w:tcPr>
            <w:tcW w:w="5386" w:type="dxa"/>
            <w:vAlign w:val="center"/>
          </w:tcPr>
          <w:p>
            <w:pPr>
              <w:pStyle w:val="14"/>
            </w:pPr>
            <w:r>
              <w:t>按人按月缴纳保险及工资</w:t>
            </w:r>
          </w:p>
        </w:tc>
        <w:tc>
          <w:tcPr>
            <w:tcW w:w="2268" w:type="dxa"/>
            <w:vAlign w:val="center"/>
          </w:tcPr>
          <w:p>
            <w:pPr>
              <w:pStyle w:val="14"/>
            </w:pPr>
            <w:r>
              <w:t>单位正常运转</w:t>
            </w:r>
          </w:p>
        </w:tc>
        <w:tc>
          <w:tcPr>
            <w:tcW w:w="1276" w:type="dxa"/>
            <w:vAlign w:val="center"/>
          </w:tcPr>
          <w:p>
            <w:pPr>
              <w:pStyle w:val="14"/>
            </w:pPr>
            <w:r>
              <w:t>单位正常运转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w:t>
            </w:r>
          </w:p>
        </w:tc>
        <w:tc>
          <w:tcPr>
            <w:tcW w:w="5386" w:type="dxa"/>
            <w:vAlign w:val="center"/>
          </w:tcPr>
          <w:p>
            <w:pPr>
              <w:pStyle w:val="14"/>
            </w:pPr>
            <w:r>
              <w:t>及时支付人员各项经费，保障单位正常运转</w:t>
            </w:r>
          </w:p>
        </w:tc>
        <w:tc>
          <w:tcPr>
            <w:tcW w:w="2268" w:type="dxa"/>
            <w:vAlign w:val="center"/>
          </w:tcPr>
          <w:p>
            <w:pPr>
              <w:pStyle w:val="14"/>
            </w:pPr>
            <w:r>
              <w:t>及时支付</w:t>
            </w:r>
          </w:p>
        </w:tc>
        <w:tc>
          <w:tcPr>
            <w:tcW w:w="1276" w:type="dxa"/>
            <w:vAlign w:val="center"/>
          </w:tcPr>
          <w:p>
            <w:pPr>
              <w:pStyle w:val="14"/>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提高业务水平及能力</w:t>
            </w:r>
          </w:p>
        </w:tc>
        <w:tc>
          <w:tcPr>
            <w:tcW w:w="5386" w:type="dxa"/>
            <w:vAlign w:val="center"/>
          </w:tcPr>
          <w:p>
            <w:pPr>
              <w:pStyle w:val="14"/>
            </w:pPr>
            <w:r>
              <w:t>提高业务水平及能力</w:t>
            </w:r>
          </w:p>
        </w:tc>
        <w:tc>
          <w:tcPr>
            <w:tcW w:w="2268" w:type="dxa"/>
            <w:vAlign w:val="center"/>
          </w:tcPr>
          <w:p>
            <w:pPr>
              <w:pStyle w:val="14"/>
            </w:pPr>
            <w:r>
              <w:t>提高业务水平及能力</w:t>
            </w:r>
          </w:p>
        </w:tc>
        <w:tc>
          <w:tcPr>
            <w:tcW w:w="1276" w:type="dxa"/>
            <w:vAlign w:val="center"/>
          </w:tcPr>
          <w:p>
            <w:pPr>
              <w:pStyle w:val="14"/>
            </w:pPr>
            <w:r>
              <w:t>提高业务水平及能力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对2名劳务派遣人员满意度</w:t>
            </w:r>
          </w:p>
        </w:tc>
        <w:tc>
          <w:tcPr>
            <w:tcW w:w="5386" w:type="dxa"/>
            <w:vAlign w:val="center"/>
          </w:tcPr>
          <w:p>
            <w:pPr>
              <w:pStyle w:val="14"/>
            </w:pPr>
            <w:r>
              <w:t>对2名劳务派遣人员满意度</w:t>
            </w:r>
          </w:p>
        </w:tc>
        <w:tc>
          <w:tcPr>
            <w:tcW w:w="2268" w:type="dxa"/>
            <w:vAlign w:val="center"/>
          </w:tcPr>
          <w:p>
            <w:pPr>
              <w:pStyle w:val="14"/>
            </w:pPr>
            <w:r>
              <w:t>对2名劳务派遣人员满意度</w:t>
            </w:r>
          </w:p>
        </w:tc>
        <w:tc>
          <w:tcPr>
            <w:tcW w:w="1276" w:type="dxa"/>
            <w:vAlign w:val="center"/>
          </w:tcPr>
          <w:p>
            <w:pPr>
              <w:pStyle w:val="14"/>
            </w:pPr>
            <w:r>
              <w:t>对2名劳务派遣人员满意度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13011126P000004101515</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0.14</w:t>
            </w:r>
          </w:p>
        </w:tc>
        <w:tc>
          <w:tcPr>
            <w:tcW w:w="2835" w:type="dxa"/>
            <w:vAlign w:val="center"/>
          </w:tcPr>
          <w:p>
            <w:pPr>
              <w:pStyle w:val="12"/>
            </w:pPr>
            <w:r>
              <w:t>其中：财政    资金</w:t>
            </w:r>
          </w:p>
        </w:tc>
        <w:tc>
          <w:tcPr>
            <w:tcW w:w="2551" w:type="dxa"/>
            <w:vAlign w:val="center"/>
          </w:tcPr>
          <w:p>
            <w:pPr>
              <w:pStyle w:val="14"/>
            </w:pPr>
            <w:r>
              <w:t>0.14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按时发放离退休统筹外工资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0.04</w:t>
            </w:r>
          </w:p>
        </w:tc>
        <w:tc>
          <w:tcPr>
            <w:tcW w:w="2835" w:type="dxa"/>
            <w:vAlign w:val="center"/>
          </w:tcPr>
          <w:p>
            <w:pPr>
              <w:pStyle w:val="15"/>
            </w:pPr>
            <w:r>
              <w:t>0.07</w:t>
            </w:r>
          </w:p>
        </w:tc>
        <w:tc>
          <w:tcPr>
            <w:tcW w:w="2551" w:type="dxa"/>
            <w:vAlign w:val="center"/>
          </w:tcPr>
          <w:p>
            <w:pPr>
              <w:pStyle w:val="15"/>
            </w:pPr>
            <w:r>
              <w:t>0.11</w:t>
            </w:r>
          </w:p>
        </w:tc>
        <w:tc>
          <w:tcPr>
            <w:tcW w:w="3544" w:type="dxa"/>
            <w:gridSpan w:val="2"/>
            <w:vAlign w:val="center"/>
          </w:tcPr>
          <w:p>
            <w:pPr>
              <w:pStyle w:val="15"/>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1.按时发放离退休统筹外工资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w:t>
            </w:r>
          </w:p>
        </w:tc>
        <w:tc>
          <w:tcPr>
            <w:tcW w:w="5386" w:type="dxa"/>
            <w:vAlign w:val="center"/>
          </w:tcPr>
          <w:p>
            <w:pPr>
              <w:pStyle w:val="14"/>
            </w:pPr>
            <w:r>
              <w:t>2名</w:t>
            </w:r>
          </w:p>
        </w:tc>
        <w:tc>
          <w:tcPr>
            <w:tcW w:w="2268" w:type="dxa"/>
            <w:vAlign w:val="center"/>
          </w:tcPr>
          <w:p>
            <w:pPr>
              <w:pStyle w:val="14"/>
            </w:pPr>
            <w:r>
              <w:t>离退休人员</w:t>
            </w:r>
          </w:p>
        </w:tc>
        <w:tc>
          <w:tcPr>
            <w:tcW w:w="1276" w:type="dxa"/>
            <w:vAlign w:val="center"/>
          </w:tcPr>
          <w:p>
            <w:pPr>
              <w:pStyle w:val="14"/>
            </w:pPr>
            <w:r>
              <w:t>离退休人员</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单位正常运转</w:t>
            </w:r>
          </w:p>
        </w:tc>
        <w:tc>
          <w:tcPr>
            <w:tcW w:w="5386" w:type="dxa"/>
            <w:vAlign w:val="center"/>
          </w:tcPr>
          <w:p>
            <w:pPr>
              <w:pStyle w:val="14"/>
            </w:pPr>
            <w:r>
              <w:t>按人按月及时发放</w:t>
            </w:r>
          </w:p>
        </w:tc>
        <w:tc>
          <w:tcPr>
            <w:tcW w:w="2268" w:type="dxa"/>
            <w:vAlign w:val="center"/>
          </w:tcPr>
          <w:p>
            <w:pPr>
              <w:pStyle w:val="14"/>
            </w:pPr>
            <w:r>
              <w:t>单位正常运转</w:t>
            </w:r>
          </w:p>
        </w:tc>
        <w:tc>
          <w:tcPr>
            <w:tcW w:w="1276" w:type="dxa"/>
            <w:vAlign w:val="center"/>
          </w:tcPr>
          <w:p>
            <w:pPr>
              <w:pStyle w:val="14"/>
            </w:pPr>
            <w:r>
              <w:t>单位正常运转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按时间节点及时发放</w:t>
            </w:r>
          </w:p>
        </w:tc>
        <w:tc>
          <w:tcPr>
            <w:tcW w:w="5386" w:type="dxa"/>
            <w:vAlign w:val="center"/>
          </w:tcPr>
          <w:p>
            <w:pPr>
              <w:pStyle w:val="14"/>
            </w:pPr>
            <w:r>
              <w:t>对2名退休人员按照要求及时发放统筹外待遇</w:t>
            </w:r>
          </w:p>
        </w:tc>
        <w:tc>
          <w:tcPr>
            <w:tcW w:w="2268" w:type="dxa"/>
            <w:vAlign w:val="center"/>
          </w:tcPr>
          <w:p>
            <w:pPr>
              <w:pStyle w:val="14"/>
            </w:pPr>
            <w:r>
              <w:t>按时间节点及时发放</w:t>
            </w:r>
          </w:p>
        </w:tc>
        <w:tc>
          <w:tcPr>
            <w:tcW w:w="1276" w:type="dxa"/>
            <w:vAlign w:val="center"/>
          </w:tcPr>
          <w:p>
            <w:pPr>
              <w:pStyle w:val="14"/>
            </w:pPr>
            <w:r>
              <w:t>按时间节点及时发放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提高服务水平，提高业务能力</w:t>
            </w:r>
          </w:p>
        </w:tc>
        <w:tc>
          <w:tcPr>
            <w:tcW w:w="5386" w:type="dxa"/>
            <w:vAlign w:val="center"/>
          </w:tcPr>
          <w:p>
            <w:pPr>
              <w:pStyle w:val="14"/>
            </w:pPr>
            <w:r>
              <w:t>按时按月及时发放</w:t>
            </w:r>
          </w:p>
        </w:tc>
        <w:tc>
          <w:tcPr>
            <w:tcW w:w="2268" w:type="dxa"/>
            <w:vAlign w:val="center"/>
          </w:tcPr>
          <w:p>
            <w:pPr>
              <w:pStyle w:val="14"/>
            </w:pPr>
            <w:r>
              <w:t>提高服务水平，提高业务能力</w:t>
            </w:r>
          </w:p>
        </w:tc>
        <w:tc>
          <w:tcPr>
            <w:tcW w:w="1276" w:type="dxa"/>
            <w:vAlign w:val="center"/>
          </w:tcPr>
          <w:p>
            <w:pPr>
              <w:pStyle w:val="14"/>
            </w:pPr>
            <w:r>
              <w:t>提高服务水平，提高业务能力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对2名对头人员满意度</w:t>
            </w:r>
          </w:p>
        </w:tc>
        <w:tc>
          <w:tcPr>
            <w:tcW w:w="5386" w:type="dxa"/>
            <w:vAlign w:val="center"/>
          </w:tcPr>
          <w:p>
            <w:pPr>
              <w:pStyle w:val="14"/>
            </w:pPr>
            <w:r>
              <w:t>对2名对头人员满意度</w:t>
            </w:r>
          </w:p>
        </w:tc>
        <w:tc>
          <w:tcPr>
            <w:tcW w:w="2268" w:type="dxa"/>
            <w:vAlign w:val="center"/>
          </w:tcPr>
          <w:p>
            <w:pPr>
              <w:pStyle w:val="14"/>
            </w:pPr>
            <w:r>
              <w:t>对2名对头人员满意度</w:t>
            </w:r>
          </w:p>
        </w:tc>
        <w:tc>
          <w:tcPr>
            <w:tcW w:w="1276" w:type="dxa"/>
            <w:vAlign w:val="center"/>
          </w:tcPr>
          <w:p>
            <w:pPr>
              <w:pStyle w:val="14"/>
            </w:pPr>
            <w:r>
              <w:t>对2名对头人员满意度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13011126P000004102522</w:t>
            </w:r>
          </w:p>
        </w:tc>
        <w:tc>
          <w:tcPr>
            <w:tcW w:w="2835" w:type="dxa"/>
            <w:vAlign w:val="center"/>
          </w:tcPr>
          <w:p>
            <w:pPr>
              <w:pStyle w:val="12"/>
            </w:pPr>
            <w:r>
              <w:t>项目名称</w:t>
            </w:r>
          </w:p>
        </w:tc>
        <w:tc>
          <w:tcPr>
            <w:tcW w:w="6095" w:type="dxa"/>
            <w:gridSpan w:val="3"/>
            <w:vAlign w:val="center"/>
          </w:tcPr>
          <w:p>
            <w:pPr>
              <w:pStyle w:val="14"/>
            </w:pPr>
            <w:r>
              <w:t>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1.52</w:t>
            </w:r>
          </w:p>
        </w:tc>
        <w:tc>
          <w:tcPr>
            <w:tcW w:w="2835" w:type="dxa"/>
            <w:vAlign w:val="center"/>
          </w:tcPr>
          <w:p>
            <w:pPr>
              <w:pStyle w:val="12"/>
            </w:pPr>
            <w:r>
              <w:t>其中：财政    资金</w:t>
            </w:r>
          </w:p>
        </w:tc>
        <w:tc>
          <w:tcPr>
            <w:tcW w:w="2551" w:type="dxa"/>
            <w:vAlign w:val="center"/>
          </w:tcPr>
          <w:p>
            <w:pPr>
              <w:pStyle w:val="14"/>
            </w:pPr>
            <w:r>
              <w:t>1.52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按时缴纳事业单位残保金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1.按时缴纳事业单位残保金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在职人员</w:t>
            </w:r>
          </w:p>
        </w:tc>
        <w:tc>
          <w:tcPr>
            <w:tcW w:w="5386" w:type="dxa"/>
            <w:vAlign w:val="center"/>
          </w:tcPr>
          <w:p>
            <w:pPr>
              <w:pStyle w:val="14"/>
            </w:pPr>
            <w:r>
              <w:t>14名</w:t>
            </w:r>
          </w:p>
        </w:tc>
        <w:tc>
          <w:tcPr>
            <w:tcW w:w="2268" w:type="dxa"/>
            <w:vAlign w:val="center"/>
          </w:tcPr>
          <w:p>
            <w:pPr>
              <w:pStyle w:val="14"/>
            </w:pPr>
            <w:r>
              <w:t>在职人员</w:t>
            </w:r>
          </w:p>
        </w:tc>
        <w:tc>
          <w:tcPr>
            <w:tcW w:w="1276" w:type="dxa"/>
            <w:vAlign w:val="center"/>
          </w:tcPr>
          <w:p>
            <w:pPr>
              <w:pStyle w:val="14"/>
            </w:pPr>
            <w:r>
              <w:t>在职人员</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单位正常运转</w:t>
            </w:r>
          </w:p>
        </w:tc>
        <w:tc>
          <w:tcPr>
            <w:tcW w:w="5386" w:type="dxa"/>
            <w:vAlign w:val="center"/>
          </w:tcPr>
          <w:p>
            <w:pPr>
              <w:pStyle w:val="14"/>
            </w:pPr>
            <w:r>
              <w:t>按时缴纳应缴事业单位残保金</w:t>
            </w:r>
          </w:p>
        </w:tc>
        <w:tc>
          <w:tcPr>
            <w:tcW w:w="2268" w:type="dxa"/>
            <w:vAlign w:val="center"/>
          </w:tcPr>
          <w:p>
            <w:pPr>
              <w:pStyle w:val="14"/>
            </w:pPr>
            <w:r>
              <w:t>单位正常运转</w:t>
            </w:r>
          </w:p>
        </w:tc>
        <w:tc>
          <w:tcPr>
            <w:tcW w:w="1276" w:type="dxa"/>
            <w:vAlign w:val="center"/>
          </w:tcPr>
          <w:p>
            <w:pPr>
              <w:pStyle w:val="14"/>
            </w:pPr>
            <w:r>
              <w:t>单位正常运转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按时间节点及时缴纳</w:t>
            </w:r>
          </w:p>
        </w:tc>
        <w:tc>
          <w:tcPr>
            <w:tcW w:w="5386" w:type="dxa"/>
            <w:vAlign w:val="center"/>
          </w:tcPr>
          <w:p>
            <w:pPr>
              <w:pStyle w:val="14"/>
            </w:pPr>
            <w:r>
              <w:t>对14名在职人员按照要求及时缴纳</w:t>
            </w:r>
          </w:p>
        </w:tc>
        <w:tc>
          <w:tcPr>
            <w:tcW w:w="2268" w:type="dxa"/>
            <w:vAlign w:val="center"/>
          </w:tcPr>
          <w:p>
            <w:pPr>
              <w:pStyle w:val="14"/>
            </w:pPr>
            <w:r>
              <w:t>按时间节点及时缴纳</w:t>
            </w:r>
          </w:p>
        </w:tc>
        <w:tc>
          <w:tcPr>
            <w:tcW w:w="1276" w:type="dxa"/>
            <w:vAlign w:val="center"/>
          </w:tcPr>
          <w:p>
            <w:pPr>
              <w:pStyle w:val="14"/>
            </w:pPr>
            <w:r>
              <w:t>按时间节点及时缴纳</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不吵预算</w:t>
            </w:r>
          </w:p>
        </w:tc>
        <w:tc>
          <w:tcPr>
            <w:tcW w:w="5386" w:type="dxa"/>
            <w:vAlign w:val="center"/>
          </w:tcPr>
          <w:p>
            <w:pPr>
              <w:pStyle w:val="14"/>
            </w:pPr>
            <w:r>
              <w:t>不超预算</w:t>
            </w:r>
          </w:p>
        </w:tc>
        <w:tc>
          <w:tcPr>
            <w:tcW w:w="2268" w:type="dxa"/>
            <w:vAlign w:val="center"/>
          </w:tcPr>
          <w:p>
            <w:pPr>
              <w:pStyle w:val="14"/>
            </w:pPr>
            <w:r>
              <w:t>不吵预算</w:t>
            </w:r>
          </w:p>
        </w:tc>
        <w:tc>
          <w:tcPr>
            <w:tcW w:w="1276" w:type="dxa"/>
            <w:vAlign w:val="center"/>
          </w:tcPr>
          <w:p>
            <w:pPr>
              <w:pStyle w:val="14"/>
            </w:pPr>
            <w:r>
              <w:t>不吵预算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提高服务水平，提高业务能力</w:t>
            </w:r>
          </w:p>
        </w:tc>
        <w:tc>
          <w:tcPr>
            <w:tcW w:w="5386" w:type="dxa"/>
            <w:vAlign w:val="center"/>
          </w:tcPr>
          <w:p>
            <w:pPr>
              <w:pStyle w:val="14"/>
            </w:pPr>
            <w:r>
              <w:t>按时缴纳单位残保金</w:t>
            </w:r>
          </w:p>
        </w:tc>
        <w:tc>
          <w:tcPr>
            <w:tcW w:w="2268" w:type="dxa"/>
            <w:vAlign w:val="center"/>
          </w:tcPr>
          <w:p>
            <w:pPr>
              <w:pStyle w:val="14"/>
            </w:pPr>
            <w:r>
              <w:t>提高服务水平，提高业务能力</w:t>
            </w:r>
          </w:p>
        </w:tc>
        <w:tc>
          <w:tcPr>
            <w:tcW w:w="1276" w:type="dxa"/>
            <w:vAlign w:val="center"/>
          </w:tcPr>
          <w:p>
            <w:pPr>
              <w:pStyle w:val="14"/>
            </w:pPr>
            <w:r>
              <w:t>提高服务水平，提高业务能力</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对14名在职人员满意度</w:t>
            </w:r>
          </w:p>
        </w:tc>
        <w:tc>
          <w:tcPr>
            <w:tcW w:w="5386" w:type="dxa"/>
            <w:vAlign w:val="center"/>
          </w:tcPr>
          <w:p>
            <w:pPr>
              <w:pStyle w:val="14"/>
            </w:pPr>
            <w:r>
              <w:t>对14名在职人员满意度</w:t>
            </w:r>
          </w:p>
        </w:tc>
        <w:tc>
          <w:tcPr>
            <w:tcW w:w="2268" w:type="dxa"/>
            <w:vAlign w:val="center"/>
          </w:tcPr>
          <w:p>
            <w:pPr>
              <w:pStyle w:val="14"/>
            </w:pPr>
            <w:r>
              <w:t>对14名在职人员满意度</w:t>
            </w:r>
          </w:p>
        </w:tc>
        <w:tc>
          <w:tcPr>
            <w:tcW w:w="1276" w:type="dxa"/>
            <w:vAlign w:val="center"/>
          </w:tcPr>
          <w:p>
            <w:pPr>
              <w:pStyle w:val="14"/>
            </w:pPr>
            <w:r>
              <w:t>对14名在职人员满意度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13011126P00000410249F</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w:t>
            </w:r>
          </w:p>
        </w:tc>
        <w:tc>
          <w:tcPr>
            <w:tcW w:w="2835" w:type="dxa"/>
            <w:vAlign w:val="center"/>
          </w:tcPr>
          <w:p>
            <w:pPr>
              <w:pStyle w:val="12"/>
            </w:pPr>
            <w:r>
              <w:t>其中：财政    资金</w:t>
            </w:r>
          </w:p>
        </w:tc>
        <w:tc>
          <w:tcPr>
            <w:tcW w:w="2551" w:type="dxa"/>
            <w:vAlign w:val="center"/>
          </w:tcPr>
          <w:p>
            <w:pPr>
              <w:pStyle w:val="14"/>
            </w:pPr>
            <w:r>
              <w:t>1.96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按时缴纳行政机关残保金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1.按时缴纳行政机关残保金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在职人员</w:t>
            </w:r>
          </w:p>
        </w:tc>
        <w:tc>
          <w:tcPr>
            <w:tcW w:w="5386" w:type="dxa"/>
            <w:vAlign w:val="center"/>
          </w:tcPr>
          <w:p>
            <w:pPr>
              <w:pStyle w:val="14"/>
            </w:pPr>
            <w:r>
              <w:t>14名</w:t>
            </w:r>
          </w:p>
        </w:tc>
        <w:tc>
          <w:tcPr>
            <w:tcW w:w="2268" w:type="dxa"/>
            <w:vAlign w:val="center"/>
          </w:tcPr>
          <w:p>
            <w:pPr>
              <w:pStyle w:val="14"/>
            </w:pPr>
            <w:r>
              <w:t>在职人员</w:t>
            </w:r>
          </w:p>
        </w:tc>
        <w:tc>
          <w:tcPr>
            <w:tcW w:w="1276" w:type="dxa"/>
            <w:vAlign w:val="center"/>
          </w:tcPr>
          <w:p>
            <w:pPr>
              <w:pStyle w:val="14"/>
            </w:pPr>
            <w:r>
              <w:t>在职人员</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单位正常运转</w:t>
            </w:r>
          </w:p>
        </w:tc>
        <w:tc>
          <w:tcPr>
            <w:tcW w:w="5386" w:type="dxa"/>
            <w:vAlign w:val="center"/>
          </w:tcPr>
          <w:p>
            <w:pPr>
              <w:pStyle w:val="14"/>
            </w:pPr>
            <w:r>
              <w:t>按时缴纳应缴行政单位残保金</w:t>
            </w:r>
          </w:p>
        </w:tc>
        <w:tc>
          <w:tcPr>
            <w:tcW w:w="2268" w:type="dxa"/>
            <w:vAlign w:val="center"/>
          </w:tcPr>
          <w:p>
            <w:pPr>
              <w:pStyle w:val="14"/>
            </w:pPr>
            <w:r>
              <w:t>单位正常运转</w:t>
            </w:r>
          </w:p>
        </w:tc>
        <w:tc>
          <w:tcPr>
            <w:tcW w:w="1276" w:type="dxa"/>
            <w:vAlign w:val="center"/>
          </w:tcPr>
          <w:p>
            <w:pPr>
              <w:pStyle w:val="14"/>
            </w:pPr>
            <w:r>
              <w:t>单位正常运转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按时间节点及时缴纳</w:t>
            </w:r>
          </w:p>
        </w:tc>
        <w:tc>
          <w:tcPr>
            <w:tcW w:w="5386" w:type="dxa"/>
            <w:vAlign w:val="center"/>
          </w:tcPr>
          <w:p>
            <w:pPr>
              <w:pStyle w:val="14"/>
            </w:pPr>
            <w:r>
              <w:t>对14名在职人员按照要求及时缴纳</w:t>
            </w:r>
          </w:p>
        </w:tc>
        <w:tc>
          <w:tcPr>
            <w:tcW w:w="2268" w:type="dxa"/>
            <w:vAlign w:val="center"/>
          </w:tcPr>
          <w:p>
            <w:pPr>
              <w:pStyle w:val="14"/>
            </w:pPr>
            <w:r>
              <w:t>按时间节点及时缴纳</w:t>
            </w:r>
          </w:p>
        </w:tc>
        <w:tc>
          <w:tcPr>
            <w:tcW w:w="1276" w:type="dxa"/>
            <w:vAlign w:val="center"/>
          </w:tcPr>
          <w:p>
            <w:pPr>
              <w:pStyle w:val="14"/>
            </w:pPr>
            <w:r>
              <w:t>按时间节点及时缴纳</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不吵预算</w:t>
            </w:r>
          </w:p>
        </w:tc>
        <w:tc>
          <w:tcPr>
            <w:tcW w:w="5386" w:type="dxa"/>
            <w:vAlign w:val="center"/>
          </w:tcPr>
          <w:p>
            <w:pPr>
              <w:pStyle w:val="14"/>
            </w:pPr>
            <w:r>
              <w:t>不超预算</w:t>
            </w:r>
          </w:p>
        </w:tc>
        <w:tc>
          <w:tcPr>
            <w:tcW w:w="2268" w:type="dxa"/>
            <w:vAlign w:val="center"/>
          </w:tcPr>
          <w:p>
            <w:pPr>
              <w:pStyle w:val="14"/>
            </w:pPr>
            <w:r>
              <w:t>不吵预算</w:t>
            </w:r>
          </w:p>
        </w:tc>
        <w:tc>
          <w:tcPr>
            <w:tcW w:w="1276" w:type="dxa"/>
            <w:vAlign w:val="center"/>
          </w:tcPr>
          <w:p>
            <w:pPr>
              <w:pStyle w:val="14"/>
            </w:pPr>
            <w:r>
              <w:t>不吵预算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提高服务水平，提高业务能力</w:t>
            </w:r>
          </w:p>
        </w:tc>
        <w:tc>
          <w:tcPr>
            <w:tcW w:w="5386" w:type="dxa"/>
            <w:vAlign w:val="center"/>
          </w:tcPr>
          <w:p>
            <w:pPr>
              <w:pStyle w:val="14"/>
            </w:pPr>
            <w:r>
              <w:t>按时缴纳单位残保金</w:t>
            </w:r>
          </w:p>
        </w:tc>
        <w:tc>
          <w:tcPr>
            <w:tcW w:w="2268" w:type="dxa"/>
            <w:vAlign w:val="center"/>
          </w:tcPr>
          <w:p>
            <w:pPr>
              <w:pStyle w:val="14"/>
            </w:pPr>
            <w:r>
              <w:t>提高服务水平，提高业务能力</w:t>
            </w:r>
          </w:p>
        </w:tc>
        <w:tc>
          <w:tcPr>
            <w:tcW w:w="1276" w:type="dxa"/>
            <w:vAlign w:val="center"/>
          </w:tcPr>
          <w:p>
            <w:pPr>
              <w:pStyle w:val="14"/>
            </w:pPr>
            <w:r>
              <w:t>提高服务水平，提高业务能力</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对14名在职人员满意度</w:t>
            </w:r>
          </w:p>
        </w:tc>
        <w:tc>
          <w:tcPr>
            <w:tcW w:w="5386" w:type="dxa"/>
            <w:vAlign w:val="center"/>
          </w:tcPr>
          <w:p>
            <w:pPr>
              <w:pStyle w:val="14"/>
            </w:pPr>
            <w:r>
              <w:t>对14名在职人员满意度</w:t>
            </w:r>
          </w:p>
        </w:tc>
        <w:tc>
          <w:tcPr>
            <w:tcW w:w="2268" w:type="dxa"/>
            <w:vAlign w:val="center"/>
          </w:tcPr>
          <w:p>
            <w:pPr>
              <w:pStyle w:val="14"/>
            </w:pPr>
            <w:r>
              <w:t>对14名在职人员满意度</w:t>
            </w:r>
          </w:p>
        </w:tc>
        <w:tc>
          <w:tcPr>
            <w:tcW w:w="1276" w:type="dxa"/>
            <w:vAlign w:val="center"/>
          </w:tcPr>
          <w:p>
            <w:pPr>
              <w:pStyle w:val="14"/>
            </w:pPr>
            <w:r>
              <w:t>对14名在职人员满意度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6、运转项目绩效目标表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13011126P00000410898Y</w:t>
            </w:r>
          </w:p>
        </w:tc>
        <w:tc>
          <w:tcPr>
            <w:tcW w:w="2835" w:type="dxa"/>
            <w:vAlign w:val="center"/>
          </w:tcPr>
          <w:p>
            <w:pPr>
              <w:pStyle w:val="12"/>
            </w:pPr>
            <w:r>
              <w:t>项目名称</w:t>
            </w:r>
          </w:p>
        </w:tc>
        <w:tc>
          <w:tcPr>
            <w:tcW w:w="6095" w:type="dxa"/>
            <w:gridSpan w:val="3"/>
            <w:vAlign w:val="center"/>
          </w:tcPr>
          <w:p>
            <w:pPr>
              <w:pStyle w:val="14"/>
            </w:pPr>
            <w:r>
              <w:t>运转项目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74.00</w:t>
            </w:r>
          </w:p>
        </w:tc>
        <w:tc>
          <w:tcPr>
            <w:tcW w:w="2835" w:type="dxa"/>
            <w:vAlign w:val="center"/>
          </w:tcPr>
          <w:p>
            <w:pPr>
              <w:pStyle w:val="12"/>
            </w:pPr>
            <w:r>
              <w:t>其中：财政    资金</w:t>
            </w:r>
          </w:p>
        </w:tc>
        <w:tc>
          <w:tcPr>
            <w:tcW w:w="2551" w:type="dxa"/>
            <w:vAlign w:val="center"/>
          </w:tcPr>
          <w:p>
            <w:pPr>
              <w:pStyle w:val="14"/>
            </w:pPr>
            <w:r>
              <w:t>74.00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机关项目支出，保障机关正常运转。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18.50</w:t>
            </w:r>
          </w:p>
        </w:tc>
        <w:tc>
          <w:tcPr>
            <w:tcW w:w="2835" w:type="dxa"/>
            <w:vAlign w:val="center"/>
          </w:tcPr>
          <w:p>
            <w:pPr>
              <w:pStyle w:val="15"/>
            </w:pPr>
            <w:r>
              <w:t>18.50</w:t>
            </w:r>
          </w:p>
        </w:tc>
        <w:tc>
          <w:tcPr>
            <w:tcW w:w="2551" w:type="dxa"/>
            <w:vAlign w:val="center"/>
          </w:tcPr>
          <w:p>
            <w:pPr>
              <w:pStyle w:val="15"/>
            </w:pPr>
            <w:r>
              <w:t>18.50</w:t>
            </w:r>
          </w:p>
        </w:tc>
        <w:tc>
          <w:tcPr>
            <w:tcW w:w="3544" w:type="dxa"/>
            <w:gridSpan w:val="2"/>
            <w:vAlign w:val="center"/>
          </w:tcPr>
          <w:p>
            <w:pPr>
              <w:pStyle w:val="15"/>
            </w:pPr>
            <w:r>
              <w:t>18.50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1.机关项目支出，保障机关正常运转。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机关项目数量</w:t>
            </w:r>
          </w:p>
        </w:tc>
        <w:tc>
          <w:tcPr>
            <w:tcW w:w="5386" w:type="dxa"/>
            <w:vAlign w:val="center"/>
          </w:tcPr>
          <w:p>
            <w:pPr>
              <w:pStyle w:val="14"/>
            </w:pPr>
            <w:r>
              <w:t>保障20项项目经费支出</w:t>
            </w:r>
          </w:p>
        </w:tc>
        <w:tc>
          <w:tcPr>
            <w:tcW w:w="2268" w:type="dxa"/>
            <w:vAlign w:val="center"/>
          </w:tcPr>
          <w:p>
            <w:pPr>
              <w:pStyle w:val="14"/>
            </w:pPr>
            <w:r>
              <w:t>机关项目数量</w:t>
            </w:r>
          </w:p>
        </w:tc>
        <w:tc>
          <w:tcPr>
            <w:tcW w:w="1276" w:type="dxa"/>
            <w:vAlign w:val="center"/>
          </w:tcPr>
          <w:p>
            <w:pPr>
              <w:pStyle w:val="14"/>
            </w:pPr>
            <w:r>
              <w:t>机关项目数量</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单位正常运转</w:t>
            </w:r>
          </w:p>
        </w:tc>
        <w:tc>
          <w:tcPr>
            <w:tcW w:w="5386" w:type="dxa"/>
            <w:vAlign w:val="center"/>
          </w:tcPr>
          <w:p>
            <w:pPr>
              <w:pStyle w:val="14"/>
            </w:pPr>
            <w:r>
              <w:t>完成上级交办的各项任务目标</w:t>
            </w:r>
          </w:p>
        </w:tc>
        <w:tc>
          <w:tcPr>
            <w:tcW w:w="2268" w:type="dxa"/>
            <w:vAlign w:val="center"/>
          </w:tcPr>
          <w:p>
            <w:pPr>
              <w:pStyle w:val="14"/>
            </w:pPr>
            <w:r>
              <w:t>单位正常运转</w:t>
            </w:r>
          </w:p>
        </w:tc>
        <w:tc>
          <w:tcPr>
            <w:tcW w:w="1276" w:type="dxa"/>
            <w:vAlign w:val="center"/>
          </w:tcPr>
          <w:p>
            <w:pPr>
              <w:pStyle w:val="14"/>
            </w:pPr>
            <w:r>
              <w:t>单位正常运转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w:t>
            </w:r>
          </w:p>
        </w:tc>
        <w:tc>
          <w:tcPr>
            <w:tcW w:w="5386" w:type="dxa"/>
            <w:vAlign w:val="center"/>
          </w:tcPr>
          <w:p>
            <w:pPr>
              <w:pStyle w:val="14"/>
            </w:pPr>
            <w:r>
              <w:t>及时支付各项项目经费，确保机关正常运转</w:t>
            </w:r>
          </w:p>
        </w:tc>
        <w:tc>
          <w:tcPr>
            <w:tcW w:w="2268" w:type="dxa"/>
            <w:vAlign w:val="center"/>
          </w:tcPr>
          <w:p>
            <w:pPr>
              <w:pStyle w:val="14"/>
            </w:pPr>
            <w:r>
              <w:t>及时支付</w:t>
            </w:r>
          </w:p>
        </w:tc>
        <w:tc>
          <w:tcPr>
            <w:tcW w:w="1276" w:type="dxa"/>
            <w:vAlign w:val="center"/>
          </w:tcPr>
          <w:p>
            <w:pPr>
              <w:pStyle w:val="14"/>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提高服务水平，提高业务能力</w:t>
            </w:r>
          </w:p>
        </w:tc>
        <w:tc>
          <w:tcPr>
            <w:tcW w:w="5386" w:type="dxa"/>
            <w:vAlign w:val="center"/>
          </w:tcPr>
          <w:p>
            <w:pPr>
              <w:pStyle w:val="14"/>
            </w:pPr>
            <w:r>
              <w:t>机关正常运行，提高工作效率</w:t>
            </w:r>
          </w:p>
        </w:tc>
        <w:tc>
          <w:tcPr>
            <w:tcW w:w="2268" w:type="dxa"/>
            <w:vAlign w:val="center"/>
          </w:tcPr>
          <w:p>
            <w:pPr>
              <w:pStyle w:val="14"/>
            </w:pPr>
            <w:r>
              <w:t>提高服务水平，提高业务能力</w:t>
            </w:r>
          </w:p>
        </w:tc>
        <w:tc>
          <w:tcPr>
            <w:tcW w:w="1276" w:type="dxa"/>
            <w:vAlign w:val="center"/>
          </w:tcPr>
          <w:p>
            <w:pPr>
              <w:pStyle w:val="14"/>
            </w:pPr>
            <w:r>
              <w:t>提高服务水平，提高业务能力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对机关的满意度</w:t>
            </w:r>
          </w:p>
        </w:tc>
        <w:tc>
          <w:tcPr>
            <w:tcW w:w="5386" w:type="dxa"/>
            <w:vAlign w:val="center"/>
          </w:tcPr>
          <w:p>
            <w:pPr>
              <w:pStyle w:val="14"/>
            </w:pPr>
            <w:r>
              <w:t>整个正常运转，机关人员工作满意</w:t>
            </w:r>
          </w:p>
        </w:tc>
        <w:tc>
          <w:tcPr>
            <w:tcW w:w="2268" w:type="dxa"/>
            <w:vAlign w:val="center"/>
          </w:tcPr>
          <w:p>
            <w:pPr>
              <w:pStyle w:val="14"/>
            </w:pPr>
            <w:r>
              <w:t>对机关的满意度</w:t>
            </w:r>
          </w:p>
        </w:tc>
        <w:tc>
          <w:tcPr>
            <w:tcW w:w="1276" w:type="dxa"/>
            <w:vAlign w:val="center"/>
          </w:tcPr>
          <w:p>
            <w:pPr>
              <w:pStyle w:val="14"/>
            </w:pPr>
            <w:r>
              <w:t>对机关的满意度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7、政法四级网维保费绩效目标表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13011126P00000410962Y</w:t>
            </w:r>
          </w:p>
        </w:tc>
        <w:tc>
          <w:tcPr>
            <w:tcW w:w="2835" w:type="dxa"/>
            <w:vAlign w:val="center"/>
          </w:tcPr>
          <w:p>
            <w:pPr>
              <w:pStyle w:val="12"/>
            </w:pPr>
            <w:r>
              <w:t>项目名称</w:t>
            </w:r>
          </w:p>
        </w:tc>
        <w:tc>
          <w:tcPr>
            <w:tcW w:w="6095" w:type="dxa"/>
            <w:gridSpan w:val="3"/>
            <w:vAlign w:val="center"/>
          </w:tcPr>
          <w:p>
            <w:pPr>
              <w:pStyle w:val="14"/>
            </w:pPr>
            <w:r>
              <w:t>政法四级网维保费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129.11</w:t>
            </w:r>
          </w:p>
        </w:tc>
        <w:tc>
          <w:tcPr>
            <w:tcW w:w="2835" w:type="dxa"/>
            <w:vAlign w:val="center"/>
          </w:tcPr>
          <w:p>
            <w:pPr>
              <w:pStyle w:val="12"/>
            </w:pPr>
            <w:r>
              <w:t>其中：财政    资金</w:t>
            </w:r>
          </w:p>
        </w:tc>
        <w:tc>
          <w:tcPr>
            <w:tcW w:w="2551" w:type="dxa"/>
            <w:vAlign w:val="center"/>
          </w:tcPr>
          <w:p>
            <w:pPr>
              <w:pStyle w:val="14"/>
            </w:pPr>
            <w:r>
              <w:t>129.11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用于政法四级网设备维护，确保网络正常运转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65.00</w:t>
            </w:r>
          </w:p>
        </w:tc>
        <w:tc>
          <w:tcPr>
            <w:tcW w:w="2551" w:type="dxa"/>
            <w:vAlign w:val="center"/>
          </w:tcPr>
          <w:p>
            <w:pPr>
              <w:pStyle w:val="15"/>
            </w:pPr>
            <w:r>
              <w:t xml:space="preserve"> </w:t>
            </w:r>
          </w:p>
        </w:tc>
        <w:tc>
          <w:tcPr>
            <w:tcW w:w="3544" w:type="dxa"/>
            <w:gridSpan w:val="2"/>
            <w:vAlign w:val="center"/>
          </w:tcPr>
          <w:p>
            <w:pPr>
              <w:pStyle w:val="15"/>
            </w:pPr>
            <w:r>
              <w:t>64.11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1.用于政法四级网设备维护，确保网络正常运转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全区35个节点四级网设备</w:t>
            </w:r>
          </w:p>
        </w:tc>
        <w:tc>
          <w:tcPr>
            <w:tcW w:w="5386" w:type="dxa"/>
            <w:vAlign w:val="center"/>
          </w:tcPr>
          <w:p>
            <w:pPr>
              <w:pStyle w:val="14"/>
            </w:pPr>
            <w:r>
              <w:t>对全区政法四级网做好设备网络维护，确保正常运行</w:t>
            </w:r>
          </w:p>
        </w:tc>
        <w:tc>
          <w:tcPr>
            <w:tcW w:w="2268" w:type="dxa"/>
            <w:vAlign w:val="center"/>
          </w:tcPr>
          <w:p>
            <w:pPr>
              <w:pStyle w:val="14"/>
            </w:pPr>
            <w:r>
              <w:t>全区35个节点四级网设备</w:t>
            </w:r>
          </w:p>
        </w:tc>
        <w:tc>
          <w:tcPr>
            <w:tcW w:w="1276" w:type="dxa"/>
            <w:vAlign w:val="center"/>
          </w:tcPr>
          <w:p>
            <w:pPr>
              <w:pStyle w:val="14"/>
            </w:pPr>
            <w:r>
              <w:t>全区35个节点四级网设备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通讯畅通</w:t>
            </w:r>
          </w:p>
        </w:tc>
        <w:tc>
          <w:tcPr>
            <w:tcW w:w="5386" w:type="dxa"/>
            <w:vAlign w:val="center"/>
          </w:tcPr>
          <w:p>
            <w:pPr>
              <w:pStyle w:val="14"/>
            </w:pPr>
            <w:r>
              <w:t>能够长期较好的确保网络视频、音频数据传输，保障通讯正常</w:t>
            </w:r>
          </w:p>
        </w:tc>
        <w:tc>
          <w:tcPr>
            <w:tcW w:w="2268" w:type="dxa"/>
            <w:vAlign w:val="center"/>
          </w:tcPr>
          <w:p>
            <w:pPr>
              <w:pStyle w:val="14"/>
            </w:pPr>
            <w:r>
              <w:t>通讯畅通</w:t>
            </w:r>
          </w:p>
        </w:tc>
        <w:tc>
          <w:tcPr>
            <w:tcW w:w="1276" w:type="dxa"/>
            <w:vAlign w:val="center"/>
          </w:tcPr>
          <w:p>
            <w:pPr>
              <w:pStyle w:val="14"/>
            </w:pPr>
            <w:r>
              <w:t>通讯畅通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及时支付维保费</w:t>
            </w:r>
          </w:p>
        </w:tc>
        <w:tc>
          <w:tcPr>
            <w:tcW w:w="5386" w:type="dxa"/>
            <w:vAlign w:val="center"/>
          </w:tcPr>
          <w:p>
            <w:pPr>
              <w:pStyle w:val="14"/>
            </w:pPr>
            <w:r>
              <w:t>按照合同要求，及时支付维保费</w:t>
            </w:r>
          </w:p>
        </w:tc>
        <w:tc>
          <w:tcPr>
            <w:tcW w:w="2268" w:type="dxa"/>
            <w:vAlign w:val="center"/>
          </w:tcPr>
          <w:p>
            <w:pPr>
              <w:pStyle w:val="14"/>
            </w:pPr>
            <w:r>
              <w:t>及时支付维保费</w:t>
            </w:r>
          </w:p>
        </w:tc>
        <w:tc>
          <w:tcPr>
            <w:tcW w:w="1276" w:type="dxa"/>
            <w:vAlign w:val="center"/>
          </w:tcPr>
          <w:p>
            <w:pPr>
              <w:pStyle w:val="14"/>
            </w:pPr>
            <w:r>
              <w:t>及时支付维保费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不超预算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政法四级网正常运转，提高工作效率</w:t>
            </w:r>
          </w:p>
        </w:tc>
        <w:tc>
          <w:tcPr>
            <w:tcW w:w="2268" w:type="dxa"/>
            <w:vAlign w:val="center"/>
          </w:tcPr>
          <w:p>
            <w:pPr>
              <w:pStyle w:val="14"/>
            </w:pPr>
            <w:r>
              <w:t>提高工作效率</w:t>
            </w:r>
          </w:p>
        </w:tc>
        <w:tc>
          <w:tcPr>
            <w:tcW w:w="1276" w:type="dxa"/>
            <w:vAlign w:val="center"/>
          </w:tcPr>
          <w:p>
            <w:pPr>
              <w:pStyle w:val="14"/>
            </w:pPr>
            <w:r>
              <w:t>提高工作效率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对维保公司满意度</w:t>
            </w:r>
          </w:p>
        </w:tc>
        <w:tc>
          <w:tcPr>
            <w:tcW w:w="5386" w:type="dxa"/>
            <w:vAlign w:val="center"/>
          </w:tcPr>
          <w:p>
            <w:pPr>
              <w:pStyle w:val="14"/>
            </w:pPr>
            <w:r>
              <w:t>维保公司确保设备维护，四级网运转正常</w:t>
            </w:r>
          </w:p>
        </w:tc>
        <w:tc>
          <w:tcPr>
            <w:tcW w:w="2268" w:type="dxa"/>
            <w:vAlign w:val="center"/>
          </w:tcPr>
          <w:p>
            <w:pPr>
              <w:pStyle w:val="14"/>
            </w:pPr>
            <w:r>
              <w:t>对维保公司满意度</w:t>
            </w:r>
          </w:p>
        </w:tc>
        <w:tc>
          <w:tcPr>
            <w:tcW w:w="1276" w:type="dxa"/>
            <w:vAlign w:val="center"/>
          </w:tcPr>
          <w:p>
            <w:pPr>
              <w:pStyle w:val="14"/>
            </w:pPr>
            <w:r>
              <w:t>对维保公司满意度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215001栾城区委政法委(本级)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1.20</w:t>
            </w:r>
          </w:p>
        </w:tc>
        <w:tc>
          <w:tcPr>
            <w:tcW w:w="964" w:type="dxa"/>
            <w:vAlign w:val="center"/>
          </w:tcPr>
          <w:p>
            <w:pPr>
              <w:pStyle w:val="17"/>
            </w:pPr>
            <w:r>
              <w:t>1.20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栾城区委政法委(本级)小计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1.20</w:t>
            </w:r>
          </w:p>
        </w:tc>
        <w:tc>
          <w:tcPr>
            <w:tcW w:w="964" w:type="dxa"/>
            <w:vAlign w:val="center"/>
          </w:tcPr>
          <w:p>
            <w:pPr>
              <w:pStyle w:val="17"/>
            </w:pPr>
            <w:r>
              <w:t>1.20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7.21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600</w:t>
            </w:r>
          </w:p>
        </w:tc>
        <w:tc>
          <w:tcPr>
            <w:tcW w:w="850" w:type="dxa"/>
            <w:vAlign w:val="center"/>
          </w:tcPr>
          <w:p>
            <w:pPr>
              <w:pStyle w:val="13"/>
            </w:pPr>
            <w:r>
              <w:t>0.00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栾城区委政法委(本级)上年末固定资产金额为825.14万元（详见下表）。本年度拟购置固定资产总额为0.00万元，已按要求列入政府采购预算，详见政府采购预算表。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215001栾城区委政法委(本级)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r>
              <w:t>113.47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711.67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二、石家庄市栾城区社会治安综合治理中心收支预算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230.11</w:t>
            </w:r>
          </w:p>
        </w:tc>
        <w:tc>
          <w:tcPr>
            <w:tcW w:w="4535" w:type="dxa"/>
            <w:vAlign w:val="center"/>
          </w:tcPr>
          <w:p>
            <w:pPr>
              <w:pStyle w:val="14"/>
            </w:pPr>
            <w:r>
              <w:t>一、一般公共服务支出</w:t>
            </w:r>
          </w:p>
        </w:tc>
        <w:tc>
          <w:tcPr>
            <w:tcW w:w="2126" w:type="dxa"/>
            <w:vAlign w:val="center"/>
          </w:tcPr>
          <w:p>
            <w:pPr>
              <w:pStyle w:val="13"/>
            </w:pPr>
            <w:r>
              <w:t>196.64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230.11</w:t>
            </w:r>
          </w:p>
        </w:tc>
        <w:tc>
          <w:tcPr>
            <w:tcW w:w="4535" w:type="dxa"/>
            <w:vAlign w:val="center"/>
          </w:tcPr>
          <w:p>
            <w:pPr>
              <w:pStyle w:val="16"/>
            </w:pPr>
            <w:r>
              <w:t>本年支出合计</w:t>
            </w:r>
          </w:p>
        </w:tc>
        <w:tc>
          <w:tcPr>
            <w:tcW w:w="2126" w:type="dxa"/>
            <w:vAlign w:val="center"/>
          </w:tcPr>
          <w:p>
            <w:pPr>
              <w:pStyle w:val="17"/>
            </w:pPr>
            <w:r>
              <w:t>230.11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230.11</w:t>
            </w:r>
          </w:p>
        </w:tc>
        <w:tc>
          <w:tcPr>
            <w:tcW w:w="4535" w:type="dxa"/>
            <w:vAlign w:val="center"/>
          </w:tcPr>
          <w:p>
            <w:pPr>
              <w:pStyle w:val="16"/>
            </w:pPr>
            <w:r>
              <w:t>支出总计</w:t>
            </w:r>
          </w:p>
        </w:tc>
        <w:tc>
          <w:tcPr>
            <w:tcW w:w="2126" w:type="dxa"/>
            <w:vAlign w:val="center"/>
          </w:tcPr>
          <w:p>
            <w:pPr>
              <w:pStyle w:val="17"/>
            </w:pPr>
            <w:r>
              <w:t>230.11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230.11</w:t>
            </w:r>
          </w:p>
        </w:tc>
        <w:tc>
          <w:tcPr>
            <w:tcW w:w="1134" w:type="dxa"/>
            <w:vAlign w:val="center"/>
          </w:tcPr>
          <w:p>
            <w:pPr>
              <w:pStyle w:val="17"/>
            </w:pPr>
            <w:r>
              <w:t>230.11</w:t>
            </w:r>
          </w:p>
        </w:tc>
        <w:tc>
          <w:tcPr>
            <w:tcW w:w="1134" w:type="dxa"/>
            <w:vAlign w:val="center"/>
          </w:tcPr>
          <w:p>
            <w:pPr>
              <w:pStyle w:val="17"/>
            </w:pPr>
            <w:r>
              <w:t>230.11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r>
              <w:t>196.64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22.55</w:t>
            </w:r>
          </w:p>
        </w:tc>
        <w:tc>
          <w:tcPr>
            <w:tcW w:w="1134" w:type="dxa"/>
            <w:vAlign w:val="center"/>
          </w:tcPr>
          <w:p>
            <w:pPr>
              <w:pStyle w:val="13"/>
            </w:pPr>
            <w:r>
              <w:t>22.55</w:t>
            </w:r>
          </w:p>
        </w:tc>
        <w:tc>
          <w:tcPr>
            <w:tcW w:w="1134" w:type="dxa"/>
            <w:vAlign w:val="center"/>
          </w:tcPr>
          <w:p>
            <w:pPr>
              <w:pStyle w:val="13"/>
            </w:pPr>
            <w:r>
              <w:t>22.55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21.35</w:t>
            </w:r>
          </w:p>
        </w:tc>
        <w:tc>
          <w:tcPr>
            <w:tcW w:w="1134" w:type="dxa"/>
            <w:vAlign w:val="center"/>
          </w:tcPr>
          <w:p>
            <w:pPr>
              <w:pStyle w:val="13"/>
            </w:pPr>
            <w:r>
              <w:t>21.35</w:t>
            </w:r>
          </w:p>
        </w:tc>
        <w:tc>
          <w:tcPr>
            <w:tcW w:w="1134" w:type="dxa"/>
            <w:vAlign w:val="center"/>
          </w:tcPr>
          <w:p>
            <w:pPr>
              <w:pStyle w:val="13"/>
            </w:pPr>
            <w:r>
              <w:t>21.35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21.35</w:t>
            </w:r>
          </w:p>
        </w:tc>
        <w:tc>
          <w:tcPr>
            <w:tcW w:w="1134" w:type="dxa"/>
            <w:vAlign w:val="center"/>
          </w:tcPr>
          <w:p>
            <w:pPr>
              <w:pStyle w:val="13"/>
            </w:pPr>
            <w:r>
              <w:t>21.35</w:t>
            </w:r>
          </w:p>
        </w:tc>
        <w:tc>
          <w:tcPr>
            <w:tcW w:w="1134" w:type="dxa"/>
            <w:vAlign w:val="center"/>
          </w:tcPr>
          <w:p>
            <w:pPr>
              <w:pStyle w:val="13"/>
            </w:pPr>
            <w:r>
              <w:t>21.35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r>
              <w:t>10.92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230.11</w:t>
            </w:r>
          </w:p>
        </w:tc>
        <w:tc>
          <w:tcPr>
            <w:tcW w:w="1361" w:type="dxa"/>
            <w:vAlign w:val="center"/>
          </w:tcPr>
          <w:p>
            <w:pPr>
              <w:pStyle w:val="17"/>
            </w:pPr>
            <w:r>
              <w:t>230.11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196.64</w:t>
            </w:r>
          </w:p>
        </w:tc>
        <w:tc>
          <w:tcPr>
            <w:tcW w:w="1361" w:type="dxa"/>
            <w:vAlign w:val="center"/>
          </w:tcPr>
          <w:p>
            <w:pPr>
              <w:pStyle w:val="13"/>
            </w:pPr>
            <w:r>
              <w:t>196.64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196.64</w:t>
            </w:r>
          </w:p>
        </w:tc>
        <w:tc>
          <w:tcPr>
            <w:tcW w:w="1361" w:type="dxa"/>
            <w:vAlign w:val="center"/>
          </w:tcPr>
          <w:p>
            <w:pPr>
              <w:pStyle w:val="13"/>
            </w:pPr>
            <w:r>
              <w:t>196.64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196.64</w:t>
            </w:r>
          </w:p>
        </w:tc>
        <w:tc>
          <w:tcPr>
            <w:tcW w:w="1361" w:type="dxa"/>
            <w:vAlign w:val="center"/>
          </w:tcPr>
          <w:p>
            <w:pPr>
              <w:pStyle w:val="13"/>
            </w:pPr>
            <w:r>
              <w:t>196.64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22.55</w:t>
            </w:r>
          </w:p>
        </w:tc>
        <w:tc>
          <w:tcPr>
            <w:tcW w:w="1361" w:type="dxa"/>
            <w:vAlign w:val="center"/>
          </w:tcPr>
          <w:p>
            <w:pPr>
              <w:pStyle w:val="13"/>
            </w:pPr>
            <w:r>
              <w:t>22.55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21.35</w:t>
            </w:r>
          </w:p>
        </w:tc>
        <w:tc>
          <w:tcPr>
            <w:tcW w:w="1361" w:type="dxa"/>
            <w:vAlign w:val="center"/>
          </w:tcPr>
          <w:p>
            <w:pPr>
              <w:pStyle w:val="13"/>
            </w:pPr>
            <w:r>
              <w:t>21.35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21.35</w:t>
            </w:r>
          </w:p>
        </w:tc>
        <w:tc>
          <w:tcPr>
            <w:tcW w:w="1361" w:type="dxa"/>
            <w:vAlign w:val="center"/>
          </w:tcPr>
          <w:p>
            <w:pPr>
              <w:pStyle w:val="13"/>
            </w:pPr>
            <w:r>
              <w:t>21.35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0.70</w:t>
            </w:r>
          </w:p>
        </w:tc>
        <w:tc>
          <w:tcPr>
            <w:tcW w:w="1361" w:type="dxa"/>
            <w:vAlign w:val="center"/>
          </w:tcPr>
          <w:p>
            <w:pPr>
              <w:pStyle w:val="13"/>
            </w:pPr>
            <w:r>
              <w:t>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10.92</w:t>
            </w:r>
          </w:p>
        </w:tc>
        <w:tc>
          <w:tcPr>
            <w:tcW w:w="1361" w:type="dxa"/>
            <w:vAlign w:val="center"/>
          </w:tcPr>
          <w:p>
            <w:pPr>
              <w:pStyle w:val="13"/>
            </w:pPr>
            <w:r>
              <w:t>10.92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10.92</w:t>
            </w:r>
          </w:p>
        </w:tc>
        <w:tc>
          <w:tcPr>
            <w:tcW w:w="1361" w:type="dxa"/>
            <w:vAlign w:val="center"/>
          </w:tcPr>
          <w:p>
            <w:pPr>
              <w:pStyle w:val="13"/>
            </w:pPr>
            <w:r>
              <w:t>10.92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10.92</w:t>
            </w:r>
          </w:p>
        </w:tc>
        <w:tc>
          <w:tcPr>
            <w:tcW w:w="1361" w:type="dxa"/>
            <w:vAlign w:val="center"/>
          </w:tcPr>
          <w:p>
            <w:pPr>
              <w:pStyle w:val="13"/>
            </w:pPr>
            <w:r>
              <w:t>10.92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230.11</w:t>
            </w:r>
          </w:p>
        </w:tc>
        <w:tc>
          <w:tcPr>
            <w:tcW w:w="3402" w:type="dxa"/>
            <w:vAlign w:val="center"/>
          </w:tcPr>
          <w:p>
            <w:pPr>
              <w:pStyle w:val="14"/>
            </w:pPr>
            <w:r>
              <w:t>一、一般公共服务支出</w:t>
            </w:r>
          </w:p>
        </w:tc>
        <w:tc>
          <w:tcPr>
            <w:tcW w:w="1474" w:type="dxa"/>
            <w:vAlign w:val="center"/>
          </w:tcPr>
          <w:p>
            <w:pPr>
              <w:pStyle w:val="13"/>
            </w:pPr>
            <w:r>
              <w:t>196.64</w:t>
            </w:r>
          </w:p>
        </w:tc>
        <w:tc>
          <w:tcPr>
            <w:tcW w:w="1474" w:type="dxa"/>
            <w:vAlign w:val="center"/>
          </w:tcPr>
          <w:p>
            <w:pPr>
              <w:pStyle w:val="13"/>
            </w:pPr>
            <w:r>
              <w:t>196.64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22.55</w:t>
            </w:r>
          </w:p>
        </w:tc>
        <w:tc>
          <w:tcPr>
            <w:tcW w:w="1474" w:type="dxa"/>
            <w:vAlign w:val="center"/>
          </w:tcPr>
          <w:p>
            <w:pPr>
              <w:pStyle w:val="13"/>
            </w:pPr>
            <w:r>
              <w:t>22.55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10.92</w:t>
            </w:r>
          </w:p>
        </w:tc>
        <w:tc>
          <w:tcPr>
            <w:tcW w:w="1474" w:type="dxa"/>
            <w:vAlign w:val="center"/>
          </w:tcPr>
          <w:p>
            <w:pPr>
              <w:pStyle w:val="13"/>
            </w:pPr>
            <w:r>
              <w:t>10.92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230.11</w:t>
            </w:r>
          </w:p>
        </w:tc>
        <w:tc>
          <w:tcPr>
            <w:tcW w:w="3402" w:type="dxa"/>
            <w:vAlign w:val="center"/>
          </w:tcPr>
          <w:p>
            <w:pPr>
              <w:pStyle w:val="16"/>
            </w:pPr>
            <w:r>
              <w:t>本年支出合计</w:t>
            </w:r>
          </w:p>
        </w:tc>
        <w:tc>
          <w:tcPr>
            <w:tcW w:w="1474" w:type="dxa"/>
            <w:vAlign w:val="center"/>
          </w:tcPr>
          <w:p>
            <w:pPr>
              <w:pStyle w:val="17"/>
            </w:pPr>
            <w:r>
              <w:t>230.11</w:t>
            </w:r>
          </w:p>
        </w:tc>
        <w:tc>
          <w:tcPr>
            <w:tcW w:w="1474" w:type="dxa"/>
            <w:vAlign w:val="center"/>
          </w:tcPr>
          <w:p>
            <w:pPr>
              <w:pStyle w:val="17"/>
            </w:pPr>
            <w:r>
              <w:t>230.11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230.11</w:t>
            </w:r>
          </w:p>
        </w:tc>
        <w:tc>
          <w:tcPr>
            <w:tcW w:w="3402" w:type="dxa"/>
            <w:vAlign w:val="center"/>
          </w:tcPr>
          <w:p>
            <w:pPr>
              <w:pStyle w:val="16"/>
            </w:pPr>
            <w:r>
              <w:t>支出总计</w:t>
            </w:r>
          </w:p>
        </w:tc>
        <w:tc>
          <w:tcPr>
            <w:tcW w:w="1474" w:type="dxa"/>
            <w:vAlign w:val="center"/>
          </w:tcPr>
          <w:p>
            <w:pPr>
              <w:pStyle w:val="17"/>
            </w:pPr>
            <w:r>
              <w:t>230.11</w:t>
            </w:r>
          </w:p>
        </w:tc>
        <w:tc>
          <w:tcPr>
            <w:tcW w:w="1474" w:type="dxa"/>
            <w:vAlign w:val="center"/>
          </w:tcPr>
          <w:p>
            <w:pPr>
              <w:pStyle w:val="17"/>
            </w:pPr>
            <w:r>
              <w:t>230.11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230.11</w:t>
            </w:r>
          </w:p>
        </w:tc>
        <w:tc>
          <w:tcPr>
            <w:tcW w:w="2551" w:type="dxa"/>
            <w:vAlign w:val="center"/>
          </w:tcPr>
          <w:p>
            <w:pPr>
              <w:pStyle w:val="17"/>
            </w:pPr>
            <w:r>
              <w:t>230.11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196.64</w:t>
            </w:r>
          </w:p>
        </w:tc>
        <w:tc>
          <w:tcPr>
            <w:tcW w:w="2551" w:type="dxa"/>
            <w:vAlign w:val="center"/>
          </w:tcPr>
          <w:p>
            <w:pPr>
              <w:pStyle w:val="13"/>
            </w:pPr>
            <w:r>
              <w:t>196.64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196.64</w:t>
            </w:r>
          </w:p>
        </w:tc>
        <w:tc>
          <w:tcPr>
            <w:tcW w:w="2551" w:type="dxa"/>
            <w:vAlign w:val="center"/>
          </w:tcPr>
          <w:p>
            <w:pPr>
              <w:pStyle w:val="13"/>
            </w:pPr>
            <w:r>
              <w:t>196.64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196.64</w:t>
            </w:r>
          </w:p>
        </w:tc>
        <w:tc>
          <w:tcPr>
            <w:tcW w:w="2551" w:type="dxa"/>
            <w:vAlign w:val="center"/>
          </w:tcPr>
          <w:p>
            <w:pPr>
              <w:pStyle w:val="13"/>
            </w:pPr>
            <w:r>
              <w:t>196.64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22.55</w:t>
            </w:r>
          </w:p>
        </w:tc>
        <w:tc>
          <w:tcPr>
            <w:tcW w:w="2551" w:type="dxa"/>
            <w:vAlign w:val="center"/>
          </w:tcPr>
          <w:p>
            <w:pPr>
              <w:pStyle w:val="13"/>
            </w:pPr>
            <w:r>
              <w:t>22.55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21.35</w:t>
            </w:r>
          </w:p>
        </w:tc>
        <w:tc>
          <w:tcPr>
            <w:tcW w:w="2551" w:type="dxa"/>
            <w:vAlign w:val="center"/>
          </w:tcPr>
          <w:p>
            <w:pPr>
              <w:pStyle w:val="13"/>
            </w:pPr>
            <w:r>
              <w:t>21.35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21.35</w:t>
            </w:r>
          </w:p>
        </w:tc>
        <w:tc>
          <w:tcPr>
            <w:tcW w:w="2551" w:type="dxa"/>
            <w:vAlign w:val="center"/>
          </w:tcPr>
          <w:p>
            <w:pPr>
              <w:pStyle w:val="13"/>
            </w:pPr>
            <w:r>
              <w:t>21.35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10.92</w:t>
            </w:r>
          </w:p>
        </w:tc>
        <w:tc>
          <w:tcPr>
            <w:tcW w:w="2551" w:type="dxa"/>
            <w:vAlign w:val="center"/>
          </w:tcPr>
          <w:p>
            <w:pPr>
              <w:pStyle w:val="13"/>
            </w:pPr>
            <w:r>
              <w:t>10.92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10.92</w:t>
            </w:r>
          </w:p>
        </w:tc>
        <w:tc>
          <w:tcPr>
            <w:tcW w:w="2551" w:type="dxa"/>
            <w:vAlign w:val="center"/>
          </w:tcPr>
          <w:p>
            <w:pPr>
              <w:pStyle w:val="13"/>
            </w:pPr>
            <w:r>
              <w:t>10.92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10.92</w:t>
            </w:r>
          </w:p>
        </w:tc>
        <w:tc>
          <w:tcPr>
            <w:tcW w:w="2551" w:type="dxa"/>
            <w:vAlign w:val="center"/>
          </w:tcPr>
          <w:p>
            <w:pPr>
              <w:pStyle w:val="13"/>
            </w:pPr>
            <w:r>
              <w:t>10.92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230.11</w:t>
            </w:r>
          </w:p>
        </w:tc>
        <w:tc>
          <w:tcPr>
            <w:tcW w:w="2551" w:type="dxa"/>
            <w:vAlign w:val="center"/>
          </w:tcPr>
          <w:p>
            <w:pPr>
              <w:pStyle w:val="17"/>
            </w:pPr>
            <w:r>
              <w:t>221.98</w:t>
            </w:r>
          </w:p>
        </w:tc>
        <w:tc>
          <w:tcPr>
            <w:tcW w:w="2551" w:type="dxa"/>
            <w:vAlign w:val="center"/>
          </w:tcPr>
          <w:p>
            <w:pPr>
              <w:pStyle w:val="17"/>
            </w:pPr>
            <w:r>
              <w:t>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221.98</w:t>
            </w:r>
          </w:p>
        </w:tc>
        <w:tc>
          <w:tcPr>
            <w:tcW w:w="2551" w:type="dxa"/>
            <w:vAlign w:val="center"/>
          </w:tcPr>
          <w:p>
            <w:pPr>
              <w:pStyle w:val="13"/>
            </w:pPr>
            <w:r>
              <w:t>221.98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61.72</w:t>
            </w:r>
          </w:p>
        </w:tc>
        <w:tc>
          <w:tcPr>
            <w:tcW w:w="2551" w:type="dxa"/>
            <w:vAlign w:val="center"/>
          </w:tcPr>
          <w:p>
            <w:pPr>
              <w:pStyle w:val="13"/>
            </w:pPr>
            <w:r>
              <w:t>61.72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11.95</w:t>
            </w:r>
          </w:p>
        </w:tc>
        <w:tc>
          <w:tcPr>
            <w:tcW w:w="2551" w:type="dxa"/>
            <w:vAlign w:val="center"/>
          </w:tcPr>
          <w:p>
            <w:pPr>
              <w:pStyle w:val="13"/>
            </w:pPr>
            <w:r>
              <w:t>11.95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96.00</w:t>
            </w:r>
          </w:p>
        </w:tc>
        <w:tc>
          <w:tcPr>
            <w:tcW w:w="2551" w:type="dxa"/>
            <w:vAlign w:val="center"/>
          </w:tcPr>
          <w:p>
            <w:pPr>
              <w:pStyle w:val="13"/>
            </w:pPr>
            <w:r>
              <w:t>96.00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21.35</w:t>
            </w:r>
          </w:p>
        </w:tc>
        <w:tc>
          <w:tcPr>
            <w:tcW w:w="2551" w:type="dxa"/>
            <w:vAlign w:val="center"/>
          </w:tcPr>
          <w:p>
            <w:pPr>
              <w:pStyle w:val="13"/>
            </w:pPr>
            <w:r>
              <w:t>21.35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10.92</w:t>
            </w:r>
          </w:p>
        </w:tc>
        <w:tc>
          <w:tcPr>
            <w:tcW w:w="2551" w:type="dxa"/>
            <w:vAlign w:val="center"/>
          </w:tcPr>
          <w:p>
            <w:pPr>
              <w:pStyle w:val="13"/>
            </w:pPr>
            <w:r>
              <w:t>10.92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18.84</w:t>
            </w:r>
          </w:p>
        </w:tc>
        <w:tc>
          <w:tcPr>
            <w:tcW w:w="2551" w:type="dxa"/>
            <w:vAlign w:val="center"/>
          </w:tcPr>
          <w:p>
            <w:pPr>
              <w:pStyle w:val="13"/>
            </w:pPr>
            <w:r>
              <w:t>18.84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8.13</w:t>
            </w:r>
          </w:p>
        </w:tc>
        <w:tc>
          <w:tcPr>
            <w:tcW w:w="2551" w:type="dxa"/>
            <w:vAlign w:val="center"/>
          </w:tcPr>
          <w:p>
            <w:pPr>
              <w:pStyle w:val="13"/>
            </w:pPr>
          </w:p>
        </w:tc>
        <w:tc>
          <w:tcPr>
            <w:tcW w:w="2551" w:type="dxa"/>
            <w:vAlign w:val="center"/>
          </w:tcPr>
          <w:p>
            <w:pPr>
              <w:pStyle w:val="13"/>
            </w:pPr>
            <w:r>
              <w:t>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5.04</w:t>
            </w:r>
          </w:p>
        </w:tc>
        <w:tc>
          <w:tcPr>
            <w:tcW w:w="2551" w:type="dxa"/>
            <w:vAlign w:val="center"/>
          </w:tcPr>
          <w:p>
            <w:pPr>
              <w:pStyle w:val="13"/>
            </w:pPr>
          </w:p>
        </w:tc>
        <w:tc>
          <w:tcPr>
            <w:tcW w:w="2551"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0.65</w:t>
            </w:r>
          </w:p>
        </w:tc>
        <w:tc>
          <w:tcPr>
            <w:tcW w:w="2551" w:type="dxa"/>
            <w:vAlign w:val="center"/>
          </w:tcPr>
          <w:p>
            <w:pPr>
              <w:pStyle w:val="13"/>
            </w:pPr>
          </w:p>
        </w:tc>
        <w:tc>
          <w:tcPr>
            <w:tcW w:w="2551"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石家庄市栾城区社会治安综合治理中心2026年单位预算信息公开情况说明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按照《中华人民共和国预算法》、《地方预决算公开操作规程》和《关于进一步推进预算公开工作的实施意见》规定，现将石家庄市栾城区社会治安综合治理中心2026年单位预算公开如下：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落实市委、区委关于综治中心规范化建设的决策部署，负责协调、指挥调度行政区域社会治安综合治理、社会矛盾纠纷化解等相关工作；为矛盾纠纷排查化解、治安防控体系建设及其他平安建设类工作提供数据支持、分析研判等辅助工作；做好社会矛盾纠纷调处流转交办、监督考评等工作。对接指导乡镇社会治安综合治理和矛盾纠纷调解等工作；协助区委、区政府做好重大矛盾纠纷、涉稳问题分析研判，并提出工作建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石家庄市栾城区社会治安综合治理中心</w:t>
            </w:r>
          </w:p>
        </w:tc>
        <w:tc>
          <w:tcPr>
            <w:tcW w:w="1843" w:type="dxa"/>
            <w:vAlign w:val="center"/>
          </w:tcPr>
          <w:p>
            <w:pPr>
              <w:pStyle w:val="15"/>
            </w:pPr>
            <w:r>
              <w:t>事业</w:t>
            </w:r>
          </w:p>
        </w:tc>
        <w:tc>
          <w:tcPr>
            <w:tcW w:w="2126" w:type="dxa"/>
            <w:vAlign w:val="center"/>
          </w:tcPr>
          <w:p>
            <w:pPr>
              <w:pStyle w:val="15"/>
            </w:pPr>
            <w:r>
              <w:rPr>
                <w:rFonts w:hint="eastAsia"/>
                <w:lang w:eastAsia="zh-CN"/>
              </w:rPr>
              <w:t>副科</w:t>
            </w:r>
            <w:r>
              <w:t>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230.11万元，其中：一般公共预算收入230.11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社会治安综合治理中心年度单位预算中支出预算的总体情况。2026年支出预算230.11万元，其中基本支出230.11万元，包括人员经费221.98万元和日常公用经费8.13万元；项目支出0.00万元，主要为2026年无项目支出预算；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230.11万元，较2025年预算增加39.03万元，其中：基本支出增加39.03万元，主要为增加2名事业人员经费及日常公用经费增加。项目支出增加0.00万元，主要为2026年无项目支出预算，与2025年持平，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2026年，我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eastAsia="方正仿宋_GBK" w:cs="Times New Roman"/>
          <w:sz w:val="28"/>
          <w:szCs w:val="24"/>
          <w:lang w:val="en-US" w:eastAsia="zh-CN" w:bidi="ar-SA"/>
        </w:rPr>
        <w:t>8.13</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b w:val="0"/>
          <w:color w:val="000000"/>
          <w:sz w:val="28"/>
          <w:lang w:val="en-US" w:eastAsia="uk-UA"/>
        </w:rPr>
        <w:t>主要用于保证机关正常运转的办公及印刷费、邮电费、差旅费、会议费、福利费、</w:t>
      </w:r>
      <w:r>
        <w:rPr>
          <w:rFonts w:hint="eastAsia" w:ascii="Times New Roman" w:hAnsi="Times New Roman" w:eastAsia="方正仿宋_GBK" w:cs="Times New Roman"/>
          <w:b w:val="0"/>
          <w:color w:val="000000"/>
          <w:sz w:val="28"/>
          <w:lang w:val="en-US" w:eastAsia="zh-CN"/>
        </w:rPr>
        <w:t>工会经费、</w:t>
      </w:r>
      <w:r>
        <w:rPr>
          <w:rFonts w:hint="eastAsia" w:ascii="Times New Roman" w:hAnsi="Times New Roman" w:eastAsia="方正仿宋_GBK" w:cs="Times New Roman"/>
          <w:b w:val="0"/>
          <w:color w:val="000000"/>
          <w:sz w:val="28"/>
          <w:lang w:val="en-US" w:eastAsia="uk-UA"/>
        </w:rPr>
        <w:t>专用材料及一般</w:t>
      </w:r>
      <w:r>
        <w:rPr>
          <w:rFonts w:hint="eastAsia" w:ascii="Times New Roman" w:hAnsi="Times New Roman" w:eastAsia="方正仿宋_GBK" w:cs="Times New Roman"/>
          <w:b w:val="0"/>
          <w:color w:val="000000"/>
          <w:sz w:val="28"/>
          <w:lang w:val="en-US" w:eastAsia="zh-CN"/>
        </w:rPr>
        <w:t>办公</w:t>
      </w:r>
      <w:r>
        <w:rPr>
          <w:rFonts w:hint="eastAsia" w:ascii="Times New Roman" w:hAnsi="Times New Roman" w:eastAsia="方正仿宋_GBK" w:cs="Times New Roman"/>
          <w:b w:val="0"/>
          <w:color w:val="000000"/>
          <w:sz w:val="28"/>
          <w:lang w:val="en-US" w:eastAsia="uk-UA"/>
        </w:rPr>
        <w:t>设备购置费等支出。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持平，无增减变化。</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石家庄市栾城区社会治安综合治理中心上年末固定资产金额为0.00万元（详见下表）。本年度拟购置固定资产总额为0.00万元，已按要求列入政府采购预算，详见政府采购预算表。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215005石家庄市栾城区社会治安综合治理中心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87C3FDA"/>
    <w:multiLevelType w:val="singleLevel"/>
    <w:tmpl w:val="F87C3FDA"/>
    <w:lvl w:ilvl="0" w:tentative="0">
      <w:start w:val="5"/>
      <w:numFmt w:val="chineseCounting"/>
      <w:suff w:val="nothing"/>
      <w:lvlText w:val="%1、"/>
      <w:lvlJc w:val="left"/>
      <w:rPr>
        <w:rFonts w:hint="eastAsia"/>
      </w:rPr>
    </w:lvl>
  </w:abstractNum>
  <w:abstractNum w:abstractNumId="1">
    <w:nsid w:val="1AD19CE4"/>
    <w:multiLevelType w:val="singleLevel"/>
    <w:tmpl w:val="1AD19CE4"/>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636CB9"/>
    <w:rsid w:val="16E35C3A"/>
    <w:rsid w:val="1B4949CD"/>
    <w:rsid w:val="1FA871F0"/>
    <w:rsid w:val="26633E71"/>
    <w:rsid w:val="27C83073"/>
    <w:rsid w:val="2CE0224B"/>
    <w:rsid w:val="2D834DF9"/>
    <w:rsid w:val="3216623C"/>
    <w:rsid w:val="3281265A"/>
    <w:rsid w:val="38D330D8"/>
    <w:rsid w:val="40512B35"/>
    <w:rsid w:val="406B6A3C"/>
    <w:rsid w:val="430D71E7"/>
    <w:rsid w:val="45C81AEB"/>
    <w:rsid w:val="63C74D38"/>
    <w:rsid w:val="71754C6E"/>
    <w:rsid w:val="789E51DF"/>
    <w:rsid w:val="79144124"/>
    <w:rsid w:val="7F947D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49</Pages>
  <Words>1402</Words>
  <Characters>1919</Characters>
  <TotalTime>3</TotalTime>
  <ScaleCrop>false</ScaleCrop>
  <LinksUpToDate>false</LinksUpToDate>
  <CharactersWithSpaces>1972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2026-03-10T10:56:00Z</dcterms:created>
  <dc:creator>lenovo</dc:creator>
  <cp:lastModifiedBy>Administrator</cp:lastModifiedBy>
  <dcterms:modified xsi:type="dcterms:W3CDTF">2026-03-11T06:03:17Z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0EDCB6C1257342888EB3EDBB0D4721F0_13</vt:lpwstr>
  </property>
  <property fmtid="{D5CDD505-2E9C-101B-9397-08002B2CF9AE}" pid="4" name="KSOTemplateDocerSaveRecord">
    <vt:lpwstr>eyJoZGlkIjoiODgxZTRkNWQzZDgzMDc5NmRlYjdmMDVhYjZhMDVjNDUiLCJ1c2VySWQiOiIyMTU0NjIyODgifQ==</vt:lpwstr>
  </property>
</Properties>
</file>