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224网信办</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318.17</w:t>
            </w:r>
          </w:p>
        </w:tc>
        <w:tc>
          <w:tcPr>
            <w:tcW w:w="4535" w:type="dxa"/>
            <w:vAlign w:val="center"/>
          </w:tcPr>
          <w:p>
            <w:pPr>
              <w:pStyle w:val="14"/>
            </w:pPr>
            <w:r>
              <w:t>一、一般公共服务支出</w:t>
            </w:r>
          </w:p>
        </w:tc>
        <w:tc>
          <w:tcPr>
            <w:tcW w:w="2126" w:type="dxa"/>
            <w:vAlign w:val="center"/>
          </w:tcPr>
          <w:p>
            <w:pPr>
              <w:pStyle w:val="13"/>
            </w:pPr>
            <w:r>
              <w:t>276.86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318.17</w:t>
            </w:r>
          </w:p>
        </w:tc>
        <w:tc>
          <w:tcPr>
            <w:tcW w:w="4535" w:type="dxa"/>
            <w:vAlign w:val="center"/>
          </w:tcPr>
          <w:p>
            <w:pPr>
              <w:pStyle w:val="16"/>
            </w:pPr>
            <w:r>
              <w:t>本年支出合计</w:t>
            </w:r>
          </w:p>
        </w:tc>
        <w:tc>
          <w:tcPr>
            <w:tcW w:w="2126" w:type="dxa"/>
            <w:vAlign w:val="center"/>
          </w:tcPr>
          <w:p>
            <w:pPr>
              <w:pStyle w:val="17"/>
            </w:pPr>
            <w:r>
              <w:t>318.17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318.17</w:t>
            </w:r>
          </w:p>
        </w:tc>
        <w:tc>
          <w:tcPr>
            <w:tcW w:w="4535" w:type="dxa"/>
            <w:vAlign w:val="center"/>
          </w:tcPr>
          <w:p>
            <w:pPr>
              <w:pStyle w:val="16"/>
            </w:pPr>
            <w:r>
              <w:t>支出总计</w:t>
            </w:r>
          </w:p>
        </w:tc>
        <w:tc>
          <w:tcPr>
            <w:tcW w:w="2126" w:type="dxa"/>
            <w:vAlign w:val="center"/>
          </w:tcPr>
          <w:p>
            <w:pPr>
              <w:pStyle w:val="17"/>
            </w:pPr>
            <w:r>
              <w:t>318.17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224网信办</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318.17</w:t>
            </w:r>
          </w:p>
        </w:tc>
        <w:tc>
          <w:tcPr>
            <w:tcW w:w="1134" w:type="dxa"/>
            <w:vAlign w:val="center"/>
          </w:tcPr>
          <w:p>
            <w:pPr>
              <w:pStyle w:val="17"/>
            </w:pPr>
            <w:r>
              <w:t>318.17</w:t>
            </w:r>
          </w:p>
        </w:tc>
        <w:tc>
          <w:tcPr>
            <w:tcW w:w="1134" w:type="dxa"/>
            <w:vAlign w:val="center"/>
          </w:tcPr>
          <w:p>
            <w:pPr>
              <w:pStyle w:val="17"/>
            </w:pPr>
            <w:r>
              <w:t>318.17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276.86</w:t>
            </w:r>
          </w:p>
        </w:tc>
        <w:tc>
          <w:tcPr>
            <w:tcW w:w="1134" w:type="dxa"/>
            <w:vAlign w:val="center"/>
          </w:tcPr>
          <w:p>
            <w:pPr>
              <w:pStyle w:val="13"/>
            </w:pPr>
            <w:r>
              <w:t>276.86</w:t>
            </w:r>
          </w:p>
        </w:tc>
        <w:tc>
          <w:tcPr>
            <w:tcW w:w="1134" w:type="dxa"/>
            <w:vAlign w:val="center"/>
          </w:tcPr>
          <w:p>
            <w:pPr>
              <w:pStyle w:val="13"/>
            </w:pPr>
            <w:r>
              <w:t>276.86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20137</w:t>
            </w:r>
          </w:p>
        </w:tc>
        <w:tc>
          <w:tcPr>
            <w:tcW w:w="1559" w:type="dxa"/>
            <w:vAlign w:val="center"/>
          </w:tcPr>
          <w:p>
            <w:pPr>
              <w:pStyle w:val="14"/>
            </w:pPr>
            <w:r>
              <w:t>网信事务</w:t>
            </w:r>
          </w:p>
        </w:tc>
        <w:tc>
          <w:tcPr>
            <w:tcW w:w="1134" w:type="dxa"/>
            <w:vAlign w:val="center"/>
          </w:tcPr>
          <w:p>
            <w:pPr>
              <w:pStyle w:val="13"/>
            </w:pPr>
            <w:r>
              <w:t>276.86</w:t>
            </w:r>
          </w:p>
        </w:tc>
        <w:tc>
          <w:tcPr>
            <w:tcW w:w="1134" w:type="dxa"/>
            <w:vAlign w:val="center"/>
          </w:tcPr>
          <w:p>
            <w:pPr>
              <w:pStyle w:val="13"/>
            </w:pPr>
            <w:r>
              <w:t>276.86</w:t>
            </w:r>
          </w:p>
        </w:tc>
        <w:tc>
          <w:tcPr>
            <w:tcW w:w="1134" w:type="dxa"/>
            <w:vAlign w:val="center"/>
          </w:tcPr>
          <w:p>
            <w:pPr>
              <w:pStyle w:val="13"/>
            </w:pPr>
            <w:r>
              <w:t>276.86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2013701</w:t>
            </w:r>
          </w:p>
        </w:tc>
        <w:tc>
          <w:tcPr>
            <w:tcW w:w="1559" w:type="dxa"/>
            <w:vAlign w:val="center"/>
          </w:tcPr>
          <w:p>
            <w:pPr>
              <w:pStyle w:val="14"/>
            </w:pPr>
            <w:r>
              <w:t>行政运行</w:t>
            </w:r>
          </w:p>
        </w:tc>
        <w:tc>
          <w:tcPr>
            <w:tcW w:w="1134" w:type="dxa"/>
            <w:vAlign w:val="center"/>
          </w:tcPr>
          <w:p>
            <w:pPr>
              <w:pStyle w:val="13"/>
            </w:pPr>
            <w:r>
              <w:t>134.53</w:t>
            </w:r>
          </w:p>
        </w:tc>
        <w:tc>
          <w:tcPr>
            <w:tcW w:w="1134" w:type="dxa"/>
            <w:vAlign w:val="center"/>
          </w:tcPr>
          <w:p>
            <w:pPr>
              <w:pStyle w:val="13"/>
            </w:pPr>
            <w:r>
              <w:t>134.53</w:t>
            </w:r>
          </w:p>
        </w:tc>
        <w:tc>
          <w:tcPr>
            <w:tcW w:w="1134" w:type="dxa"/>
            <w:vAlign w:val="center"/>
          </w:tcPr>
          <w:p>
            <w:pPr>
              <w:pStyle w:val="13"/>
            </w:pPr>
            <w:r>
              <w:t>134.53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2013750</w:t>
            </w:r>
          </w:p>
        </w:tc>
        <w:tc>
          <w:tcPr>
            <w:tcW w:w="1559" w:type="dxa"/>
            <w:vAlign w:val="center"/>
          </w:tcPr>
          <w:p>
            <w:pPr>
              <w:pStyle w:val="14"/>
            </w:pPr>
            <w:r>
              <w:t>事业运行</w:t>
            </w:r>
          </w:p>
        </w:tc>
        <w:tc>
          <w:tcPr>
            <w:tcW w:w="1134" w:type="dxa"/>
            <w:vAlign w:val="center"/>
          </w:tcPr>
          <w:p>
            <w:pPr>
              <w:pStyle w:val="13"/>
            </w:pPr>
            <w:r>
              <w:t>142.33</w:t>
            </w:r>
          </w:p>
        </w:tc>
        <w:tc>
          <w:tcPr>
            <w:tcW w:w="1134" w:type="dxa"/>
            <w:vAlign w:val="center"/>
          </w:tcPr>
          <w:p>
            <w:pPr>
              <w:pStyle w:val="13"/>
            </w:pPr>
            <w:r>
              <w:t>142.33</w:t>
            </w:r>
          </w:p>
        </w:tc>
        <w:tc>
          <w:tcPr>
            <w:tcW w:w="1134" w:type="dxa"/>
            <w:vAlign w:val="center"/>
          </w:tcPr>
          <w:p>
            <w:pPr>
              <w:pStyle w:val="13"/>
            </w:pPr>
            <w:r>
              <w:t>142.33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27.76</w:t>
            </w:r>
          </w:p>
        </w:tc>
        <w:tc>
          <w:tcPr>
            <w:tcW w:w="1134" w:type="dxa"/>
            <w:vAlign w:val="center"/>
          </w:tcPr>
          <w:p>
            <w:pPr>
              <w:pStyle w:val="13"/>
            </w:pPr>
            <w:r>
              <w:t>27.76</w:t>
            </w:r>
          </w:p>
        </w:tc>
        <w:tc>
          <w:tcPr>
            <w:tcW w:w="1134" w:type="dxa"/>
            <w:vAlign w:val="center"/>
          </w:tcPr>
          <w:p>
            <w:pPr>
              <w:pStyle w:val="13"/>
            </w:pPr>
            <w:r>
              <w:t>27.76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26.64</w:t>
            </w:r>
          </w:p>
        </w:tc>
        <w:tc>
          <w:tcPr>
            <w:tcW w:w="1134" w:type="dxa"/>
            <w:vAlign w:val="center"/>
          </w:tcPr>
          <w:p>
            <w:pPr>
              <w:pStyle w:val="13"/>
            </w:pPr>
            <w:r>
              <w:t>26.64</w:t>
            </w:r>
          </w:p>
        </w:tc>
        <w:tc>
          <w:tcPr>
            <w:tcW w:w="1134" w:type="dxa"/>
            <w:vAlign w:val="center"/>
          </w:tcPr>
          <w:p>
            <w:pPr>
              <w:pStyle w:val="13"/>
            </w:pPr>
            <w:r>
              <w:t>26.64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26.64</w:t>
            </w:r>
          </w:p>
        </w:tc>
        <w:tc>
          <w:tcPr>
            <w:tcW w:w="1134" w:type="dxa"/>
            <w:vAlign w:val="center"/>
          </w:tcPr>
          <w:p>
            <w:pPr>
              <w:pStyle w:val="13"/>
            </w:pPr>
            <w:r>
              <w:t>26.64</w:t>
            </w:r>
          </w:p>
        </w:tc>
        <w:tc>
          <w:tcPr>
            <w:tcW w:w="1134" w:type="dxa"/>
            <w:vAlign w:val="center"/>
          </w:tcPr>
          <w:p>
            <w:pPr>
              <w:pStyle w:val="13"/>
            </w:pPr>
            <w:r>
              <w:t>26.64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1.13</w:t>
            </w:r>
          </w:p>
        </w:tc>
        <w:tc>
          <w:tcPr>
            <w:tcW w:w="1134" w:type="dxa"/>
            <w:vAlign w:val="center"/>
          </w:tcPr>
          <w:p>
            <w:pPr>
              <w:pStyle w:val="13"/>
            </w:pPr>
            <w:r>
              <w:t>1.13</w:t>
            </w:r>
          </w:p>
        </w:tc>
        <w:tc>
          <w:tcPr>
            <w:tcW w:w="1134" w:type="dxa"/>
            <w:vAlign w:val="center"/>
          </w:tcPr>
          <w:p>
            <w:pPr>
              <w:pStyle w:val="13"/>
            </w:pPr>
            <w:r>
              <w:t>1.13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0.63</w:t>
            </w:r>
          </w:p>
        </w:tc>
        <w:tc>
          <w:tcPr>
            <w:tcW w:w="1134" w:type="dxa"/>
            <w:vAlign w:val="center"/>
          </w:tcPr>
          <w:p>
            <w:pPr>
              <w:pStyle w:val="13"/>
            </w:pPr>
            <w:r>
              <w:t>0.63</w:t>
            </w:r>
          </w:p>
        </w:tc>
        <w:tc>
          <w:tcPr>
            <w:tcW w:w="1134" w:type="dxa"/>
            <w:vAlign w:val="center"/>
          </w:tcPr>
          <w:p>
            <w:pPr>
              <w:pStyle w:val="13"/>
            </w:pPr>
            <w:r>
              <w:t>0.63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13.55</w:t>
            </w:r>
          </w:p>
        </w:tc>
        <w:tc>
          <w:tcPr>
            <w:tcW w:w="1134" w:type="dxa"/>
            <w:vAlign w:val="center"/>
          </w:tcPr>
          <w:p>
            <w:pPr>
              <w:pStyle w:val="13"/>
            </w:pPr>
            <w:r>
              <w:t>13.55</w:t>
            </w:r>
          </w:p>
        </w:tc>
        <w:tc>
          <w:tcPr>
            <w:tcW w:w="1134" w:type="dxa"/>
            <w:vAlign w:val="center"/>
          </w:tcPr>
          <w:p>
            <w:pPr>
              <w:pStyle w:val="13"/>
            </w:pPr>
            <w:r>
              <w:t>13.55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13.55</w:t>
            </w:r>
          </w:p>
        </w:tc>
        <w:tc>
          <w:tcPr>
            <w:tcW w:w="1134" w:type="dxa"/>
            <w:vAlign w:val="center"/>
          </w:tcPr>
          <w:p>
            <w:pPr>
              <w:pStyle w:val="13"/>
            </w:pPr>
            <w:r>
              <w:t>13.55</w:t>
            </w:r>
          </w:p>
        </w:tc>
        <w:tc>
          <w:tcPr>
            <w:tcW w:w="1134" w:type="dxa"/>
            <w:vAlign w:val="center"/>
          </w:tcPr>
          <w:p>
            <w:pPr>
              <w:pStyle w:val="13"/>
            </w:pPr>
            <w:r>
              <w:t>13.55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5.89</w:t>
            </w:r>
          </w:p>
        </w:tc>
        <w:tc>
          <w:tcPr>
            <w:tcW w:w="1134" w:type="dxa"/>
            <w:vAlign w:val="center"/>
          </w:tcPr>
          <w:p>
            <w:pPr>
              <w:pStyle w:val="13"/>
            </w:pPr>
            <w:r>
              <w:t>5.89</w:t>
            </w:r>
          </w:p>
        </w:tc>
        <w:tc>
          <w:tcPr>
            <w:tcW w:w="1134" w:type="dxa"/>
            <w:vAlign w:val="center"/>
          </w:tcPr>
          <w:p>
            <w:pPr>
              <w:pStyle w:val="13"/>
            </w:pPr>
            <w:r>
              <w:t>5.89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7.66</w:t>
            </w:r>
          </w:p>
        </w:tc>
        <w:tc>
          <w:tcPr>
            <w:tcW w:w="1134" w:type="dxa"/>
            <w:vAlign w:val="center"/>
          </w:tcPr>
          <w:p>
            <w:pPr>
              <w:pStyle w:val="13"/>
            </w:pPr>
            <w:r>
              <w:t>7.66</w:t>
            </w:r>
          </w:p>
        </w:tc>
        <w:tc>
          <w:tcPr>
            <w:tcW w:w="1134" w:type="dxa"/>
            <w:vAlign w:val="center"/>
          </w:tcPr>
          <w:p>
            <w:pPr>
              <w:pStyle w:val="13"/>
            </w:pPr>
            <w:r>
              <w:t>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224网信办</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318.17</w:t>
            </w:r>
          </w:p>
        </w:tc>
        <w:tc>
          <w:tcPr>
            <w:tcW w:w="1361" w:type="dxa"/>
            <w:vAlign w:val="center"/>
          </w:tcPr>
          <w:p>
            <w:pPr>
              <w:pStyle w:val="17"/>
            </w:pPr>
            <w:r>
              <w:t>296.95</w:t>
            </w:r>
          </w:p>
        </w:tc>
        <w:tc>
          <w:tcPr>
            <w:tcW w:w="1361" w:type="dxa"/>
            <w:vAlign w:val="center"/>
          </w:tcPr>
          <w:p>
            <w:pPr>
              <w:pStyle w:val="17"/>
            </w:pPr>
            <w:r>
              <w:t>21.22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276.86</w:t>
            </w:r>
          </w:p>
        </w:tc>
        <w:tc>
          <w:tcPr>
            <w:tcW w:w="1361" w:type="dxa"/>
            <w:vAlign w:val="center"/>
          </w:tcPr>
          <w:p>
            <w:pPr>
              <w:pStyle w:val="13"/>
            </w:pPr>
            <w:r>
              <w:t>255.64</w:t>
            </w:r>
          </w:p>
        </w:tc>
        <w:tc>
          <w:tcPr>
            <w:tcW w:w="1361" w:type="dxa"/>
            <w:vAlign w:val="center"/>
          </w:tcPr>
          <w:p>
            <w:pPr>
              <w:pStyle w:val="13"/>
            </w:pPr>
            <w:r>
              <w:t>21.22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20137</w:t>
            </w:r>
          </w:p>
        </w:tc>
        <w:tc>
          <w:tcPr>
            <w:tcW w:w="4535" w:type="dxa"/>
            <w:vAlign w:val="center"/>
          </w:tcPr>
          <w:p>
            <w:pPr>
              <w:pStyle w:val="14"/>
            </w:pPr>
            <w:r>
              <w:t>网信事务</w:t>
            </w:r>
          </w:p>
        </w:tc>
        <w:tc>
          <w:tcPr>
            <w:tcW w:w="1361" w:type="dxa"/>
            <w:vAlign w:val="center"/>
          </w:tcPr>
          <w:p>
            <w:pPr>
              <w:pStyle w:val="13"/>
            </w:pPr>
            <w:r>
              <w:t>276.86</w:t>
            </w:r>
          </w:p>
        </w:tc>
        <w:tc>
          <w:tcPr>
            <w:tcW w:w="1361" w:type="dxa"/>
            <w:vAlign w:val="center"/>
          </w:tcPr>
          <w:p>
            <w:pPr>
              <w:pStyle w:val="13"/>
            </w:pPr>
            <w:r>
              <w:t>255.64</w:t>
            </w:r>
          </w:p>
        </w:tc>
        <w:tc>
          <w:tcPr>
            <w:tcW w:w="1361" w:type="dxa"/>
            <w:vAlign w:val="center"/>
          </w:tcPr>
          <w:p>
            <w:pPr>
              <w:pStyle w:val="13"/>
            </w:pPr>
            <w:r>
              <w:t>21.22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2013701</w:t>
            </w:r>
          </w:p>
        </w:tc>
        <w:tc>
          <w:tcPr>
            <w:tcW w:w="4535" w:type="dxa"/>
            <w:vAlign w:val="center"/>
          </w:tcPr>
          <w:p>
            <w:pPr>
              <w:pStyle w:val="14"/>
            </w:pPr>
            <w:r>
              <w:t>行政运行</w:t>
            </w:r>
          </w:p>
        </w:tc>
        <w:tc>
          <w:tcPr>
            <w:tcW w:w="1361" w:type="dxa"/>
            <w:vAlign w:val="center"/>
          </w:tcPr>
          <w:p>
            <w:pPr>
              <w:pStyle w:val="13"/>
            </w:pPr>
            <w:r>
              <w:t>134.53</w:t>
            </w:r>
          </w:p>
        </w:tc>
        <w:tc>
          <w:tcPr>
            <w:tcW w:w="1361" w:type="dxa"/>
            <w:vAlign w:val="center"/>
          </w:tcPr>
          <w:p>
            <w:pPr>
              <w:pStyle w:val="13"/>
            </w:pPr>
            <w:r>
              <w:t>113.31</w:t>
            </w:r>
          </w:p>
        </w:tc>
        <w:tc>
          <w:tcPr>
            <w:tcW w:w="1361" w:type="dxa"/>
            <w:vAlign w:val="center"/>
          </w:tcPr>
          <w:p>
            <w:pPr>
              <w:pStyle w:val="13"/>
            </w:pPr>
            <w:r>
              <w:t>21.22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2013750</w:t>
            </w:r>
          </w:p>
        </w:tc>
        <w:tc>
          <w:tcPr>
            <w:tcW w:w="4535" w:type="dxa"/>
            <w:vAlign w:val="center"/>
          </w:tcPr>
          <w:p>
            <w:pPr>
              <w:pStyle w:val="14"/>
            </w:pPr>
            <w:r>
              <w:t>事业运行</w:t>
            </w:r>
          </w:p>
        </w:tc>
        <w:tc>
          <w:tcPr>
            <w:tcW w:w="1361" w:type="dxa"/>
            <w:vAlign w:val="center"/>
          </w:tcPr>
          <w:p>
            <w:pPr>
              <w:pStyle w:val="13"/>
            </w:pPr>
            <w:r>
              <w:t>142.33</w:t>
            </w:r>
          </w:p>
        </w:tc>
        <w:tc>
          <w:tcPr>
            <w:tcW w:w="1361" w:type="dxa"/>
            <w:vAlign w:val="center"/>
          </w:tcPr>
          <w:p>
            <w:pPr>
              <w:pStyle w:val="13"/>
            </w:pPr>
            <w:r>
              <w:t>142.33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27.76</w:t>
            </w:r>
          </w:p>
        </w:tc>
        <w:tc>
          <w:tcPr>
            <w:tcW w:w="1361" w:type="dxa"/>
            <w:vAlign w:val="center"/>
          </w:tcPr>
          <w:p>
            <w:pPr>
              <w:pStyle w:val="13"/>
            </w:pPr>
            <w:r>
              <w:t>27.76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26.64</w:t>
            </w:r>
          </w:p>
        </w:tc>
        <w:tc>
          <w:tcPr>
            <w:tcW w:w="1361" w:type="dxa"/>
            <w:vAlign w:val="center"/>
          </w:tcPr>
          <w:p>
            <w:pPr>
              <w:pStyle w:val="13"/>
            </w:pPr>
            <w:r>
              <w:t>26.64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26.64</w:t>
            </w:r>
          </w:p>
        </w:tc>
        <w:tc>
          <w:tcPr>
            <w:tcW w:w="1361" w:type="dxa"/>
            <w:vAlign w:val="center"/>
          </w:tcPr>
          <w:p>
            <w:pPr>
              <w:pStyle w:val="13"/>
            </w:pPr>
            <w:r>
              <w:t>26.64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1.13</w:t>
            </w:r>
          </w:p>
        </w:tc>
        <w:tc>
          <w:tcPr>
            <w:tcW w:w="1361" w:type="dxa"/>
            <w:vAlign w:val="center"/>
          </w:tcPr>
          <w:p>
            <w:pPr>
              <w:pStyle w:val="13"/>
            </w:pPr>
            <w:r>
              <w:t>1.13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0.63</w:t>
            </w:r>
          </w:p>
        </w:tc>
        <w:tc>
          <w:tcPr>
            <w:tcW w:w="1361" w:type="dxa"/>
            <w:vAlign w:val="center"/>
          </w:tcPr>
          <w:p>
            <w:pPr>
              <w:pStyle w:val="13"/>
            </w:pPr>
            <w:r>
              <w:t>0.63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13.55</w:t>
            </w:r>
          </w:p>
        </w:tc>
        <w:tc>
          <w:tcPr>
            <w:tcW w:w="1361" w:type="dxa"/>
            <w:vAlign w:val="center"/>
          </w:tcPr>
          <w:p>
            <w:pPr>
              <w:pStyle w:val="13"/>
            </w:pPr>
            <w:r>
              <w:t>13.55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13.55</w:t>
            </w:r>
          </w:p>
        </w:tc>
        <w:tc>
          <w:tcPr>
            <w:tcW w:w="1361" w:type="dxa"/>
            <w:vAlign w:val="center"/>
          </w:tcPr>
          <w:p>
            <w:pPr>
              <w:pStyle w:val="13"/>
            </w:pPr>
            <w:r>
              <w:t>13.55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5.89</w:t>
            </w:r>
          </w:p>
        </w:tc>
        <w:tc>
          <w:tcPr>
            <w:tcW w:w="1361" w:type="dxa"/>
            <w:vAlign w:val="center"/>
          </w:tcPr>
          <w:p>
            <w:pPr>
              <w:pStyle w:val="13"/>
            </w:pPr>
            <w:r>
              <w:t>5.89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7.66</w:t>
            </w:r>
          </w:p>
        </w:tc>
        <w:tc>
          <w:tcPr>
            <w:tcW w:w="1361" w:type="dxa"/>
            <w:vAlign w:val="center"/>
          </w:tcPr>
          <w:p>
            <w:pPr>
              <w:pStyle w:val="13"/>
            </w:pPr>
            <w:r>
              <w:t>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224网信办</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318.17</w:t>
            </w:r>
          </w:p>
        </w:tc>
        <w:tc>
          <w:tcPr>
            <w:tcW w:w="3402" w:type="dxa"/>
            <w:vAlign w:val="center"/>
          </w:tcPr>
          <w:p>
            <w:pPr>
              <w:pStyle w:val="14"/>
            </w:pPr>
            <w:r>
              <w:t>一、一般公共服务支出</w:t>
            </w:r>
          </w:p>
        </w:tc>
        <w:tc>
          <w:tcPr>
            <w:tcW w:w="1474" w:type="dxa"/>
            <w:vAlign w:val="center"/>
          </w:tcPr>
          <w:p>
            <w:pPr>
              <w:pStyle w:val="13"/>
            </w:pPr>
            <w:r>
              <w:t>276.86</w:t>
            </w:r>
          </w:p>
        </w:tc>
        <w:tc>
          <w:tcPr>
            <w:tcW w:w="1474" w:type="dxa"/>
            <w:vAlign w:val="center"/>
          </w:tcPr>
          <w:p>
            <w:pPr>
              <w:pStyle w:val="13"/>
            </w:pPr>
            <w:r>
              <w:t>276.86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27.76</w:t>
            </w:r>
          </w:p>
        </w:tc>
        <w:tc>
          <w:tcPr>
            <w:tcW w:w="1474" w:type="dxa"/>
            <w:vAlign w:val="center"/>
          </w:tcPr>
          <w:p>
            <w:pPr>
              <w:pStyle w:val="13"/>
            </w:pPr>
            <w:r>
              <w:t>27.76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13.55</w:t>
            </w:r>
          </w:p>
        </w:tc>
        <w:tc>
          <w:tcPr>
            <w:tcW w:w="1474" w:type="dxa"/>
            <w:vAlign w:val="center"/>
          </w:tcPr>
          <w:p>
            <w:pPr>
              <w:pStyle w:val="13"/>
            </w:pPr>
            <w:r>
              <w:t>13.55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318.17</w:t>
            </w:r>
          </w:p>
        </w:tc>
        <w:tc>
          <w:tcPr>
            <w:tcW w:w="3402" w:type="dxa"/>
            <w:vAlign w:val="center"/>
          </w:tcPr>
          <w:p>
            <w:pPr>
              <w:pStyle w:val="16"/>
            </w:pPr>
            <w:r>
              <w:t>本年支出合计</w:t>
            </w:r>
          </w:p>
        </w:tc>
        <w:tc>
          <w:tcPr>
            <w:tcW w:w="1474" w:type="dxa"/>
            <w:vAlign w:val="center"/>
          </w:tcPr>
          <w:p>
            <w:pPr>
              <w:pStyle w:val="17"/>
            </w:pPr>
            <w:r>
              <w:t>318.17</w:t>
            </w:r>
          </w:p>
        </w:tc>
        <w:tc>
          <w:tcPr>
            <w:tcW w:w="1474" w:type="dxa"/>
            <w:vAlign w:val="center"/>
          </w:tcPr>
          <w:p>
            <w:pPr>
              <w:pStyle w:val="17"/>
            </w:pPr>
            <w:r>
              <w:t>318.17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318.17</w:t>
            </w:r>
          </w:p>
        </w:tc>
        <w:tc>
          <w:tcPr>
            <w:tcW w:w="3402" w:type="dxa"/>
            <w:vAlign w:val="center"/>
          </w:tcPr>
          <w:p>
            <w:pPr>
              <w:pStyle w:val="16"/>
            </w:pPr>
            <w:r>
              <w:t>支出总计</w:t>
            </w:r>
          </w:p>
        </w:tc>
        <w:tc>
          <w:tcPr>
            <w:tcW w:w="1474" w:type="dxa"/>
            <w:vAlign w:val="center"/>
          </w:tcPr>
          <w:p>
            <w:pPr>
              <w:pStyle w:val="17"/>
            </w:pPr>
            <w:r>
              <w:t>318.17</w:t>
            </w:r>
          </w:p>
        </w:tc>
        <w:tc>
          <w:tcPr>
            <w:tcW w:w="1474" w:type="dxa"/>
            <w:vAlign w:val="center"/>
          </w:tcPr>
          <w:p>
            <w:pPr>
              <w:pStyle w:val="17"/>
            </w:pPr>
            <w:r>
              <w:t>318.17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224网信办</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318.17</w:t>
            </w:r>
          </w:p>
        </w:tc>
        <w:tc>
          <w:tcPr>
            <w:tcW w:w="2551" w:type="dxa"/>
            <w:vAlign w:val="center"/>
          </w:tcPr>
          <w:p>
            <w:pPr>
              <w:pStyle w:val="17"/>
            </w:pPr>
            <w:r>
              <w:t>296.95</w:t>
            </w:r>
          </w:p>
        </w:tc>
        <w:tc>
          <w:tcPr>
            <w:tcW w:w="2551" w:type="dxa"/>
            <w:vAlign w:val="center"/>
          </w:tcPr>
          <w:p>
            <w:pPr>
              <w:pStyle w:val="17"/>
            </w:pPr>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276.86</w:t>
            </w:r>
          </w:p>
        </w:tc>
        <w:tc>
          <w:tcPr>
            <w:tcW w:w="2551" w:type="dxa"/>
            <w:vAlign w:val="center"/>
          </w:tcPr>
          <w:p>
            <w:pPr>
              <w:pStyle w:val="13"/>
            </w:pPr>
            <w:r>
              <w:t>255.64</w:t>
            </w:r>
          </w:p>
        </w:tc>
        <w:tc>
          <w:tcPr>
            <w:tcW w:w="2551" w:type="dxa"/>
            <w:vAlign w:val="center"/>
          </w:tcPr>
          <w:p>
            <w:pPr>
              <w:pStyle w:val="13"/>
            </w:pPr>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20137</w:t>
            </w:r>
          </w:p>
        </w:tc>
        <w:tc>
          <w:tcPr>
            <w:tcW w:w="4535" w:type="dxa"/>
            <w:vAlign w:val="center"/>
          </w:tcPr>
          <w:p>
            <w:pPr>
              <w:pStyle w:val="14"/>
            </w:pPr>
            <w:r>
              <w:t>网信事务</w:t>
            </w:r>
          </w:p>
        </w:tc>
        <w:tc>
          <w:tcPr>
            <w:tcW w:w="2551" w:type="dxa"/>
            <w:vAlign w:val="center"/>
          </w:tcPr>
          <w:p>
            <w:pPr>
              <w:pStyle w:val="13"/>
            </w:pPr>
            <w:r>
              <w:t>276.86</w:t>
            </w:r>
          </w:p>
        </w:tc>
        <w:tc>
          <w:tcPr>
            <w:tcW w:w="2551" w:type="dxa"/>
            <w:vAlign w:val="center"/>
          </w:tcPr>
          <w:p>
            <w:pPr>
              <w:pStyle w:val="13"/>
            </w:pPr>
            <w:r>
              <w:t>255.64</w:t>
            </w:r>
          </w:p>
        </w:tc>
        <w:tc>
          <w:tcPr>
            <w:tcW w:w="2551" w:type="dxa"/>
            <w:vAlign w:val="center"/>
          </w:tcPr>
          <w:p>
            <w:pPr>
              <w:pStyle w:val="13"/>
            </w:pPr>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2013701</w:t>
            </w:r>
          </w:p>
        </w:tc>
        <w:tc>
          <w:tcPr>
            <w:tcW w:w="4535" w:type="dxa"/>
            <w:vAlign w:val="center"/>
          </w:tcPr>
          <w:p>
            <w:pPr>
              <w:pStyle w:val="14"/>
            </w:pPr>
            <w:r>
              <w:t>行政运行</w:t>
            </w:r>
          </w:p>
        </w:tc>
        <w:tc>
          <w:tcPr>
            <w:tcW w:w="2551" w:type="dxa"/>
            <w:vAlign w:val="center"/>
          </w:tcPr>
          <w:p>
            <w:pPr>
              <w:pStyle w:val="13"/>
            </w:pPr>
            <w:r>
              <w:t>134.53</w:t>
            </w:r>
          </w:p>
        </w:tc>
        <w:tc>
          <w:tcPr>
            <w:tcW w:w="2551" w:type="dxa"/>
            <w:vAlign w:val="center"/>
          </w:tcPr>
          <w:p>
            <w:pPr>
              <w:pStyle w:val="13"/>
            </w:pPr>
            <w:r>
              <w:t>113.31</w:t>
            </w:r>
          </w:p>
        </w:tc>
        <w:tc>
          <w:tcPr>
            <w:tcW w:w="2551" w:type="dxa"/>
            <w:vAlign w:val="center"/>
          </w:tcPr>
          <w:p>
            <w:pPr>
              <w:pStyle w:val="13"/>
            </w:pPr>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2013750</w:t>
            </w:r>
          </w:p>
        </w:tc>
        <w:tc>
          <w:tcPr>
            <w:tcW w:w="4535" w:type="dxa"/>
            <w:vAlign w:val="center"/>
          </w:tcPr>
          <w:p>
            <w:pPr>
              <w:pStyle w:val="14"/>
            </w:pPr>
            <w:r>
              <w:t>事业运行</w:t>
            </w:r>
          </w:p>
        </w:tc>
        <w:tc>
          <w:tcPr>
            <w:tcW w:w="2551" w:type="dxa"/>
            <w:vAlign w:val="center"/>
          </w:tcPr>
          <w:p>
            <w:pPr>
              <w:pStyle w:val="13"/>
            </w:pPr>
            <w:r>
              <w:t>142.33</w:t>
            </w:r>
          </w:p>
        </w:tc>
        <w:tc>
          <w:tcPr>
            <w:tcW w:w="2551" w:type="dxa"/>
            <w:vAlign w:val="center"/>
          </w:tcPr>
          <w:p>
            <w:pPr>
              <w:pStyle w:val="13"/>
            </w:pPr>
            <w:r>
              <w:t>142.33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27.76</w:t>
            </w:r>
          </w:p>
        </w:tc>
        <w:tc>
          <w:tcPr>
            <w:tcW w:w="2551" w:type="dxa"/>
            <w:vAlign w:val="center"/>
          </w:tcPr>
          <w:p>
            <w:pPr>
              <w:pStyle w:val="13"/>
            </w:pPr>
            <w:r>
              <w:t>27.76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26.64</w:t>
            </w:r>
          </w:p>
        </w:tc>
        <w:tc>
          <w:tcPr>
            <w:tcW w:w="2551" w:type="dxa"/>
            <w:vAlign w:val="center"/>
          </w:tcPr>
          <w:p>
            <w:pPr>
              <w:pStyle w:val="13"/>
            </w:pPr>
            <w:r>
              <w:t>26.64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26.64</w:t>
            </w:r>
          </w:p>
        </w:tc>
        <w:tc>
          <w:tcPr>
            <w:tcW w:w="2551" w:type="dxa"/>
            <w:vAlign w:val="center"/>
          </w:tcPr>
          <w:p>
            <w:pPr>
              <w:pStyle w:val="13"/>
            </w:pPr>
            <w:r>
              <w:t>26.64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1.13</w:t>
            </w:r>
          </w:p>
        </w:tc>
        <w:tc>
          <w:tcPr>
            <w:tcW w:w="2551" w:type="dxa"/>
            <w:vAlign w:val="center"/>
          </w:tcPr>
          <w:p>
            <w:pPr>
              <w:pStyle w:val="13"/>
            </w:pPr>
            <w:r>
              <w:t>1.13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0.63</w:t>
            </w:r>
          </w:p>
        </w:tc>
        <w:tc>
          <w:tcPr>
            <w:tcW w:w="2551" w:type="dxa"/>
            <w:vAlign w:val="center"/>
          </w:tcPr>
          <w:p>
            <w:pPr>
              <w:pStyle w:val="13"/>
            </w:pPr>
            <w:r>
              <w:t>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13.55</w:t>
            </w:r>
          </w:p>
        </w:tc>
        <w:tc>
          <w:tcPr>
            <w:tcW w:w="2551" w:type="dxa"/>
            <w:vAlign w:val="center"/>
          </w:tcPr>
          <w:p>
            <w:pPr>
              <w:pStyle w:val="13"/>
            </w:pPr>
            <w:r>
              <w:t>13.55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13.55</w:t>
            </w:r>
          </w:p>
        </w:tc>
        <w:tc>
          <w:tcPr>
            <w:tcW w:w="2551" w:type="dxa"/>
            <w:vAlign w:val="center"/>
          </w:tcPr>
          <w:p>
            <w:pPr>
              <w:pStyle w:val="13"/>
            </w:pPr>
            <w:r>
              <w:t>13.55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5.89</w:t>
            </w:r>
          </w:p>
        </w:tc>
        <w:tc>
          <w:tcPr>
            <w:tcW w:w="2551" w:type="dxa"/>
            <w:vAlign w:val="center"/>
          </w:tcPr>
          <w:p>
            <w:pPr>
              <w:pStyle w:val="13"/>
            </w:pPr>
            <w:r>
              <w:t>5.89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7.66</w:t>
            </w:r>
          </w:p>
        </w:tc>
        <w:tc>
          <w:tcPr>
            <w:tcW w:w="2551" w:type="dxa"/>
            <w:vAlign w:val="center"/>
          </w:tcPr>
          <w:p>
            <w:pPr>
              <w:pStyle w:val="13"/>
            </w:pPr>
            <w:r>
              <w:t>7.66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224网信办</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296.95</w:t>
            </w:r>
          </w:p>
        </w:tc>
        <w:tc>
          <w:tcPr>
            <w:tcW w:w="2551" w:type="dxa"/>
            <w:vAlign w:val="center"/>
          </w:tcPr>
          <w:p>
            <w:pPr>
              <w:pStyle w:val="17"/>
            </w:pPr>
            <w:r>
              <w:t>278.04</w:t>
            </w:r>
          </w:p>
        </w:tc>
        <w:tc>
          <w:tcPr>
            <w:tcW w:w="2551" w:type="dxa"/>
            <w:vAlign w:val="center"/>
          </w:tcPr>
          <w:p>
            <w:pPr>
              <w:pStyle w:val="17"/>
            </w:pPr>
            <w:r>
              <w:t>18.91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275.47</w:t>
            </w:r>
          </w:p>
        </w:tc>
        <w:tc>
          <w:tcPr>
            <w:tcW w:w="2551" w:type="dxa"/>
            <w:vAlign w:val="center"/>
          </w:tcPr>
          <w:p>
            <w:pPr>
              <w:pStyle w:val="13"/>
            </w:pPr>
            <w:r>
              <w:t>275.47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78.68</w:t>
            </w:r>
          </w:p>
        </w:tc>
        <w:tc>
          <w:tcPr>
            <w:tcW w:w="2551" w:type="dxa"/>
            <w:vAlign w:val="center"/>
          </w:tcPr>
          <w:p>
            <w:pPr>
              <w:pStyle w:val="13"/>
            </w:pPr>
            <w:r>
              <w:t>78.68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34.15</w:t>
            </w:r>
          </w:p>
        </w:tc>
        <w:tc>
          <w:tcPr>
            <w:tcW w:w="2551" w:type="dxa"/>
            <w:vAlign w:val="center"/>
          </w:tcPr>
          <w:p>
            <w:pPr>
              <w:pStyle w:val="13"/>
            </w:pPr>
            <w:r>
              <w:t>34.15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30.34</w:t>
            </w:r>
          </w:p>
        </w:tc>
        <w:tc>
          <w:tcPr>
            <w:tcW w:w="2551" w:type="dxa"/>
            <w:vAlign w:val="center"/>
          </w:tcPr>
          <w:p>
            <w:pPr>
              <w:pStyle w:val="13"/>
            </w:pPr>
            <w:r>
              <w:t>30.34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67.55</w:t>
            </w:r>
          </w:p>
        </w:tc>
        <w:tc>
          <w:tcPr>
            <w:tcW w:w="2551" w:type="dxa"/>
            <w:vAlign w:val="center"/>
          </w:tcPr>
          <w:p>
            <w:pPr>
              <w:pStyle w:val="13"/>
            </w:pPr>
            <w:r>
              <w:t>67.55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26.64</w:t>
            </w:r>
          </w:p>
        </w:tc>
        <w:tc>
          <w:tcPr>
            <w:tcW w:w="2551" w:type="dxa"/>
            <w:vAlign w:val="center"/>
          </w:tcPr>
          <w:p>
            <w:pPr>
              <w:pStyle w:val="13"/>
            </w:pPr>
            <w:r>
              <w:t>26.64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11.57</w:t>
            </w:r>
          </w:p>
        </w:tc>
        <w:tc>
          <w:tcPr>
            <w:tcW w:w="2551" w:type="dxa"/>
            <w:vAlign w:val="center"/>
          </w:tcPr>
          <w:p>
            <w:pPr>
              <w:pStyle w:val="13"/>
            </w:pPr>
            <w:r>
              <w:t>11.57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1.98</w:t>
            </w:r>
          </w:p>
        </w:tc>
        <w:tc>
          <w:tcPr>
            <w:tcW w:w="2551" w:type="dxa"/>
            <w:vAlign w:val="center"/>
          </w:tcPr>
          <w:p>
            <w:pPr>
              <w:pStyle w:val="13"/>
            </w:pPr>
            <w:r>
              <w:t>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1.13</w:t>
            </w:r>
          </w:p>
        </w:tc>
        <w:tc>
          <w:tcPr>
            <w:tcW w:w="2551" w:type="dxa"/>
            <w:vAlign w:val="center"/>
          </w:tcPr>
          <w:p>
            <w:pPr>
              <w:pStyle w:val="13"/>
            </w:pPr>
            <w:r>
              <w:t>1.13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23.43</w:t>
            </w:r>
          </w:p>
        </w:tc>
        <w:tc>
          <w:tcPr>
            <w:tcW w:w="2551" w:type="dxa"/>
            <w:vAlign w:val="center"/>
          </w:tcPr>
          <w:p>
            <w:pPr>
              <w:pStyle w:val="13"/>
            </w:pPr>
            <w:r>
              <w:t>23.43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18.91</w:t>
            </w:r>
          </w:p>
        </w:tc>
        <w:tc>
          <w:tcPr>
            <w:tcW w:w="2551" w:type="dxa"/>
            <w:vAlign w:val="center"/>
          </w:tcPr>
          <w:p>
            <w:pPr>
              <w:pStyle w:val="13"/>
            </w:pPr>
          </w:p>
        </w:tc>
        <w:tc>
          <w:tcPr>
            <w:tcW w:w="2551" w:type="dxa"/>
            <w:vAlign w:val="center"/>
          </w:tcPr>
          <w:p>
            <w:pPr>
              <w:pStyle w:val="13"/>
            </w:pPr>
            <w:r>
              <w:t>18.91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6.12</w:t>
            </w:r>
          </w:p>
        </w:tc>
        <w:tc>
          <w:tcPr>
            <w:tcW w:w="2551" w:type="dxa"/>
            <w:vAlign w:val="center"/>
          </w:tcPr>
          <w:p>
            <w:pPr>
              <w:pStyle w:val="13"/>
            </w:pPr>
          </w:p>
        </w:tc>
        <w:tc>
          <w:tcPr>
            <w:tcW w:w="2551" w:type="dxa"/>
            <w:vAlign w:val="center"/>
          </w:tcPr>
          <w:p>
            <w:pPr>
              <w:pStyle w:val="13"/>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3.24</w:t>
            </w:r>
          </w:p>
        </w:tc>
        <w:tc>
          <w:tcPr>
            <w:tcW w:w="2551" w:type="dxa"/>
            <w:vAlign w:val="center"/>
          </w:tcPr>
          <w:p>
            <w:pPr>
              <w:pStyle w:val="13"/>
            </w:pPr>
          </w:p>
        </w:tc>
        <w:tc>
          <w:tcPr>
            <w:tcW w:w="2551" w:type="dxa"/>
            <w:vAlign w:val="center"/>
          </w:tcPr>
          <w:p>
            <w:pPr>
              <w:pStyle w:val="13"/>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0.68</w:t>
            </w:r>
          </w:p>
        </w:tc>
        <w:tc>
          <w:tcPr>
            <w:tcW w:w="2551" w:type="dxa"/>
            <w:vAlign w:val="center"/>
          </w:tcPr>
          <w:p>
            <w:pPr>
              <w:pStyle w:val="13"/>
            </w:pPr>
          </w:p>
        </w:tc>
        <w:tc>
          <w:tcPr>
            <w:tcW w:w="2551" w:type="dxa"/>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0.99</w:t>
            </w:r>
          </w:p>
        </w:tc>
        <w:tc>
          <w:tcPr>
            <w:tcW w:w="2551" w:type="dxa"/>
            <w:vAlign w:val="center"/>
          </w:tcPr>
          <w:p>
            <w:pPr>
              <w:pStyle w:val="13"/>
            </w:pPr>
          </w:p>
        </w:tc>
        <w:tc>
          <w:tcPr>
            <w:tcW w:w="2551" w:type="dxa"/>
            <w:vAlign w:val="center"/>
          </w:tcPr>
          <w:p>
            <w:pPr>
              <w:pStyle w:val="13"/>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1.47</w:t>
            </w:r>
          </w:p>
        </w:tc>
        <w:tc>
          <w:tcPr>
            <w:tcW w:w="2551" w:type="dxa"/>
            <w:vAlign w:val="center"/>
          </w:tcPr>
          <w:p>
            <w:pPr>
              <w:pStyle w:val="13"/>
            </w:pPr>
          </w:p>
        </w:tc>
        <w:tc>
          <w:tcPr>
            <w:tcW w:w="2551" w:type="dxa"/>
            <w:vAlign w:val="center"/>
          </w:tcPr>
          <w:p>
            <w:pPr>
              <w:pStyle w:val="13"/>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3.72</w:t>
            </w:r>
          </w:p>
        </w:tc>
        <w:tc>
          <w:tcPr>
            <w:tcW w:w="2551" w:type="dxa"/>
            <w:vAlign w:val="center"/>
          </w:tcPr>
          <w:p>
            <w:pPr>
              <w:pStyle w:val="13"/>
            </w:pPr>
          </w:p>
        </w:tc>
        <w:tc>
          <w:tcPr>
            <w:tcW w:w="2551" w:type="dxa"/>
            <w:vAlign w:val="center"/>
          </w:tcPr>
          <w:p>
            <w:pPr>
              <w:pStyle w:val="13"/>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2.57</w:t>
            </w:r>
          </w:p>
        </w:tc>
        <w:tc>
          <w:tcPr>
            <w:tcW w:w="2551" w:type="dxa"/>
            <w:vAlign w:val="center"/>
          </w:tcPr>
          <w:p>
            <w:pPr>
              <w:pStyle w:val="13"/>
            </w:pPr>
            <w:r>
              <w:t>2.57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2.57</w:t>
            </w:r>
          </w:p>
        </w:tc>
        <w:tc>
          <w:tcPr>
            <w:tcW w:w="2551" w:type="dxa"/>
            <w:vAlign w:val="center"/>
          </w:tcPr>
          <w:p>
            <w:pPr>
              <w:pStyle w:val="13"/>
            </w:pPr>
            <w:r>
              <w:t>2.57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224网信办</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224网信办</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224网信办</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rPr>
                <w:rFonts w:hint="default" w:eastAsia="方正书宋_GBK"/>
                <w:lang w:val="en-US" w:eastAsia="zh-CN"/>
              </w:rPr>
            </w:pPr>
            <w:r>
              <w:rPr>
                <w:rFonts w:hint="eastAsia"/>
                <w:lang w:val="en-US" w:eastAsia="zh-CN"/>
              </w:rPr>
              <w:t>2.33</w:t>
            </w:r>
          </w:p>
        </w:tc>
        <w:tc>
          <w:tcPr>
            <w:tcW w:w="2381" w:type="dxa"/>
            <w:vAlign w:val="center"/>
          </w:tcPr>
          <w:p>
            <w:pPr>
              <w:pStyle w:val="13"/>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网信办2026年部门预算信息公开情况说明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网信办2026年部门预算信息公开情况说明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按照《中华人民共和国预算法》、《地方预决算公开操作规程》和《关于进一步推进预算公开工作的实施意见》规定，现将网信办2026年部门预算公开如下：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ind w:left="0" w:leftChars="0" w:firstLine="840" w:firstLineChars="300"/>
      </w:pPr>
      <w:r>
        <w:t>根据《网信办职能配置、内设机构和人员编制规定》，网信办的主要职责是：</w:t>
      </w:r>
    </w:p>
    <w:p>
      <w:pPr>
        <w:pStyle w:val="19"/>
        <w:ind w:firstLine="932" w:firstLineChars="333"/>
      </w:pPr>
      <w:r>
        <w:t>1、负责处理区委网络安全和信息化委员会日常事务工作。</w:t>
      </w:r>
    </w:p>
    <w:p>
      <w:pPr>
        <w:pStyle w:val="19"/>
        <w:ind w:firstLine="932" w:firstLineChars="333"/>
      </w:pPr>
      <w:r>
        <w:rPr>
          <w:rFonts w:hint="eastAsia"/>
          <w:lang w:val="en-US" w:eastAsia="zh-CN"/>
        </w:rPr>
        <w:t>2、</w:t>
      </w:r>
      <w:r>
        <w:t>统筹协调全区网络安全保障体系和可信体系建设。</w:t>
      </w:r>
    </w:p>
    <w:p>
      <w:pPr>
        <w:pStyle w:val="19"/>
        <w:ind w:firstLine="932" w:firstLineChars="333"/>
      </w:pPr>
      <w:r>
        <w:rPr>
          <w:rFonts w:hint="eastAsia"/>
          <w:lang w:val="en-US" w:eastAsia="zh-CN"/>
        </w:rPr>
        <w:t>3、</w:t>
      </w:r>
      <w:r>
        <w:t>负责协调处理网络安全和信息化重大突发事件与有关应急工作。</w:t>
      </w:r>
    </w:p>
    <w:p>
      <w:pPr>
        <w:pStyle w:val="19"/>
        <w:ind w:firstLine="932" w:firstLineChars="333"/>
      </w:pPr>
      <w:r>
        <w:rPr>
          <w:rFonts w:hint="eastAsia"/>
          <w:lang w:val="en-US" w:eastAsia="zh-CN"/>
        </w:rPr>
        <w:t>4、</w:t>
      </w:r>
      <w:r>
        <w:t>统筹协调组织互联网宣传管理和舆论引导工作组织开展网上评论，维护互联网意识形态安全，负责互联网信息内容监督管理执法，依照相关法律和规定查处违法违规行为和网站。</w:t>
      </w:r>
    </w:p>
    <w:p>
      <w:pPr>
        <w:pStyle w:val="19"/>
        <w:ind w:firstLine="932" w:firstLineChars="333"/>
      </w:pPr>
      <w:r>
        <w:rPr>
          <w:rFonts w:hint="eastAsia"/>
          <w:lang w:val="en-US" w:eastAsia="zh-CN"/>
        </w:rPr>
        <w:t>5、</w:t>
      </w:r>
      <w:r>
        <w:t>组织开展相关领域对外交流与合作。</w:t>
      </w:r>
    </w:p>
    <w:p>
      <w:pPr>
        <w:pStyle w:val="19"/>
        <w:ind w:firstLine="932" w:firstLineChars="333"/>
      </w:pPr>
      <w:r>
        <w:rPr>
          <w:rFonts w:hint="eastAsia"/>
          <w:lang w:val="en-US" w:eastAsia="zh-CN"/>
        </w:rPr>
        <w:t>6、</w:t>
      </w:r>
      <w:r>
        <w:t>负责网信系统干部教育培训和人才队伍建设。</w:t>
      </w:r>
    </w:p>
    <w:p>
      <w:pPr>
        <w:pStyle w:val="19"/>
        <w:ind w:firstLine="932" w:firstLineChars="333"/>
      </w:pPr>
      <w:r>
        <w:rPr>
          <w:rFonts w:hint="eastAsia"/>
          <w:lang w:val="en-US" w:eastAsia="zh-CN"/>
        </w:rPr>
        <w:t>7、</w:t>
      </w:r>
      <w:r>
        <w:t>指导各乡镇和有关部门网络安全和信息化工作。</w:t>
      </w:r>
    </w:p>
    <w:p>
      <w:pPr>
        <w:pStyle w:val="19"/>
        <w:ind w:firstLine="932" w:firstLineChars="333"/>
      </w:pPr>
      <w:r>
        <w:rPr>
          <w:rFonts w:hint="eastAsia"/>
          <w:lang w:val="en-US" w:eastAsia="zh-CN"/>
        </w:rPr>
        <w:t>8、</w:t>
      </w:r>
      <w:r>
        <w:t>负责指导协调全区网络舆情信息工作。</w:t>
      </w:r>
    </w:p>
    <w:p>
      <w:pPr>
        <w:pStyle w:val="19"/>
        <w:ind w:firstLine="932" w:firstLineChars="333"/>
      </w:pPr>
      <w:r>
        <w:rPr>
          <w:rFonts w:hint="eastAsia"/>
          <w:lang w:val="en-US" w:eastAsia="zh-CN"/>
        </w:rPr>
        <w:t>9、</w:t>
      </w:r>
      <w:r>
        <w:t>完成省委、市委网络安全和信息化委员会办公室和区委区政府及区委网络安全和信息化委员会、区委宣传部交办的其他事项。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网信办本级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栾城区互联网舆情信息中心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按照预算管理有关规定，目前部门预算的编制实行综合预算管理，即全部收入和支出都反映在预算中。网信办机关及所属事业单位的收支包含在部门预算中。</w:t>
      </w:r>
    </w:p>
    <w:p>
      <w:pPr>
        <w:pStyle w:val="20"/>
      </w:pPr>
      <w:r>
        <w:t>1、收入说明</w:t>
      </w:r>
    </w:p>
    <w:p>
      <w:pPr>
        <w:pStyle w:val="20"/>
      </w:pPr>
      <w:r>
        <w:t>反映本部门当年全部收入。2026年预算收入318.17万元，其中：一般公共预算收入318.17万元，基金预算收入0.00万元，国有资本经营预算收入0.00万元，财政专户核拨收入0.00万元，单位资金收入0.00万元，上年结转结余0.00万元。</w:t>
      </w:r>
    </w:p>
    <w:p>
      <w:pPr>
        <w:pStyle w:val="20"/>
      </w:pPr>
      <w:r>
        <w:t>2、支出说明</w:t>
      </w:r>
    </w:p>
    <w:p>
      <w:pPr>
        <w:pStyle w:val="20"/>
        <w:rPr>
          <w:rFonts w:hint="eastAsia"/>
          <w:lang w:eastAsia="zh-CN"/>
        </w:rPr>
      </w:pPr>
      <w:r>
        <w:t>收支预算总表支出栏、基本支出表、项目支出表按经济分类和支出功能分类科目编制，反映网信办年度部门预算中支出预算的总体情况。2026年支出预算318.17万元，其中基本支出296.95万元，包括人员经费278.04万元和日常公用经费18.91万元；项目支出21.22万元，主要为劳务派遣人员经费和残保金；预计下年使用的单位资金结余0.00万元。委托业务费共计安排0.00万元</w:t>
      </w:r>
      <w:r>
        <w:rPr>
          <w:rFonts w:hint="eastAsia"/>
          <w:lang w:eastAsia="zh-CN"/>
        </w:rPr>
        <w:t>。</w:t>
      </w:r>
    </w:p>
    <w:p>
      <w:pPr>
        <w:pStyle w:val="20"/>
      </w:pPr>
      <w:r>
        <w:t>3、比上年增减情况</w:t>
      </w:r>
    </w:p>
    <w:p>
      <w:pPr>
        <w:pStyle w:val="20"/>
      </w:pPr>
      <w:r>
        <w:t>2026年预算收支安排318.17万元，较2025年预算减少5.34万元，其中：基本支出减少4.99万元，主要为人员经费和公用经费均有所减少</w:t>
      </w:r>
      <w:r>
        <w:rPr>
          <w:rFonts w:hint="eastAsia"/>
          <w:lang w:eastAsia="zh-CN"/>
        </w:rPr>
        <w:t>；</w:t>
      </w:r>
      <w:r>
        <w:t>项目支出减少0.35万元，主要为财政压减开支。预计下年使用的单位资金结余增加0.00万元。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2026年，我部门机关运行经费共计安排18.91万元，主要用于日常维修、</w:t>
      </w:r>
      <w:r>
        <w:rPr>
          <w:rFonts w:hint="eastAsia"/>
          <w:lang w:val="en-US" w:eastAsia="zh-CN"/>
        </w:rPr>
        <w:t>会议费、培训费、差旅费</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val="en-US" w:eastAsia="zh-CN"/>
        </w:rPr>
      </w:pPr>
      <w:r>
        <w:rPr>
          <w:rFonts w:hint="eastAsia"/>
        </w:rPr>
        <w:t>2026年，我部门财政拨款“三公”经费预算安排2.33万元，其中因公出国（境）费0.00万元； 公务用车购置及运维费2.33万元（其中：公务用车购置费为0.00万元，公务用车运维费2.33万元)； 公务接待费0.00万元。与2025年相比增加2.33万元， 增减变化的主要原因是：</w:t>
      </w:r>
      <w:r>
        <w:rPr>
          <w:rFonts w:hint="eastAsia"/>
          <w:lang w:eastAsia="zh-CN"/>
        </w:rPr>
        <w:t>压减开支。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1次，大密度开展全区各层次网络宣传和舆情应对培训，组织外出学习交流，加强网络安全监控系统建设，加强网络执法检查，开设宣传专题专栏，积极开展网络社会公益活动,进行数字化乡村建设,将数字乡村建设融入信息化规划,统筹协调信息化建设重大问题,协调推动重大信息化工程.</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 网络安全保障能力整体增强</w:t>
      </w:r>
    </w:p>
    <w:p>
      <w:pPr>
        <w:pStyle w:val="24"/>
      </w:pPr>
      <w: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pPr>
        <w:pStyle w:val="24"/>
      </w:pPr>
      <w:r>
        <w:t>绩效指标：统筹网络安全，加强党政机关网络平台及关键信息基础设施网络安全监测和预警，组织若干次网络安全应急演练和培训活动。</w:t>
      </w:r>
    </w:p>
    <w:p>
      <w:pPr>
        <w:pStyle w:val="24"/>
      </w:pPr>
      <w:r>
        <w:t>2.互联网宣传管理效果进一步明显</w:t>
      </w:r>
    </w:p>
    <w:p>
      <w:pPr>
        <w:pStyle w:val="24"/>
      </w:pPr>
      <w:r>
        <w:t>绩效目标：我区重大主题、重大典型和重大活动等互联网宣传教育活动效果进一步提升，网络综合治理效果进一步提升，网络社会公益活动有效开展，网络文化建设能力进一步加强。</w:t>
      </w:r>
    </w:p>
    <w:p>
      <w:pPr>
        <w:pStyle w:val="24"/>
      </w:pPr>
      <w:r>
        <w:t>绩效指标：全市重大主题、重大典型和重大活动等互联网宣传教育活动有效开展，加强与上级网信部门和重点新闻网站合作，形成网上舆论强势，形成地域性网络文化特色,宣传栾城故事。</w:t>
      </w:r>
    </w:p>
    <w:p>
      <w:pPr>
        <w:pStyle w:val="24"/>
      </w:pPr>
      <w:r>
        <w:t>3.网络舆情监测应对能力稳步提升</w:t>
      </w:r>
    </w:p>
    <w:p>
      <w:pPr>
        <w:pStyle w:val="24"/>
      </w:pPr>
      <w:r>
        <w:t>绩效目标：着力打造上下联动的一体化舆情应急指挥平台，加大全网巡查力度。切实提升网络舆情监测和应急处置能力，提升分析研判、舆论引导、辟谣举报等处置能力。</w:t>
      </w:r>
    </w:p>
    <w:p>
      <w:pPr>
        <w:pStyle w:val="24"/>
      </w:pPr>
      <w:r>
        <w:t>绩效指标：建立健全互联网舆情监测、研判、上报、处置和引导工作体系，协调处置应对网络突发公共事件。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为实现年度绩效目标采取以下重要措施：</w:t>
      </w:r>
    </w:p>
    <w:p>
      <w:pPr>
        <w:pStyle w:val="25"/>
      </w:pPr>
      <w:r>
        <w:t>1.完善制度建设。根据工作实际，制定、完善或加强执行本部门的财务管理制度、网络安全和信息化经费管理制度，为全年预算绩效目标的实现奠定制度基础。</w:t>
      </w:r>
    </w:p>
    <w:p>
      <w:pPr>
        <w:pStyle w:val="25"/>
      </w:pPr>
      <w:r>
        <w:t>2.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pStyle w:val="25"/>
        <w:sectPr>
          <w:pgSz w:w="16840" w:h="11900" w:orient="landscape"/>
          <w:pgMar w:top="1361" w:right="1020" w:bottom="1361" w:left="1020" w:header="720" w:footer="720" w:gutter="0"/>
          <w:cols w:space="720" w:num="1"/>
        </w:sectPr>
      </w:pPr>
      <w:r>
        <w:t>3.加强内部管理和监督。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13011126P00000410568F</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18.80</w:t>
            </w:r>
          </w:p>
        </w:tc>
        <w:tc>
          <w:tcPr>
            <w:tcW w:w="2835" w:type="dxa"/>
            <w:vAlign w:val="center"/>
          </w:tcPr>
          <w:p>
            <w:pPr>
              <w:pStyle w:val="12"/>
            </w:pPr>
            <w:r>
              <w:t>其中：财政    资金</w:t>
            </w:r>
          </w:p>
        </w:tc>
        <w:tc>
          <w:tcPr>
            <w:tcW w:w="2551" w:type="dxa"/>
            <w:vAlign w:val="center"/>
          </w:tcPr>
          <w:p>
            <w:pPr>
              <w:pStyle w:val="14"/>
            </w:pPr>
            <w:r>
              <w:t>18.80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保障劳务派遣人员工资及待遇发放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10.00</w:t>
            </w:r>
          </w:p>
        </w:tc>
        <w:tc>
          <w:tcPr>
            <w:tcW w:w="2551" w:type="dxa"/>
            <w:vAlign w:val="center"/>
          </w:tcPr>
          <w:p>
            <w:pPr>
              <w:pStyle w:val="15"/>
            </w:pPr>
            <w:r>
              <w:t>15.00</w:t>
            </w:r>
          </w:p>
        </w:tc>
        <w:tc>
          <w:tcPr>
            <w:tcW w:w="3544" w:type="dxa"/>
            <w:gridSpan w:val="2"/>
            <w:vAlign w:val="center"/>
          </w:tcPr>
          <w:p>
            <w:pPr>
              <w:pStyle w:val="15"/>
            </w:pPr>
            <w:r>
              <w:t>18.80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1.保障劳务派遣人员工资及待遇发放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劳务派遣人数</w:t>
            </w:r>
          </w:p>
        </w:tc>
        <w:tc>
          <w:tcPr>
            <w:tcW w:w="2268" w:type="dxa"/>
            <w:vAlign w:val="center"/>
          </w:tcPr>
          <w:p>
            <w:pPr>
              <w:pStyle w:val="14"/>
            </w:pPr>
            <w:r>
              <w:t>3</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保障单位正常运转</w:t>
            </w:r>
          </w:p>
        </w:tc>
        <w:tc>
          <w:tcPr>
            <w:tcW w:w="2268" w:type="dxa"/>
            <w:vAlign w:val="center"/>
          </w:tcPr>
          <w:p>
            <w:pPr>
              <w:pStyle w:val="14"/>
            </w:pPr>
            <w:r>
              <w:t>保障运转</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及时支付</w:t>
            </w:r>
          </w:p>
        </w:tc>
        <w:tc>
          <w:tcPr>
            <w:tcW w:w="2268" w:type="dxa"/>
            <w:vAlign w:val="center"/>
          </w:tcPr>
          <w:p>
            <w:pPr>
              <w:pStyle w:val="14"/>
            </w:pPr>
            <w:r>
              <w:t>及时</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不超预算</w:t>
            </w:r>
          </w:p>
        </w:tc>
        <w:tc>
          <w:tcPr>
            <w:tcW w:w="2268" w:type="dxa"/>
            <w:vAlign w:val="center"/>
          </w:tcPr>
          <w:p>
            <w:pPr>
              <w:pStyle w:val="14"/>
            </w:pPr>
            <w:r>
              <w:t>≥18.8</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5386" w:type="dxa"/>
            <w:vAlign w:val="center"/>
          </w:tcPr>
          <w:p>
            <w:pPr>
              <w:pStyle w:val="14"/>
            </w:pPr>
            <w:r>
              <w:t>提高劳务派遣人员工作积极性</w:t>
            </w:r>
          </w:p>
        </w:tc>
        <w:tc>
          <w:tcPr>
            <w:tcW w:w="2268" w:type="dxa"/>
            <w:vAlign w:val="center"/>
          </w:tcPr>
          <w:p>
            <w:pPr>
              <w:pStyle w:val="14"/>
            </w:pPr>
            <w:r>
              <w:t>积极性</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w:t>
            </w:r>
          </w:p>
        </w:tc>
        <w:tc>
          <w:tcPr>
            <w:tcW w:w="2268" w:type="dxa"/>
            <w:vAlign w:val="center"/>
          </w:tcPr>
          <w:p>
            <w:pPr>
              <w:pStyle w:val="14"/>
            </w:pPr>
            <w:r>
              <w:t>≥98</w:t>
            </w:r>
          </w:p>
        </w:tc>
        <w:tc>
          <w:tcPr>
            <w:tcW w:w="1276" w:type="dxa"/>
            <w:vAlign w:val="center"/>
          </w:tcPr>
          <w:p>
            <w:pPr>
              <w:pStyle w:val="14"/>
            </w:pPr>
            <w:r>
              <w:t>上级文件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13011126P000004105693</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保障离退休人员补助发放到位，提升离退休人员生活质量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0.02</w:t>
            </w:r>
          </w:p>
        </w:tc>
        <w:tc>
          <w:tcPr>
            <w:tcW w:w="2835" w:type="dxa"/>
            <w:vAlign w:val="center"/>
          </w:tcPr>
          <w:p>
            <w:pPr>
              <w:pStyle w:val="15"/>
            </w:pPr>
            <w:r>
              <w:t>0.04</w:t>
            </w:r>
          </w:p>
        </w:tc>
        <w:tc>
          <w:tcPr>
            <w:tcW w:w="2551" w:type="dxa"/>
            <w:vAlign w:val="center"/>
          </w:tcPr>
          <w:p>
            <w:pPr>
              <w:pStyle w:val="15"/>
            </w:pPr>
            <w:r>
              <w:t>0.06</w:t>
            </w:r>
          </w:p>
        </w:tc>
        <w:tc>
          <w:tcPr>
            <w:tcW w:w="3544" w:type="dxa"/>
            <w:gridSpan w:val="2"/>
            <w:vAlign w:val="center"/>
          </w:tcPr>
          <w:p>
            <w:pPr>
              <w:pStyle w:val="15"/>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1.保障离退休人员补助发放到位，提升离退休人员生活质量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离退休人员补助</w:t>
            </w:r>
          </w:p>
        </w:tc>
        <w:tc>
          <w:tcPr>
            <w:tcW w:w="5386" w:type="dxa"/>
            <w:vAlign w:val="center"/>
          </w:tcPr>
          <w:p>
            <w:pPr>
              <w:pStyle w:val="14"/>
            </w:pPr>
            <w:r>
              <w:t>补助到位</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离退休人员补助质量</w:t>
            </w:r>
          </w:p>
        </w:tc>
        <w:tc>
          <w:tcPr>
            <w:tcW w:w="5386" w:type="dxa"/>
            <w:vAlign w:val="center"/>
          </w:tcPr>
          <w:p>
            <w:pPr>
              <w:pStyle w:val="14"/>
            </w:pPr>
            <w:r>
              <w:t>补助到位质量高</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支付及时性</w:t>
            </w:r>
          </w:p>
        </w:tc>
        <w:tc>
          <w:tcPr>
            <w:tcW w:w="5386" w:type="dxa"/>
            <w:vAlign w:val="center"/>
          </w:tcPr>
          <w:p>
            <w:pPr>
              <w:pStyle w:val="14"/>
            </w:pPr>
            <w:r>
              <w:t>及时支付</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不超成本</w:t>
            </w:r>
          </w:p>
        </w:tc>
        <w:tc>
          <w:tcPr>
            <w:tcW w:w="2268" w:type="dxa"/>
            <w:vAlign w:val="center"/>
          </w:tcPr>
          <w:p>
            <w:pPr>
              <w:pStyle w:val="14"/>
            </w:pPr>
            <w:r>
              <w:t>≥0.08万元</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提升退休人员满意度</w:t>
            </w:r>
          </w:p>
        </w:tc>
        <w:tc>
          <w:tcPr>
            <w:tcW w:w="5386" w:type="dxa"/>
            <w:vAlign w:val="center"/>
          </w:tcPr>
          <w:p>
            <w:pPr>
              <w:pStyle w:val="14"/>
            </w:pPr>
            <w:r>
              <w:t>提升满意度</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满意度</w:t>
            </w:r>
          </w:p>
        </w:tc>
        <w:tc>
          <w:tcPr>
            <w:tcW w:w="2268" w:type="dxa"/>
            <w:vAlign w:val="center"/>
          </w:tcPr>
          <w:p>
            <w:pPr>
              <w:pStyle w:val="14"/>
            </w:pPr>
            <w:r>
              <w:t>≥99百分比</w:t>
            </w:r>
          </w:p>
        </w:tc>
        <w:tc>
          <w:tcPr>
            <w:tcW w:w="127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13011126P00000410596U</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2.34</w:t>
            </w:r>
          </w:p>
        </w:tc>
        <w:tc>
          <w:tcPr>
            <w:tcW w:w="2835" w:type="dxa"/>
            <w:vAlign w:val="center"/>
          </w:tcPr>
          <w:p>
            <w:pPr>
              <w:pStyle w:val="12"/>
            </w:pPr>
            <w:r>
              <w:t>其中：财政    资金</w:t>
            </w:r>
          </w:p>
        </w:tc>
        <w:tc>
          <w:tcPr>
            <w:tcW w:w="2551" w:type="dxa"/>
            <w:vAlign w:val="center"/>
          </w:tcPr>
          <w:p>
            <w:pPr>
              <w:pStyle w:val="14"/>
            </w:pPr>
            <w:r>
              <w:t>2.34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全力保障残疾人事业发展</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0.60</w:t>
            </w:r>
          </w:p>
        </w:tc>
        <w:tc>
          <w:tcPr>
            <w:tcW w:w="2835" w:type="dxa"/>
            <w:vAlign w:val="center"/>
          </w:tcPr>
          <w:p>
            <w:pPr>
              <w:pStyle w:val="15"/>
            </w:pPr>
            <w:r>
              <w:t>1.60</w:t>
            </w:r>
          </w:p>
        </w:tc>
        <w:tc>
          <w:tcPr>
            <w:tcW w:w="2551" w:type="dxa"/>
            <w:vAlign w:val="center"/>
          </w:tcPr>
          <w:p>
            <w:pPr>
              <w:pStyle w:val="15"/>
            </w:pPr>
            <w:r>
              <w:t>1.90</w:t>
            </w:r>
          </w:p>
        </w:tc>
        <w:tc>
          <w:tcPr>
            <w:tcW w:w="3544" w:type="dxa"/>
            <w:gridSpan w:val="2"/>
            <w:vAlign w:val="center"/>
          </w:tcPr>
          <w:p>
            <w:pPr>
              <w:pStyle w:val="15"/>
            </w:pPr>
            <w:r>
              <w:t>2.34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1.全力保障残疾人事业发展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残疾人补助</w:t>
            </w:r>
          </w:p>
        </w:tc>
        <w:tc>
          <w:tcPr>
            <w:tcW w:w="5386" w:type="dxa"/>
            <w:vAlign w:val="center"/>
          </w:tcPr>
          <w:p>
            <w:pPr>
              <w:pStyle w:val="14"/>
            </w:pPr>
            <w:r>
              <w:t>补助到位</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残疾人补助到位</w:t>
            </w:r>
          </w:p>
        </w:tc>
        <w:tc>
          <w:tcPr>
            <w:tcW w:w="5386" w:type="dxa"/>
            <w:vAlign w:val="center"/>
          </w:tcPr>
          <w:p>
            <w:pPr>
              <w:pStyle w:val="14"/>
            </w:pPr>
            <w:r>
              <w:t>补助到位质量高</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支付及时性</w:t>
            </w:r>
          </w:p>
        </w:tc>
        <w:tc>
          <w:tcPr>
            <w:tcW w:w="5386" w:type="dxa"/>
            <w:vAlign w:val="center"/>
          </w:tcPr>
          <w:p>
            <w:pPr>
              <w:pStyle w:val="14"/>
            </w:pPr>
            <w:r>
              <w:t>及时支付</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不超成本</w:t>
            </w:r>
          </w:p>
        </w:tc>
        <w:tc>
          <w:tcPr>
            <w:tcW w:w="2268" w:type="dxa"/>
            <w:vAlign w:val="center"/>
          </w:tcPr>
          <w:p>
            <w:pPr>
              <w:pStyle w:val="14"/>
            </w:pPr>
            <w:r>
              <w:t>≥2.34万元</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提升残疾人满意度</w:t>
            </w:r>
          </w:p>
        </w:tc>
        <w:tc>
          <w:tcPr>
            <w:tcW w:w="5386" w:type="dxa"/>
            <w:vAlign w:val="center"/>
          </w:tcPr>
          <w:p>
            <w:pPr>
              <w:pStyle w:val="14"/>
            </w:pPr>
            <w:r>
              <w:t>提升满意度</w:t>
            </w:r>
          </w:p>
        </w:tc>
        <w:tc>
          <w:tcPr>
            <w:tcW w:w="2268" w:type="dxa"/>
            <w:vAlign w:val="center"/>
          </w:tcPr>
          <w:p>
            <w:pPr>
              <w:pStyle w:val="14"/>
            </w:pPr>
            <w:r>
              <w:t>≥100满意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满意度</w:t>
            </w:r>
          </w:p>
        </w:tc>
        <w:tc>
          <w:tcPr>
            <w:tcW w:w="2268" w:type="dxa"/>
            <w:vAlign w:val="center"/>
          </w:tcPr>
          <w:p>
            <w:pPr>
              <w:pStyle w:val="14"/>
            </w:pPr>
            <w:r>
              <w:t>≥99百分比</w:t>
            </w:r>
          </w:p>
        </w:tc>
        <w:tc>
          <w:tcPr>
            <w:tcW w:w="127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224网信办</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0.30</w:t>
            </w:r>
          </w:p>
        </w:tc>
        <w:tc>
          <w:tcPr>
            <w:tcW w:w="964" w:type="dxa"/>
            <w:vAlign w:val="center"/>
          </w:tcPr>
          <w:p>
            <w:pPr>
              <w:pStyle w:val="17"/>
            </w:pPr>
            <w:r>
              <w:t>0.30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网信办本级小计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0.30</w:t>
            </w:r>
          </w:p>
        </w:tc>
        <w:tc>
          <w:tcPr>
            <w:tcW w:w="964" w:type="dxa"/>
            <w:vAlign w:val="center"/>
          </w:tcPr>
          <w:p>
            <w:pPr>
              <w:pStyle w:val="17"/>
            </w:pPr>
            <w:r>
              <w:t>0.30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rPr>
                <w:rFonts w:hint="default" w:eastAsia="方正书宋_GBK"/>
                <w:lang w:val="en-US" w:eastAsia="zh-CN"/>
              </w:rPr>
            </w:pPr>
            <w:r>
              <w:rPr>
                <w:rFonts w:hint="eastAsia"/>
                <w:lang w:val="en-US" w:eastAsia="zh-CN"/>
              </w:rPr>
              <w:t>0.30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160</w:t>
            </w:r>
          </w:p>
        </w:tc>
        <w:tc>
          <w:tcPr>
            <w:tcW w:w="850" w:type="dxa"/>
            <w:vAlign w:val="center"/>
          </w:tcPr>
          <w:p>
            <w:pPr>
              <w:pStyle w:val="13"/>
            </w:pPr>
            <w:r>
              <w:t>0.00</w:t>
            </w:r>
          </w:p>
        </w:tc>
        <w:tc>
          <w:tcPr>
            <w:tcW w:w="964" w:type="dxa"/>
            <w:vAlign w:val="center"/>
          </w:tcPr>
          <w:p>
            <w:pPr>
              <w:pStyle w:val="13"/>
              <w:rPr>
                <w:rFonts w:hint="default" w:eastAsia="方正书宋_GBK"/>
                <w:lang w:val="en-US" w:eastAsia="zh-CN"/>
              </w:rPr>
            </w:pPr>
            <w:r>
              <w:rPr>
                <w:rFonts w:hint="eastAsia"/>
                <w:lang w:val="en-US" w:eastAsia="zh-CN"/>
              </w:rPr>
              <w:t>0.30</w:t>
            </w:r>
          </w:p>
        </w:tc>
        <w:tc>
          <w:tcPr>
            <w:tcW w:w="964" w:type="dxa"/>
            <w:vAlign w:val="center"/>
          </w:tcPr>
          <w:p>
            <w:pPr>
              <w:pStyle w:val="13"/>
              <w:rPr>
                <w:rFonts w:hint="default" w:eastAsia="方正书宋_GBK"/>
                <w:lang w:val="en-US" w:eastAsia="zh-CN"/>
              </w:rPr>
            </w:pPr>
            <w:r>
              <w:rPr>
                <w:rFonts w:hint="eastAsia"/>
                <w:lang w:val="en-US" w:eastAsia="zh-CN"/>
              </w:rPr>
              <w:t>0.30</w:t>
            </w:r>
          </w:p>
        </w:tc>
        <w:tc>
          <w:tcPr>
            <w:tcW w:w="964" w:type="dxa"/>
            <w:vAlign w:val="center"/>
          </w:tcPr>
          <w:p>
            <w:pPr>
              <w:pStyle w:val="13"/>
              <w:rPr>
                <w:rFonts w:hint="default"/>
                <w:lang w:val="en-US"/>
              </w:rPr>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rPr>
                <w:rFonts w:hint="default" w:eastAsia="方正书宋_GBK"/>
                <w:lang w:val="en-US" w:eastAsia="zh-CN"/>
              </w:rPr>
            </w:pPr>
            <w:r>
              <w:rPr>
                <w:rFonts w:hint="eastAsia"/>
                <w:lang w:val="en-US" w:eastAsia="zh-CN"/>
              </w:rP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网信办（含所属单位）上年末固定资产金额为45.44万元（详见下表）。本年度拟购置固定资产总额为0.00万元，已按要求列入政府采购预算，详见政府采购预算表。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224网信办</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45</w:t>
            </w:r>
          </w:p>
        </w:tc>
        <w:tc>
          <w:tcPr>
            <w:tcW w:w="2835" w:type="dxa"/>
            <w:vAlign w:val="center"/>
          </w:tcPr>
          <w:p>
            <w:pPr>
              <w:pStyle w:val="13"/>
            </w:pPr>
            <w:r>
              <w:t>34.34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bookmarkStart w:id="20" w:name="_GoBack"/>
      <w:bookmarkEnd w:id="20"/>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pStyle w:val="27"/>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yOThmOGM4YzNkNGEwZjc0NTc1MTQ5ODM3MjU1NDgifQ=="/>
  </w:docVars>
  <w:rsids>
    <w:rsidRoot w:val="00000000"/>
    <w:rsid w:val="08250FD3"/>
    <w:rsid w:val="0D1121B5"/>
    <w:rsid w:val="10FD300C"/>
    <w:rsid w:val="11CB5870"/>
    <w:rsid w:val="14EF199E"/>
    <w:rsid w:val="15214DA8"/>
    <w:rsid w:val="179558C1"/>
    <w:rsid w:val="24DD2D15"/>
    <w:rsid w:val="301E705B"/>
    <w:rsid w:val="38C369F1"/>
    <w:rsid w:val="3C5A58BF"/>
    <w:rsid w:val="3E745F58"/>
    <w:rsid w:val="52C5188C"/>
    <w:rsid w:val="5E912F6A"/>
    <w:rsid w:val="627C4FD5"/>
    <w:rsid w:val="63D0262A"/>
    <w:rsid w:val="63FE639F"/>
    <w:rsid w:val="6534795C"/>
    <w:rsid w:val="68DC198B"/>
    <w:rsid w:val="6C5C0714"/>
    <w:rsid w:val="75373DFE"/>
    <w:rsid w:val="77185C44"/>
    <w:rsid w:val="7DFC41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Words>5964</Words>
  <Characters>7349</Characters>
  <TotalTime>1</TotalTime>
  <ScaleCrop>false</ScaleCrop>
  <LinksUpToDate>false</LinksUpToDate>
  <CharactersWithSpaces>7502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2026-03-09T09:33:00Z</dcterms:created>
  <dc:creator>Administrator</dc:creator>
  <cp:lastModifiedBy>Administrator</cp:lastModifiedBy>
  <dcterms:modified xsi:type="dcterms:W3CDTF">2026-03-10T08:51:41Z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D48BFE17AD2645B88701B97E2D8565CF_12</vt:lpwstr>
  </property>
  <property fmtid="{D5CDD505-2E9C-101B-9397-08002B2CF9AE}" pid="4" name="KSOTemplateDocerSaveRecord">
    <vt:lpwstr>eyJoZGlkIjoiNTNjNTBhNzY5YTFkNTg3ZmVmYzhiZTUyZmU5MzVjNTgiLCJ1c2VySWQiOiI4NzY0MjcyODAifQ==</vt:lpwstr>
  </property>
</Properties>
</file>