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188.71</w:t>
            </w:r>
          </w:p>
        </w:tc>
        <w:tc>
          <w:tcPr>
            <w:tcW w:w="4535" w:type="dxa"/>
            <w:vAlign w:val="center"/>
          </w:tcPr>
          <w:p>
            <w:pPr>
              <w:pStyle w:val="14"/>
            </w:pPr>
            <w:r>
              <w:t>一、一般公共服务支出</w:t>
            </w:r>
          </w:p>
        </w:tc>
        <w:tc>
          <w:tcPr>
            <w:tcW w:w="2126" w:type="dxa"/>
            <w:vAlign w:val="center"/>
          </w:tcPr>
          <w:p>
            <w:pPr>
              <w:pStyle w:val="13"/>
            </w:pPr>
            <w:r>
              <w:t>164.49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188.71</w:t>
            </w:r>
          </w:p>
        </w:tc>
        <w:tc>
          <w:tcPr>
            <w:tcW w:w="4535" w:type="dxa"/>
            <w:vAlign w:val="center"/>
          </w:tcPr>
          <w:p>
            <w:pPr>
              <w:pStyle w:val="16"/>
            </w:pPr>
            <w:r>
              <w:t>本年支出合计</w:t>
            </w:r>
          </w:p>
        </w:tc>
        <w:tc>
          <w:tcPr>
            <w:tcW w:w="2126" w:type="dxa"/>
            <w:vAlign w:val="center"/>
          </w:tcPr>
          <w:p>
            <w:pPr>
              <w:pStyle w:val="17"/>
            </w:pPr>
            <w:r>
              <w:t>188.71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188.71</w:t>
            </w:r>
          </w:p>
        </w:tc>
        <w:tc>
          <w:tcPr>
            <w:tcW w:w="4535" w:type="dxa"/>
            <w:vAlign w:val="center"/>
          </w:tcPr>
          <w:p>
            <w:pPr>
              <w:pStyle w:val="16"/>
            </w:pPr>
            <w:r>
              <w:t>支出总计</w:t>
            </w:r>
          </w:p>
        </w:tc>
        <w:tc>
          <w:tcPr>
            <w:tcW w:w="2126" w:type="dxa"/>
            <w:vAlign w:val="center"/>
          </w:tcPr>
          <w:p>
            <w:pPr>
              <w:pStyle w:val="17"/>
            </w:pPr>
            <w:r>
              <w:t>188.71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188.71</w:t>
            </w:r>
          </w:p>
        </w:tc>
        <w:tc>
          <w:tcPr>
            <w:tcW w:w="1134" w:type="dxa"/>
            <w:vAlign w:val="center"/>
          </w:tcPr>
          <w:p>
            <w:pPr>
              <w:pStyle w:val="17"/>
            </w:pPr>
            <w:r>
              <w:t>188.71</w:t>
            </w:r>
          </w:p>
        </w:tc>
        <w:tc>
          <w:tcPr>
            <w:tcW w:w="1134" w:type="dxa"/>
            <w:vAlign w:val="center"/>
          </w:tcPr>
          <w:p>
            <w:pPr>
              <w:pStyle w:val="17"/>
            </w:pPr>
            <w:r>
              <w:t>188.71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164.49</w:t>
            </w:r>
          </w:p>
        </w:tc>
        <w:tc>
          <w:tcPr>
            <w:tcW w:w="1134" w:type="dxa"/>
            <w:vAlign w:val="center"/>
          </w:tcPr>
          <w:p>
            <w:pPr>
              <w:pStyle w:val="13"/>
            </w:pPr>
            <w:r>
              <w:t>164.49</w:t>
            </w:r>
          </w:p>
        </w:tc>
        <w:tc>
          <w:tcPr>
            <w:tcW w:w="1134" w:type="dxa"/>
            <w:vAlign w:val="center"/>
          </w:tcPr>
          <w:p>
            <w:pPr>
              <w:pStyle w:val="13"/>
            </w:pPr>
            <w:r>
              <w:t>164.49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164.49</w:t>
            </w:r>
          </w:p>
        </w:tc>
        <w:tc>
          <w:tcPr>
            <w:tcW w:w="1134" w:type="dxa"/>
            <w:vAlign w:val="center"/>
          </w:tcPr>
          <w:p>
            <w:pPr>
              <w:pStyle w:val="13"/>
            </w:pPr>
            <w:r>
              <w:t>164.49</w:t>
            </w:r>
          </w:p>
        </w:tc>
        <w:tc>
          <w:tcPr>
            <w:tcW w:w="1134" w:type="dxa"/>
            <w:vAlign w:val="center"/>
          </w:tcPr>
          <w:p>
            <w:pPr>
              <w:pStyle w:val="13"/>
            </w:pPr>
            <w:r>
              <w:t>164.49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2013601</w:t>
            </w:r>
          </w:p>
        </w:tc>
        <w:tc>
          <w:tcPr>
            <w:tcW w:w="1559" w:type="dxa"/>
            <w:vAlign w:val="center"/>
          </w:tcPr>
          <w:p>
            <w:pPr>
              <w:pStyle w:val="14"/>
            </w:pPr>
            <w:r>
              <w:t>行政运行</w:t>
            </w:r>
          </w:p>
        </w:tc>
        <w:tc>
          <w:tcPr>
            <w:tcW w:w="1134" w:type="dxa"/>
            <w:vAlign w:val="center"/>
          </w:tcPr>
          <w:p>
            <w:pPr>
              <w:pStyle w:val="13"/>
            </w:pPr>
            <w:r>
              <w:t>94.56</w:t>
            </w:r>
          </w:p>
        </w:tc>
        <w:tc>
          <w:tcPr>
            <w:tcW w:w="1134" w:type="dxa"/>
            <w:vAlign w:val="center"/>
          </w:tcPr>
          <w:p>
            <w:pPr>
              <w:pStyle w:val="13"/>
            </w:pPr>
            <w:r>
              <w:t>94.56</w:t>
            </w:r>
          </w:p>
        </w:tc>
        <w:tc>
          <w:tcPr>
            <w:tcW w:w="1134" w:type="dxa"/>
            <w:vAlign w:val="center"/>
          </w:tcPr>
          <w:p>
            <w:pPr>
              <w:pStyle w:val="13"/>
            </w:pPr>
            <w:r>
              <w:t>94.56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2013650</w:t>
            </w:r>
          </w:p>
        </w:tc>
        <w:tc>
          <w:tcPr>
            <w:tcW w:w="1559" w:type="dxa"/>
            <w:vAlign w:val="center"/>
          </w:tcPr>
          <w:p>
            <w:pPr>
              <w:pStyle w:val="14"/>
            </w:pPr>
            <w:r>
              <w:t>事业运行</w:t>
            </w:r>
          </w:p>
        </w:tc>
        <w:tc>
          <w:tcPr>
            <w:tcW w:w="1134" w:type="dxa"/>
            <w:vAlign w:val="center"/>
          </w:tcPr>
          <w:p>
            <w:pPr>
              <w:pStyle w:val="13"/>
            </w:pPr>
            <w:r>
              <w:t>69.93</w:t>
            </w:r>
          </w:p>
        </w:tc>
        <w:tc>
          <w:tcPr>
            <w:tcW w:w="1134" w:type="dxa"/>
            <w:vAlign w:val="center"/>
          </w:tcPr>
          <w:p>
            <w:pPr>
              <w:pStyle w:val="13"/>
            </w:pPr>
            <w:r>
              <w:t>69.93</w:t>
            </w:r>
          </w:p>
        </w:tc>
        <w:tc>
          <w:tcPr>
            <w:tcW w:w="1134" w:type="dxa"/>
            <w:vAlign w:val="center"/>
          </w:tcPr>
          <w:p>
            <w:pPr>
              <w:pStyle w:val="13"/>
            </w:pPr>
            <w:r>
              <w:t>69.93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16.27</w:t>
            </w:r>
          </w:p>
        </w:tc>
        <w:tc>
          <w:tcPr>
            <w:tcW w:w="1134" w:type="dxa"/>
            <w:vAlign w:val="center"/>
          </w:tcPr>
          <w:p>
            <w:pPr>
              <w:pStyle w:val="13"/>
            </w:pPr>
            <w:r>
              <w:t>16.27</w:t>
            </w:r>
          </w:p>
        </w:tc>
        <w:tc>
          <w:tcPr>
            <w:tcW w:w="1134" w:type="dxa"/>
            <w:vAlign w:val="center"/>
          </w:tcPr>
          <w:p>
            <w:pPr>
              <w:pStyle w:val="13"/>
            </w:pPr>
            <w:r>
              <w:t>16.27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15.65</w:t>
            </w:r>
          </w:p>
        </w:tc>
        <w:tc>
          <w:tcPr>
            <w:tcW w:w="1134" w:type="dxa"/>
            <w:vAlign w:val="center"/>
          </w:tcPr>
          <w:p>
            <w:pPr>
              <w:pStyle w:val="13"/>
            </w:pPr>
            <w:r>
              <w:t>15.65</w:t>
            </w:r>
          </w:p>
        </w:tc>
        <w:tc>
          <w:tcPr>
            <w:tcW w:w="1134" w:type="dxa"/>
            <w:vAlign w:val="center"/>
          </w:tcPr>
          <w:p>
            <w:pPr>
              <w:pStyle w:val="13"/>
            </w:pPr>
            <w:r>
              <w:t>15.65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15.65</w:t>
            </w:r>
          </w:p>
        </w:tc>
        <w:tc>
          <w:tcPr>
            <w:tcW w:w="1134" w:type="dxa"/>
            <w:vAlign w:val="center"/>
          </w:tcPr>
          <w:p>
            <w:pPr>
              <w:pStyle w:val="13"/>
            </w:pPr>
            <w:r>
              <w:t>15.65</w:t>
            </w:r>
          </w:p>
        </w:tc>
        <w:tc>
          <w:tcPr>
            <w:tcW w:w="1134" w:type="dxa"/>
            <w:vAlign w:val="center"/>
          </w:tcPr>
          <w:p>
            <w:pPr>
              <w:pStyle w:val="13"/>
            </w:pPr>
            <w:r>
              <w:t>15.65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0.62</w:t>
            </w:r>
          </w:p>
        </w:tc>
        <w:tc>
          <w:tcPr>
            <w:tcW w:w="1134" w:type="dxa"/>
            <w:vAlign w:val="center"/>
          </w:tcPr>
          <w:p>
            <w:pPr>
              <w:pStyle w:val="13"/>
            </w:pPr>
            <w:r>
              <w:t>0.62</w:t>
            </w:r>
          </w:p>
        </w:tc>
        <w:tc>
          <w:tcPr>
            <w:tcW w:w="1134" w:type="dxa"/>
            <w:vAlign w:val="center"/>
          </w:tcPr>
          <w:p>
            <w:pPr>
              <w:pStyle w:val="13"/>
            </w:pPr>
            <w:r>
              <w:t>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0.25</w:t>
            </w:r>
          </w:p>
        </w:tc>
        <w:tc>
          <w:tcPr>
            <w:tcW w:w="1134" w:type="dxa"/>
            <w:vAlign w:val="center"/>
          </w:tcPr>
          <w:p>
            <w:pPr>
              <w:pStyle w:val="13"/>
            </w:pPr>
            <w:r>
              <w:t>0.25</w:t>
            </w:r>
          </w:p>
        </w:tc>
        <w:tc>
          <w:tcPr>
            <w:tcW w:w="1134" w:type="dxa"/>
            <w:vAlign w:val="center"/>
          </w:tcPr>
          <w:p>
            <w:pPr>
              <w:pStyle w:val="13"/>
            </w:pPr>
            <w:r>
              <w:t>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0.37</w:t>
            </w:r>
          </w:p>
        </w:tc>
        <w:tc>
          <w:tcPr>
            <w:tcW w:w="1134" w:type="dxa"/>
            <w:vAlign w:val="center"/>
          </w:tcPr>
          <w:p>
            <w:pPr>
              <w:pStyle w:val="13"/>
            </w:pPr>
            <w:r>
              <w:t>0.37</w:t>
            </w:r>
          </w:p>
        </w:tc>
        <w:tc>
          <w:tcPr>
            <w:tcW w:w="1134" w:type="dxa"/>
            <w:vAlign w:val="center"/>
          </w:tcPr>
          <w:p>
            <w:pPr>
              <w:pStyle w:val="13"/>
            </w:pPr>
            <w:r>
              <w:t>0.37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7.95</w:t>
            </w:r>
          </w:p>
        </w:tc>
        <w:tc>
          <w:tcPr>
            <w:tcW w:w="1134" w:type="dxa"/>
            <w:vAlign w:val="center"/>
          </w:tcPr>
          <w:p>
            <w:pPr>
              <w:pStyle w:val="13"/>
            </w:pPr>
            <w:r>
              <w:t>7.95</w:t>
            </w:r>
          </w:p>
        </w:tc>
        <w:tc>
          <w:tcPr>
            <w:tcW w:w="1134" w:type="dxa"/>
            <w:vAlign w:val="center"/>
          </w:tcPr>
          <w:p>
            <w:pPr>
              <w:pStyle w:val="13"/>
            </w:pPr>
            <w:r>
              <w:t>7.95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7.95</w:t>
            </w:r>
          </w:p>
        </w:tc>
        <w:tc>
          <w:tcPr>
            <w:tcW w:w="1134" w:type="dxa"/>
            <w:vAlign w:val="center"/>
          </w:tcPr>
          <w:p>
            <w:pPr>
              <w:pStyle w:val="13"/>
            </w:pPr>
            <w:r>
              <w:t>7.95</w:t>
            </w:r>
          </w:p>
        </w:tc>
        <w:tc>
          <w:tcPr>
            <w:tcW w:w="1134" w:type="dxa"/>
            <w:vAlign w:val="center"/>
          </w:tcPr>
          <w:p>
            <w:pPr>
              <w:pStyle w:val="13"/>
            </w:pPr>
            <w:r>
              <w:t>7.95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4.13</w:t>
            </w:r>
          </w:p>
        </w:tc>
        <w:tc>
          <w:tcPr>
            <w:tcW w:w="1134" w:type="dxa"/>
            <w:vAlign w:val="center"/>
          </w:tcPr>
          <w:p>
            <w:pPr>
              <w:pStyle w:val="13"/>
            </w:pPr>
            <w:r>
              <w:t>4.13</w:t>
            </w:r>
          </w:p>
        </w:tc>
        <w:tc>
          <w:tcPr>
            <w:tcW w:w="1134" w:type="dxa"/>
            <w:vAlign w:val="center"/>
          </w:tcPr>
          <w:p>
            <w:pPr>
              <w:pStyle w:val="13"/>
            </w:pPr>
            <w:r>
              <w:t>4.13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3.83</w:t>
            </w:r>
          </w:p>
        </w:tc>
        <w:tc>
          <w:tcPr>
            <w:tcW w:w="1134" w:type="dxa"/>
            <w:vAlign w:val="center"/>
          </w:tcPr>
          <w:p>
            <w:pPr>
              <w:pStyle w:val="13"/>
            </w:pPr>
            <w:r>
              <w:t>3.83</w:t>
            </w:r>
          </w:p>
        </w:tc>
        <w:tc>
          <w:tcPr>
            <w:tcW w:w="1134" w:type="dxa"/>
            <w:vAlign w:val="center"/>
          </w:tcPr>
          <w:p>
            <w:pPr>
              <w:pStyle w:val="13"/>
            </w:pPr>
            <w:r>
              <w:t>3.83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188.71</w:t>
            </w:r>
          </w:p>
        </w:tc>
        <w:tc>
          <w:tcPr>
            <w:tcW w:w="1361" w:type="dxa"/>
            <w:vAlign w:val="center"/>
          </w:tcPr>
          <w:p>
            <w:pPr>
              <w:pStyle w:val="17"/>
            </w:pPr>
            <w:r>
              <w:t>187.21</w:t>
            </w:r>
          </w:p>
        </w:tc>
        <w:tc>
          <w:tcPr>
            <w:tcW w:w="1361" w:type="dxa"/>
            <w:vAlign w:val="center"/>
          </w:tcPr>
          <w:p>
            <w:pPr>
              <w:pStyle w:val="17"/>
            </w:pPr>
            <w:r>
              <w:t>1.51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164.49</w:t>
            </w:r>
          </w:p>
        </w:tc>
        <w:tc>
          <w:tcPr>
            <w:tcW w:w="1361" w:type="dxa"/>
            <w:vAlign w:val="center"/>
          </w:tcPr>
          <w:p>
            <w:pPr>
              <w:pStyle w:val="13"/>
            </w:pPr>
            <w:r>
              <w:t>162.99</w:t>
            </w:r>
          </w:p>
        </w:tc>
        <w:tc>
          <w:tcPr>
            <w:tcW w:w="1361" w:type="dxa"/>
            <w:vAlign w:val="center"/>
          </w:tcPr>
          <w:p>
            <w:pPr>
              <w:pStyle w:val="13"/>
            </w:pPr>
            <w:r>
              <w:t>1.51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164.49</w:t>
            </w:r>
          </w:p>
        </w:tc>
        <w:tc>
          <w:tcPr>
            <w:tcW w:w="1361" w:type="dxa"/>
            <w:vAlign w:val="center"/>
          </w:tcPr>
          <w:p>
            <w:pPr>
              <w:pStyle w:val="13"/>
            </w:pPr>
            <w:r>
              <w:t>162.99</w:t>
            </w:r>
          </w:p>
        </w:tc>
        <w:tc>
          <w:tcPr>
            <w:tcW w:w="1361" w:type="dxa"/>
            <w:vAlign w:val="center"/>
          </w:tcPr>
          <w:p>
            <w:pPr>
              <w:pStyle w:val="13"/>
            </w:pPr>
            <w:r>
              <w:t>1.51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2013601</w:t>
            </w:r>
          </w:p>
        </w:tc>
        <w:tc>
          <w:tcPr>
            <w:tcW w:w="4535" w:type="dxa"/>
            <w:vAlign w:val="center"/>
          </w:tcPr>
          <w:p>
            <w:pPr>
              <w:pStyle w:val="14"/>
            </w:pPr>
            <w:r>
              <w:t>行政运行</w:t>
            </w:r>
          </w:p>
        </w:tc>
        <w:tc>
          <w:tcPr>
            <w:tcW w:w="1361" w:type="dxa"/>
            <w:vAlign w:val="center"/>
          </w:tcPr>
          <w:p>
            <w:pPr>
              <w:pStyle w:val="13"/>
            </w:pPr>
            <w:r>
              <w:t>94.56</w:t>
            </w:r>
          </w:p>
        </w:tc>
        <w:tc>
          <w:tcPr>
            <w:tcW w:w="1361" w:type="dxa"/>
            <w:vAlign w:val="center"/>
          </w:tcPr>
          <w:p>
            <w:pPr>
              <w:pStyle w:val="13"/>
            </w:pPr>
            <w:r>
              <w:t>93.05</w:t>
            </w:r>
          </w:p>
        </w:tc>
        <w:tc>
          <w:tcPr>
            <w:tcW w:w="1361" w:type="dxa"/>
            <w:vAlign w:val="center"/>
          </w:tcPr>
          <w:p>
            <w:pPr>
              <w:pStyle w:val="13"/>
            </w:pPr>
            <w:r>
              <w:t>1.51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2013650</w:t>
            </w:r>
          </w:p>
        </w:tc>
        <w:tc>
          <w:tcPr>
            <w:tcW w:w="4535" w:type="dxa"/>
            <w:vAlign w:val="center"/>
          </w:tcPr>
          <w:p>
            <w:pPr>
              <w:pStyle w:val="14"/>
            </w:pPr>
            <w:r>
              <w:t>事业运行</w:t>
            </w:r>
          </w:p>
        </w:tc>
        <w:tc>
          <w:tcPr>
            <w:tcW w:w="1361" w:type="dxa"/>
            <w:vAlign w:val="center"/>
          </w:tcPr>
          <w:p>
            <w:pPr>
              <w:pStyle w:val="13"/>
            </w:pPr>
            <w:r>
              <w:t>69.93</w:t>
            </w:r>
          </w:p>
        </w:tc>
        <w:tc>
          <w:tcPr>
            <w:tcW w:w="1361" w:type="dxa"/>
            <w:vAlign w:val="center"/>
          </w:tcPr>
          <w:p>
            <w:pPr>
              <w:pStyle w:val="13"/>
            </w:pPr>
            <w:r>
              <w:t>69.93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16.27</w:t>
            </w:r>
          </w:p>
        </w:tc>
        <w:tc>
          <w:tcPr>
            <w:tcW w:w="1361" w:type="dxa"/>
            <w:vAlign w:val="center"/>
          </w:tcPr>
          <w:p>
            <w:pPr>
              <w:pStyle w:val="13"/>
            </w:pPr>
            <w:r>
              <w:t>16.27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15.65</w:t>
            </w:r>
          </w:p>
        </w:tc>
        <w:tc>
          <w:tcPr>
            <w:tcW w:w="1361" w:type="dxa"/>
            <w:vAlign w:val="center"/>
          </w:tcPr>
          <w:p>
            <w:pPr>
              <w:pStyle w:val="13"/>
            </w:pPr>
            <w:r>
              <w:t>15.65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15.65</w:t>
            </w:r>
          </w:p>
        </w:tc>
        <w:tc>
          <w:tcPr>
            <w:tcW w:w="1361" w:type="dxa"/>
            <w:vAlign w:val="center"/>
          </w:tcPr>
          <w:p>
            <w:pPr>
              <w:pStyle w:val="13"/>
            </w:pPr>
            <w:r>
              <w:t>15.65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0.62</w:t>
            </w:r>
          </w:p>
        </w:tc>
        <w:tc>
          <w:tcPr>
            <w:tcW w:w="1361" w:type="dxa"/>
            <w:vAlign w:val="center"/>
          </w:tcPr>
          <w:p>
            <w:pPr>
              <w:pStyle w:val="13"/>
            </w:pPr>
            <w:r>
              <w:t>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0.25</w:t>
            </w:r>
          </w:p>
        </w:tc>
        <w:tc>
          <w:tcPr>
            <w:tcW w:w="1361" w:type="dxa"/>
            <w:vAlign w:val="center"/>
          </w:tcPr>
          <w:p>
            <w:pPr>
              <w:pStyle w:val="13"/>
            </w:pPr>
            <w:r>
              <w:t>0.25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0.37</w:t>
            </w:r>
          </w:p>
        </w:tc>
        <w:tc>
          <w:tcPr>
            <w:tcW w:w="1361" w:type="dxa"/>
            <w:vAlign w:val="center"/>
          </w:tcPr>
          <w:p>
            <w:pPr>
              <w:pStyle w:val="13"/>
            </w:pPr>
            <w:r>
              <w:t>0.37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7.95</w:t>
            </w:r>
          </w:p>
        </w:tc>
        <w:tc>
          <w:tcPr>
            <w:tcW w:w="1361" w:type="dxa"/>
            <w:vAlign w:val="center"/>
          </w:tcPr>
          <w:p>
            <w:pPr>
              <w:pStyle w:val="13"/>
            </w:pPr>
            <w:r>
              <w:t>7.95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7.95</w:t>
            </w:r>
          </w:p>
        </w:tc>
        <w:tc>
          <w:tcPr>
            <w:tcW w:w="1361" w:type="dxa"/>
            <w:vAlign w:val="center"/>
          </w:tcPr>
          <w:p>
            <w:pPr>
              <w:pStyle w:val="13"/>
            </w:pPr>
            <w:r>
              <w:t>7.95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4.13</w:t>
            </w:r>
          </w:p>
        </w:tc>
        <w:tc>
          <w:tcPr>
            <w:tcW w:w="1361" w:type="dxa"/>
            <w:vAlign w:val="center"/>
          </w:tcPr>
          <w:p>
            <w:pPr>
              <w:pStyle w:val="13"/>
            </w:pPr>
            <w:r>
              <w:t>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3.83</w:t>
            </w:r>
          </w:p>
        </w:tc>
        <w:tc>
          <w:tcPr>
            <w:tcW w:w="1361" w:type="dxa"/>
            <w:vAlign w:val="center"/>
          </w:tcPr>
          <w:p>
            <w:pPr>
              <w:pStyle w:val="13"/>
            </w:pPr>
            <w:r>
              <w:t>3.83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188.71</w:t>
            </w:r>
          </w:p>
        </w:tc>
        <w:tc>
          <w:tcPr>
            <w:tcW w:w="3402" w:type="dxa"/>
            <w:vAlign w:val="center"/>
          </w:tcPr>
          <w:p>
            <w:pPr>
              <w:pStyle w:val="14"/>
            </w:pPr>
            <w:r>
              <w:t>一、一般公共服务支出</w:t>
            </w:r>
          </w:p>
        </w:tc>
        <w:tc>
          <w:tcPr>
            <w:tcW w:w="1474" w:type="dxa"/>
            <w:vAlign w:val="center"/>
          </w:tcPr>
          <w:p>
            <w:pPr>
              <w:pStyle w:val="13"/>
            </w:pPr>
            <w:r>
              <w:t>164.49</w:t>
            </w:r>
          </w:p>
        </w:tc>
        <w:tc>
          <w:tcPr>
            <w:tcW w:w="1474" w:type="dxa"/>
            <w:vAlign w:val="center"/>
          </w:tcPr>
          <w:p>
            <w:pPr>
              <w:pStyle w:val="13"/>
            </w:pPr>
            <w:r>
              <w:t>164.49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16.27</w:t>
            </w:r>
          </w:p>
        </w:tc>
        <w:tc>
          <w:tcPr>
            <w:tcW w:w="1474" w:type="dxa"/>
            <w:vAlign w:val="center"/>
          </w:tcPr>
          <w:p>
            <w:pPr>
              <w:pStyle w:val="13"/>
            </w:pPr>
            <w:r>
              <w:t>16.27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7.95</w:t>
            </w:r>
          </w:p>
        </w:tc>
        <w:tc>
          <w:tcPr>
            <w:tcW w:w="1474" w:type="dxa"/>
            <w:vAlign w:val="center"/>
          </w:tcPr>
          <w:p>
            <w:pPr>
              <w:pStyle w:val="13"/>
            </w:pPr>
            <w:r>
              <w:t>7.95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188.71</w:t>
            </w:r>
          </w:p>
        </w:tc>
        <w:tc>
          <w:tcPr>
            <w:tcW w:w="3402" w:type="dxa"/>
            <w:vAlign w:val="center"/>
          </w:tcPr>
          <w:p>
            <w:pPr>
              <w:pStyle w:val="16"/>
            </w:pPr>
            <w:r>
              <w:t>本年支出合计</w:t>
            </w:r>
          </w:p>
        </w:tc>
        <w:tc>
          <w:tcPr>
            <w:tcW w:w="1474" w:type="dxa"/>
            <w:vAlign w:val="center"/>
          </w:tcPr>
          <w:p>
            <w:pPr>
              <w:pStyle w:val="17"/>
            </w:pPr>
            <w:r>
              <w:t>188.71</w:t>
            </w:r>
          </w:p>
        </w:tc>
        <w:tc>
          <w:tcPr>
            <w:tcW w:w="1474" w:type="dxa"/>
            <w:vAlign w:val="center"/>
          </w:tcPr>
          <w:p>
            <w:pPr>
              <w:pStyle w:val="17"/>
            </w:pPr>
            <w:r>
              <w:t>188.71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188.71</w:t>
            </w:r>
          </w:p>
        </w:tc>
        <w:tc>
          <w:tcPr>
            <w:tcW w:w="3402" w:type="dxa"/>
            <w:vAlign w:val="center"/>
          </w:tcPr>
          <w:p>
            <w:pPr>
              <w:pStyle w:val="16"/>
            </w:pPr>
            <w:r>
              <w:t>支出总计</w:t>
            </w:r>
          </w:p>
        </w:tc>
        <w:tc>
          <w:tcPr>
            <w:tcW w:w="1474" w:type="dxa"/>
            <w:vAlign w:val="center"/>
          </w:tcPr>
          <w:p>
            <w:pPr>
              <w:pStyle w:val="17"/>
            </w:pPr>
            <w:r>
              <w:t>188.71</w:t>
            </w:r>
          </w:p>
        </w:tc>
        <w:tc>
          <w:tcPr>
            <w:tcW w:w="1474" w:type="dxa"/>
            <w:vAlign w:val="center"/>
          </w:tcPr>
          <w:p>
            <w:pPr>
              <w:pStyle w:val="17"/>
            </w:pPr>
            <w:r>
              <w:t>188.71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188.71</w:t>
            </w:r>
          </w:p>
        </w:tc>
        <w:tc>
          <w:tcPr>
            <w:tcW w:w="2551" w:type="dxa"/>
            <w:vAlign w:val="center"/>
          </w:tcPr>
          <w:p>
            <w:pPr>
              <w:pStyle w:val="17"/>
            </w:pPr>
            <w:r>
              <w:t>187.21</w:t>
            </w:r>
          </w:p>
        </w:tc>
        <w:tc>
          <w:tcPr>
            <w:tcW w:w="2551" w:type="dxa"/>
            <w:vAlign w:val="center"/>
          </w:tcPr>
          <w:p>
            <w:pPr>
              <w:pStyle w:val="17"/>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164.49</w:t>
            </w:r>
          </w:p>
        </w:tc>
        <w:tc>
          <w:tcPr>
            <w:tcW w:w="2551" w:type="dxa"/>
            <w:vAlign w:val="center"/>
          </w:tcPr>
          <w:p>
            <w:pPr>
              <w:pStyle w:val="13"/>
            </w:pPr>
            <w:r>
              <w:t>162.99</w:t>
            </w:r>
          </w:p>
        </w:tc>
        <w:tc>
          <w:tcPr>
            <w:tcW w:w="2551" w:type="dxa"/>
            <w:vAlign w:val="center"/>
          </w:tcPr>
          <w:p>
            <w:pPr>
              <w:pStyle w:val="13"/>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164.49</w:t>
            </w:r>
          </w:p>
        </w:tc>
        <w:tc>
          <w:tcPr>
            <w:tcW w:w="2551" w:type="dxa"/>
            <w:vAlign w:val="center"/>
          </w:tcPr>
          <w:p>
            <w:pPr>
              <w:pStyle w:val="13"/>
            </w:pPr>
            <w:r>
              <w:t>162.99</w:t>
            </w:r>
          </w:p>
        </w:tc>
        <w:tc>
          <w:tcPr>
            <w:tcW w:w="2551" w:type="dxa"/>
            <w:vAlign w:val="center"/>
          </w:tcPr>
          <w:p>
            <w:pPr>
              <w:pStyle w:val="13"/>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2013601</w:t>
            </w:r>
          </w:p>
        </w:tc>
        <w:tc>
          <w:tcPr>
            <w:tcW w:w="4535" w:type="dxa"/>
            <w:vAlign w:val="center"/>
          </w:tcPr>
          <w:p>
            <w:pPr>
              <w:pStyle w:val="14"/>
            </w:pPr>
            <w:r>
              <w:t>行政运行</w:t>
            </w:r>
          </w:p>
        </w:tc>
        <w:tc>
          <w:tcPr>
            <w:tcW w:w="2551" w:type="dxa"/>
            <w:vAlign w:val="center"/>
          </w:tcPr>
          <w:p>
            <w:pPr>
              <w:pStyle w:val="13"/>
            </w:pPr>
            <w:r>
              <w:t>94.56</w:t>
            </w:r>
          </w:p>
        </w:tc>
        <w:tc>
          <w:tcPr>
            <w:tcW w:w="2551" w:type="dxa"/>
            <w:vAlign w:val="center"/>
          </w:tcPr>
          <w:p>
            <w:pPr>
              <w:pStyle w:val="13"/>
            </w:pPr>
            <w:r>
              <w:t>93.05</w:t>
            </w:r>
          </w:p>
        </w:tc>
        <w:tc>
          <w:tcPr>
            <w:tcW w:w="2551" w:type="dxa"/>
            <w:vAlign w:val="center"/>
          </w:tcPr>
          <w:p>
            <w:pPr>
              <w:pStyle w:val="13"/>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2013650</w:t>
            </w:r>
          </w:p>
        </w:tc>
        <w:tc>
          <w:tcPr>
            <w:tcW w:w="4535" w:type="dxa"/>
            <w:vAlign w:val="center"/>
          </w:tcPr>
          <w:p>
            <w:pPr>
              <w:pStyle w:val="14"/>
            </w:pPr>
            <w:r>
              <w:t>事业运行</w:t>
            </w:r>
          </w:p>
        </w:tc>
        <w:tc>
          <w:tcPr>
            <w:tcW w:w="2551" w:type="dxa"/>
            <w:vAlign w:val="center"/>
          </w:tcPr>
          <w:p>
            <w:pPr>
              <w:pStyle w:val="13"/>
            </w:pPr>
            <w:r>
              <w:t>69.93</w:t>
            </w:r>
          </w:p>
        </w:tc>
        <w:tc>
          <w:tcPr>
            <w:tcW w:w="2551" w:type="dxa"/>
            <w:vAlign w:val="center"/>
          </w:tcPr>
          <w:p>
            <w:pPr>
              <w:pStyle w:val="13"/>
            </w:pPr>
            <w:r>
              <w:t>69.93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16.27</w:t>
            </w:r>
          </w:p>
        </w:tc>
        <w:tc>
          <w:tcPr>
            <w:tcW w:w="2551" w:type="dxa"/>
            <w:vAlign w:val="center"/>
          </w:tcPr>
          <w:p>
            <w:pPr>
              <w:pStyle w:val="13"/>
            </w:pPr>
            <w:r>
              <w:t>16.27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15.65</w:t>
            </w:r>
          </w:p>
        </w:tc>
        <w:tc>
          <w:tcPr>
            <w:tcW w:w="2551" w:type="dxa"/>
            <w:vAlign w:val="center"/>
          </w:tcPr>
          <w:p>
            <w:pPr>
              <w:pStyle w:val="13"/>
            </w:pPr>
            <w:r>
              <w:t>15.65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15.65</w:t>
            </w:r>
          </w:p>
        </w:tc>
        <w:tc>
          <w:tcPr>
            <w:tcW w:w="2551" w:type="dxa"/>
            <w:vAlign w:val="center"/>
          </w:tcPr>
          <w:p>
            <w:pPr>
              <w:pStyle w:val="13"/>
            </w:pPr>
            <w:r>
              <w:t>15.65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0.62</w:t>
            </w:r>
          </w:p>
        </w:tc>
        <w:tc>
          <w:tcPr>
            <w:tcW w:w="2551" w:type="dxa"/>
            <w:vAlign w:val="center"/>
          </w:tcPr>
          <w:p>
            <w:pPr>
              <w:pStyle w:val="13"/>
            </w:pPr>
            <w:r>
              <w:t>0.62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0.25</w:t>
            </w:r>
          </w:p>
        </w:tc>
        <w:tc>
          <w:tcPr>
            <w:tcW w:w="2551" w:type="dxa"/>
            <w:vAlign w:val="center"/>
          </w:tcPr>
          <w:p>
            <w:pPr>
              <w:pStyle w:val="13"/>
            </w:pPr>
            <w:r>
              <w:t>0.25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0.37</w:t>
            </w:r>
          </w:p>
        </w:tc>
        <w:tc>
          <w:tcPr>
            <w:tcW w:w="2551" w:type="dxa"/>
            <w:vAlign w:val="center"/>
          </w:tcPr>
          <w:p>
            <w:pPr>
              <w:pStyle w:val="13"/>
            </w:pPr>
            <w:r>
              <w:t>0.37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7.95</w:t>
            </w:r>
          </w:p>
        </w:tc>
        <w:tc>
          <w:tcPr>
            <w:tcW w:w="2551" w:type="dxa"/>
            <w:vAlign w:val="center"/>
          </w:tcPr>
          <w:p>
            <w:pPr>
              <w:pStyle w:val="13"/>
            </w:pPr>
            <w:r>
              <w:t>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7.95</w:t>
            </w:r>
          </w:p>
        </w:tc>
        <w:tc>
          <w:tcPr>
            <w:tcW w:w="2551" w:type="dxa"/>
            <w:vAlign w:val="center"/>
          </w:tcPr>
          <w:p>
            <w:pPr>
              <w:pStyle w:val="13"/>
            </w:pPr>
            <w:r>
              <w:t>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4.13</w:t>
            </w:r>
          </w:p>
        </w:tc>
        <w:tc>
          <w:tcPr>
            <w:tcW w:w="2551" w:type="dxa"/>
            <w:vAlign w:val="center"/>
          </w:tcPr>
          <w:p>
            <w:pPr>
              <w:pStyle w:val="13"/>
            </w:pPr>
            <w:r>
              <w:t>4.13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3.83</w:t>
            </w:r>
          </w:p>
        </w:tc>
        <w:tc>
          <w:tcPr>
            <w:tcW w:w="2551" w:type="dxa"/>
            <w:vAlign w:val="center"/>
          </w:tcPr>
          <w:p>
            <w:pPr>
              <w:pStyle w:val="13"/>
            </w:pPr>
            <w:r>
              <w:t>3.83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187.21</w:t>
            </w:r>
          </w:p>
        </w:tc>
        <w:tc>
          <w:tcPr>
            <w:tcW w:w="2551" w:type="dxa"/>
            <w:vAlign w:val="center"/>
          </w:tcPr>
          <w:p>
            <w:pPr>
              <w:pStyle w:val="17"/>
            </w:pPr>
            <w:r>
              <w:t>173.85</w:t>
            </w:r>
          </w:p>
        </w:tc>
        <w:tc>
          <w:tcPr>
            <w:tcW w:w="2551" w:type="dxa"/>
            <w:vAlign w:val="center"/>
          </w:tcPr>
          <w:p>
            <w:pPr>
              <w:pStyle w:val="17"/>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161.94</w:t>
            </w:r>
          </w:p>
        </w:tc>
        <w:tc>
          <w:tcPr>
            <w:tcW w:w="2551" w:type="dxa"/>
            <w:vAlign w:val="center"/>
          </w:tcPr>
          <w:p>
            <w:pPr>
              <w:pStyle w:val="13"/>
            </w:pPr>
            <w:r>
              <w:t>161.94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44.83</w:t>
            </w:r>
          </w:p>
        </w:tc>
        <w:tc>
          <w:tcPr>
            <w:tcW w:w="2551" w:type="dxa"/>
            <w:vAlign w:val="center"/>
          </w:tcPr>
          <w:p>
            <w:pPr>
              <w:pStyle w:val="13"/>
            </w:pPr>
            <w:r>
              <w:t>44.83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22.85</w:t>
            </w:r>
          </w:p>
        </w:tc>
        <w:tc>
          <w:tcPr>
            <w:tcW w:w="2551" w:type="dxa"/>
            <w:vAlign w:val="center"/>
          </w:tcPr>
          <w:p>
            <w:pPr>
              <w:pStyle w:val="13"/>
            </w:pPr>
            <w:r>
              <w:t>22.85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21.70</w:t>
            </w:r>
          </w:p>
        </w:tc>
        <w:tc>
          <w:tcPr>
            <w:tcW w:w="2551" w:type="dxa"/>
            <w:vAlign w:val="center"/>
          </w:tcPr>
          <w:p>
            <w:pPr>
              <w:pStyle w:val="13"/>
            </w:pPr>
            <w:r>
              <w:t>21.70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34.56</w:t>
            </w:r>
          </w:p>
        </w:tc>
        <w:tc>
          <w:tcPr>
            <w:tcW w:w="2551" w:type="dxa"/>
            <w:vAlign w:val="center"/>
          </w:tcPr>
          <w:p>
            <w:pPr>
              <w:pStyle w:val="13"/>
            </w:pPr>
            <w:r>
              <w:t>34.56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15.65</w:t>
            </w:r>
          </w:p>
        </w:tc>
        <w:tc>
          <w:tcPr>
            <w:tcW w:w="2551" w:type="dxa"/>
            <w:vAlign w:val="center"/>
          </w:tcPr>
          <w:p>
            <w:pPr>
              <w:pStyle w:val="13"/>
            </w:pPr>
            <w:r>
              <w:t>15.65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6.56</w:t>
            </w:r>
          </w:p>
        </w:tc>
        <w:tc>
          <w:tcPr>
            <w:tcW w:w="2551" w:type="dxa"/>
            <w:vAlign w:val="center"/>
          </w:tcPr>
          <w:p>
            <w:pPr>
              <w:pStyle w:val="13"/>
            </w:pPr>
            <w:r>
              <w:t>6.56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1.39</w:t>
            </w:r>
          </w:p>
        </w:tc>
        <w:tc>
          <w:tcPr>
            <w:tcW w:w="2551" w:type="dxa"/>
            <w:vAlign w:val="center"/>
          </w:tcPr>
          <w:p>
            <w:pPr>
              <w:pStyle w:val="13"/>
            </w:pPr>
            <w:r>
              <w:t>1.39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0.62</w:t>
            </w:r>
          </w:p>
        </w:tc>
        <w:tc>
          <w:tcPr>
            <w:tcW w:w="2551" w:type="dxa"/>
            <w:vAlign w:val="center"/>
          </w:tcPr>
          <w:p>
            <w:pPr>
              <w:pStyle w:val="13"/>
            </w:pPr>
            <w:r>
              <w:t>0.62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13.79</w:t>
            </w:r>
          </w:p>
        </w:tc>
        <w:tc>
          <w:tcPr>
            <w:tcW w:w="2551" w:type="dxa"/>
            <w:vAlign w:val="center"/>
          </w:tcPr>
          <w:p>
            <w:pPr>
              <w:pStyle w:val="13"/>
            </w:pPr>
            <w:r>
              <w:t>13.79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13.36</w:t>
            </w:r>
          </w:p>
        </w:tc>
        <w:tc>
          <w:tcPr>
            <w:tcW w:w="2551" w:type="dxa"/>
            <w:vAlign w:val="center"/>
          </w:tcPr>
          <w:p>
            <w:pPr>
              <w:pStyle w:val="13"/>
            </w:pPr>
          </w:p>
        </w:tc>
        <w:tc>
          <w:tcPr>
            <w:tcW w:w="2551" w:type="dxa"/>
            <w:vAlign w:val="center"/>
          </w:tcPr>
          <w:p>
            <w:pPr>
              <w:pStyle w:val="13"/>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3.60</w:t>
            </w:r>
          </w:p>
        </w:tc>
        <w:tc>
          <w:tcPr>
            <w:tcW w:w="2551" w:type="dxa"/>
            <w:vAlign w:val="center"/>
          </w:tcPr>
          <w:p>
            <w:pPr>
              <w:pStyle w:val="13"/>
            </w:pPr>
          </w:p>
        </w:tc>
        <w:tc>
          <w:tcPr>
            <w:tcW w:w="2551"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2.83</w:t>
            </w:r>
          </w:p>
        </w:tc>
        <w:tc>
          <w:tcPr>
            <w:tcW w:w="2551" w:type="dxa"/>
            <w:vAlign w:val="center"/>
          </w:tcPr>
          <w:p>
            <w:pPr>
              <w:pStyle w:val="13"/>
            </w:pPr>
          </w:p>
        </w:tc>
        <w:tc>
          <w:tcPr>
            <w:tcW w:w="2551" w:type="dxa"/>
            <w:vAlign w:val="center"/>
          </w:tcPr>
          <w:p>
            <w:pPr>
              <w:pStyle w:val="13"/>
            </w:pPr>
            <w:r>
              <w:t>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0.42</w:t>
            </w:r>
          </w:p>
        </w:tc>
        <w:tc>
          <w:tcPr>
            <w:tcW w:w="2551" w:type="dxa"/>
            <w:vAlign w:val="center"/>
          </w:tcPr>
          <w:p>
            <w:pPr>
              <w:pStyle w:val="13"/>
            </w:pPr>
          </w:p>
        </w:tc>
        <w:tc>
          <w:tcPr>
            <w:tcW w:w="2551" w:type="dxa"/>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0.59</w:t>
            </w:r>
          </w:p>
        </w:tc>
        <w:tc>
          <w:tcPr>
            <w:tcW w:w="2551" w:type="dxa"/>
            <w:vAlign w:val="center"/>
          </w:tcPr>
          <w:p>
            <w:pPr>
              <w:pStyle w:val="13"/>
            </w:pPr>
          </w:p>
        </w:tc>
        <w:tc>
          <w:tcPr>
            <w:tcW w:w="2551" w:type="dxa"/>
            <w:vAlign w:val="center"/>
          </w:tcPr>
          <w:p>
            <w:pPr>
              <w:pStyle w:val="13"/>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1.11</w:t>
            </w:r>
          </w:p>
        </w:tc>
        <w:tc>
          <w:tcPr>
            <w:tcW w:w="2551" w:type="dxa"/>
            <w:vAlign w:val="center"/>
          </w:tcPr>
          <w:p>
            <w:pPr>
              <w:pStyle w:val="13"/>
            </w:pPr>
          </w:p>
        </w:tc>
        <w:tc>
          <w:tcPr>
            <w:tcW w:w="2551" w:type="dxa"/>
            <w:vAlign w:val="center"/>
          </w:tcPr>
          <w:p>
            <w:pPr>
              <w:pStyle w:val="13"/>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4.14</w:t>
            </w:r>
          </w:p>
        </w:tc>
        <w:tc>
          <w:tcPr>
            <w:tcW w:w="2551" w:type="dxa"/>
            <w:vAlign w:val="center"/>
          </w:tcPr>
          <w:p>
            <w:pPr>
              <w:pStyle w:val="13"/>
            </w:pPr>
          </w:p>
        </w:tc>
        <w:tc>
          <w:tcPr>
            <w:tcW w:w="2551" w:type="dxa"/>
            <w:vAlign w:val="center"/>
          </w:tcPr>
          <w:p>
            <w:pPr>
              <w:pStyle w:val="13"/>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0.66</w:t>
            </w:r>
          </w:p>
        </w:tc>
        <w:tc>
          <w:tcPr>
            <w:tcW w:w="2551" w:type="dxa"/>
            <w:vAlign w:val="center"/>
          </w:tcPr>
          <w:p>
            <w:pPr>
              <w:pStyle w:val="13"/>
            </w:pPr>
          </w:p>
        </w:tc>
        <w:tc>
          <w:tcPr>
            <w:tcW w:w="2551" w:type="dxa"/>
            <w:vAlign w:val="center"/>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11.91</w:t>
            </w:r>
          </w:p>
        </w:tc>
        <w:tc>
          <w:tcPr>
            <w:tcW w:w="2551" w:type="dxa"/>
            <w:vAlign w:val="center"/>
          </w:tcPr>
          <w:p>
            <w:pPr>
              <w:pStyle w:val="13"/>
            </w:pPr>
            <w:r>
              <w:t>11.91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9.29</w:t>
            </w:r>
          </w:p>
        </w:tc>
        <w:tc>
          <w:tcPr>
            <w:tcW w:w="2551" w:type="dxa"/>
            <w:vAlign w:val="center"/>
          </w:tcPr>
          <w:p>
            <w:pPr>
              <w:pStyle w:val="13"/>
            </w:pPr>
            <w:r>
              <w:t>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2.63</w:t>
            </w:r>
          </w:p>
        </w:tc>
        <w:tc>
          <w:tcPr>
            <w:tcW w:w="2551" w:type="dxa"/>
            <w:vAlign w:val="center"/>
          </w:tcPr>
          <w:p>
            <w:pPr>
              <w:pStyle w:val="13"/>
            </w:pPr>
            <w:r>
              <w:t>2.63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中共石家庄市栾城区委机构编制委员会办公室2026年部门预算信息公开情况说明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中共石家庄市栾城区委机构编制委员会办公室2026年部门预算信息公开情况说明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按照《中华人民共和国预算法》、《地方预决算公开操作规程》和《关于进一步推进预算公开工作的实施意见》规定，现将中共石家庄市栾城区委机构编制委员会办公室2026年部门预算公开如下：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部门职责：根据《中共石家庄市栾城区委机构编制委员会办公室职能配置、内设机构和人员编制规定》，中共石家庄市栾城区委机构编制委员会办公室的主要职责是：</w:t>
      </w:r>
    </w:p>
    <w:p>
      <w:pPr>
        <w:pStyle w:val="19"/>
      </w:pPr>
      <w:r>
        <w:t>（一）贯彻落实党中央和省委、市委、区委关于行政管理体制和机构改革以及机构编制管理的政策法规；组织起草全区行政管理体制和机构改革以及机构编制管理的规范化文件；管理和指导全区党政机关，人大、政协机关，人民团体机关的机构编制工作；管理和指导全区事业单位机构编制工作。</w:t>
      </w:r>
    </w:p>
    <w:p>
      <w:pPr>
        <w:pStyle w:val="19"/>
      </w:pPr>
      <w:r>
        <w:t>（二）组织拟订全区行政管理体制改革和区委、区政府机构改革方案以及乡镇机构改革方案并组织实施；指导全区行政管理体制和机构改革以及机构编制管理工作；负责行政执法体制改革工作。</w:t>
      </w:r>
    </w:p>
    <w:p>
      <w:pPr>
        <w:pStyle w:val="19"/>
      </w:pPr>
      <w:r>
        <w:t>（三）协调区委、区政府各部门的职能配置及其调整。协调区委、区政府各部门之间以及区直各部门与乡镇之间的职责分工。</w:t>
      </w:r>
    </w:p>
    <w:p>
      <w:pPr>
        <w:pStyle w:val="19"/>
      </w:pPr>
      <w:r>
        <w:t>（四）审核或审批区委、区政府各部门，各部门派出机构，以及乡镇的职能配置、机构设置、人员编制和领导职数；审核区人大、区政协、区监察委和区级人民团体机关的职能配置、机构设置、人员编制和领导职数。</w:t>
      </w:r>
    </w:p>
    <w:p>
      <w:pPr>
        <w:pStyle w:val="19"/>
      </w:pPr>
      <w:r>
        <w:t>（五）组织拟订全区事业单位管理体制和机构改革方案。制定各类事业单位人员编制管理办法，协助推进事业单位机构编制标准体系建设；审核或审批区委、区政府直属事业单位和区直各部门所属事业单位的机构编制事宜；负责全区党政群机关统一社会信用代码赋码管理工作，负责全区事业单位法人登记管理和监督检查工作。</w:t>
      </w:r>
    </w:p>
    <w:p>
      <w:pPr>
        <w:pStyle w:val="19"/>
      </w:pPr>
      <w:r>
        <w:t>（六）指导全区开发区（园区）行政管理体制改革工作。组织拟订开发区（园区）机构编制管理办法并组织实施；负责全区开发区（园区）职能配置、机构设置、人员编制和领导职数审核及上报工作。</w:t>
      </w:r>
    </w:p>
    <w:p>
      <w:pPr>
        <w:pStyle w:val="19"/>
      </w:pPr>
      <w:r>
        <w:t>（七）负责机构编制日常管理。负责全区机构编制的总量控制、动态管理工作；组织拟订全区年度编制使用计划，审核区直各部门和乡镇机关事业单位招录、招聘计划和政策性安置等计划，负责区直各部门和乡镇机关事业单位编制使用核准；负责机构编制实名制管理工作；建立健全机构编制部门与有关部门的协调配合约束机制。</w:t>
      </w:r>
    </w:p>
    <w:p>
      <w:pPr>
        <w:pStyle w:val="19"/>
      </w:pPr>
      <w:r>
        <w:t>（八）负责对全区各级行政、事业单位管理体制和机构改革及机构编制执行情况的跟踪评估和监督检查；负责受理违反机构编制法规、纪律的检举、控告和投诉，对违反机构编制法规、纪律问题进行调查处理。</w:t>
      </w:r>
    </w:p>
    <w:p>
      <w:pPr>
        <w:pStyle w:val="19"/>
      </w:pPr>
      <w:r>
        <w:t>（九）负责全区机构编制电子政务和信息化工作。负责全区机构编制统计工作；负责机构编制网站的管理、使用和维护工作；指导全区党政群机关、事业单位网上名称管理工作。</w:t>
      </w:r>
    </w:p>
    <w:p>
      <w:pPr>
        <w:pStyle w:val="19"/>
      </w:pPr>
      <w:r>
        <w:t>（十）负责需要承办的省以上垂管部门或双重管理部门（单位）机构编制有关事宜。</w:t>
      </w:r>
    </w:p>
    <w:p>
      <w:pPr>
        <w:pStyle w:val="19"/>
      </w:pPr>
      <w:r>
        <w:t>（十一）负责区委交办的其他工作。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中共石家庄市栾城区委机构编制委员会办公室</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中共石家庄市栾城区委机构编制委员会办公室电子政务中心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按照预算管理有关规定，目前部门预算的编制实行综合预算管理，即全部收入和支出都反映在预算中。中共石家庄市栾城区委机构编制委员会办公室机关及所属事业单位的收支包含在部门预算中。</w:t>
      </w:r>
    </w:p>
    <w:p>
      <w:pPr>
        <w:pStyle w:val="20"/>
      </w:pPr>
      <w:r>
        <w:t>1、收入说明</w:t>
      </w:r>
    </w:p>
    <w:p>
      <w:pPr>
        <w:pStyle w:val="20"/>
      </w:pPr>
      <w:r>
        <w:t>反映本部门当年全部收入。2026年预算收入188.71万元，其中：一般公共预算收入188.71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中共石家庄市栾城区委机构编制委员会办公室年度部门预算中支出预算的总体情况。2026年支出预算188.71万元，其中基本支出187.21万元，包括人员经费173.85万元和日常公用经费13.36万元；项目支出1.51万元，主要为离退休人员统筹外工资待遇、行政单位应缴残保金。</w:t>
      </w:r>
    </w:p>
    <w:p>
      <w:pPr>
        <w:pStyle w:val="20"/>
      </w:pPr>
      <w:r>
        <w:t>3、比上年增减情况</w:t>
      </w:r>
    </w:p>
    <w:p>
      <w:pPr>
        <w:pStyle w:val="20"/>
      </w:pPr>
      <w:r>
        <w:t>2026年预算收支安排188.71万元，较2025年预算减少12.40万元，其中：基本支出减少10.19万元，主要为人员经费压减7.11万元，公用经费压减3.08万元。项目支出减少2.20万元，主要为减少业务经费支出。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rPr>
          <w:rFonts w:hint="eastAsia" w:eastAsia="方正仿宋_GBK"/>
          <w:lang w:val="en-US" w:eastAsia="zh-CN"/>
        </w:rPr>
      </w:pPr>
      <w:r>
        <w:rPr>
          <w:rFonts w:hint="eastAsia"/>
        </w:rPr>
        <w:t xml:space="preserve"> 202</w:t>
      </w:r>
      <w:r>
        <w:rPr>
          <w:rFonts w:hint="eastAsia"/>
          <w:lang w:val="en-US" w:eastAsia="zh-CN"/>
        </w:rPr>
        <w:t>6</w:t>
      </w:r>
      <w:r>
        <w:rPr>
          <w:rFonts w:hint="eastAsia"/>
        </w:rPr>
        <w:t>年，机关运行经费共计安排</w:t>
      </w:r>
      <w:r>
        <w:rPr>
          <w:rFonts w:hint="eastAsia"/>
          <w:lang w:val="en-US" w:eastAsia="zh-CN"/>
        </w:rPr>
        <w:t>13.36</w:t>
      </w:r>
      <w:r>
        <w:rPr>
          <w:rFonts w:hint="eastAsia"/>
        </w:rPr>
        <w:t>万元，主要用于机关日常运行支出（办公费、邮电费等日常支出）、通讯补贴、车补</w:t>
      </w:r>
      <w:r>
        <w:rPr>
          <w:rFonts w:hint="eastAsia"/>
          <w:lang w:eastAsia="zh-CN"/>
        </w:rPr>
        <w:t>。</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深入学习贯彻习近平总书记关于机构编制工作的重要讲话精神,认真贯彻落实新时代中央、省委、市委、区委关于机构编制工作的决策部署，以推进国家治理体系和治理能力现代化为导向，以落实和加强党的全面领导为统领，进一步优化部门职责配置，促进党和国家机构设置更加协同高效，实现权责一致、履职到位、流程顺畅；加强机构编制管理，强化机构编制刚性约束，推进经济强区、美丽栾城建设提供有力的体制机制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1、党政机构职能体系持续完善。</w:t>
      </w:r>
    </w:p>
    <w:p>
      <w:pPr>
        <w:pStyle w:val="24"/>
      </w:pPr>
      <w:r>
        <w:t>绩效目标：“三定”规定有效落实。</w:t>
      </w:r>
    </w:p>
    <w:p>
      <w:pPr>
        <w:pStyle w:val="24"/>
      </w:pPr>
      <w:r>
        <w:t>绩效指标：使党政机构不断适应经济基础的变化和事业发展的需要，进一步健全完善党政机构职能体系和工作机制，构建职责明确、依法行政的政府治理体系。</w:t>
      </w:r>
    </w:p>
    <w:p>
      <w:pPr>
        <w:pStyle w:val="24"/>
      </w:pPr>
      <w:r>
        <w:t>2、优化配置机构编制资源。</w:t>
      </w:r>
    </w:p>
    <w:p>
      <w:pPr>
        <w:pStyle w:val="24"/>
      </w:pPr>
      <w:r>
        <w:t>绩效目标：坚持“瘦身”与“健身”相结合，把握好严控机构编制与满足发展需要之间的关系，充分发挥机构编制在机关事业单位人员管理全流程中的基础性作用。</w:t>
      </w:r>
    </w:p>
    <w:p>
      <w:pPr>
        <w:pStyle w:val="24"/>
      </w:pPr>
      <w:r>
        <w:t>绩效指标：围绕区委、区政府中心工作，优化配置机构编制资源，确保区委区政府中心工作推进到哪里、编制保障就跟进到哪里。</w:t>
      </w:r>
    </w:p>
    <w:p>
      <w:pPr>
        <w:pStyle w:val="24"/>
      </w:pPr>
      <w:r>
        <w:t>3、机构编制管理更加规范高效。</w:t>
      </w:r>
    </w:p>
    <w:p>
      <w:pPr>
        <w:pStyle w:val="24"/>
      </w:pPr>
      <w:r>
        <w:t>绩效目标：按《中国共产党机构编制工作条例》依法依规办理用编、出编业务。巩固深化党政机构改革成果。</w:t>
      </w:r>
    </w:p>
    <w:p>
      <w:pPr>
        <w:pStyle w:val="24"/>
      </w:pPr>
      <w:r>
        <w:t>加强机构编制队伍自身建设。</w:t>
      </w:r>
    </w:p>
    <w:p>
      <w:pPr>
        <w:pStyle w:val="24"/>
      </w:pPr>
      <w:r>
        <w:t>绩效指标：抓好《中国共产党机构编制工作条例》精神及相关内容的学习，贯彻和组织实施工作，完善有关机构编制制度规定，依法依规管理各类组织机构，优化配置各类执政资源，切实提高机构编制资源的使用效益。及时跟进市委、市政府“三定”规定制定或调整情况，相应调整区直相关部门职能。坚持以党的政治建设为统领，切实增强管好机构编制资源的思想自觉、政治自觉、行动自觉。认真落实全面从严治党主体责任、监督责任、党风廉政建设责任制责任和领导干部“一岗双责”。加强机关精神文明建设，加强党性锻炼，引导全体党员做遵法守法学法用法的模范。</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加强组织领导，完善绩效制度。成立由办主要领导同志任组长的预算绩效工作领导小组，建立统筹协调、合力推进的工作机制。将事前论证、目标管理、运行监控、绩效评价、结果应用等各项措施，贯穿于预算管理的全过程，建立健全机构编制预算绩效管理制度。围绕年度总体绩效目标和分类绩效目标，细化工作方案，明确责任主体、实施进度监控，确保绩效目标如期完成。</w:t>
      </w:r>
    </w:p>
    <w:p>
      <w:pPr>
        <w:pStyle w:val="25"/>
      </w:pPr>
      <w:r>
        <w:t>细化责任，狠抓任务落实。明确预算绩效管理职责，科学制定项目和内容的中期、终期绩效目标和评价指标，动态收集评估数据信息，开展预算绩效中期绩效评估、终期评价，落实整改措施，确保财务与业务工作紧密衔接，相互促进。</w:t>
      </w:r>
    </w:p>
    <w:p>
      <w:pPr>
        <w:pStyle w:val="25"/>
      </w:pPr>
      <w:r>
        <w:t>强化预算执行，确保支出进度。强化财政预算执行的刚性约束，及时启动项目和资金支付，加快履行政府采购程序，优化部门预算支出结构，创新财政资金支出思路，合理改进支出方式，确保按照时间节点完成支出任务，提高财政资金使用效率。</w:t>
      </w:r>
    </w:p>
    <w:p>
      <w:pPr>
        <w:pStyle w:val="25"/>
      </w:pPr>
      <w:r>
        <w:t>加大公开力度，提升评价效果。制定科学评价办法，对项目资金支出的经济性、效率性以及绩效目标的实现程度全方位评价，及时发现实施中存在的问题，并研究解决对策。评价过程要最大程度地实行信息公开，运用各种有效手段促进预算绩效工作扎实推进，做到程序规范、方法合理、结果可信。</w:t>
      </w:r>
    </w:p>
    <w:p>
      <w:pPr>
        <w:pStyle w:val="25"/>
        <w:sectPr>
          <w:pgSz w:w="16840" w:h="11900" w:orient="landscape"/>
          <w:pgMar w:top="1361" w:right="1020" w:bottom="1361" w:left="1020" w:header="720" w:footer="720" w:gutter="0"/>
          <w:cols w:space="720" w:num="1"/>
        </w:sectPr>
      </w:pPr>
      <w:r>
        <w:t>强化培训宣传，提升绩效水平。积极参加区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jc w:val="left"/>
        <w:outlineLvl w:val="9"/>
        <w:rPr>
          <w:rFonts w:hint="eastAsia" w:ascii="仿宋_GB2312" w:hAnsi="仿宋_GB2312" w:eastAsia="仿宋_GB2312" w:cs="仿宋_GB2312"/>
          <w:color w:val="000000"/>
          <w:sz w:val="32"/>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13011126P00000410306E</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0.14</w:t>
            </w:r>
          </w:p>
        </w:tc>
        <w:tc>
          <w:tcPr>
            <w:tcW w:w="2835" w:type="dxa"/>
            <w:vAlign w:val="center"/>
          </w:tcPr>
          <w:p>
            <w:pPr>
              <w:pStyle w:val="12"/>
            </w:pPr>
            <w:r>
              <w:t>其中：财政    资金</w:t>
            </w:r>
          </w:p>
        </w:tc>
        <w:tc>
          <w:tcPr>
            <w:tcW w:w="2551" w:type="dxa"/>
            <w:vAlign w:val="center"/>
          </w:tcPr>
          <w:p>
            <w:pPr>
              <w:pStyle w:val="14"/>
            </w:pPr>
            <w:r>
              <w:t>0.14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退休人员统筹外待遇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0.04</w:t>
            </w:r>
          </w:p>
        </w:tc>
        <w:tc>
          <w:tcPr>
            <w:tcW w:w="2835" w:type="dxa"/>
            <w:vAlign w:val="center"/>
          </w:tcPr>
          <w:p>
            <w:pPr>
              <w:pStyle w:val="15"/>
            </w:pPr>
            <w:r>
              <w:t>0.04</w:t>
            </w:r>
          </w:p>
        </w:tc>
        <w:tc>
          <w:tcPr>
            <w:tcW w:w="2551" w:type="dxa"/>
            <w:vAlign w:val="center"/>
          </w:tcPr>
          <w:p>
            <w:pPr>
              <w:pStyle w:val="15"/>
            </w:pPr>
            <w:r>
              <w:t>0.04</w:t>
            </w:r>
          </w:p>
        </w:tc>
        <w:tc>
          <w:tcPr>
            <w:tcW w:w="3544" w:type="dxa"/>
            <w:gridSpan w:val="2"/>
            <w:vAlign w:val="center"/>
          </w:tcPr>
          <w:p>
            <w:pPr>
              <w:pStyle w:val="15"/>
            </w:pPr>
            <w:r>
              <w:t>0.04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1.发放离退休人员统筹外待遇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退休人员数量</w:t>
            </w:r>
          </w:p>
        </w:tc>
        <w:tc>
          <w:tcPr>
            <w:tcW w:w="5386" w:type="dxa"/>
            <w:vAlign w:val="center"/>
          </w:tcPr>
          <w:p>
            <w:pPr>
              <w:pStyle w:val="14"/>
            </w:pPr>
            <w:r>
              <w:t>退休人员数量</w:t>
            </w:r>
          </w:p>
        </w:tc>
        <w:tc>
          <w:tcPr>
            <w:tcW w:w="2268" w:type="dxa"/>
            <w:vAlign w:val="center"/>
          </w:tcPr>
          <w:p>
            <w:pPr>
              <w:pStyle w:val="14"/>
            </w:pPr>
            <w:r>
              <w:t>2人</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资金发放准确性</w:t>
            </w:r>
          </w:p>
        </w:tc>
        <w:tc>
          <w:tcPr>
            <w:tcW w:w="5386" w:type="dxa"/>
            <w:vAlign w:val="center"/>
          </w:tcPr>
          <w:p>
            <w:pPr>
              <w:pStyle w:val="14"/>
            </w:pPr>
            <w:r>
              <w:t>资金发放准确性</w:t>
            </w:r>
          </w:p>
        </w:tc>
        <w:tc>
          <w:tcPr>
            <w:tcW w:w="2268" w:type="dxa"/>
            <w:vAlign w:val="center"/>
          </w:tcPr>
          <w:p>
            <w:pPr>
              <w:pStyle w:val="14"/>
            </w:pPr>
            <w:r>
              <w:t>准确</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保障退休人员统筹外项目，保障各项工作顺利进行。</w:t>
            </w:r>
          </w:p>
        </w:tc>
        <w:tc>
          <w:tcPr>
            <w:tcW w:w="5386" w:type="dxa"/>
            <w:vAlign w:val="center"/>
          </w:tcPr>
          <w:p>
            <w:pPr>
              <w:pStyle w:val="14"/>
            </w:pPr>
            <w:r>
              <w:t>保障退休人员统筹外项目，保障各项工作顺利进行。</w:t>
            </w:r>
          </w:p>
        </w:tc>
        <w:tc>
          <w:tcPr>
            <w:tcW w:w="2268" w:type="dxa"/>
            <w:vAlign w:val="center"/>
          </w:tcPr>
          <w:p>
            <w:pPr>
              <w:pStyle w:val="14"/>
            </w:pPr>
            <w:r>
              <w:t>基本保障</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交通费</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2、行政单位应缴残保金绩效目标表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13011126P00000410371F</w:t>
            </w:r>
          </w:p>
        </w:tc>
        <w:tc>
          <w:tcPr>
            <w:tcW w:w="2835" w:type="dxa"/>
            <w:vAlign w:val="center"/>
          </w:tcPr>
          <w:p>
            <w:pPr>
              <w:pStyle w:val="12"/>
            </w:pPr>
            <w:r>
              <w:t>项目名称</w:t>
            </w:r>
          </w:p>
        </w:tc>
        <w:tc>
          <w:tcPr>
            <w:tcW w:w="6095" w:type="dxa"/>
            <w:gridSpan w:val="3"/>
            <w:vAlign w:val="center"/>
          </w:tcPr>
          <w:p>
            <w:pPr>
              <w:pStyle w:val="14"/>
            </w:pPr>
            <w:r>
              <w:t>行政单位应缴残保金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w:t>
            </w:r>
          </w:p>
        </w:tc>
        <w:tc>
          <w:tcPr>
            <w:tcW w:w="2835" w:type="dxa"/>
            <w:vAlign w:val="center"/>
          </w:tcPr>
          <w:p>
            <w:pPr>
              <w:pStyle w:val="12"/>
            </w:pPr>
            <w:r>
              <w:t>其中：财政    资金</w:t>
            </w:r>
          </w:p>
        </w:tc>
        <w:tc>
          <w:tcPr>
            <w:tcW w:w="2551" w:type="dxa"/>
            <w:vAlign w:val="center"/>
          </w:tcPr>
          <w:p>
            <w:pPr>
              <w:pStyle w:val="14"/>
            </w:pPr>
            <w:r>
              <w:t>1.36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残保金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1.36</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1.按统一安排缴纳残保金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残保金应交笔数</w:t>
            </w:r>
          </w:p>
        </w:tc>
        <w:tc>
          <w:tcPr>
            <w:tcW w:w="5386" w:type="dxa"/>
            <w:vAlign w:val="center"/>
          </w:tcPr>
          <w:p>
            <w:pPr>
              <w:pStyle w:val="14"/>
            </w:pPr>
            <w:r>
              <w:t>按要求缴纳1笔</w:t>
            </w:r>
          </w:p>
        </w:tc>
        <w:tc>
          <w:tcPr>
            <w:tcW w:w="2268" w:type="dxa"/>
            <w:vAlign w:val="center"/>
          </w:tcPr>
          <w:p>
            <w:pPr>
              <w:pStyle w:val="14"/>
            </w:pPr>
            <w:r>
              <w:t>1</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残保金缴纳金额</w:t>
            </w:r>
          </w:p>
        </w:tc>
        <w:tc>
          <w:tcPr>
            <w:tcW w:w="5386" w:type="dxa"/>
            <w:vAlign w:val="center"/>
          </w:tcPr>
          <w:p>
            <w:pPr>
              <w:pStyle w:val="14"/>
            </w:pPr>
            <w:r>
              <w:t>按要求足额缴纳</w:t>
            </w:r>
          </w:p>
        </w:tc>
        <w:tc>
          <w:tcPr>
            <w:tcW w:w="2268" w:type="dxa"/>
            <w:vAlign w:val="center"/>
          </w:tcPr>
          <w:p>
            <w:pPr>
              <w:pStyle w:val="14"/>
            </w:pPr>
            <w:r>
              <w:t>足额缴纳</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残保金缴纳时间</w:t>
            </w:r>
          </w:p>
        </w:tc>
        <w:tc>
          <w:tcPr>
            <w:tcW w:w="5386" w:type="dxa"/>
            <w:vAlign w:val="center"/>
          </w:tcPr>
          <w:p>
            <w:pPr>
              <w:pStyle w:val="14"/>
            </w:pPr>
            <w:r>
              <w:t>按统一要求及时缴纳</w:t>
            </w:r>
          </w:p>
        </w:tc>
        <w:tc>
          <w:tcPr>
            <w:tcW w:w="2268" w:type="dxa"/>
            <w:vAlign w:val="center"/>
          </w:tcPr>
          <w:p>
            <w:pPr>
              <w:pStyle w:val="14"/>
            </w:pPr>
            <w:r>
              <w:t>及时缴纳</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产生积极影响</w:t>
            </w:r>
          </w:p>
        </w:tc>
        <w:tc>
          <w:tcPr>
            <w:tcW w:w="5386" w:type="dxa"/>
            <w:vAlign w:val="center"/>
          </w:tcPr>
          <w:p>
            <w:pPr>
              <w:pStyle w:val="14"/>
            </w:pPr>
            <w:r>
              <w:t>对残疾人就业和社会融合产生积极影响</w:t>
            </w:r>
          </w:p>
        </w:tc>
        <w:tc>
          <w:tcPr>
            <w:tcW w:w="2268" w:type="dxa"/>
            <w:vAlign w:val="center"/>
          </w:tcPr>
          <w:p>
            <w:pPr>
              <w:pStyle w:val="14"/>
            </w:pPr>
            <w:r>
              <w:t>产生积极影响</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增强市场劳动力包容性</w:t>
            </w:r>
          </w:p>
        </w:tc>
        <w:tc>
          <w:tcPr>
            <w:tcW w:w="5386" w:type="dxa"/>
            <w:vAlign w:val="center"/>
          </w:tcPr>
          <w:p>
            <w:pPr>
              <w:pStyle w:val="14"/>
            </w:pPr>
            <w:r>
              <w:t>促进相关机构能力建设和完善</w:t>
            </w:r>
          </w:p>
        </w:tc>
        <w:tc>
          <w:tcPr>
            <w:tcW w:w="2268" w:type="dxa"/>
            <w:vAlign w:val="center"/>
          </w:tcPr>
          <w:p>
            <w:pPr>
              <w:pStyle w:val="14"/>
            </w:pPr>
            <w:r>
              <w:t>促进机构建设完善</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持续发挥效力</w:t>
            </w:r>
          </w:p>
        </w:tc>
        <w:tc>
          <w:tcPr>
            <w:tcW w:w="5386" w:type="dxa"/>
            <w:vAlign w:val="center"/>
          </w:tcPr>
          <w:p>
            <w:pPr>
              <w:pStyle w:val="14"/>
            </w:pPr>
            <w:r>
              <w:t>持续发挥效力</w:t>
            </w:r>
          </w:p>
        </w:tc>
        <w:tc>
          <w:tcPr>
            <w:tcW w:w="2268" w:type="dxa"/>
            <w:vAlign w:val="center"/>
          </w:tcPr>
          <w:p>
            <w:pPr>
              <w:pStyle w:val="14"/>
            </w:pPr>
            <w:r>
              <w:t>持续发挥效力</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满意程度 </w:t>
            </w:r>
          </w:p>
        </w:tc>
        <w:tc>
          <w:tcPr>
            <w:tcW w:w="5386" w:type="dxa"/>
            <w:vAlign w:val="center"/>
          </w:tcPr>
          <w:p>
            <w:pPr>
              <w:pStyle w:val="14"/>
            </w:pPr>
            <w:r>
              <w:t xml:space="preserve">满意程度 </w:t>
            </w:r>
          </w:p>
        </w:tc>
        <w:tc>
          <w:tcPr>
            <w:tcW w:w="2268" w:type="dxa"/>
            <w:vAlign w:val="center"/>
          </w:tcPr>
          <w:p>
            <w:pPr>
              <w:pStyle w:val="14"/>
            </w:pPr>
            <w:r>
              <w:t>≥90</w:t>
            </w:r>
          </w:p>
        </w:tc>
        <w:tc>
          <w:tcPr>
            <w:tcW w:w="1276" w:type="dxa"/>
            <w:vAlign w:val="center"/>
          </w:tcPr>
          <w:p>
            <w:pPr>
              <w:pStyle w:val="14"/>
            </w:pPr>
            <w:r>
              <w:t>统一安排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0.12</w:t>
            </w:r>
          </w:p>
        </w:tc>
        <w:tc>
          <w:tcPr>
            <w:tcW w:w="964" w:type="dxa"/>
            <w:vAlign w:val="center"/>
          </w:tcPr>
          <w:p>
            <w:pPr>
              <w:pStyle w:val="17"/>
            </w:pPr>
            <w:r>
              <w:t>0.12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中共石家庄市栾城区委机构编制委员会办公室小计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0.12</w:t>
            </w:r>
          </w:p>
        </w:tc>
        <w:tc>
          <w:tcPr>
            <w:tcW w:w="964" w:type="dxa"/>
            <w:vAlign w:val="center"/>
          </w:tcPr>
          <w:p>
            <w:pPr>
              <w:pStyle w:val="17"/>
            </w:pPr>
            <w:r>
              <w:t>0.12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2.45</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60</w:t>
            </w:r>
          </w:p>
        </w:tc>
        <w:tc>
          <w:tcPr>
            <w:tcW w:w="850" w:type="dxa"/>
            <w:vAlign w:val="center"/>
          </w:tcPr>
          <w:p>
            <w:pPr>
              <w:pStyle w:val="13"/>
            </w:pPr>
            <w:r>
              <w:t>0.00</w:t>
            </w:r>
          </w:p>
        </w:tc>
        <w:tc>
          <w:tcPr>
            <w:tcW w:w="964" w:type="dxa"/>
            <w:vAlign w:val="center"/>
          </w:tcPr>
          <w:p>
            <w:pPr>
              <w:pStyle w:val="13"/>
            </w:pPr>
            <w:r>
              <w:t>0.12</w:t>
            </w:r>
          </w:p>
        </w:tc>
        <w:tc>
          <w:tcPr>
            <w:tcW w:w="964" w:type="dxa"/>
            <w:vAlign w:val="center"/>
          </w:tcPr>
          <w:p>
            <w:pPr>
              <w:pStyle w:val="13"/>
            </w:pPr>
            <w:r>
              <w:t>0.12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中共石家庄市栾城区委机构编制委员会办公室（含所属单位）上年末固定资产金额为2.50万元（详见下表）。本年度拟购置固定资产总额为0.00万元，已按要求列入政府采购预算，详见政府采购预算表。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225中共石家庄市栾城区委机构编制委员会办公室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61</w:t>
            </w:r>
          </w:p>
        </w:tc>
        <w:tc>
          <w:tcPr>
            <w:tcW w:w="2835" w:type="dxa"/>
            <w:vAlign w:val="center"/>
          </w:tcPr>
          <w:p>
            <w:pPr>
              <w:pStyle w:val="13"/>
            </w:pPr>
            <w:r>
              <w:t>2.50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031C9F"/>
    <w:multiLevelType w:val="singleLevel"/>
    <w:tmpl w:val="6D031C9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9C1EB4"/>
    <w:rsid w:val="097F383C"/>
    <w:rsid w:val="0F3D11B2"/>
    <w:rsid w:val="1CBD2E0C"/>
    <w:rsid w:val="21814614"/>
    <w:rsid w:val="21AE7287"/>
    <w:rsid w:val="2A241B69"/>
    <w:rsid w:val="2EDA5F80"/>
    <w:rsid w:val="4BA04FAE"/>
    <w:rsid w:val="4CE216E4"/>
    <w:rsid w:val="52F1442F"/>
    <w:rsid w:val="56890E23"/>
    <w:rsid w:val="56C97471"/>
    <w:rsid w:val="5F6E5059"/>
    <w:rsid w:val="602C4CF9"/>
    <w:rsid w:val="655F10DE"/>
    <w:rsid w:val="6A085081"/>
    <w:rsid w:val="73902D2C"/>
    <w:rsid w:val="74E5346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Words>1901</Words>
  <Characters>2483</Characters>
  <TotalTime>27</TotalTime>
  <ScaleCrop>false</ScaleCrop>
  <LinksUpToDate>false</LinksUpToDate>
  <CharactersWithSpaces>2539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2026-03-09T14:14:00Z</dcterms:created>
  <dc:creator>lenovo</dc:creator>
  <cp:lastModifiedBy>Administrator</cp:lastModifiedBy>
  <dcterms:modified xsi:type="dcterms:W3CDTF">2026-03-10T07:46:22Z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eyJoZGlkIjoiNmY4OTM4MGE2OWVkMGY3ZjkxNGUxMjE4MmIzYjIxMDYiLCJ1c2VySWQiOiIzNzQ1Nzg4ODgifQ==</vt:lpwstr>
  </property>
  <property fmtid="{D5CDD505-2E9C-101B-9397-08002B2CF9AE}" pid="3" name="KSOProductBuildVer">
    <vt:lpwstr>2052-11.1.0.9021</vt:lpwstr>
  </property>
  <property fmtid="{D5CDD505-2E9C-101B-9397-08002B2CF9AE}" pid="4" name="ICV">
    <vt:lpwstr>C48CE6ECAF584B3BB573734EDE3EAE89_12</vt:lpwstr>
  </property>
</Properties>
</file>