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eastAsiaTheme="minorEastAsia"/>
          <w:lang w:eastAsia="zh-CN"/>
        </w:rPr>
        <w:t>4</w:t>
      </w:r>
      <w:r>
        <w:rPr>
          <w:rFonts w:hint="eastAsia" w:eastAsiaTheme="minorEastAsia"/>
          <w:lang w:eastAsia="zh-CN"/>
        </w:rP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eastAsiaTheme="minorEastAsia"/>
          <w:lang w:eastAsia="zh-CN"/>
        </w:rPr>
        <w:t>6</w:t>
      </w:r>
      <w:r>
        <w:rPr>
          <w:rFonts w:hint="eastAsia" w:eastAsiaTheme="minorEastAsia"/>
          <w:lang w:eastAsia="zh-CN"/>
        </w:rP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eastAsiaTheme="minorEastAsia"/>
          <w:lang w:eastAsia="zh-CN"/>
        </w:rPr>
        <w:t>7</w:t>
      </w:r>
      <w:r>
        <w:rPr>
          <w:rFonts w:hint="eastAsia" w:eastAsiaTheme="minorEastAsia"/>
          <w:lang w:eastAsia="zh-CN"/>
        </w:rP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eastAsiaTheme="minorEastAsia"/>
          <w:lang w:eastAsia="zh-CN"/>
        </w:rPr>
        <w:t>8</w:t>
      </w:r>
      <w:r>
        <w:rPr>
          <w:rFonts w:hint="eastAsia" w:eastAsiaTheme="minorEastAsia"/>
          <w:lang w:eastAsia="zh-CN"/>
        </w:rP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eastAsiaTheme="minorEastAsia"/>
          <w:lang w:eastAsia="zh-CN"/>
        </w:rPr>
        <w:t>11</w:t>
      </w:r>
      <w:r>
        <w:rPr>
          <w:rFonts w:hint="eastAsia" w:eastAsiaTheme="minorEastAsia"/>
          <w:lang w:eastAsia="zh-CN"/>
        </w:rP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eastAsiaTheme="minorEastAsia"/>
          <w:lang w:eastAsia="zh-CN"/>
        </w:rPr>
        <w:t>12</w:t>
      </w:r>
      <w:r>
        <w:rPr>
          <w:rFonts w:hint="eastAsia" w:eastAsiaTheme="minorEastAsia"/>
          <w:lang w:eastAsia="zh-CN"/>
        </w:rP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eastAsiaTheme="minorEastAsia"/>
          <w:lang w:eastAsia="zh-CN"/>
        </w:rPr>
        <w:t>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eastAsiaTheme="minorEastAsia"/>
          <w:lang w:eastAsia="zh-CN"/>
        </w:rPr>
        <w:t>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eastAsiaTheme="minorEastAsia"/>
          <w:lang w:eastAsia="zh-CN"/>
        </w:rPr>
        <w:t>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eastAsiaTheme="minorEastAsia"/>
          <w:lang w:eastAsia="zh-CN"/>
        </w:rPr>
        <w:t>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eastAsiaTheme="minorEastAsia"/>
          <w:lang w:eastAsia="zh-CN"/>
        </w:rPr>
        <w:t>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eastAsiaTheme="minorEastAsia"/>
          <w:lang w:eastAsia="zh-CN"/>
        </w:rPr>
        <w:t>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eastAsiaTheme="minorEastAsia"/>
          <w:lang w:eastAsia="zh-CN"/>
        </w:rPr>
        <w:t>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eastAsiaTheme="minorEastAsia"/>
          <w:lang w:eastAsia="zh-CN"/>
        </w:rPr>
        <w:t>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w:t>
      </w:r>
      <w:r>
        <w:rPr>
          <w:rFonts w:hint="eastAsia" w:eastAsiaTheme="minorEastAsia"/>
          <w:lang w:eastAsia="zh-CN"/>
        </w:rPr>
        <w:t>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rPr>
          <w:rFonts w:hint="eastAsia" w:eastAsiaTheme="minorEastAsia"/>
          <w:lang w:eastAsia="zh-CN"/>
        </w:rPr>
        <w:t>20</w:t>
      </w:r>
      <w:r>
        <w:rPr>
          <w:rFonts w:hint="eastAsia" w:eastAsiaTheme="minorEastAsia"/>
          <w:lang w:eastAsia="zh-CN"/>
        </w:rP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w:t>
      </w:r>
      <w:r>
        <w:rPr>
          <w:rFonts w:hint="eastAsia" w:eastAsiaTheme="minorEastAsia"/>
          <w:lang w:eastAsia="zh-CN"/>
        </w:rPr>
        <w:t>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w:t>
      </w:r>
      <w:r>
        <w:rPr>
          <w:rFonts w:hint="eastAsia" w:eastAsiaTheme="minorEastAsia"/>
          <w:lang w:eastAsia="zh-CN"/>
        </w:rPr>
        <w:t>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w:t>
      </w:r>
      <w:r>
        <w:rPr>
          <w:rFonts w:hint="eastAsia" w:eastAsiaTheme="minorEastAsia"/>
          <w:lang w:eastAsia="zh-CN"/>
        </w:rPr>
        <w:t>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w:t>
      </w:r>
      <w:r>
        <w:rPr>
          <w:rFonts w:hint="eastAsia" w:eastAsiaTheme="minorEastAsia"/>
          <w:lang w:eastAsia="zh-CN"/>
        </w:rPr>
        <w:t>3</w:t>
      </w:r>
      <w:r>
        <w:fldChar w:fldCharType="end"/>
      </w:r>
      <w:r>
        <w:fldChar w:fldCharType="end"/>
      </w:r>
    </w:p>
    <w:p>
      <w:r>
        <w:fldChar w:fldCharType="end"/>
      </w:r>
    </w:p>
    <w:p>
      <w:pPr>
        <w:jc w:val="center"/>
        <w:rPr>
          <w:rFonts w:ascii="黑体" w:hAnsi="黑体" w:eastAsia="黑体" w:cs="黑体"/>
          <w:b/>
          <w:color w:val="000000"/>
          <w:sz w:val="30"/>
          <w:lang w:eastAsia="zh-CN"/>
        </w:rPr>
      </w:pPr>
    </w:p>
    <w:p>
      <w:pPr>
        <w:jc w:val="center"/>
        <w:rPr>
          <w:rFonts w:ascii="黑体" w:hAnsi="黑体" w:eastAsia="黑体" w:cs="黑体"/>
          <w:b/>
          <w:color w:val="000000"/>
          <w:sz w:val="30"/>
          <w:lang w:eastAsia="zh-CN"/>
        </w:rPr>
      </w:pPr>
    </w:p>
    <w:p>
      <w:pPr>
        <w:jc w:val="center"/>
        <w:rPr>
          <w:rFonts w:ascii="黑体" w:hAnsi="黑体" w:eastAsia="黑体" w:cs="黑体"/>
          <w:b/>
          <w:color w:val="000000"/>
          <w:sz w:val="30"/>
          <w:lang w:eastAsia="zh-CN"/>
        </w:rPr>
      </w:pPr>
    </w:p>
    <w:p>
      <w:pPr>
        <w:jc w:val="center"/>
        <w:rPr>
          <w:rFonts w:ascii="黑体" w:hAnsi="黑体" w:eastAsia="黑体" w:cs="黑体"/>
          <w:b/>
          <w:color w:val="000000"/>
          <w:sz w:val="30"/>
          <w:lang w:eastAsia="zh-CN"/>
        </w:rPr>
      </w:pPr>
    </w:p>
    <w:p>
      <w:pPr>
        <w:jc w:val="center"/>
        <w:rPr>
          <w:rFonts w:hint="eastAsia"/>
          <w:lang w:eastAsia="zh-CN"/>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rPr>
                <w:rFonts w:hint="eastAsia"/>
              </w:rPr>
            </w:pPr>
            <w:r>
              <w:t>302石家庄市栾城区经济发展研究中心</w:t>
            </w:r>
          </w:p>
        </w:tc>
        <w:tc>
          <w:tcPr>
            <w:tcW w:w="2126"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232.93</w:t>
            </w:r>
          </w:p>
        </w:tc>
        <w:tc>
          <w:tcPr>
            <w:tcW w:w="4535" w:type="dxa"/>
            <w:vAlign w:val="center"/>
          </w:tcPr>
          <w:p>
            <w:pPr>
              <w:pStyle w:val="14"/>
            </w:pPr>
            <w:r>
              <w:t>一、一般公共服务支出</w:t>
            </w:r>
          </w:p>
        </w:tc>
        <w:tc>
          <w:tcPr>
            <w:tcW w:w="2126" w:type="dxa"/>
            <w:vAlign w:val="center"/>
          </w:tcPr>
          <w:p>
            <w:pPr>
              <w:pStyle w:val="13"/>
            </w:pPr>
            <w:r>
              <w:t>232.93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232.93</w:t>
            </w:r>
          </w:p>
        </w:tc>
        <w:tc>
          <w:tcPr>
            <w:tcW w:w="4535" w:type="dxa"/>
            <w:vAlign w:val="center"/>
          </w:tcPr>
          <w:p>
            <w:pPr>
              <w:pStyle w:val="16"/>
            </w:pPr>
            <w:r>
              <w:t>本年支出合计</w:t>
            </w:r>
          </w:p>
        </w:tc>
        <w:tc>
          <w:tcPr>
            <w:tcW w:w="2126" w:type="dxa"/>
            <w:vAlign w:val="center"/>
          </w:tcPr>
          <w:p>
            <w:pPr>
              <w:pStyle w:val="17"/>
            </w:pPr>
            <w:r>
              <w:t>232.93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232.93</w:t>
            </w:r>
          </w:p>
        </w:tc>
        <w:tc>
          <w:tcPr>
            <w:tcW w:w="4535" w:type="dxa"/>
            <w:vAlign w:val="center"/>
          </w:tcPr>
          <w:p>
            <w:pPr>
              <w:pStyle w:val="16"/>
            </w:pPr>
            <w:r>
              <w:t>支出总计</w:t>
            </w:r>
          </w:p>
        </w:tc>
        <w:tc>
          <w:tcPr>
            <w:tcW w:w="2126" w:type="dxa"/>
            <w:vAlign w:val="center"/>
          </w:tcPr>
          <w:p>
            <w:pPr>
              <w:pStyle w:val="17"/>
            </w:pPr>
            <w:r>
              <w:t>232.93</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rFonts w:hint="eastAsia"/>
              </w:rPr>
            </w:pPr>
            <w:r>
              <w:t>302石家庄市栾城区经济发展研究中心</w:t>
            </w:r>
          </w:p>
        </w:tc>
        <w:tc>
          <w:tcPr>
            <w:tcW w:w="3402" w:type="dxa"/>
            <w:gridSpan w:val="3"/>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232.93</w:t>
            </w:r>
          </w:p>
        </w:tc>
        <w:tc>
          <w:tcPr>
            <w:tcW w:w="1134" w:type="dxa"/>
            <w:vAlign w:val="center"/>
          </w:tcPr>
          <w:p>
            <w:pPr>
              <w:pStyle w:val="17"/>
            </w:pPr>
            <w:r>
              <w:t>232.93</w:t>
            </w:r>
          </w:p>
        </w:tc>
        <w:tc>
          <w:tcPr>
            <w:tcW w:w="1134" w:type="dxa"/>
            <w:vAlign w:val="center"/>
          </w:tcPr>
          <w:p>
            <w:pPr>
              <w:pStyle w:val="17"/>
            </w:pPr>
            <w:r>
              <w:t>232.93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232.93</w:t>
            </w:r>
          </w:p>
        </w:tc>
        <w:tc>
          <w:tcPr>
            <w:tcW w:w="1134" w:type="dxa"/>
            <w:vAlign w:val="center"/>
          </w:tcPr>
          <w:p>
            <w:pPr>
              <w:pStyle w:val="13"/>
            </w:pPr>
            <w:r>
              <w:t>232.93</w:t>
            </w:r>
          </w:p>
        </w:tc>
        <w:tc>
          <w:tcPr>
            <w:tcW w:w="1134" w:type="dxa"/>
            <w:vAlign w:val="center"/>
          </w:tcPr>
          <w:p>
            <w:pPr>
              <w:pStyle w:val="13"/>
            </w:pPr>
            <w:r>
              <w:t>232.93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232.93</w:t>
            </w:r>
          </w:p>
        </w:tc>
        <w:tc>
          <w:tcPr>
            <w:tcW w:w="1134" w:type="dxa"/>
            <w:vAlign w:val="center"/>
          </w:tcPr>
          <w:p>
            <w:pPr>
              <w:pStyle w:val="13"/>
            </w:pPr>
            <w:r>
              <w:t>232.93</w:t>
            </w:r>
          </w:p>
        </w:tc>
        <w:tc>
          <w:tcPr>
            <w:tcW w:w="1134" w:type="dxa"/>
            <w:vAlign w:val="center"/>
          </w:tcPr>
          <w:p>
            <w:pPr>
              <w:pStyle w:val="13"/>
            </w:pPr>
            <w:r>
              <w:t>232.93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232.93</w:t>
            </w:r>
          </w:p>
        </w:tc>
        <w:tc>
          <w:tcPr>
            <w:tcW w:w="1134" w:type="dxa"/>
            <w:vAlign w:val="center"/>
          </w:tcPr>
          <w:p>
            <w:pPr>
              <w:pStyle w:val="13"/>
            </w:pPr>
            <w:r>
              <w:t>232.93</w:t>
            </w:r>
          </w:p>
        </w:tc>
        <w:tc>
          <w:tcPr>
            <w:tcW w:w="1134" w:type="dxa"/>
            <w:vAlign w:val="center"/>
          </w:tcPr>
          <w:p>
            <w:pPr>
              <w:pStyle w:val="13"/>
            </w:pPr>
            <w:r>
              <w:t>232.93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rPr>
                <w:rFonts w:hint="eastAsia"/>
              </w:rPr>
            </w:pPr>
            <w:r>
              <w:t>302石家庄市栾城区经济发展研究中心</w:t>
            </w:r>
          </w:p>
        </w:tc>
        <w:tc>
          <w:tcPr>
            <w:tcW w:w="2722" w:type="dxa"/>
            <w:gridSpan w:val="2"/>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232.93</w:t>
            </w:r>
          </w:p>
        </w:tc>
        <w:tc>
          <w:tcPr>
            <w:tcW w:w="1361" w:type="dxa"/>
            <w:vAlign w:val="center"/>
          </w:tcPr>
          <w:p>
            <w:pPr>
              <w:pStyle w:val="17"/>
            </w:pPr>
            <w:r>
              <w:t>231.45</w:t>
            </w:r>
          </w:p>
        </w:tc>
        <w:tc>
          <w:tcPr>
            <w:tcW w:w="1361" w:type="dxa"/>
            <w:vAlign w:val="center"/>
          </w:tcPr>
          <w:p>
            <w:pPr>
              <w:pStyle w:val="17"/>
            </w:pPr>
            <w:r>
              <w:t>1.48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232.93</w:t>
            </w:r>
          </w:p>
        </w:tc>
        <w:tc>
          <w:tcPr>
            <w:tcW w:w="1361" w:type="dxa"/>
            <w:vAlign w:val="center"/>
          </w:tcPr>
          <w:p>
            <w:pPr>
              <w:pStyle w:val="13"/>
            </w:pPr>
            <w:r>
              <w:t>231.45</w:t>
            </w:r>
          </w:p>
        </w:tc>
        <w:tc>
          <w:tcPr>
            <w:tcW w:w="1361" w:type="dxa"/>
            <w:vAlign w:val="center"/>
          </w:tcPr>
          <w:p>
            <w:pPr>
              <w:pStyle w:val="13"/>
            </w:pPr>
            <w:r>
              <w:t>1.48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232.93</w:t>
            </w:r>
          </w:p>
        </w:tc>
        <w:tc>
          <w:tcPr>
            <w:tcW w:w="1361" w:type="dxa"/>
            <w:vAlign w:val="center"/>
          </w:tcPr>
          <w:p>
            <w:pPr>
              <w:pStyle w:val="13"/>
            </w:pPr>
            <w:r>
              <w:t>231.45</w:t>
            </w:r>
          </w:p>
        </w:tc>
        <w:tc>
          <w:tcPr>
            <w:tcW w:w="1361" w:type="dxa"/>
            <w:vAlign w:val="center"/>
          </w:tcPr>
          <w:p>
            <w:pPr>
              <w:pStyle w:val="13"/>
            </w:pPr>
            <w:r>
              <w:t>1.48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232.93</w:t>
            </w:r>
          </w:p>
        </w:tc>
        <w:tc>
          <w:tcPr>
            <w:tcW w:w="1361" w:type="dxa"/>
            <w:vAlign w:val="center"/>
          </w:tcPr>
          <w:p>
            <w:pPr>
              <w:pStyle w:val="13"/>
            </w:pPr>
            <w:r>
              <w:t>231.45</w:t>
            </w:r>
          </w:p>
        </w:tc>
        <w:tc>
          <w:tcPr>
            <w:tcW w:w="1361" w:type="dxa"/>
            <w:vAlign w:val="center"/>
          </w:tcPr>
          <w:p>
            <w:pPr>
              <w:pStyle w:val="13"/>
            </w:pPr>
            <w:r>
              <w:t>1.48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rPr>
                <w:rFonts w:hint="eastAsia"/>
              </w:rPr>
            </w:pPr>
            <w:r>
              <w:t>302石家庄市栾城区经济发展研究中心</w:t>
            </w:r>
          </w:p>
        </w:tc>
        <w:tc>
          <w:tcPr>
            <w:tcW w:w="3402"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232.93</w:t>
            </w:r>
          </w:p>
        </w:tc>
        <w:tc>
          <w:tcPr>
            <w:tcW w:w="3402" w:type="dxa"/>
            <w:vAlign w:val="center"/>
          </w:tcPr>
          <w:p>
            <w:pPr>
              <w:pStyle w:val="14"/>
            </w:pPr>
            <w:r>
              <w:t>一、一般公共服务支出</w:t>
            </w:r>
          </w:p>
        </w:tc>
        <w:tc>
          <w:tcPr>
            <w:tcW w:w="1474" w:type="dxa"/>
            <w:vAlign w:val="center"/>
          </w:tcPr>
          <w:p>
            <w:pPr>
              <w:pStyle w:val="13"/>
            </w:pPr>
            <w:r>
              <w:t>232.93</w:t>
            </w:r>
          </w:p>
        </w:tc>
        <w:tc>
          <w:tcPr>
            <w:tcW w:w="1474" w:type="dxa"/>
            <w:vAlign w:val="center"/>
          </w:tcPr>
          <w:p>
            <w:pPr>
              <w:pStyle w:val="13"/>
            </w:pPr>
            <w:r>
              <w:t>232.93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232.93</w:t>
            </w:r>
          </w:p>
        </w:tc>
        <w:tc>
          <w:tcPr>
            <w:tcW w:w="3402" w:type="dxa"/>
            <w:vAlign w:val="center"/>
          </w:tcPr>
          <w:p>
            <w:pPr>
              <w:pStyle w:val="16"/>
            </w:pPr>
            <w:r>
              <w:t>本年支出合计</w:t>
            </w:r>
          </w:p>
        </w:tc>
        <w:tc>
          <w:tcPr>
            <w:tcW w:w="1474" w:type="dxa"/>
            <w:vAlign w:val="center"/>
          </w:tcPr>
          <w:p>
            <w:pPr>
              <w:pStyle w:val="17"/>
            </w:pPr>
            <w:r>
              <w:t>232.93</w:t>
            </w:r>
          </w:p>
        </w:tc>
        <w:tc>
          <w:tcPr>
            <w:tcW w:w="1474" w:type="dxa"/>
            <w:vAlign w:val="center"/>
          </w:tcPr>
          <w:p>
            <w:pPr>
              <w:pStyle w:val="17"/>
            </w:pPr>
            <w:r>
              <w:t>232.93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232.93</w:t>
            </w:r>
          </w:p>
        </w:tc>
        <w:tc>
          <w:tcPr>
            <w:tcW w:w="3402" w:type="dxa"/>
            <w:vAlign w:val="center"/>
          </w:tcPr>
          <w:p>
            <w:pPr>
              <w:pStyle w:val="16"/>
            </w:pPr>
            <w:r>
              <w:t>支出总计</w:t>
            </w:r>
          </w:p>
        </w:tc>
        <w:tc>
          <w:tcPr>
            <w:tcW w:w="1474" w:type="dxa"/>
            <w:vAlign w:val="center"/>
          </w:tcPr>
          <w:p>
            <w:pPr>
              <w:pStyle w:val="17"/>
            </w:pPr>
            <w:r>
              <w:t>232.93</w:t>
            </w:r>
          </w:p>
        </w:tc>
        <w:tc>
          <w:tcPr>
            <w:tcW w:w="1474" w:type="dxa"/>
            <w:vAlign w:val="center"/>
          </w:tcPr>
          <w:p>
            <w:pPr>
              <w:pStyle w:val="17"/>
            </w:pPr>
            <w:r>
              <w:t>232.93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302石家庄市栾城区经济发展研究中心</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232.93</w:t>
            </w:r>
          </w:p>
        </w:tc>
        <w:tc>
          <w:tcPr>
            <w:tcW w:w="2551" w:type="dxa"/>
            <w:vAlign w:val="center"/>
          </w:tcPr>
          <w:p>
            <w:pPr>
              <w:pStyle w:val="17"/>
            </w:pPr>
            <w:r>
              <w:t>231.45</w:t>
            </w:r>
          </w:p>
        </w:tc>
        <w:tc>
          <w:tcPr>
            <w:tcW w:w="2551" w:type="dxa"/>
            <w:vAlign w:val="center"/>
          </w:tcPr>
          <w:p>
            <w:pPr>
              <w:pStyle w:val="17"/>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232.93</w:t>
            </w:r>
          </w:p>
        </w:tc>
        <w:tc>
          <w:tcPr>
            <w:tcW w:w="2551" w:type="dxa"/>
            <w:vAlign w:val="center"/>
          </w:tcPr>
          <w:p>
            <w:pPr>
              <w:pStyle w:val="13"/>
            </w:pPr>
            <w:r>
              <w:t>231.45</w:t>
            </w:r>
          </w:p>
        </w:tc>
        <w:tc>
          <w:tcPr>
            <w:tcW w:w="2551" w:type="dxa"/>
            <w:vAlign w:val="center"/>
          </w:tcPr>
          <w:p>
            <w:pPr>
              <w:pStyle w:val="13"/>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232.93</w:t>
            </w:r>
          </w:p>
        </w:tc>
        <w:tc>
          <w:tcPr>
            <w:tcW w:w="2551" w:type="dxa"/>
            <w:vAlign w:val="center"/>
          </w:tcPr>
          <w:p>
            <w:pPr>
              <w:pStyle w:val="13"/>
            </w:pPr>
            <w:r>
              <w:t>231.45</w:t>
            </w:r>
          </w:p>
        </w:tc>
        <w:tc>
          <w:tcPr>
            <w:tcW w:w="2551" w:type="dxa"/>
            <w:vAlign w:val="center"/>
          </w:tcPr>
          <w:p>
            <w:pPr>
              <w:pStyle w:val="13"/>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232.93</w:t>
            </w:r>
          </w:p>
        </w:tc>
        <w:tc>
          <w:tcPr>
            <w:tcW w:w="2551" w:type="dxa"/>
            <w:vAlign w:val="center"/>
          </w:tcPr>
          <w:p>
            <w:pPr>
              <w:pStyle w:val="13"/>
            </w:pPr>
            <w:r>
              <w:t>231.45</w:t>
            </w:r>
          </w:p>
        </w:tc>
        <w:tc>
          <w:tcPr>
            <w:tcW w:w="2551" w:type="dxa"/>
            <w:vAlign w:val="center"/>
          </w:tcPr>
          <w:p>
            <w:pPr>
              <w:pStyle w:val="13"/>
            </w:pPr>
            <w:r>
              <w:t>1.48</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302石家庄市栾城区经济发展研究中心</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231.45</w:t>
            </w:r>
          </w:p>
        </w:tc>
        <w:tc>
          <w:tcPr>
            <w:tcW w:w="2551" w:type="dxa"/>
            <w:vAlign w:val="center"/>
          </w:tcPr>
          <w:p>
            <w:pPr>
              <w:pStyle w:val="17"/>
            </w:pPr>
            <w:r>
              <w:t>222.17</w:t>
            </w:r>
          </w:p>
        </w:tc>
        <w:tc>
          <w:tcPr>
            <w:tcW w:w="2551" w:type="dxa"/>
            <w:vAlign w:val="center"/>
          </w:tcPr>
          <w:p>
            <w:pPr>
              <w:pStyle w:val="17"/>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222.17</w:t>
            </w:r>
          </w:p>
        </w:tc>
        <w:tc>
          <w:tcPr>
            <w:tcW w:w="2551" w:type="dxa"/>
            <w:vAlign w:val="center"/>
          </w:tcPr>
          <w:p>
            <w:pPr>
              <w:pStyle w:val="13"/>
            </w:pPr>
            <w:r>
              <w:t>222.17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60.27</w:t>
            </w:r>
          </w:p>
        </w:tc>
        <w:tc>
          <w:tcPr>
            <w:tcW w:w="2551" w:type="dxa"/>
            <w:vAlign w:val="center"/>
          </w:tcPr>
          <w:p>
            <w:pPr>
              <w:pStyle w:val="13"/>
            </w:pPr>
            <w:r>
              <w:t>60.27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11.72</w:t>
            </w:r>
          </w:p>
        </w:tc>
        <w:tc>
          <w:tcPr>
            <w:tcW w:w="2551" w:type="dxa"/>
            <w:vAlign w:val="center"/>
          </w:tcPr>
          <w:p>
            <w:pPr>
              <w:pStyle w:val="13"/>
            </w:pPr>
            <w:r>
              <w:t>11.72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97.74</w:t>
            </w:r>
          </w:p>
        </w:tc>
        <w:tc>
          <w:tcPr>
            <w:tcW w:w="2551" w:type="dxa"/>
            <w:vAlign w:val="center"/>
          </w:tcPr>
          <w:p>
            <w:pPr>
              <w:pStyle w:val="13"/>
            </w:pPr>
            <w:r>
              <w:t>97.74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21.39</w:t>
            </w:r>
          </w:p>
        </w:tc>
        <w:tc>
          <w:tcPr>
            <w:tcW w:w="2551" w:type="dxa"/>
            <w:vAlign w:val="center"/>
          </w:tcPr>
          <w:p>
            <w:pPr>
              <w:pStyle w:val="13"/>
            </w:pPr>
            <w:r>
              <w:t>21.39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10.99</w:t>
            </w:r>
          </w:p>
        </w:tc>
        <w:tc>
          <w:tcPr>
            <w:tcW w:w="2551" w:type="dxa"/>
            <w:vAlign w:val="center"/>
          </w:tcPr>
          <w:p>
            <w:pPr>
              <w:pStyle w:val="13"/>
            </w:pPr>
            <w:r>
              <w:t>10.99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18.86</w:t>
            </w:r>
          </w:p>
        </w:tc>
        <w:tc>
          <w:tcPr>
            <w:tcW w:w="2551" w:type="dxa"/>
            <w:vAlign w:val="center"/>
          </w:tcPr>
          <w:p>
            <w:pPr>
              <w:pStyle w:val="13"/>
            </w:pPr>
            <w:r>
              <w:t>18.86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9.28</w:t>
            </w:r>
          </w:p>
        </w:tc>
        <w:tc>
          <w:tcPr>
            <w:tcW w:w="2551" w:type="dxa"/>
            <w:vAlign w:val="center"/>
          </w:tcPr>
          <w:p>
            <w:pPr>
              <w:pStyle w:val="13"/>
            </w:pPr>
          </w:p>
        </w:tc>
        <w:tc>
          <w:tcPr>
            <w:tcW w:w="2551" w:type="dxa"/>
            <w:vAlign w:val="center"/>
          </w:tcPr>
          <w:p>
            <w:pPr>
              <w:pStyle w:val="13"/>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5.04</w:t>
            </w:r>
          </w:p>
        </w:tc>
        <w:tc>
          <w:tcPr>
            <w:tcW w:w="2551" w:type="dxa"/>
            <w:vAlign w:val="center"/>
          </w:tcPr>
          <w:p>
            <w:pPr>
              <w:pStyle w:val="13"/>
            </w:pPr>
          </w:p>
        </w:tc>
        <w:tc>
          <w:tcPr>
            <w:tcW w:w="2551" w:type="dxa"/>
            <w:vAlign w:val="center"/>
          </w:tcPr>
          <w:p>
            <w:pPr>
              <w:pStyle w:val="13"/>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0.38</w:t>
            </w:r>
          </w:p>
        </w:tc>
        <w:tc>
          <w:tcPr>
            <w:tcW w:w="2551" w:type="dxa"/>
            <w:vAlign w:val="center"/>
          </w:tcPr>
          <w:p>
            <w:pPr>
              <w:pStyle w:val="13"/>
            </w:pPr>
          </w:p>
        </w:tc>
        <w:tc>
          <w:tcPr>
            <w:tcW w:w="2551"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0.51</w:t>
            </w:r>
          </w:p>
        </w:tc>
        <w:tc>
          <w:tcPr>
            <w:tcW w:w="2551" w:type="dxa"/>
            <w:vAlign w:val="center"/>
          </w:tcPr>
          <w:p>
            <w:pPr>
              <w:pStyle w:val="13"/>
            </w:pPr>
          </w:p>
        </w:tc>
        <w:tc>
          <w:tcPr>
            <w:tcW w:w="2551" w:type="dxa"/>
            <w:vAlign w:val="center"/>
          </w:tcPr>
          <w:p>
            <w:pPr>
              <w:pStyle w:val="13"/>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1.20</w:t>
            </w:r>
          </w:p>
        </w:tc>
        <w:tc>
          <w:tcPr>
            <w:tcW w:w="2551" w:type="dxa"/>
            <w:vAlign w:val="center"/>
          </w:tcPr>
          <w:p>
            <w:pPr>
              <w:pStyle w:val="13"/>
            </w:pP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1.98</w:t>
            </w:r>
          </w:p>
        </w:tc>
        <w:tc>
          <w:tcPr>
            <w:tcW w:w="2551" w:type="dxa"/>
            <w:vAlign w:val="center"/>
          </w:tcPr>
          <w:p>
            <w:pPr>
              <w:pStyle w:val="13"/>
            </w:pPr>
          </w:p>
        </w:tc>
        <w:tc>
          <w:tcPr>
            <w:tcW w:w="2551" w:type="dxa"/>
            <w:vAlign w:val="center"/>
          </w:tcPr>
          <w:p>
            <w:pPr>
              <w:pStyle w:val="13"/>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0.18</w:t>
            </w:r>
          </w:p>
        </w:tc>
        <w:tc>
          <w:tcPr>
            <w:tcW w:w="2551" w:type="dxa"/>
            <w:vAlign w:val="center"/>
          </w:tcPr>
          <w:p>
            <w:pPr>
              <w:pStyle w:val="13"/>
            </w:pPr>
          </w:p>
        </w:tc>
        <w:tc>
          <w:tcPr>
            <w:tcW w:w="2551" w:type="dxa"/>
            <w:vAlign w:val="center"/>
          </w:tcPr>
          <w:p>
            <w:pPr>
              <w:pStyle w:val="13"/>
            </w:pPr>
            <w:r>
              <w:t>0.18</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302石家庄市栾城区经济发展研究中心</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302石家庄市栾城区经济发展研究中心</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rPr>
                <w:rFonts w:hint="eastAsia"/>
              </w:rPr>
            </w:pPr>
            <w:r>
              <w:t>302石家庄市栾城区经济发展研究中心</w:t>
            </w:r>
          </w:p>
        </w:tc>
        <w:tc>
          <w:tcPr>
            <w:tcW w:w="238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pPr>
      <w:r>
        <w:rPr>
          <w:rFonts w:ascii="方正书宋_GBK" w:hAnsi="方正书宋_GBK" w:eastAsia="方正书宋_GBK" w:cs="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石家庄市栾城区经济发展研究中心2026年部门预算信息公开情况说明</w:t>
      </w:r>
    </w:p>
    <w:p>
      <w:pPr>
        <w:jc w:val="center"/>
      </w:pPr>
      <w:r>
        <w:rPr>
          <w:rFonts w:ascii="方正小标宋_GBK" w:hAnsi="方正小标宋_GBK" w:eastAsia="方正小标宋_GBK" w:cs="方正小标宋_GBK"/>
          <w:color w:val="000000"/>
          <w:sz w:val="44"/>
        </w:rPr>
        <w:t>石家庄市栾城区经济发展研究中心2026年部门预算信息公开情况说明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按照《中华人民共和国预算法》、《地方预决算公开操作规程》和《关于进一步推进预算公开工作的实施意见》规定，现将石家庄市栾城区经济发展研究中心2026年部门预算公开如下：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rPr>
          <w:rFonts w:hint="eastAsia"/>
        </w:rPr>
        <w:t>围绕我区经济、社会发展重大问题开展调查研究等工作</w:t>
      </w:r>
      <w:r>
        <w:t>。</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石家庄市栾城区经济发展研究中心本级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按照预算管理有关规定，目前部门预算的编制实行综合预算管理，即全部收入和支出都反映在预算中。石家庄市栾城区经济发展研究中心机关及所属事业单位的收支包含在部门预算中。</w:t>
      </w:r>
    </w:p>
    <w:p>
      <w:pPr>
        <w:pStyle w:val="20"/>
      </w:pPr>
      <w:r>
        <w:t>1、收入说明</w:t>
      </w:r>
    </w:p>
    <w:p>
      <w:pPr>
        <w:pStyle w:val="20"/>
      </w:pPr>
      <w:r>
        <w:t>反映本部门当年全部收入。2026年预算收入232.93万元，其中：一般公共预算收入232.93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栾城区经济发展研究中心年度部门预算中支出预算的总体情况。2026年支出预算232.93万元，其中基本支出231.45万元，包括人员经费222.17万元和日常公用经费9.28万元；项目支出1.48万元，主要为残疾人保障金；预计下年使用的单位资金结余0.00万元。委托业务费共计安排0.00万元。</w:t>
      </w:r>
    </w:p>
    <w:p>
      <w:pPr>
        <w:pStyle w:val="20"/>
      </w:pPr>
      <w:r>
        <w:t>3、比上年增减情况</w:t>
      </w:r>
    </w:p>
    <w:p>
      <w:pPr>
        <w:pStyle w:val="20"/>
      </w:pPr>
      <w:r>
        <w:t>2026年预算收支安排232.93万元，较2025年预算增加75.57万元，其中：基本支出增加74.10万元，主要为人员调入，基本支出相应增加</w:t>
      </w:r>
      <w:r>
        <w:rPr>
          <w:rFonts w:hint="eastAsia" w:asciiTheme="minorEastAsia" w:hAnsiTheme="minorEastAsia" w:eastAsiaTheme="minorEastAsia"/>
          <w:lang w:eastAsia="zh-CN"/>
        </w:rPr>
        <w:t>；</w:t>
      </w:r>
      <w:r>
        <w:t>项目支出增加1.48万元，主要为残疾人保障金增加。预计下年使用的单位资金结余增加0.00万元。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2026年，我部门机关运行经费共计安排9.28万元，主要用于</w:t>
      </w:r>
      <w:r>
        <w:rPr>
          <w:rFonts w:hint="eastAsia"/>
        </w:rPr>
        <w:t>办公费、邮电费、差旅费</w:t>
      </w:r>
      <w:r>
        <w:t>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0万元，其中因公出国（境）费0万元；公务用车购置及运维费0万元（其中：公务用车购置费为0万元，公务用车运维费0万元)；公务接待费0万元。与2025年相比增加0万元，无变化</w:t>
      </w:r>
      <w:r>
        <w:rPr>
          <w:rFonts w:hint="eastAsia" w:asciiTheme="minorEastAsia" w:hAnsiTheme="minorEastAsia" w:eastAsiaTheme="minorEastAsia"/>
          <w:lang w:eastAsia="zh-CN"/>
        </w:rPr>
        <w:t>。</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3"/>
      </w:pPr>
      <w:r>
        <w:t>1、紧紧围绕中央和省、市、区重大决策部署，充分发挥参谋助手、运转枢纽、管理保障、示范窗口作用，不断提高服务的质量，为构建服务型政府作出新的贡献。</w:t>
      </w:r>
    </w:p>
    <w:p>
      <w:pPr>
        <w:pStyle w:val="23"/>
      </w:pPr>
      <w:r>
        <w:t>2、突出政务、加强事务管理，力求重点工作出精品、难点工作求突破、基础工作有创新、常规工作见特色。有效推动全区经济发展，保障重大决策落实，积极贯彻工作布署，创新工作机制，提升服务水平。</w:t>
      </w:r>
    </w:p>
    <w:p>
      <w:pPr>
        <w:pStyle w:val="23"/>
      </w:pPr>
      <w:r>
        <w:t>3、保障政府网络系统安全运行，严格保障服务流程和视频会议管理制度，切实提高技术保障能力和服务水平。</w:t>
      </w:r>
    </w:p>
    <w:p>
      <w:pPr>
        <w:spacing w:line="500" w:lineRule="exact"/>
        <w:ind w:firstLine="560"/>
      </w:pPr>
      <w:r>
        <w:rPr>
          <w:rFonts w:eastAsia="方正仿宋_GBK"/>
          <w:color w:val="000000"/>
          <w:sz w:val="28"/>
        </w:rPr>
        <w:t>（二）分项绩效目标</w:t>
      </w:r>
    </w:p>
    <w:p>
      <w:pPr>
        <w:pStyle w:val="24"/>
      </w:pPr>
      <w:r>
        <w:t>1、强学习，凝思想，持之以恒加强党的建设。</w:t>
      </w:r>
    </w:p>
    <w:p>
      <w:pPr>
        <w:pStyle w:val="24"/>
      </w:pPr>
      <w:r>
        <w:t>绩效目标：扎实开展学习贯彻习近平关于新时代中国特色社会主义思想主题教育。</w:t>
      </w:r>
    </w:p>
    <w:p>
      <w:pPr>
        <w:pStyle w:val="24"/>
      </w:pPr>
      <w:r>
        <w:t>绩效指标：不断加强理论学习，健全完善制度建设，深化全面从严治党。</w:t>
      </w:r>
    </w:p>
    <w:p>
      <w:pPr>
        <w:pStyle w:val="24"/>
      </w:pPr>
      <w:r>
        <w:t>2、提效能，促发展，锲而不舍优化政务服务。</w:t>
      </w:r>
    </w:p>
    <w:p>
      <w:pPr>
        <w:pStyle w:val="24"/>
      </w:pPr>
      <w:r>
        <w:t>绩效目标：结合实际制定我区经济发展工作方案，明确任务目标，层层压实责任，建立常态化推进机制。</w:t>
      </w:r>
    </w:p>
    <w:p>
      <w:pPr>
        <w:pStyle w:val="24"/>
      </w:pPr>
      <w:r>
        <w:t>绩效指标：加强工作协调督促，提升基层政务服务便利化水平。</w:t>
      </w:r>
    </w:p>
    <w:p>
      <w:pPr>
        <w:pStyle w:val="24"/>
      </w:pPr>
      <w:r>
        <w:t>3、抓重点，强推进，务实高效加快数字政府建设。</w:t>
      </w:r>
    </w:p>
    <w:p>
      <w:pPr>
        <w:pStyle w:val="24"/>
      </w:pPr>
      <w:r>
        <w:t>绩效目标：学习借鉴先进地区经验，坚持以改革的思路和创新的举措，推动我区数字政府建设。</w:t>
      </w:r>
    </w:p>
    <w:p>
      <w:pPr>
        <w:pStyle w:val="24"/>
      </w:pPr>
      <w:r>
        <w:t>绩效指标：出台规划明方向，抢抓机遇谋发展，统筹推进提效能。</w:t>
      </w:r>
    </w:p>
    <w:p>
      <w:pPr>
        <w:spacing w:line="500" w:lineRule="exact"/>
        <w:ind w:firstLine="560"/>
      </w:pPr>
      <w:r>
        <w:rPr>
          <w:rFonts w:eastAsia="方正仿宋_GBK"/>
          <w:color w:val="000000"/>
          <w:sz w:val="28"/>
        </w:rPr>
        <w:t>（三）工作保障措施</w:t>
      </w:r>
    </w:p>
    <w:p>
      <w:pPr>
        <w:pStyle w:val="25"/>
        <w:sectPr>
          <w:pgSz w:w="16840" w:h="11900" w:orient="landscape"/>
          <w:pgMar w:top="1361" w:right="1020" w:bottom="1361" w:left="1020" w:header="720" w:footer="720" w:gutter="0"/>
          <w:cols w:space="720" w:num="1"/>
        </w:sectPr>
      </w:pPr>
      <w:r>
        <w:t>紧紧围绕全区经济社会发展大局和各级关注的热点问题，结合不同时期工作重点，深入开展调查研究，及时广泛的采编有高度、有深度、有参考价值的各类政务信息，为领导决策提供科学依据。</w:t>
      </w:r>
    </w:p>
    <w:p>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9"/>
        <w:rPr>
          <w:rFonts w:ascii="黑体" w:hAnsi="黑体" w:eastAsia="黑体" w:cs="黑体"/>
          <w:color w:val="000000"/>
          <w:sz w:val="32"/>
          <w:lang w:eastAsia="zh-CN"/>
        </w:rPr>
      </w:pPr>
    </w:p>
    <w:p>
      <w:pPr>
        <w:spacing w:before="10" w:after="10" w:line="360" w:lineRule="auto"/>
        <w:ind w:firstLine="640"/>
        <w:outlineLvl w:val="9"/>
        <w:rPr>
          <w:rFonts w:hint="eastAsia"/>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13011126P00000410654E</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1.48</w:t>
            </w:r>
          </w:p>
        </w:tc>
        <w:tc>
          <w:tcPr>
            <w:tcW w:w="2835" w:type="dxa"/>
            <w:vAlign w:val="center"/>
          </w:tcPr>
          <w:p>
            <w:pPr>
              <w:pStyle w:val="12"/>
            </w:pPr>
            <w:r>
              <w:t>其中：财政    资金</w:t>
            </w:r>
          </w:p>
        </w:tc>
        <w:tc>
          <w:tcPr>
            <w:tcW w:w="2551" w:type="dxa"/>
            <w:vAlign w:val="center"/>
          </w:tcPr>
          <w:p>
            <w:pPr>
              <w:pStyle w:val="14"/>
            </w:pPr>
            <w:r>
              <w:t>1.48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2026年单位应缴纳残疾人保障金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1.48</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1.2026年单位应缴纳残疾人保障金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保证应缴数</w:t>
            </w:r>
          </w:p>
        </w:tc>
        <w:tc>
          <w:tcPr>
            <w:tcW w:w="5386" w:type="dxa"/>
            <w:vAlign w:val="center"/>
          </w:tcPr>
          <w:p>
            <w:pPr>
              <w:pStyle w:val="14"/>
            </w:pPr>
            <w:r>
              <w:t>保证应缴数</w:t>
            </w:r>
          </w:p>
        </w:tc>
        <w:tc>
          <w:tcPr>
            <w:tcW w:w="2268" w:type="dxa"/>
            <w:vAlign w:val="center"/>
          </w:tcPr>
          <w:p>
            <w:pPr>
              <w:pStyle w:val="14"/>
            </w:pPr>
            <w:r>
              <w:t>保证应缴数</w:t>
            </w:r>
          </w:p>
        </w:tc>
        <w:tc>
          <w:tcPr>
            <w:tcW w:w="1276" w:type="dxa"/>
            <w:vAlign w:val="center"/>
          </w:tcPr>
          <w:p>
            <w:pPr>
              <w:pStyle w:val="14"/>
            </w:pPr>
            <w:r>
              <w:t>保证应缴数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保障缴纳</w:t>
            </w:r>
          </w:p>
        </w:tc>
        <w:tc>
          <w:tcPr>
            <w:tcW w:w="5386" w:type="dxa"/>
            <w:vAlign w:val="center"/>
          </w:tcPr>
          <w:p>
            <w:pPr>
              <w:pStyle w:val="14"/>
            </w:pPr>
            <w:r>
              <w:t>保障一次性缴纳</w:t>
            </w:r>
          </w:p>
        </w:tc>
        <w:tc>
          <w:tcPr>
            <w:tcW w:w="2268" w:type="dxa"/>
            <w:vAlign w:val="center"/>
          </w:tcPr>
          <w:p>
            <w:pPr>
              <w:pStyle w:val="14"/>
            </w:pPr>
            <w:r>
              <w:t>保障一次性缴纳</w:t>
            </w:r>
          </w:p>
        </w:tc>
        <w:tc>
          <w:tcPr>
            <w:tcW w:w="1276" w:type="dxa"/>
            <w:vAlign w:val="center"/>
          </w:tcPr>
          <w:p>
            <w:pPr>
              <w:pStyle w:val="14"/>
            </w:pPr>
            <w:r>
              <w:t>保障一次性缴纳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及时缴纳</w:t>
            </w:r>
          </w:p>
        </w:tc>
        <w:tc>
          <w:tcPr>
            <w:tcW w:w="2268" w:type="dxa"/>
            <w:vAlign w:val="center"/>
          </w:tcPr>
          <w:p>
            <w:pPr>
              <w:pStyle w:val="14"/>
            </w:pPr>
            <w:r>
              <w:t>及时缴纳</w:t>
            </w:r>
          </w:p>
        </w:tc>
        <w:tc>
          <w:tcPr>
            <w:tcW w:w="1276" w:type="dxa"/>
            <w:vAlign w:val="center"/>
          </w:tcPr>
          <w:p>
            <w:pPr>
              <w:pStyle w:val="14"/>
            </w:pPr>
            <w:r>
              <w:t>及时缴纳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控制性</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保障补缴完成</w:t>
            </w:r>
          </w:p>
        </w:tc>
        <w:tc>
          <w:tcPr>
            <w:tcW w:w="5386" w:type="dxa"/>
            <w:vAlign w:val="center"/>
          </w:tcPr>
          <w:p>
            <w:pPr>
              <w:pStyle w:val="14"/>
            </w:pPr>
            <w:r>
              <w:t>保证应缴数</w:t>
            </w:r>
          </w:p>
        </w:tc>
        <w:tc>
          <w:tcPr>
            <w:tcW w:w="2268" w:type="dxa"/>
            <w:vAlign w:val="center"/>
          </w:tcPr>
          <w:p>
            <w:pPr>
              <w:pStyle w:val="14"/>
            </w:pPr>
            <w:r>
              <w:t>保证应缴数</w:t>
            </w:r>
          </w:p>
        </w:tc>
        <w:tc>
          <w:tcPr>
            <w:tcW w:w="1276" w:type="dxa"/>
            <w:vAlign w:val="center"/>
          </w:tcPr>
          <w:p>
            <w:pPr>
              <w:pStyle w:val="14"/>
            </w:pPr>
            <w:r>
              <w:t>保证应缴数</w:t>
            </w:r>
          </w:p>
        </w:tc>
      </w:tr>
    </w:tbl>
    <w:p>
      <w:pPr>
        <w:sectPr>
          <w:type w:val="continuous"/>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rFonts w:hint="eastAsia"/>
              </w:rPr>
            </w:pPr>
            <w:r>
              <w:t>302石家庄市栾城区经济发展研究中心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石家庄市栾城区经济发展研究中心（含所属单位）上年末固定资产金额为0.00万元（详见下表）。本年度拟购置固定资产总额为0.00万元，已按要求列入政府采购预算，详见政府采购预算表。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rPr>
            </w:pPr>
            <w:r>
              <w:t>302石家庄市栾城区经济发展研究中心</w:t>
            </w:r>
          </w:p>
        </w:tc>
        <w:tc>
          <w:tcPr>
            <w:tcW w:w="5670" w:type="dxa"/>
            <w:gridSpan w:val="2"/>
            <w:tcBorders>
              <w:top w:val="single" w:color="FFFFFF" w:sz="6" w:space="0"/>
              <w:left w:val="single" w:color="FFFFFF" w:sz="6" w:space="0"/>
              <w:right w:val="single" w:color="FFFFFF" w:sz="6" w:space="0"/>
            </w:tcBorders>
            <w:vAlign w:val="center"/>
          </w:tcPr>
          <w:p>
            <w:pPr>
              <w:pStyle w:val="9"/>
              <w:rPr>
                <w:rFonts w:hint="eastAsia"/>
              </w:rPr>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rPr>
          <w:rFonts w:hint="eastAsia"/>
          <w:lang w:eastAsia="zh-CN"/>
        </w:rPr>
      </w:pPr>
      <w:r>
        <w:rPr>
          <w:rFonts w:eastAsia="方正仿宋_GBK"/>
          <w:color w:val="000000"/>
          <w:sz w:val="28"/>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938A1"/>
    <w:rsid w:val="00111807"/>
    <w:rsid w:val="004C4AFD"/>
    <w:rsid w:val="00571A2D"/>
    <w:rsid w:val="008018A8"/>
    <w:rsid w:val="009E163B"/>
    <w:rsid w:val="00B938A1"/>
    <w:rsid w:val="111C1A1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24</Pages>
  <Words>4161</Words>
  <Characters>4745</Characters>
  <Lines>949</Lines>
  <Paragraphs>890</Paragraphs>
  <TotalTime>18</TotalTime>
  <ScaleCrop>false</ScaleCrop>
  <LinksUpToDate>false</LinksUpToDate>
  <CharactersWithSpaces>8016</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2026-03-10T08:06:00Z</dcterms:created>
  <dc:creator>Administrator</dc:creator>
  <cp:lastModifiedBy>Administrator</cp:lastModifiedBy>
  <dcterms:modified xsi:type="dcterms:W3CDTF">2026-03-10T08:01:38Z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