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Pr>
        <w:keepNext w:val="0"/>
        <w:keepLines w:val="0"/>
        <w:widowControl/>
        <w:suppressLineNumbers w:val="0"/>
        <w:jc w:val="center"/>
        <w:rPr>
          <w:rFonts w:ascii="黑体" w:hAnsi="宋体" w:eastAsia="黑体" w:cs="黑体"/>
          <w:b/>
          <w:bCs/>
          <w:color w:val="000000"/>
          <w:kern w:val="0"/>
          <w:sz w:val="43"/>
          <w:szCs w:val="43"/>
          <w:lang w:val="en-US" w:eastAsia="zh-CN" w:bidi="ar"/>
        </w:rPr>
      </w:pPr>
      <w:r>
        <w:rPr>
          <w:rFonts w:ascii="黑体" w:hAnsi="宋体" w:eastAsia="黑体" w:cs="黑体"/>
          <w:b/>
          <w:bCs/>
          <w:color w:val="000000"/>
          <w:kern w:val="0"/>
          <w:sz w:val="43"/>
          <w:szCs w:val="43"/>
          <w:lang w:val="en-US" w:eastAsia="zh-CN" w:bidi="ar"/>
        </w:rPr>
        <w:t>2026年单位预算信息公开目录</w:t>
      </w:r>
    </w:p>
    <w:p>
      <w:pPr>
        <w:keepNext w:val="0"/>
        <w:keepLines w:val="0"/>
        <w:widowControl/>
        <w:suppressLineNumbers w:val="0"/>
        <w:jc w:val="center"/>
        <w:rPr>
          <w:rFonts w:ascii="黑体" w:hAnsi="宋体" w:eastAsia="黑体" w:cs="黑体"/>
          <w:b/>
          <w:bCs/>
          <w:color w:val="000000"/>
          <w:kern w:val="0"/>
          <w:sz w:val="43"/>
          <w:szCs w:val="43"/>
          <w:lang w:val="en-US" w:eastAsia="zh-CN" w:bidi="ar"/>
        </w:rPr>
      </w:pPr>
    </w:p>
    <w:p>
      <w:pPr>
        <w:pStyle w:val="6"/>
        <w:keepNext w:val="0"/>
        <w:keepLines w:val="0"/>
        <w:pageBreakBefore w:val="0"/>
        <w:widowControl/>
        <w:tabs>
          <w:tab w:val="right" w:leader="dot" w:pos="14572"/>
        </w:tabs>
        <w:kinsoku/>
        <w:wordWrap/>
        <w:overflowPunct/>
        <w:topLinePunct w:val="0"/>
        <w:autoSpaceDE/>
        <w:autoSpaceDN/>
        <w:bidi w:val="0"/>
        <w:adjustRightInd/>
        <w:snapToGrid/>
        <w:spacing w:line="600" w:lineRule="exact"/>
        <w:textAlignment w:val="auto"/>
        <w:rPr>
          <w:rFonts w:ascii="Times New Roman" w:hAnsi="Times New Roman" w:eastAsia="方正仿宋_GBK" w:cs="Times New Roman"/>
          <w:sz w:val="28"/>
          <w:szCs w:val="22"/>
        </w:rPr>
      </w:pP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TOC \o "4-4" \h \z \u</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HYPERLINK \l _Toc5993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一、石家庄市栾城区数据和政务服务局本级收支预算</w:t>
      </w:r>
      <w:r>
        <w:rPr>
          <w:rFonts w:ascii="Times New Roman" w:hAnsi="Times New Roman" w:eastAsia="方正仿宋_GBK" w:cs="Times New Roman"/>
          <w:sz w:val="28"/>
          <w:szCs w:val="22"/>
        </w:rPr>
        <w:tab/>
      </w: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PAGEREF _Toc5993 \h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1</w:t>
      </w:r>
      <w:r>
        <w:rPr>
          <w:rFonts w:ascii="Times New Roman" w:hAnsi="Times New Roman" w:eastAsia="方正仿宋_GBK" w:cs="Times New Roman"/>
          <w:sz w:val="28"/>
          <w:szCs w:val="22"/>
        </w:rPr>
        <w:fldChar w:fldCharType="end"/>
      </w:r>
      <w:r>
        <w:rPr>
          <w:rFonts w:ascii="Times New Roman" w:hAnsi="Times New Roman" w:eastAsia="方正仿宋_GBK" w:cs="Times New Roman"/>
          <w:sz w:val="28"/>
          <w:szCs w:val="22"/>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600" w:lineRule="exact"/>
        <w:textAlignment w:val="auto"/>
        <w:rPr>
          <w:rFonts w:ascii="Times New Roman" w:hAnsi="Times New Roman" w:eastAsia="方正仿宋_GBK" w:cs="Times New Roman"/>
          <w:sz w:val="28"/>
          <w:szCs w:val="22"/>
        </w:rPr>
      </w:pP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HYPERLINK \l _Toc4148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二、石家庄市栾城区行政审批服务中心收支预算</w:t>
      </w:r>
      <w:r>
        <w:rPr>
          <w:rFonts w:ascii="Times New Roman" w:hAnsi="Times New Roman" w:eastAsia="方正仿宋_GBK" w:cs="Times New Roman"/>
          <w:sz w:val="28"/>
          <w:szCs w:val="22"/>
        </w:rPr>
        <w:tab/>
      </w: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PAGEREF _Toc4148 \h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30</w:t>
      </w:r>
      <w:r>
        <w:rPr>
          <w:rFonts w:ascii="Times New Roman" w:hAnsi="Times New Roman" w:eastAsia="方正仿宋_GBK" w:cs="Times New Roman"/>
          <w:sz w:val="28"/>
          <w:szCs w:val="22"/>
        </w:rPr>
        <w:fldChar w:fldCharType="end"/>
      </w:r>
      <w:r>
        <w:rPr>
          <w:rFonts w:ascii="Times New Roman" w:hAnsi="Times New Roman" w:eastAsia="方正仿宋_GBK" w:cs="Times New Roman"/>
          <w:sz w:val="28"/>
          <w:szCs w:val="22"/>
        </w:rPr>
        <w:fldChar w:fldCharType="end"/>
      </w:r>
    </w:p>
    <w:p>
      <w:pPr>
        <w:pStyle w:val="6"/>
        <w:keepNext w:val="0"/>
        <w:keepLines w:val="0"/>
        <w:pageBreakBefore w:val="0"/>
        <w:widowControl/>
        <w:tabs>
          <w:tab w:val="right" w:leader="dot" w:pos="14572"/>
        </w:tabs>
        <w:kinsoku/>
        <w:wordWrap/>
        <w:overflowPunct/>
        <w:topLinePunct w:val="0"/>
        <w:autoSpaceDE/>
        <w:autoSpaceDN/>
        <w:bidi w:val="0"/>
        <w:adjustRightInd/>
        <w:snapToGrid/>
        <w:spacing w:line="600" w:lineRule="exact"/>
        <w:textAlignment w:val="auto"/>
        <w:rPr>
          <w:rFonts w:ascii="Times New Roman" w:hAnsi="Times New Roman" w:eastAsia="方正仿宋_GBK" w:cs="Times New Roman"/>
          <w:sz w:val="28"/>
          <w:szCs w:val="22"/>
        </w:rPr>
      </w:pP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HYPERLINK \l _Toc26973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三、石家庄市栾城区公共资源交易中心收支预算</w:t>
      </w:r>
      <w:r>
        <w:rPr>
          <w:rFonts w:ascii="Times New Roman" w:hAnsi="Times New Roman" w:eastAsia="方正仿宋_GBK" w:cs="Times New Roman"/>
          <w:sz w:val="28"/>
          <w:szCs w:val="22"/>
        </w:rPr>
        <w:tab/>
      </w:r>
      <w:r>
        <w:rPr>
          <w:rFonts w:ascii="Times New Roman" w:hAnsi="Times New Roman" w:eastAsia="方正仿宋_GBK" w:cs="Times New Roman"/>
          <w:sz w:val="28"/>
          <w:szCs w:val="22"/>
        </w:rPr>
        <w:fldChar w:fldCharType="begin"/>
      </w:r>
      <w:r>
        <w:rPr>
          <w:rFonts w:ascii="Times New Roman" w:hAnsi="Times New Roman" w:eastAsia="方正仿宋_GBK" w:cs="Times New Roman"/>
          <w:sz w:val="28"/>
          <w:szCs w:val="22"/>
        </w:rPr>
        <w:instrText xml:space="preserve"> PAGEREF _Toc26973 \h </w:instrText>
      </w:r>
      <w:r>
        <w:rPr>
          <w:rFonts w:ascii="Times New Roman" w:hAnsi="Times New Roman" w:eastAsia="方正仿宋_GBK" w:cs="Times New Roman"/>
          <w:sz w:val="28"/>
          <w:szCs w:val="22"/>
        </w:rPr>
        <w:fldChar w:fldCharType="separate"/>
      </w:r>
      <w:r>
        <w:rPr>
          <w:rFonts w:ascii="Times New Roman" w:hAnsi="Times New Roman" w:eastAsia="方正仿宋_GBK" w:cs="Times New Roman"/>
          <w:sz w:val="28"/>
          <w:szCs w:val="22"/>
        </w:rPr>
        <w:t>48</w:t>
      </w:r>
      <w:r>
        <w:rPr>
          <w:rFonts w:ascii="Times New Roman" w:hAnsi="Times New Roman" w:eastAsia="方正仿宋_GBK" w:cs="Times New Roman"/>
          <w:sz w:val="28"/>
          <w:szCs w:val="22"/>
        </w:rPr>
        <w:fldChar w:fldCharType="end"/>
      </w:r>
      <w:r>
        <w:rPr>
          <w:rFonts w:ascii="Times New Roman" w:hAnsi="Times New Roman" w:eastAsia="方正仿宋_GBK" w:cs="Times New Roman"/>
          <w:sz w:val="28"/>
          <w:szCs w:val="22"/>
        </w:rPr>
        <w:fldChar w:fldCharType="end"/>
      </w:r>
    </w:p>
    <w:p>
      <w:pPr>
        <w:rPr>
          <w:rFonts w:ascii="Times New Roman" w:hAnsi="Times New Roman" w:eastAsia="方正仿宋_GBK" w:cs="Times New Roman"/>
          <w:sz w:val="28"/>
          <w:szCs w:val="22"/>
        </w:rPr>
        <w:sectPr>
          <w:pgSz w:w="16840" w:h="11900" w:orient="landscape"/>
          <w:pgMar w:top="1587" w:right="1134" w:bottom="1361" w:left="1134" w:header="720" w:footer="720" w:gutter="0"/>
          <w:pgNumType w:start="1"/>
          <w:cols w:space="720" w:num="1"/>
        </w:sectPr>
      </w:pPr>
      <w:r>
        <w:rPr>
          <w:rFonts w:ascii="Times New Roman" w:hAnsi="Times New Roman" w:eastAsia="方正仿宋_GBK" w:cs="Times New Roman"/>
          <w:sz w:val="28"/>
          <w:szCs w:val="22"/>
        </w:rPr>
        <w:fldChar w:fldCharType="end"/>
      </w:r>
    </w:p>
    <w:p>
      <w:pPr>
        <w:spacing w:before="0" w:after="0"/>
        <w:ind w:firstLine="0"/>
        <w:jc w:val="center"/>
        <w:outlineLvl w:val="3"/>
      </w:pPr>
      <w:bookmarkStart w:id="0" w:name="_Toc5993"/>
      <w:r>
        <w:rPr>
          <w:rFonts w:ascii="方正小标宋_GBK" w:hAnsi="方正小标宋_GBK" w:eastAsia="方正小标宋_GBK" w:cs="方正小标宋_GBK"/>
          <w:b w:val="0"/>
          <w:color w:val="000000"/>
          <w:sz w:val="44"/>
        </w:rPr>
        <w:t>一、石家庄市栾城区数据和政务服务局本级收支预算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945.12</w:t>
            </w:r>
          </w:p>
        </w:tc>
        <w:tc>
          <w:tcPr>
            <w:tcW w:w="4535" w:type="dxa"/>
            <w:vAlign w:val="center"/>
          </w:tcPr>
          <w:p>
            <w:pPr>
              <w:pStyle w:val="16"/>
            </w:pPr>
            <w:r>
              <w:t>一、一般公共服务支出</w:t>
            </w:r>
          </w:p>
        </w:tc>
        <w:tc>
          <w:tcPr>
            <w:tcW w:w="2126" w:type="dxa"/>
            <w:vAlign w:val="center"/>
          </w:tcPr>
          <w:p>
            <w:pPr>
              <w:pStyle w:val="15"/>
            </w:pPr>
            <w:r>
              <w:t>894.75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2218.20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32.73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3163.32</w:t>
            </w:r>
          </w:p>
        </w:tc>
        <w:tc>
          <w:tcPr>
            <w:tcW w:w="4535" w:type="dxa"/>
            <w:vAlign w:val="center"/>
          </w:tcPr>
          <w:p>
            <w:pPr>
              <w:pStyle w:val="18"/>
            </w:pPr>
            <w:r>
              <w:t>本年支出合计</w:t>
            </w:r>
          </w:p>
        </w:tc>
        <w:tc>
          <w:tcPr>
            <w:tcW w:w="2126" w:type="dxa"/>
            <w:vAlign w:val="center"/>
          </w:tcPr>
          <w:p>
            <w:pPr>
              <w:pStyle w:val="19"/>
            </w:pPr>
            <w:r>
              <w:t>3163.32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3163.32</w:t>
            </w:r>
          </w:p>
        </w:tc>
        <w:tc>
          <w:tcPr>
            <w:tcW w:w="4535" w:type="dxa"/>
            <w:vAlign w:val="center"/>
          </w:tcPr>
          <w:p>
            <w:pPr>
              <w:pStyle w:val="18"/>
            </w:pPr>
            <w:r>
              <w:t>支出总计</w:t>
            </w:r>
          </w:p>
        </w:tc>
        <w:tc>
          <w:tcPr>
            <w:tcW w:w="2126" w:type="dxa"/>
            <w:vAlign w:val="center"/>
          </w:tcPr>
          <w:p>
            <w:pPr>
              <w:pStyle w:val="19"/>
            </w:pPr>
            <w:r>
              <w:t>3163.32</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3163.32</w:t>
            </w:r>
          </w:p>
        </w:tc>
        <w:tc>
          <w:tcPr>
            <w:tcW w:w="1134" w:type="dxa"/>
            <w:vAlign w:val="center"/>
          </w:tcPr>
          <w:p>
            <w:pPr>
              <w:pStyle w:val="19"/>
            </w:pPr>
            <w:r>
              <w:t>3163.32</w:t>
            </w:r>
          </w:p>
        </w:tc>
        <w:tc>
          <w:tcPr>
            <w:tcW w:w="1134" w:type="dxa"/>
            <w:vAlign w:val="center"/>
          </w:tcPr>
          <w:p>
            <w:pPr>
              <w:pStyle w:val="19"/>
            </w:pPr>
            <w:r>
              <w:t>3163.32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r>
              <w:t>894.75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32.73</w:t>
            </w:r>
          </w:p>
        </w:tc>
        <w:tc>
          <w:tcPr>
            <w:tcW w:w="1134" w:type="dxa"/>
            <w:vAlign w:val="center"/>
          </w:tcPr>
          <w:p>
            <w:pPr>
              <w:pStyle w:val="15"/>
            </w:pPr>
            <w:r>
              <w:t>32.73</w:t>
            </w:r>
          </w:p>
        </w:tc>
        <w:tc>
          <w:tcPr>
            <w:tcW w:w="1134" w:type="dxa"/>
            <w:vAlign w:val="center"/>
          </w:tcPr>
          <w:p>
            <w:pPr>
              <w:pStyle w:val="15"/>
            </w:pPr>
            <w:r>
              <w:t>32.73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31.95</w:t>
            </w:r>
          </w:p>
        </w:tc>
        <w:tc>
          <w:tcPr>
            <w:tcW w:w="1134" w:type="dxa"/>
            <w:vAlign w:val="center"/>
          </w:tcPr>
          <w:p>
            <w:pPr>
              <w:pStyle w:val="15"/>
            </w:pPr>
            <w:r>
              <w:t>31.95</w:t>
            </w:r>
          </w:p>
        </w:tc>
        <w:tc>
          <w:tcPr>
            <w:tcW w:w="1134" w:type="dxa"/>
            <w:vAlign w:val="center"/>
          </w:tcPr>
          <w:p>
            <w:pPr>
              <w:pStyle w:val="15"/>
            </w:pPr>
            <w:r>
              <w:t>31.95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31.95</w:t>
            </w:r>
          </w:p>
        </w:tc>
        <w:tc>
          <w:tcPr>
            <w:tcW w:w="1134" w:type="dxa"/>
            <w:vAlign w:val="center"/>
          </w:tcPr>
          <w:p>
            <w:pPr>
              <w:pStyle w:val="15"/>
            </w:pPr>
            <w:r>
              <w:t>31.95</w:t>
            </w:r>
          </w:p>
        </w:tc>
        <w:tc>
          <w:tcPr>
            <w:tcW w:w="1134" w:type="dxa"/>
            <w:vAlign w:val="center"/>
          </w:tcPr>
          <w:p>
            <w:pPr>
              <w:pStyle w:val="15"/>
            </w:pPr>
            <w:r>
              <w:t>31.95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0.78</w:t>
            </w:r>
          </w:p>
        </w:tc>
        <w:tc>
          <w:tcPr>
            <w:tcW w:w="1134" w:type="dxa"/>
            <w:vAlign w:val="center"/>
          </w:tcPr>
          <w:p>
            <w:pPr>
              <w:pStyle w:val="15"/>
            </w:pPr>
            <w:r>
              <w:t>0.78</w:t>
            </w:r>
          </w:p>
        </w:tc>
        <w:tc>
          <w:tcPr>
            <w:tcW w:w="1134" w:type="dxa"/>
            <w:vAlign w:val="center"/>
          </w:tcPr>
          <w:p>
            <w:pPr>
              <w:pStyle w:val="15"/>
            </w:pPr>
            <w:r>
              <w:t>0.78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0.78</w:t>
            </w:r>
          </w:p>
        </w:tc>
        <w:tc>
          <w:tcPr>
            <w:tcW w:w="1134" w:type="dxa"/>
            <w:vAlign w:val="center"/>
          </w:tcPr>
          <w:p>
            <w:pPr>
              <w:pStyle w:val="15"/>
            </w:pPr>
            <w:r>
              <w:t>0.78</w:t>
            </w:r>
          </w:p>
        </w:tc>
        <w:tc>
          <w:tcPr>
            <w:tcW w:w="1134" w:type="dxa"/>
            <w:vAlign w:val="center"/>
          </w:tcPr>
          <w:p>
            <w:pPr>
              <w:pStyle w:val="15"/>
            </w:pPr>
            <w:r>
              <w:t>0.78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r>
              <w:t>17.63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r>
              <w:t>2218.20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footerReference r:id="rId5" w:type="default"/>
          <w:footerReference r:id="rId6" w:type="even"/>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3163.32</w:t>
            </w:r>
          </w:p>
        </w:tc>
        <w:tc>
          <w:tcPr>
            <w:tcW w:w="1361" w:type="dxa"/>
            <w:vAlign w:val="center"/>
          </w:tcPr>
          <w:p>
            <w:pPr>
              <w:pStyle w:val="19"/>
            </w:pPr>
            <w:r>
              <w:t>403.87</w:t>
            </w:r>
          </w:p>
        </w:tc>
        <w:tc>
          <w:tcPr>
            <w:tcW w:w="1361" w:type="dxa"/>
            <w:vAlign w:val="center"/>
          </w:tcPr>
          <w:p>
            <w:pPr>
              <w:pStyle w:val="19"/>
            </w:pPr>
            <w:r>
              <w:t>2759.45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894.75</w:t>
            </w:r>
          </w:p>
        </w:tc>
        <w:tc>
          <w:tcPr>
            <w:tcW w:w="1361" w:type="dxa"/>
            <w:vAlign w:val="center"/>
          </w:tcPr>
          <w:p>
            <w:pPr>
              <w:pStyle w:val="15"/>
            </w:pPr>
            <w:r>
              <w:t>353.50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894.75</w:t>
            </w:r>
          </w:p>
        </w:tc>
        <w:tc>
          <w:tcPr>
            <w:tcW w:w="1361" w:type="dxa"/>
            <w:vAlign w:val="center"/>
          </w:tcPr>
          <w:p>
            <w:pPr>
              <w:pStyle w:val="15"/>
            </w:pPr>
            <w:r>
              <w:t>353.50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894.75</w:t>
            </w:r>
          </w:p>
        </w:tc>
        <w:tc>
          <w:tcPr>
            <w:tcW w:w="1361" w:type="dxa"/>
            <w:vAlign w:val="center"/>
          </w:tcPr>
          <w:p>
            <w:pPr>
              <w:pStyle w:val="15"/>
            </w:pPr>
            <w:r>
              <w:t>353.50</w:t>
            </w:r>
          </w:p>
        </w:tc>
        <w:tc>
          <w:tcPr>
            <w:tcW w:w="1361" w:type="dxa"/>
            <w:vAlign w:val="center"/>
          </w:tcPr>
          <w:p>
            <w:pPr>
              <w:pStyle w:val="15"/>
            </w:pPr>
            <w:r>
              <w:t>541.25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32.73</w:t>
            </w:r>
          </w:p>
        </w:tc>
        <w:tc>
          <w:tcPr>
            <w:tcW w:w="1361" w:type="dxa"/>
            <w:vAlign w:val="center"/>
          </w:tcPr>
          <w:p>
            <w:pPr>
              <w:pStyle w:val="15"/>
            </w:pPr>
            <w:r>
              <w:t>32.73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31.95</w:t>
            </w:r>
          </w:p>
        </w:tc>
        <w:tc>
          <w:tcPr>
            <w:tcW w:w="1361" w:type="dxa"/>
            <w:vAlign w:val="center"/>
          </w:tcPr>
          <w:p>
            <w:pPr>
              <w:pStyle w:val="15"/>
            </w:pPr>
            <w:r>
              <w:t>31.95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31.95</w:t>
            </w:r>
          </w:p>
        </w:tc>
        <w:tc>
          <w:tcPr>
            <w:tcW w:w="1361" w:type="dxa"/>
            <w:vAlign w:val="center"/>
          </w:tcPr>
          <w:p>
            <w:pPr>
              <w:pStyle w:val="15"/>
            </w:pPr>
            <w:r>
              <w:t>31.95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0.78</w:t>
            </w:r>
          </w:p>
        </w:tc>
        <w:tc>
          <w:tcPr>
            <w:tcW w:w="1361" w:type="dxa"/>
            <w:vAlign w:val="center"/>
          </w:tcPr>
          <w:p>
            <w:pPr>
              <w:pStyle w:val="15"/>
            </w:pPr>
            <w:r>
              <w:t>0.78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0.78</w:t>
            </w:r>
          </w:p>
        </w:tc>
        <w:tc>
          <w:tcPr>
            <w:tcW w:w="1361" w:type="dxa"/>
            <w:vAlign w:val="center"/>
          </w:tcPr>
          <w:p>
            <w:pPr>
              <w:pStyle w:val="15"/>
            </w:pPr>
            <w:r>
              <w:t>0.78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17.63</w:t>
            </w:r>
          </w:p>
        </w:tc>
        <w:tc>
          <w:tcPr>
            <w:tcW w:w="1361" w:type="dxa"/>
            <w:vAlign w:val="center"/>
          </w:tcPr>
          <w:p>
            <w:pPr>
              <w:pStyle w:val="15"/>
            </w:pPr>
            <w:r>
              <w:t>17.63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17.63</w:t>
            </w:r>
          </w:p>
        </w:tc>
        <w:tc>
          <w:tcPr>
            <w:tcW w:w="1361" w:type="dxa"/>
            <w:vAlign w:val="center"/>
          </w:tcPr>
          <w:p>
            <w:pPr>
              <w:pStyle w:val="15"/>
            </w:pPr>
            <w:r>
              <w:t>17.63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17.63</w:t>
            </w:r>
          </w:p>
        </w:tc>
        <w:tc>
          <w:tcPr>
            <w:tcW w:w="1361" w:type="dxa"/>
            <w:vAlign w:val="center"/>
          </w:tcPr>
          <w:p>
            <w:pPr>
              <w:pStyle w:val="15"/>
            </w:pPr>
            <w:r>
              <w:t>17.63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r>
              <w:t>2218.20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945.12</w:t>
            </w:r>
          </w:p>
        </w:tc>
        <w:tc>
          <w:tcPr>
            <w:tcW w:w="3402" w:type="dxa"/>
            <w:vAlign w:val="center"/>
          </w:tcPr>
          <w:p>
            <w:pPr>
              <w:pStyle w:val="16"/>
            </w:pPr>
            <w:r>
              <w:t>一、一般公共服务支出</w:t>
            </w:r>
          </w:p>
        </w:tc>
        <w:tc>
          <w:tcPr>
            <w:tcW w:w="1474" w:type="dxa"/>
            <w:vAlign w:val="center"/>
          </w:tcPr>
          <w:p>
            <w:pPr>
              <w:pStyle w:val="15"/>
            </w:pPr>
            <w:r>
              <w:t>894.75</w:t>
            </w:r>
          </w:p>
        </w:tc>
        <w:tc>
          <w:tcPr>
            <w:tcW w:w="1474" w:type="dxa"/>
            <w:vAlign w:val="center"/>
          </w:tcPr>
          <w:p>
            <w:pPr>
              <w:pStyle w:val="15"/>
            </w:pPr>
            <w:r>
              <w:t>894.75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2218.20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32.73</w:t>
            </w:r>
          </w:p>
        </w:tc>
        <w:tc>
          <w:tcPr>
            <w:tcW w:w="1474" w:type="dxa"/>
            <w:vAlign w:val="center"/>
          </w:tcPr>
          <w:p>
            <w:pPr>
              <w:pStyle w:val="15"/>
            </w:pPr>
            <w:r>
              <w:t>32.73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17.63</w:t>
            </w:r>
          </w:p>
        </w:tc>
        <w:tc>
          <w:tcPr>
            <w:tcW w:w="1474" w:type="dxa"/>
            <w:vAlign w:val="center"/>
          </w:tcPr>
          <w:p>
            <w:pPr>
              <w:pStyle w:val="15"/>
            </w:pPr>
            <w:r>
              <w:t>17.63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2218.20</w:t>
            </w:r>
          </w:p>
        </w:tc>
        <w:tc>
          <w:tcPr>
            <w:tcW w:w="1474" w:type="dxa"/>
            <w:vAlign w:val="center"/>
          </w:tcPr>
          <w:p>
            <w:pPr>
              <w:pStyle w:val="15"/>
            </w:pPr>
          </w:p>
        </w:tc>
        <w:tc>
          <w:tcPr>
            <w:tcW w:w="1474" w:type="dxa"/>
            <w:vAlign w:val="center"/>
          </w:tcPr>
          <w:p>
            <w:pPr>
              <w:pStyle w:val="15"/>
            </w:pPr>
            <w:r>
              <w:t>2218.20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3163.32</w:t>
            </w:r>
          </w:p>
        </w:tc>
        <w:tc>
          <w:tcPr>
            <w:tcW w:w="3402" w:type="dxa"/>
            <w:vAlign w:val="center"/>
          </w:tcPr>
          <w:p>
            <w:pPr>
              <w:pStyle w:val="18"/>
            </w:pPr>
            <w:r>
              <w:t>本年支出合计</w:t>
            </w:r>
          </w:p>
        </w:tc>
        <w:tc>
          <w:tcPr>
            <w:tcW w:w="1474" w:type="dxa"/>
            <w:vAlign w:val="center"/>
          </w:tcPr>
          <w:p>
            <w:pPr>
              <w:pStyle w:val="19"/>
            </w:pPr>
            <w:r>
              <w:t>3163.32</w:t>
            </w:r>
          </w:p>
        </w:tc>
        <w:tc>
          <w:tcPr>
            <w:tcW w:w="1474" w:type="dxa"/>
            <w:vAlign w:val="center"/>
          </w:tcPr>
          <w:p>
            <w:pPr>
              <w:pStyle w:val="19"/>
            </w:pPr>
            <w:r>
              <w:t>945.12</w:t>
            </w:r>
          </w:p>
        </w:tc>
        <w:tc>
          <w:tcPr>
            <w:tcW w:w="1474" w:type="dxa"/>
            <w:vAlign w:val="center"/>
          </w:tcPr>
          <w:p>
            <w:pPr>
              <w:pStyle w:val="19"/>
            </w:pPr>
            <w:r>
              <w:t>2218.20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3163.32</w:t>
            </w:r>
          </w:p>
        </w:tc>
        <w:tc>
          <w:tcPr>
            <w:tcW w:w="3402" w:type="dxa"/>
            <w:vAlign w:val="center"/>
          </w:tcPr>
          <w:p>
            <w:pPr>
              <w:pStyle w:val="18"/>
            </w:pPr>
            <w:r>
              <w:t>支出总计</w:t>
            </w:r>
          </w:p>
        </w:tc>
        <w:tc>
          <w:tcPr>
            <w:tcW w:w="1474" w:type="dxa"/>
            <w:vAlign w:val="center"/>
          </w:tcPr>
          <w:p>
            <w:pPr>
              <w:pStyle w:val="19"/>
            </w:pPr>
            <w:r>
              <w:t>3163.32</w:t>
            </w:r>
          </w:p>
        </w:tc>
        <w:tc>
          <w:tcPr>
            <w:tcW w:w="1474" w:type="dxa"/>
            <w:vAlign w:val="center"/>
          </w:tcPr>
          <w:p>
            <w:pPr>
              <w:pStyle w:val="19"/>
            </w:pPr>
            <w:r>
              <w:t>945.12</w:t>
            </w:r>
          </w:p>
        </w:tc>
        <w:tc>
          <w:tcPr>
            <w:tcW w:w="1474" w:type="dxa"/>
            <w:vAlign w:val="center"/>
          </w:tcPr>
          <w:p>
            <w:pPr>
              <w:pStyle w:val="19"/>
            </w:pPr>
            <w:r>
              <w:t>2218.20</w:t>
            </w: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945.12</w:t>
            </w:r>
          </w:p>
        </w:tc>
        <w:tc>
          <w:tcPr>
            <w:tcW w:w="2551" w:type="dxa"/>
            <w:vAlign w:val="center"/>
          </w:tcPr>
          <w:p>
            <w:pPr>
              <w:pStyle w:val="19"/>
            </w:pPr>
            <w:r>
              <w:t>403.87</w:t>
            </w:r>
          </w:p>
        </w:tc>
        <w:tc>
          <w:tcPr>
            <w:tcW w:w="2551" w:type="dxa"/>
            <w:vAlign w:val="center"/>
          </w:tcPr>
          <w:p>
            <w:pPr>
              <w:pStyle w:val="19"/>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894.75</w:t>
            </w:r>
          </w:p>
        </w:tc>
        <w:tc>
          <w:tcPr>
            <w:tcW w:w="2551" w:type="dxa"/>
            <w:vAlign w:val="center"/>
          </w:tcPr>
          <w:p>
            <w:pPr>
              <w:pStyle w:val="15"/>
            </w:pPr>
            <w:r>
              <w:t>353.50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894.75</w:t>
            </w:r>
          </w:p>
        </w:tc>
        <w:tc>
          <w:tcPr>
            <w:tcW w:w="2551" w:type="dxa"/>
            <w:vAlign w:val="center"/>
          </w:tcPr>
          <w:p>
            <w:pPr>
              <w:pStyle w:val="15"/>
            </w:pPr>
            <w:r>
              <w:t>353.50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894.75</w:t>
            </w:r>
          </w:p>
        </w:tc>
        <w:tc>
          <w:tcPr>
            <w:tcW w:w="2551" w:type="dxa"/>
            <w:vAlign w:val="center"/>
          </w:tcPr>
          <w:p>
            <w:pPr>
              <w:pStyle w:val="15"/>
            </w:pPr>
            <w:r>
              <w:t>353.50</w:t>
            </w:r>
          </w:p>
        </w:tc>
        <w:tc>
          <w:tcPr>
            <w:tcW w:w="2551" w:type="dxa"/>
            <w:vAlign w:val="center"/>
          </w:tcPr>
          <w:p>
            <w:pPr>
              <w:pStyle w:val="15"/>
            </w:pPr>
            <w:r>
              <w:t>541.25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32.73</w:t>
            </w:r>
          </w:p>
        </w:tc>
        <w:tc>
          <w:tcPr>
            <w:tcW w:w="2551" w:type="dxa"/>
            <w:vAlign w:val="center"/>
          </w:tcPr>
          <w:p>
            <w:pPr>
              <w:pStyle w:val="15"/>
            </w:pPr>
            <w:r>
              <w:t>32.73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31.95</w:t>
            </w:r>
          </w:p>
        </w:tc>
        <w:tc>
          <w:tcPr>
            <w:tcW w:w="2551" w:type="dxa"/>
            <w:vAlign w:val="center"/>
          </w:tcPr>
          <w:p>
            <w:pPr>
              <w:pStyle w:val="15"/>
            </w:pPr>
            <w:r>
              <w:t>31.95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31.95</w:t>
            </w:r>
          </w:p>
        </w:tc>
        <w:tc>
          <w:tcPr>
            <w:tcW w:w="2551" w:type="dxa"/>
            <w:vAlign w:val="center"/>
          </w:tcPr>
          <w:p>
            <w:pPr>
              <w:pStyle w:val="15"/>
            </w:pPr>
            <w:r>
              <w:t>31.95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0.78</w:t>
            </w:r>
          </w:p>
        </w:tc>
        <w:tc>
          <w:tcPr>
            <w:tcW w:w="2551" w:type="dxa"/>
            <w:vAlign w:val="center"/>
          </w:tcPr>
          <w:p>
            <w:pPr>
              <w:pStyle w:val="15"/>
            </w:pPr>
            <w:r>
              <w:t>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0.78</w:t>
            </w:r>
          </w:p>
        </w:tc>
        <w:tc>
          <w:tcPr>
            <w:tcW w:w="2551" w:type="dxa"/>
            <w:vAlign w:val="center"/>
          </w:tcPr>
          <w:p>
            <w:pPr>
              <w:pStyle w:val="15"/>
            </w:pPr>
            <w:r>
              <w:t>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17.63</w:t>
            </w:r>
          </w:p>
        </w:tc>
        <w:tc>
          <w:tcPr>
            <w:tcW w:w="2551" w:type="dxa"/>
            <w:vAlign w:val="center"/>
          </w:tcPr>
          <w:p>
            <w:pPr>
              <w:pStyle w:val="15"/>
            </w:pPr>
            <w:r>
              <w:t>17.63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17.63</w:t>
            </w:r>
          </w:p>
        </w:tc>
        <w:tc>
          <w:tcPr>
            <w:tcW w:w="2551" w:type="dxa"/>
            <w:vAlign w:val="center"/>
          </w:tcPr>
          <w:p>
            <w:pPr>
              <w:pStyle w:val="15"/>
            </w:pPr>
            <w:r>
              <w:t>17.63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17.63</w:t>
            </w:r>
          </w:p>
        </w:tc>
        <w:tc>
          <w:tcPr>
            <w:tcW w:w="2551" w:type="dxa"/>
            <w:vAlign w:val="center"/>
          </w:tcPr>
          <w:p>
            <w:pPr>
              <w:pStyle w:val="15"/>
            </w:pPr>
            <w:r>
              <w:t>17.63</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403.87</w:t>
            </w:r>
          </w:p>
        </w:tc>
        <w:tc>
          <w:tcPr>
            <w:tcW w:w="2551" w:type="dxa"/>
            <w:vAlign w:val="center"/>
          </w:tcPr>
          <w:p>
            <w:pPr>
              <w:pStyle w:val="19"/>
            </w:pPr>
            <w:r>
              <w:t>351.21</w:t>
            </w:r>
          </w:p>
        </w:tc>
        <w:tc>
          <w:tcPr>
            <w:tcW w:w="2551" w:type="dxa"/>
            <w:vAlign w:val="center"/>
          </w:tcPr>
          <w:p>
            <w:pPr>
              <w:pStyle w:val="19"/>
            </w:pPr>
            <w:r>
              <w:t>52.66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342.05</w:t>
            </w:r>
          </w:p>
        </w:tc>
        <w:tc>
          <w:tcPr>
            <w:tcW w:w="2551" w:type="dxa"/>
            <w:vAlign w:val="center"/>
          </w:tcPr>
          <w:p>
            <w:pPr>
              <w:pStyle w:val="15"/>
            </w:pPr>
            <w:r>
              <w:t>342.05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93.98</w:t>
            </w:r>
          </w:p>
        </w:tc>
        <w:tc>
          <w:tcPr>
            <w:tcW w:w="2551" w:type="dxa"/>
            <w:vAlign w:val="center"/>
          </w:tcPr>
          <w:p>
            <w:pPr>
              <w:pStyle w:val="15"/>
            </w:pPr>
            <w:r>
              <w:t>93.98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78.69</w:t>
            </w:r>
          </w:p>
        </w:tc>
        <w:tc>
          <w:tcPr>
            <w:tcW w:w="2551" w:type="dxa"/>
            <w:vAlign w:val="center"/>
          </w:tcPr>
          <w:p>
            <w:pPr>
              <w:pStyle w:val="15"/>
            </w:pPr>
            <w:r>
              <w:t>78.69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90.54</w:t>
            </w:r>
          </w:p>
        </w:tc>
        <w:tc>
          <w:tcPr>
            <w:tcW w:w="2551" w:type="dxa"/>
            <w:vAlign w:val="center"/>
          </w:tcPr>
          <w:p>
            <w:pPr>
              <w:pStyle w:val="15"/>
            </w:pPr>
            <w:r>
              <w:t>90.54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31.95</w:t>
            </w:r>
          </w:p>
        </w:tc>
        <w:tc>
          <w:tcPr>
            <w:tcW w:w="2551" w:type="dxa"/>
            <w:vAlign w:val="center"/>
          </w:tcPr>
          <w:p>
            <w:pPr>
              <w:pStyle w:val="15"/>
            </w:pPr>
            <w:r>
              <w:t>31.95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11.70</w:t>
            </w:r>
          </w:p>
        </w:tc>
        <w:tc>
          <w:tcPr>
            <w:tcW w:w="2551" w:type="dxa"/>
            <w:vAlign w:val="center"/>
          </w:tcPr>
          <w:p>
            <w:pPr>
              <w:pStyle w:val="15"/>
            </w:pPr>
            <w:r>
              <w:t>11.70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5.93</w:t>
            </w:r>
          </w:p>
        </w:tc>
        <w:tc>
          <w:tcPr>
            <w:tcW w:w="2551" w:type="dxa"/>
            <w:vAlign w:val="center"/>
          </w:tcPr>
          <w:p>
            <w:pPr>
              <w:pStyle w:val="15"/>
            </w:pPr>
            <w:r>
              <w:t>5.93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0.78</w:t>
            </w:r>
          </w:p>
        </w:tc>
        <w:tc>
          <w:tcPr>
            <w:tcW w:w="2551" w:type="dxa"/>
            <w:vAlign w:val="center"/>
          </w:tcPr>
          <w:p>
            <w:pPr>
              <w:pStyle w:val="15"/>
            </w:pPr>
            <w:r>
              <w:t>0.78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28.48</w:t>
            </w:r>
          </w:p>
        </w:tc>
        <w:tc>
          <w:tcPr>
            <w:tcW w:w="2551" w:type="dxa"/>
            <w:vAlign w:val="center"/>
          </w:tcPr>
          <w:p>
            <w:pPr>
              <w:pStyle w:val="15"/>
            </w:pPr>
            <w:r>
              <w:t>28.48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52.66</w:t>
            </w:r>
          </w:p>
        </w:tc>
        <w:tc>
          <w:tcPr>
            <w:tcW w:w="2551" w:type="dxa"/>
            <w:vAlign w:val="center"/>
          </w:tcPr>
          <w:p>
            <w:pPr>
              <w:pStyle w:val="15"/>
            </w:pPr>
          </w:p>
        </w:tc>
        <w:tc>
          <w:tcPr>
            <w:tcW w:w="2551" w:type="dxa"/>
            <w:vAlign w:val="center"/>
          </w:tcPr>
          <w:p>
            <w:pPr>
              <w:pStyle w:val="15"/>
            </w:pPr>
            <w:r>
              <w:t>52.66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10.12</w:t>
            </w:r>
          </w:p>
        </w:tc>
        <w:tc>
          <w:tcPr>
            <w:tcW w:w="2551" w:type="dxa"/>
            <w:vAlign w:val="center"/>
          </w:tcPr>
          <w:p>
            <w:pPr>
              <w:pStyle w:val="15"/>
            </w:pPr>
          </w:p>
        </w:tc>
        <w:tc>
          <w:tcPr>
            <w:tcW w:w="2551" w:type="dxa"/>
            <w:vAlign w:val="center"/>
          </w:tcPr>
          <w:p>
            <w:pPr>
              <w:pStyle w:val="15"/>
            </w:pPr>
            <w:r>
              <w:t>10.12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11.65</w:t>
            </w:r>
          </w:p>
        </w:tc>
        <w:tc>
          <w:tcPr>
            <w:tcW w:w="2551" w:type="dxa"/>
            <w:vAlign w:val="center"/>
          </w:tcPr>
          <w:p>
            <w:pPr>
              <w:pStyle w:val="15"/>
            </w:pPr>
          </w:p>
        </w:tc>
        <w:tc>
          <w:tcPr>
            <w:tcW w:w="2551" w:type="dxa"/>
            <w:vAlign w:val="center"/>
          </w:tcPr>
          <w:p>
            <w:pPr>
              <w:pStyle w:val="15"/>
            </w:pPr>
            <w:r>
              <w:t>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30208</w:t>
            </w:r>
          </w:p>
        </w:tc>
        <w:tc>
          <w:tcPr>
            <w:tcW w:w="4535" w:type="dxa"/>
            <w:vAlign w:val="center"/>
          </w:tcPr>
          <w:p>
            <w:pPr>
              <w:pStyle w:val="16"/>
            </w:pPr>
            <w:r>
              <w:t>取暖费</w:t>
            </w:r>
          </w:p>
        </w:tc>
        <w:tc>
          <w:tcPr>
            <w:tcW w:w="2551" w:type="dxa"/>
            <w:vAlign w:val="center"/>
          </w:tcPr>
          <w:p>
            <w:pPr>
              <w:pStyle w:val="15"/>
            </w:pPr>
            <w:r>
              <w:t>11.25</w:t>
            </w:r>
          </w:p>
        </w:tc>
        <w:tc>
          <w:tcPr>
            <w:tcW w:w="2551" w:type="dxa"/>
            <w:vAlign w:val="center"/>
          </w:tcPr>
          <w:p>
            <w:pPr>
              <w:pStyle w:val="15"/>
            </w:pPr>
          </w:p>
        </w:tc>
        <w:tc>
          <w:tcPr>
            <w:tcW w:w="2551" w:type="dxa"/>
            <w:vAlign w:val="center"/>
          </w:tcPr>
          <w:p>
            <w:pPr>
              <w:pStyle w:val="15"/>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0.76</w:t>
            </w:r>
          </w:p>
        </w:tc>
        <w:tc>
          <w:tcPr>
            <w:tcW w:w="2551" w:type="dxa"/>
            <w:vAlign w:val="center"/>
          </w:tcPr>
          <w:p>
            <w:pPr>
              <w:pStyle w:val="15"/>
            </w:pPr>
          </w:p>
        </w:tc>
        <w:tc>
          <w:tcPr>
            <w:tcW w:w="2551" w:type="dxa"/>
            <w:vAlign w:val="center"/>
          </w:tcPr>
          <w:p>
            <w:pPr>
              <w:pStyle w:val="15"/>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1.05</w:t>
            </w:r>
          </w:p>
        </w:tc>
        <w:tc>
          <w:tcPr>
            <w:tcW w:w="2551" w:type="dxa"/>
            <w:vAlign w:val="center"/>
          </w:tcPr>
          <w:p>
            <w:pPr>
              <w:pStyle w:val="15"/>
            </w:pPr>
          </w:p>
        </w:tc>
        <w:tc>
          <w:tcPr>
            <w:tcW w:w="2551" w:type="dxa"/>
            <w:vAlign w:val="center"/>
          </w:tcPr>
          <w:p>
            <w:pPr>
              <w:pStyle w:val="15"/>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1.89</w:t>
            </w:r>
          </w:p>
        </w:tc>
        <w:tc>
          <w:tcPr>
            <w:tcW w:w="2551" w:type="dxa"/>
            <w:vAlign w:val="center"/>
          </w:tcPr>
          <w:p>
            <w:pPr>
              <w:pStyle w:val="15"/>
            </w:pPr>
          </w:p>
        </w:tc>
        <w:tc>
          <w:tcPr>
            <w:tcW w:w="2551" w:type="dxa"/>
            <w:vAlign w:val="center"/>
          </w:tcPr>
          <w:p>
            <w:pPr>
              <w:pStyle w:val="15"/>
            </w:pPr>
            <w: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2.33</w:t>
            </w:r>
          </w:p>
        </w:tc>
        <w:tc>
          <w:tcPr>
            <w:tcW w:w="2551" w:type="dxa"/>
            <w:vAlign w:val="center"/>
          </w:tcPr>
          <w:p>
            <w:pPr>
              <w:pStyle w:val="15"/>
            </w:pPr>
          </w:p>
        </w:tc>
        <w:tc>
          <w:tcPr>
            <w:tcW w:w="2551" w:type="dxa"/>
            <w:vAlign w:val="center"/>
          </w:tcPr>
          <w:p>
            <w:pPr>
              <w:pStyle w:val="15"/>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13.02</w:t>
            </w:r>
          </w:p>
        </w:tc>
        <w:tc>
          <w:tcPr>
            <w:tcW w:w="2551" w:type="dxa"/>
            <w:vAlign w:val="center"/>
          </w:tcPr>
          <w:p>
            <w:pPr>
              <w:pStyle w:val="15"/>
            </w:pPr>
          </w:p>
        </w:tc>
        <w:tc>
          <w:tcPr>
            <w:tcW w:w="2551" w:type="dxa"/>
            <w:vAlign w:val="center"/>
          </w:tcPr>
          <w:p>
            <w:pPr>
              <w:pStyle w:val="15"/>
            </w:pPr>
            <w:r>
              <w:t>13.02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0.59</w:t>
            </w:r>
          </w:p>
        </w:tc>
        <w:tc>
          <w:tcPr>
            <w:tcW w:w="2551" w:type="dxa"/>
            <w:vAlign w:val="center"/>
          </w:tcPr>
          <w:p>
            <w:pPr>
              <w:pStyle w:val="15"/>
            </w:pPr>
          </w:p>
        </w:tc>
        <w:tc>
          <w:tcPr>
            <w:tcW w:w="2551" w:type="dxa"/>
            <w:vAlign w:val="center"/>
          </w:tcPr>
          <w:p>
            <w:pPr>
              <w:pStyle w:val="15"/>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9.16</w:t>
            </w:r>
          </w:p>
        </w:tc>
        <w:tc>
          <w:tcPr>
            <w:tcW w:w="2551" w:type="dxa"/>
            <w:vAlign w:val="center"/>
          </w:tcPr>
          <w:p>
            <w:pPr>
              <w:pStyle w:val="15"/>
            </w:pPr>
            <w:r>
              <w:t>9.16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9.16</w:t>
            </w:r>
          </w:p>
        </w:tc>
        <w:tc>
          <w:tcPr>
            <w:tcW w:w="2551" w:type="dxa"/>
            <w:vAlign w:val="center"/>
          </w:tcPr>
          <w:p>
            <w:pPr>
              <w:pStyle w:val="15"/>
            </w:pPr>
            <w:r>
              <w:t>9.16</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2218.20</w:t>
            </w:r>
          </w:p>
        </w:tc>
        <w:tc>
          <w:tcPr>
            <w:tcW w:w="2551" w:type="dxa"/>
            <w:vAlign w:val="center"/>
          </w:tcPr>
          <w:p>
            <w:pPr>
              <w:pStyle w:val="19"/>
            </w:pPr>
          </w:p>
        </w:tc>
        <w:tc>
          <w:tcPr>
            <w:tcW w:w="2551" w:type="dxa"/>
            <w:vAlign w:val="center"/>
          </w:tcPr>
          <w:p>
            <w:pPr>
              <w:pStyle w:val="19"/>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2218.20</w:t>
            </w:r>
          </w:p>
        </w:tc>
        <w:tc>
          <w:tcPr>
            <w:tcW w:w="2551" w:type="dxa"/>
            <w:vAlign w:val="center"/>
          </w:tcPr>
          <w:p>
            <w:pPr>
              <w:pStyle w:val="15"/>
            </w:pPr>
          </w:p>
        </w:tc>
        <w:tc>
          <w:tcPr>
            <w:tcW w:w="2551" w:type="dxa"/>
            <w:vAlign w:val="center"/>
          </w:tcPr>
          <w:p>
            <w:pPr>
              <w:pStyle w:val="15"/>
            </w:pPr>
            <w:r>
              <w:t>2218.20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2.33</w:t>
            </w:r>
          </w:p>
        </w:tc>
        <w:tc>
          <w:tcPr>
            <w:tcW w:w="2381" w:type="dxa"/>
            <w:vAlign w:val="center"/>
          </w:tcPr>
          <w:p>
            <w:pPr>
              <w:pStyle w:val="19"/>
            </w:pPr>
            <w:r>
              <w:t>2.33</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r>
              <w:t>2.33</w:t>
            </w:r>
          </w:p>
        </w:tc>
        <w:tc>
          <w:tcPr>
            <w:tcW w:w="2381" w:type="dxa"/>
            <w:vAlign w:val="center"/>
          </w:tcPr>
          <w:p>
            <w:pPr>
              <w:pStyle w:val="15"/>
            </w:pPr>
            <w:r>
              <w:t>2.33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区数据和政务服务局负责贯彻落实党中央关于数据和政务服务工作、行政审批制度改革工作的方针政策和决策部署，落实省委、市委、区委工作安排，把坚持和加强党中央对数据和政务服务工作、行政审批制度改革工作的集中统一领导落实到履行职责过程中。主要职责是：</w:t>
      </w:r>
    </w:p>
    <w:p>
      <w:pPr>
        <w:pStyle w:val="29"/>
      </w:pPr>
      <w:r>
        <w:t>(一)贯彻执行国家和省、市有关电子政务、智慧城市、政务服务和数据资源管理的方针政策和法律法规，起草相关地方规范性文件，拟订全区数据资源管理发展规划、年度计划、政策措施和评价体系并组织实施。</w:t>
      </w:r>
    </w:p>
    <w:p>
      <w:pPr>
        <w:pStyle w:val="29"/>
      </w:pPr>
      <w:r>
        <w:t>(二)贯彻落实党中央、国务院和省委省政府、市委市政府、区委区政府关于推进政府职能转变和“放管服”改革、行政审批制度改革、政务服务管理、公共资源交易管理、社会信用体系建设有关方针政策和法律法规。贯彻落实上级有关地方性法规、政府规章，起草有关地方规范性文件，制定有关政策落实措施并组织实施。承担区政府推进政府职能转变和“放管服”改革协调小组办公室的日常工作。</w:t>
      </w:r>
    </w:p>
    <w:p>
      <w:pPr>
        <w:pStyle w:val="29"/>
      </w:pPr>
      <w:r>
        <w:t>(三)组织实施国家和地方数据技术标准；研究制定我区数据资源采集、存储、使用、开放、共享等标准规范并监督实施。</w:t>
      </w:r>
    </w:p>
    <w:p>
      <w:pPr>
        <w:pStyle w:val="29"/>
      </w:pPr>
      <w:r>
        <w:t>(四)做好“互联网+政务服务”工作的规划及有关项目建设工作。负责在线政务服务平台建设。推进在线政务服务平台规范化、标准化、集约化建设。</w:t>
      </w:r>
    </w:p>
    <w:p>
      <w:pPr>
        <w:pStyle w:val="29"/>
      </w:pPr>
      <w:r>
        <w:t>(五)拟订全区政务数据和公共数据资源的目录制定、归集管理、整理利用、共享开放管理办法并组织实施，推动数据资源在政府管理和社会治理领域的应用。</w:t>
      </w:r>
    </w:p>
    <w:p>
      <w:pPr>
        <w:pStyle w:val="29"/>
      </w:pPr>
      <w:r>
        <w:t>(六)负责区电子政务组织推动工作，负责区政务网络建设管理和党政机关信息化应用建设指导，负责区级智慧城市项目建设和数据资源基础设施建设管理，提出各部门统筹安排区级信息化项目及资金的使用建议。</w:t>
      </w:r>
    </w:p>
    <w:p>
      <w:pPr>
        <w:pStyle w:val="29"/>
      </w:pPr>
      <w:r>
        <w:t>(七)负责全区数据资源、政务信息化领域的对外交流合作；会同有关部门做好全区数据资源、政务信息化人才培养等工作。</w:t>
      </w:r>
    </w:p>
    <w:p>
      <w:pPr>
        <w:pStyle w:val="29"/>
      </w:pPr>
      <w:r>
        <w:t>(八)负责指导全区经济社会各领域的数据资源开发利用工作，促进全区数据资源产业发展；负责数据资源相关技术研发、行业数据分析成果转化等工作。</w:t>
      </w:r>
    </w:p>
    <w:p>
      <w:pPr>
        <w:pStyle w:val="29"/>
      </w:pPr>
      <w:r>
        <w:t>(九)负责全区数据资源安全保障体系建设，会同有关部门指导各级各部门政务数据资源和公共数据资源的安全保障工作。</w:t>
      </w:r>
    </w:p>
    <w:p>
      <w:pPr>
        <w:pStyle w:val="29"/>
      </w:pPr>
      <w:r>
        <w:t>(十)负责规范全区行政审批行为，创新和完善相关工作体制机制。推进简政放权，清理和规范各类行政许可等管理事项；承担区行政审批制度改革领导小组办公室日常工作。</w:t>
      </w:r>
    </w:p>
    <w:p>
      <w:pPr>
        <w:pStyle w:val="29"/>
      </w:pPr>
      <w:r>
        <w:t>(十一)负责公共资源交易监督管理工作。贯彻落实公共资源交易管理制度、规则及公共资源交易目录，建设、管理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29"/>
      </w:pPr>
      <w:r>
        <w:t>(十二)负责投资项目、商事登记、市场服务、文教体卫、社会事务、住建交通、生态环境、安全生产、农林畜水、经贸商务、城市管理等方面行政审批事项的办理及相关行政性收费，并承担相应的法律责任。</w:t>
      </w:r>
    </w:p>
    <w:p>
      <w:pPr>
        <w:pStyle w:val="29"/>
      </w:pPr>
      <w:r>
        <w:t>(十三)负责协调派驻部门行政审批事项的办理工作，规范、管理和监督派驻部门的行政审批行为。</w:t>
      </w:r>
    </w:p>
    <w:p>
      <w:pPr>
        <w:pStyle w:val="29"/>
      </w:pPr>
      <w:r>
        <w:t>(十四)负责对行政审批、政务服务事项流程进行规范和优化，推进审批服务便民化、标准化建设。</w:t>
      </w:r>
    </w:p>
    <w:p>
      <w:pPr>
        <w:pStyle w:val="29"/>
      </w:pPr>
      <w:r>
        <w:t>(十五)会同有关部门，做好行政审批、政务服务、公共资源交易监督、政务服务平台建设，推行政务服务事项网上办理，形成管理机构、实体大厅、网上平台“三位一体”的政务服务管理模式；推行全区电子证照库建设。</w:t>
      </w:r>
    </w:p>
    <w:p>
      <w:pPr>
        <w:pStyle w:val="29"/>
      </w:pPr>
      <w:r>
        <w:t>(十六)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29"/>
      </w:pPr>
      <w:r>
        <w:t>(十七)负责对全区行政审批、政务服务行为进行监督检查，对窗口工作人员进行日常管理、教育培训和检查考核。</w:t>
      </w:r>
    </w:p>
    <w:p>
      <w:pPr>
        <w:pStyle w:val="29"/>
      </w:pPr>
      <w:r>
        <w:t>(十八)负责区直部门已划转行政许可事项涉及的现场勘验、审图、联合验收等工作。</w:t>
      </w:r>
    </w:p>
    <w:p>
      <w:pPr>
        <w:pStyle w:val="29"/>
      </w:pPr>
      <w:r>
        <w:t>(十九)负责行政审批信息化工作以及区级行政审批信息资料的保管、整理、统计、编目和定期检查工作。</w:t>
      </w:r>
    </w:p>
    <w:p>
      <w:pPr>
        <w:pStyle w:val="29"/>
      </w:pPr>
      <w:r>
        <w:t>(二十)完成区委、区政府交办的其他任务。</w:t>
      </w:r>
    </w:p>
    <w:p>
      <w:pPr>
        <w:pStyle w:val="29"/>
      </w:pPr>
      <w:r>
        <w:t>二、与其他部门在互联网建设与管理职责方面的分工。</w:t>
      </w:r>
    </w:p>
    <w:p>
      <w:pPr>
        <w:pStyle w:val="29"/>
      </w:pPr>
      <w:r>
        <w:t>(一)区政府办公室负责政府门户网站的建设与管理等工作，指导各乡镇政府和区直党政群机关门户网站建设。</w:t>
      </w:r>
    </w:p>
    <w:p>
      <w:pPr>
        <w:pStyle w:val="29"/>
      </w:pPr>
      <w:r>
        <w:t>(二)区委网信办负责维护互联网意识形态安全，监督管理互联网信息内容和网络舆情信息，组织协调互联网宣传和舆论引导工作，推动网络阵地和网络文明建设工作。</w:t>
      </w:r>
    </w:p>
    <w:p>
      <w:pPr>
        <w:pStyle w:val="29"/>
      </w:pPr>
      <w:r>
        <w:t>(三)区科学技术和工业信息化局负责推动数据资源技术产业、技术创新发展，构建以数字为关键要素的数字经济，推动互联网、大数据、人工智能同实体经济深度融合，为数据安全提供技术保障。</w:t>
      </w:r>
    </w:p>
    <w:p>
      <w:pPr>
        <w:pStyle w:val="29"/>
      </w:pPr>
      <w:r>
        <w:t>(四)区数据和政务服务局负责各类数据资源的采集、存储、使用、开发、共享工作，应用大数据资源提升政府治理水平、促进保障和改善民生。</w:t>
      </w:r>
    </w:p>
    <w:p>
      <w:pPr>
        <w:pStyle w:val="29"/>
      </w:pPr>
      <w:r>
        <w:t>三、区数据和政务服务局根据本规定编制权责清单，逐项明确权责名称、权责类型、设定依据、履职方式、追责情形等。在此基础上，编制职责任务清单、职责边界清单，制定办事指南、运行流程图等，进一步优化行政程序，规范权力运行，推行精细化管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石家庄市栾城区数据和政务服务局本级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3163.32万元，其中：一般公共预算收入945.12万元，基金预算收入2218.20万元，国有资本经营预算收入0.00万元，财政专户核拨收入0.00万元，单位资金收入0.00万元，上年结转结余0.00万元。</w:t>
      </w:r>
    </w:p>
    <w:p>
      <w:pPr>
        <w:pStyle w:val="30"/>
      </w:pPr>
      <w:r>
        <w:t>2、支出说明</w:t>
      </w:r>
    </w:p>
    <w:p>
      <w:pPr>
        <w:pStyle w:val="30"/>
        <w:rPr>
          <w:color w:val="000000" w:themeColor="text1"/>
          <w14:textFill>
            <w14:solidFill>
              <w14:schemeClr w14:val="tx1"/>
            </w14:solidFill>
          </w14:textFill>
        </w:rPr>
      </w:pPr>
      <w:r>
        <w:t>收支预算总表支出栏、基本支出表、项目支出表按经济分类和支出功能分类科目编制，反映石家庄市栾城区数据和政务服务局本级年度单位预算中支出预算的总体情况。2026年支出预算3163.32万元，其中基本支出403.87万元，包括人员经费351.21万元和日常公用经费52.66万元；项目支出2759.45万元，主要为劳务派遣人员经费</w:t>
      </w:r>
      <w:r>
        <w:rPr>
          <w:rFonts w:hint="eastAsia"/>
          <w:lang w:eastAsia="zh-CN"/>
        </w:rPr>
        <w:t>、</w:t>
      </w:r>
      <w:r>
        <w:t>行政事业单位应缴残保金</w:t>
      </w:r>
      <w:r>
        <w:rPr>
          <w:rFonts w:hint="eastAsia"/>
          <w:lang w:eastAsia="zh-CN"/>
        </w:rPr>
        <w:t>、</w:t>
      </w:r>
      <w:r>
        <w:t>数政局大厅运转经费（电费）</w:t>
      </w:r>
      <w:r>
        <w:rPr>
          <w:rFonts w:hint="eastAsia"/>
          <w:lang w:eastAsia="zh-CN"/>
        </w:rPr>
        <w:t>、</w:t>
      </w:r>
      <w:r>
        <w:t>栾城区数据和政务服务局房屋租赁项目</w:t>
      </w:r>
      <w:r>
        <w:rPr>
          <w:rFonts w:hint="eastAsia"/>
          <w:lang w:eastAsia="zh-CN"/>
        </w:rPr>
        <w:t>、</w:t>
      </w:r>
      <w:r>
        <w:t>业务咨询委托费</w:t>
      </w:r>
      <w:r>
        <w:rPr>
          <w:rFonts w:hint="eastAsia"/>
          <w:lang w:eastAsia="zh-CN"/>
        </w:rPr>
        <w:t>、</w:t>
      </w:r>
      <w:r>
        <w:t>离退休人员统筹外工资待遇</w:t>
      </w:r>
      <w:r>
        <w:rPr>
          <w:rFonts w:hint="eastAsia"/>
          <w:lang w:eastAsia="zh-CN"/>
        </w:rPr>
        <w:t>、</w:t>
      </w:r>
      <w:r>
        <w:t>（结转2024年专项债务）栾城区燃气与城市安全预警监测平台建设项目</w:t>
      </w:r>
      <w:r>
        <w:rPr>
          <w:rFonts w:hint="eastAsia"/>
          <w:lang w:val="en-US" w:eastAsia="zh-CN"/>
        </w:rPr>
        <w:t>等</w:t>
      </w:r>
      <w:r>
        <w:t>。预计下年使用的单位资金结余0.00万元。</w:t>
      </w:r>
      <w:r>
        <w:rPr>
          <w:color w:val="000000" w:themeColor="text1"/>
          <w14:textFill>
            <w14:solidFill>
              <w14:schemeClr w14:val="tx1"/>
            </w14:solidFill>
          </w14:textFill>
        </w:rPr>
        <w:t>委托业务费共计安排160.00万元，主要用于因技术原因确需对外委托的辅助性工作和确有必要对外委托开展咨询、评审、规划等工作。</w:t>
      </w:r>
    </w:p>
    <w:p>
      <w:pPr>
        <w:pStyle w:val="30"/>
      </w:pPr>
      <w:r>
        <w:t>3、比上年增减情况</w:t>
      </w:r>
    </w:p>
    <w:p>
      <w:pPr>
        <w:pStyle w:val="30"/>
        <w:rPr>
          <w:color w:val="000000" w:themeColor="text1"/>
          <w14:textFill>
            <w14:solidFill>
              <w14:schemeClr w14:val="tx1"/>
            </w14:solidFill>
          </w14:textFill>
        </w:rPr>
      </w:pPr>
      <w:r>
        <w:t>2026年预算收支安排3163.32万元，较2025年预算减少1483.96万元，其中：基本支出增加39.91万元，主要为人员经费</w:t>
      </w:r>
      <w:r>
        <w:rPr>
          <w:rFonts w:hint="eastAsia"/>
          <w:lang w:val="en-US" w:eastAsia="zh-CN"/>
        </w:rPr>
        <w:t>增加</w:t>
      </w:r>
      <w:r>
        <w:t>。项目支出减少1523.87万元，主要为栾城区燃气与城市安全预警监测平台建设项目支出减少。</w:t>
      </w:r>
      <w:r>
        <w:rPr>
          <w:color w:val="000000" w:themeColor="text1"/>
          <w14:textFill>
            <w14:solidFill>
              <w14:schemeClr w14:val="tx1"/>
            </w14:solidFill>
          </w14:textFill>
        </w:rP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2026年，我单位机关运行经费共计安排52.66万元，主要用于日常维修、办公用房水电费、办公用房取暖费、办公用房物业管理费等日常运行支出。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keepNext w:val="0"/>
        <w:keepLines w:val="0"/>
        <w:pageBreakBefore w:val="0"/>
        <w:widowControl/>
        <w:kinsoku/>
        <w:wordWrap/>
        <w:overflowPunct/>
        <w:topLinePunct w:val="0"/>
        <w:autoSpaceDE/>
        <w:autoSpaceDN/>
        <w:bidi w:val="0"/>
        <w:adjustRightInd/>
        <w:snapToGrid/>
        <w:spacing w:line="500" w:lineRule="exact"/>
        <w:textAlignment w:val="auto"/>
        <w:rPr>
          <w:color w:val="000000" w:themeColor="text1"/>
          <w14:textFill>
            <w14:solidFill>
              <w14:schemeClr w14:val="tx1"/>
            </w14:solidFill>
          </w14:textFill>
        </w:rPr>
      </w:pPr>
      <w:r>
        <w:t>2026年，我单位财政拨款“三公”经费预算安排2.33万元，其中因公出国（境）费0.00万元；公务用车购置及运维费2.33万元（其中：公务用车购置费为0.00万元，公务用车运维费2.33万元)；公务接待费0.00万元。与2025年相比</w:t>
      </w:r>
      <w:r>
        <w:rPr>
          <w:rFonts w:hint="eastAsia"/>
          <w:lang w:val="en-US" w:eastAsia="zh-CN"/>
        </w:rPr>
        <w:t>减少0.07</w:t>
      </w:r>
      <w:r>
        <w:t>万元，</w:t>
      </w:r>
      <w:r>
        <w:rPr>
          <w:color w:val="000000" w:themeColor="text1"/>
          <w14:textFill>
            <w14:solidFill>
              <w14:schemeClr w14:val="tx1"/>
            </w14:solidFill>
          </w14:textFill>
        </w:rPr>
        <w:t>增减变化的主要原因是压减经费，节约开支</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公务用车运维费减少</w:t>
      </w:r>
      <w:r>
        <w:rPr>
          <w:color w:val="000000" w:themeColor="text1"/>
          <w14:textFill>
            <w14:solidFill>
              <w14:schemeClr w14:val="tx1"/>
            </w14:solidFill>
          </w14:textFill>
        </w:rPr>
        <w:t>。</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1、(结转2024年专项债券)栾城区燃气与城市安全预警监测平台建设项目绩效目标表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13011126P000203100045</w:t>
            </w:r>
          </w:p>
        </w:tc>
        <w:tc>
          <w:tcPr>
            <w:tcW w:w="2835" w:type="dxa"/>
            <w:vAlign w:val="center"/>
          </w:tcPr>
          <w:p>
            <w:pPr>
              <w:pStyle w:val="14"/>
            </w:pPr>
            <w:r>
              <w:t>项目名称</w:t>
            </w:r>
          </w:p>
        </w:tc>
        <w:tc>
          <w:tcPr>
            <w:tcW w:w="6095" w:type="dxa"/>
            <w:gridSpan w:val="3"/>
            <w:vAlign w:val="center"/>
          </w:tcPr>
          <w:p>
            <w:pPr>
              <w:pStyle w:val="16"/>
            </w:pPr>
            <w:r>
              <w:t>(结转2024年专项债券)栾城区燃气与城市安全预警监测平台建设项目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2218.20</w:t>
            </w:r>
          </w:p>
        </w:tc>
        <w:tc>
          <w:tcPr>
            <w:tcW w:w="2835" w:type="dxa"/>
            <w:vAlign w:val="center"/>
          </w:tcPr>
          <w:p>
            <w:pPr>
              <w:pStyle w:val="14"/>
            </w:pPr>
            <w:r>
              <w:t>其中：财政    资金</w:t>
            </w:r>
          </w:p>
        </w:tc>
        <w:tc>
          <w:tcPr>
            <w:tcW w:w="2551" w:type="dxa"/>
            <w:vAlign w:val="center"/>
          </w:tcPr>
          <w:p>
            <w:pPr>
              <w:pStyle w:val="16"/>
            </w:pPr>
            <w:r>
              <w:t>2218.20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提升燃气行业安全监管水平，保障人民群众生命财产安全、推动城市燃气安全预警监测平台建设项目建设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554.55</w:t>
            </w:r>
          </w:p>
        </w:tc>
        <w:tc>
          <w:tcPr>
            <w:tcW w:w="2835" w:type="dxa"/>
            <w:vAlign w:val="center"/>
          </w:tcPr>
          <w:p>
            <w:pPr>
              <w:pStyle w:val="17"/>
            </w:pPr>
            <w:r>
              <w:t>1109.10</w:t>
            </w:r>
          </w:p>
        </w:tc>
        <w:tc>
          <w:tcPr>
            <w:tcW w:w="2551" w:type="dxa"/>
            <w:vAlign w:val="center"/>
          </w:tcPr>
          <w:p>
            <w:pPr>
              <w:pStyle w:val="17"/>
            </w:pPr>
            <w:r>
              <w:t>1663.65</w:t>
            </w:r>
          </w:p>
        </w:tc>
        <w:tc>
          <w:tcPr>
            <w:tcW w:w="3544" w:type="dxa"/>
            <w:gridSpan w:val="2"/>
            <w:vAlign w:val="center"/>
          </w:tcPr>
          <w:p>
            <w:pPr>
              <w:pStyle w:val="17"/>
            </w:pPr>
            <w:r>
              <w:t>2218.20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1.提升燃气行业安全监管水平，保障人民群众生命财产安全、推动城市燃气安全预警监测平台建设项目建设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燃气平台覆盖率</w:t>
            </w:r>
          </w:p>
        </w:tc>
        <w:tc>
          <w:tcPr>
            <w:tcW w:w="5386" w:type="dxa"/>
            <w:vAlign w:val="center"/>
          </w:tcPr>
          <w:p>
            <w:pPr>
              <w:pStyle w:val="16"/>
            </w:pPr>
            <w:r>
              <w:t>保证燃气预警监测平台顺利建设</w:t>
            </w:r>
          </w:p>
        </w:tc>
        <w:tc>
          <w:tcPr>
            <w:tcW w:w="2268" w:type="dxa"/>
            <w:vAlign w:val="center"/>
          </w:tcPr>
          <w:p>
            <w:pPr>
              <w:pStyle w:val="16"/>
            </w:pPr>
            <w:r>
              <w:t>1批</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质量指标</w:t>
            </w:r>
          </w:p>
        </w:tc>
        <w:tc>
          <w:tcPr>
            <w:tcW w:w="2268" w:type="dxa"/>
            <w:vAlign w:val="center"/>
          </w:tcPr>
          <w:p>
            <w:pPr>
              <w:pStyle w:val="16"/>
            </w:pPr>
            <w:r>
              <w:t>保证用气的安全</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w:t>
            </w:r>
          </w:p>
        </w:tc>
        <w:tc>
          <w:tcPr>
            <w:tcW w:w="5386" w:type="dxa"/>
            <w:vAlign w:val="center"/>
          </w:tcPr>
          <w:p>
            <w:pPr>
              <w:pStyle w:val="16"/>
            </w:pPr>
            <w:r>
              <w:t>资金支付及时性</w:t>
            </w:r>
          </w:p>
        </w:tc>
        <w:tc>
          <w:tcPr>
            <w:tcW w:w="2268" w:type="dxa"/>
            <w:vAlign w:val="center"/>
          </w:tcPr>
          <w:p>
            <w:pPr>
              <w:pStyle w:val="16"/>
            </w:pPr>
            <w:r>
              <w:t>≥90百分率</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5386" w:type="dxa"/>
            <w:vAlign w:val="center"/>
          </w:tcPr>
          <w:p>
            <w:pPr>
              <w:pStyle w:val="16"/>
            </w:pPr>
            <w:r>
              <w:t>总成本</w:t>
            </w:r>
          </w:p>
        </w:tc>
        <w:tc>
          <w:tcPr>
            <w:tcW w:w="2268" w:type="dxa"/>
            <w:vAlign w:val="center"/>
          </w:tcPr>
          <w:p>
            <w:pPr>
              <w:pStyle w:val="16"/>
            </w:pPr>
            <w:r>
              <w:t>≤2218.2万元</w:t>
            </w:r>
          </w:p>
        </w:tc>
        <w:tc>
          <w:tcPr>
            <w:tcW w:w="1276" w:type="dxa"/>
            <w:vAlign w:val="center"/>
          </w:tcPr>
          <w:p>
            <w:pPr>
              <w:pStyle w:val="16"/>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提升安全</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≥95百分率</w:t>
            </w:r>
          </w:p>
        </w:tc>
        <w:tc>
          <w:tcPr>
            <w:tcW w:w="1276" w:type="dxa"/>
            <w:vAlign w:val="center"/>
          </w:tcPr>
          <w:p>
            <w:pPr>
              <w:pStyle w:val="16"/>
            </w:pPr>
            <w:r>
              <w:t>无</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13011126P00000410351P</w:t>
            </w:r>
          </w:p>
        </w:tc>
        <w:tc>
          <w:tcPr>
            <w:tcW w:w="2835" w:type="dxa"/>
            <w:vAlign w:val="center"/>
          </w:tcPr>
          <w:p>
            <w:pPr>
              <w:pStyle w:val="14"/>
            </w:pPr>
            <w:r>
              <w:t>项目名称</w:t>
            </w:r>
          </w:p>
        </w:tc>
        <w:tc>
          <w:tcPr>
            <w:tcW w:w="6095" w:type="dxa"/>
            <w:gridSpan w:val="3"/>
            <w:vAlign w:val="center"/>
          </w:tcPr>
          <w:p>
            <w:pPr>
              <w:pStyle w:val="16"/>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48.34</w:t>
            </w:r>
          </w:p>
        </w:tc>
        <w:tc>
          <w:tcPr>
            <w:tcW w:w="2835" w:type="dxa"/>
            <w:vAlign w:val="center"/>
          </w:tcPr>
          <w:p>
            <w:pPr>
              <w:pStyle w:val="14"/>
            </w:pPr>
            <w:r>
              <w:t>其中：财政    资金</w:t>
            </w:r>
          </w:p>
        </w:tc>
        <w:tc>
          <w:tcPr>
            <w:tcW w:w="2551" w:type="dxa"/>
            <w:vAlign w:val="center"/>
          </w:tcPr>
          <w:p>
            <w:pPr>
              <w:pStyle w:val="16"/>
            </w:pPr>
            <w:r>
              <w:t>48.34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用于支付辅助性服务人员工资、保险、管理费用等，促进审批工作，提高工作效率。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12.08</w:t>
            </w:r>
          </w:p>
        </w:tc>
        <w:tc>
          <w:tcPr>
            <w:tcW w:w="2835" w:type="dxa"/>
            <w:vAlign w:val="center"/>
          </w:tcPr>
          <w:p>
            <w:pPr>
              <w:pStyle w:val="17"/>
            </w:pPr>
            <w:r>
              <w:t>24.17</w:t>
            </w:r>
          </w:p>
        </w:tc>
        <w:tc>
          <w:tcPr>
            <w:tcW w:w="2551" w:type="dxa"/>
            <w:vAlign w:val="center"/>
          </w:tcPr>
          <w:p>
            <w:pPr>
              <w:pStyle w:val="17"/>
            </w:pPr>
            <w:r>
              <w:t>36.25</w:t>
            </w:r>
          </w:p>
        </w:tc>
        <w:tc>
          <w:tcPr>
            <w:tcW w:w="3544" w:type="dxa"/>
            <w:gridSpan w:val="2"/>
            <w:vAlign w:val="center"/>
          </w:tcPr>
          <w:p>
            <w:pPr>
              <w:pStyle w:val="17"/>
            </w:pPr>
            <w:r>
              <w:t>48.34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1.用于支付辅助性服务人员工资、保险、管理费用等，促进审批工作，提高工作效率。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购买服务人数</w:t>
            </w:r>
          </w:p>
        </w:tc>
        <w:tc>
          <w:tcPr>
            <w:tcW w:w="5386" w:type="dxa"/>
            <w:vAlign w:val="center"/>
          </w:tcPr>
          <w:p>
            <w:pPr>
              <w:pStyle w:val="16"/>
            </w:pPr>
            <w:r>
              <w:t>购买服务人数</w:t>
            </w:r>
          </w:p>
        </w:tc>
        <w:tc>
          <w:tcPr>
            <w:tcW w:w="2268" w:type="dxa"/>
            <w:vAlign w:val="center"/>
          </w:tcPr>
          <w:p>
            <w:pPr>
              <w:pStyle w:val="16"/>
            </w:pPr>
            <w:r>
              <w:t>≤8人</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第三方公司服务质量</w:t>
            </w:r>
          </w:p>
        </w:tc>
        <w:tc>
          <w:tcPr>
            <w:tcW w:w="5386" w:type="dxa"/>
            <w:vAlign w:val="center"/>
          </w:tcPr>
          <w:p>
            <w:pPr>
              <w:pStyle w:val="16"/>
            </w:pPr>
            <w:r>
              <w:t>第三方公司服务质量</w:t>
            </w:r>
          </w:p>
        </w:tc>
        <w:tc>
          <w:tcPr>
            <w:tcW w:w="2268" w:type="dxa"/>
            <w:vAlign w:val="center"/>
          </w:tcPr>
          <w:p>
            <w:pPr>
              <w:pStyle w:val="16"/>
            </w:pPr>
            <w:r>
              <w:t>达到合同要求</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支付及时率</w:t>
            </w:r>
          </w:p>
        </w:tc>
        <w:tc>
          <w:tcPr>
            <w:tcW w:w="2268" w:type="dxa"/>
            <w:vAlign w:val="center"/>
          </w:tcPr>
          <w:p>
            <w:pPr>
              <w:pStyle w:val="16"/>
            </w:pPr>
            <w:r>
              <w:t>≥90百分率</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项目成本</w:t>
            </w:r>
          </w:p>
        </w:tc>
        <w:tc>
          <w:tcPr>
            <w:tcW w:w="2268" w:type="dxa"/>
            <w:vAlign w:val="center"/>
          </w:tcPr>
          <w:p>
            <w:pPr>
              <w:pStyle w:val="16"/>
            </w:pPr>
            <w:r>
              <w:t>≤48.34万元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提高审批效率</w:t>
            </w:r>
          </w:p>
        </w:tc>
        <w:tc>
          <w:tcPr>
            <w:tcW w:w="5386" w:type="dxa"/>
            <w:vAlign w:val="center"/>
          </w:tcPr>
          <w:p>
            <w:pPr>
              <w:pStyle w:val="16"/>
            </w:pPr>
            <w:r>
              <w:t>提高审批效率</w:t>
            </w:r>
          </w:p>
        </w:tc>
        <w:tc>
          <w:tcPr>
            <w:tcW w:w="2268" w:type="dxa"/>
            <w:vAlign w:val="center"/>
          </w:tcPr>
          <w:p>
            <w:pPr>
              <w:pStyle w:val="16"/>
            </w:pPr>
            <w:r>
              <w:t>进一步提高</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单位意见反馈</w:t>
            </w:r>
          </w:p>
        </w:tc>
        <w:tc>
          <w:tcPr>
            <w:tcW w:w="5386" w:type="dxa"/>
            <w:vAlign w:val="center"/>
          </w:tcPr>
          <w:p>
            <w:pPr>
              <w:pStyle w:val="16"/>
            </w:pPr>
            <w:r>
              <w:t>单位意见反馈</w:t>
            </w:r>
          </w:p>
        </w:tc>
        <w:tc>
          <w:tcPr>
            <w:tcW w:w="2268" w:type="dxa"/>
            <w:vAlign w:val="center"/>
          </w:tcPr>
          <w:p>
            <w:pPr>
              <w:pStyle w:val="16"/>
            </w:pPr>
            <w:r>
              <w:t>≥5次</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13011126P00000410376H</w:t>
            </w:r>
          </w:p>
        </w:tc>
        <w:tc>
          <w:tcPr>
            <w:tcW w:w="2835" w:type="dxa"/>
            <w:vAlign w:val="center"/>
          </w:tcPr>
          <w:p>
            <w:pPr>
              <w:pStyle w:val="14"/>
            </w:pPr>
            <w:r>
              <w:t>项目名称</w:t>
            </w:r>
          </w:p>
        </w:tc>
        <w:tc>
          <w:tcPr>
            <w:tcW w:w="6095" w:type="dxa"/>
            <w:gridSpan w:val="3"/>
            <w:vAlign w:val="center"/>
          </w:tcPr>
          <w:p>
            <w:pPr>
              <w:pStyle w:val="16"/>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0.14</w:t>
            </w:r>
          </w:p>
        </w:tc>
        <w:tc>
          <w:tcPr>
            <w:tcW w:w="2835" w:type="dxa"/>
            <w:vAlign w:val="center"/>
          </w:tcPr>
          <w:p>
            <w:pPr>
              <w:pStyle w:val="14"/>
            </w:pPr>
            <w:r>
              <w:t>其中：财政    资金</w:t>
            </w:r>
          </w:p>
        </w:tc>
        <w:tc>
          <w:tcPr>
            <w:tcW w:w="2551" w:type="dxa"/>
            <w:vAlign w:val="center"/>
          </w:tcPr>
          <w:p>
            <w:pPr>
              <w:pStyle w:val="16"/>
            </w:pPr>
            <w:r>
              <w:t>0.14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发放退休人员交通补贴60元/月，每人发放一次性生活补贴300元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0.04</w:t>
            </w:r>
          </w:p>
        </w:tc>
        <w:tc>
          <w:tcPr>
            <w:tcW w:w="2835" w:type="dxa"/>
            <w:vAlign w:val="center"/>
          </w:tcPr>
          <w:p>
            <w:pPr>
              <w:pStyle w:val="17"/>
            </w:pPr>
            <w:r>
              <w:t>0.07</w:t>
            </w:r>
          </w:p>
        </w:tc>
        <w:tc>
          <w:tcPr>
            <w:tcW w:w="2551" w:type="dxa"/>
            <w:vAlign w:val="center"/>
          </w:tcPr>
          <w:p>
            <w:pPr>
              <w:pStyle w:val="17"/>
            </w:pPr>
            <w:r>
              <w:t>0.11</w:t>
            </w:r>
          </w:p>
        </w:tc>
        <w:tc>
          <w:tcPr>
            <w:tcW w:w="3544" w:type="dxa"/>
            <w:gridSpan w:val="2"/>
            <w:vAlign w:val="center"/>
          </w:tcPr>
          <w:p>
            <w:pPr>
              <w:pStyle w:val="17"/>
            </w:pPr>
            <w:r>
              <w:t>0.14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1.发放退休人员交通补贴60元/月，每人发放一次性生活补贴300元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人员数量</w:t>
            </w:r>
          </w:p>
        </w:tc>
        <w:tc>
          <w:tcPr>
            <w:tcW w:w="5386" w:type="dxa"/>
            <w:vAlign w:val="center"/>
          </w:tcPr>
          <w:p>
            <w:pPr>
              <w:pStyle w:val="16"/>
            </w:pPr>
            <w:r>
              <w:t>人员数量</w:t>
            </w:r>
          </w:p>
        </w:tc>
        <w:tc>
          <w:tcPr>
            <w:tcW w:w="2268" w:type="dxa"/>
            <w:vAlign w:val="center"/>
          </w:tcPr>
          <w:p>
            <w:pPr>
              <w:pStyle w:val="16"/>
            </w:pPr>
            <w:r>
              <w:t>3人</w:t>
            </w:r>
          </w:p>
        </w:tc>
        <w:tc>
          <w:tcPr>
            <w:tcW w:w="1276" w:type="dxa"/>
            <w:vAlign w:val="center"/>
          </w:tcPr>
          <w:p>
            <w:pPr>
              <w:pStyle w:val="16"/>
            </w:pPr>
            <w:r>
              <w:t>人社局批复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支付及时率</w:t>
            </w:r>
          </w:p>
        </w:tc>
        <w:tc>
          <w:tcPr>
            <w:tcW w:w="5386" w:type="dxa"/>
            <w:vAlign w:val="center"/>
          </w:tcPr>
          <w:p>
            <w:pPr>
              <w:pStyle w:val="16"/>
            </w:pPr>
            <w:r>
              <w:t>支付及时率</w:t>
            </w:r>
          </w:p>
        </w:tc>
        <w:tc>
          <w:tcPr>
            <w:tcW w:w="2268" w:type="dxa"/>
            <w:vAlign w:val="center"/>
          </w:tcPr>
          <w:p>
            <w:pPr>
              <w:pStyle w:val="16"/>
            </w:pPr>
            <w:r>
              <w:t>≥95百分率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项目实际成本</w:t>
            </w:r>
          </w:p>
        </w:tc>
        <w:tc>
          <w:tcPr>
            <w:tcW w:w="5386" w:type="dxa"/>
            <w:vAlign w:val="center"/>
          </w:tcPr>
          <w:p>
            <w:pPr>
              <w:pStyle w:val="16"/>
            </w:pPr>
            <w:r>
              <w:t>项目实际成本</w:t>
            </w:r>
          </w:p>
        </w:tc>
        <w:tc>
          <w:tcPr>
            <w:tcW w:w="2268" w:type="dxa"/>
            <w:vAlign w:val="center"/>
          </w:tcPr>
          <w:p>
            <w:pPr>
              <w:pStyle w:val="16"/>
            </w:pPr>
            <w:r>
              <w:t>≤0.14万元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提供优质服务</w:t>
            </w:r>
          </w:p>
        </w:tc>
        <w:tc>
          <w:tcPr>
            <w:tcW w:w="5386" w:type="dxa"/>
            <w:vAlign w:val="center"/>
          </w:tcPr>
          <w:p>
            <w:pPr>
              <w:pStyle w:val="16"/>
            </w:pPr>
            <w:r>
              <w:t>提供优质服务</w:t>
            </w:r>
          </w:p>
        </w:tc>
        <w:tc>
          <w:tcPr>
            <w:tcW w:w="2268" w:type="dxa"/>
            <w:vAlign w:val="center"/>
          </w:tcPr>
          <w:p>
            <w:pPr>
              <w:pStyle w:val="16"/>
            </w:pPr>
            <w:r>
              <w:t>及时发放</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≥98百分率</w:t>
            </w:r>
          </w:p>
        </w:tc>
        <w:tc>
          <w:tcPr>
            <w:tcW w:w="1276" w:type="dxa"/>
            <w:vAlign w:val="center"/>
          </w:tcPr>
          <w:p>
            <w:pPr>
              <w:pStyle w:val="16"/>
            </w:pPr>
            <w:r>
              <w:t>历年经验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4、数政局大厅运转经费（电费）绩效目标表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13011126P00000410816Q</w:t>
            </w:r>
          </w:p>
        </w:tc>
        <w:tc>
          <w:tcPr>
            <w:tcW w:w="2835" w:type="dxa"/>
            <w:vAlign w:val="center"/>
          </w:tcPr>
          <w:p>
            <w:pPr>
              <w:pStyle w:val="14"/>
            </w:pPr>
            <w:r>
              <w:t>项目名称</w:t>
            </w:r>
          </w:p>
        </w:tc>
        <w:tc>
          <w:tcPr>
            <w:tcW w:w="6095" w:type="dxa"/>
            <w:gridSpan w:val="3"/>
            <w:vAlign w:val="center"/>
          </w:tcPr>
          <w:p>
            <w:pPr>
              <w:pStyle w:val="16"/>
            </w:pPr>
            <w:r>
              <w:t>数政局大厅运转经费（电费）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150.00</w:t>
            </w:r>
          </w:p>
        </w:tc>
        <w:tc>
          <w:tcPr>
            <w:tcW w:w="2835" w:type="dxa"/>
            <w:vAlign w:val="center"/>
          </w:tcPr>
          <w:p>
            <w:pPr>
              <w:pStyle w:val="14"/>
            </w:pPr>
            <w:r>
              <w:t>其中：财政    资金</w:t>
            </w:r>
          </w:p>
        </w:tc>
        <w:tc>
          <w:tcPr>
            <w:tcW w:w="2551" w:type="dxa"/>
            <w:vAlign w:val="center"/>
          </w:tcPr>
          <w:p>
            <w:pPr>
              <w:pStyle w:val="16"/>
            </w:pPr>
            <w:r>
              <w:t>150.00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实施政府服务标准化，进一步优化营商环境，激发市场主体活力，以高效服务能力助力区域经济社会高质量发展。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37.50</w:t>
            </w:r>
          </w:p>
        </w:tc>
        <w:tc>
          <w:tcPr>
            <w:tcW w:w="2835" w:type="dxa"/>
            <w:vAlign w:val="center"/>
          </w:tcPr>
          <w:p>
            <w:pPr>
              <w:pStyle w:val="17"/>
            </w:pPr>
            <w:r>
              <w:t>75.00</w:t>
            </w:r>
          </w:p>
        </w:tc>
        <w:tc>
          <w:tcPr>
            <w:tcW w:w="2551" w:type="dxa"/>
            <w:vAlign w:val="center"/>
          </w:tcPr>
          <w:p>
            <w:pPr>
              <w:pStyle w:val="17"/>
            </w:pPr>
            <w:r>
              <w:t>112.50</w:t>
            </w:r>
          </w:p>
        </w:tc>
        <w:tc>
          <w:tcPr>
            <w:tcW w:w="3544" w:type="dxa"/>
            <w:gridSpan w:val="2"/>
            <w:vAlign w:val="center"/>
          </w:tcPr>
          <w:p>
            <w:pPr>
              <w:pStyle w:val="17"/>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1.实施政府服务标准化，进一步优化营商环境，激发市场主体活力，以高效服务能力助力区域经济社会高质量发展。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数量指标</w:t>
            </w:r>
          </w:p>
        </w:tc>
        <w:tc>
          <w:tcPr>
            <w:tcW w:w="2268" w:type="dxa"/>
            <w:vAlign w:val="center"/>
          </w:tcPr>
          <w:p>
            <w:pPr>
              <w:pStyle w:val="16"/>
            </w:pPr>
            <w:r>
              <w:t>≥100人</w:t>
            </w:r>
          </w:p>
        </w:tc>
        <w:tc>
          <w:tcPr>
            <w:tcW w:w="1276" w:type="dxa"/>
            <w:vAlign w:val="center"/>
          </w:tcPr>
          <w:p>
            <w:pPr>
              <w:pStyle w:val="16"/>
            </w:pPr>
            <w:r>
              <w:t>参考往年统计数量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质量指标</w:t>
            </w:r>
          </w:p>
        </w:tc>
        <w:tc>
          <w:tcPr>
            <w:tcW w:w="5386" w:type="dxa"/>
            <w:vAlign w:val="center"/>
          </w:tcPr>
          <w:p>
            <w:pPr>
              <w:pStyle w:val="16"/>
            </w:pPr>
            <w:r>
              <w:t>质量指标</w:t>
            </w:r>
          </w:p>
        </w:tc>
        <w:tc>
          <w:tcPr>
            <w:tcW w:w="2268" w:type="dxa"/>
            <w:vAlign w:val="center"/>
          </w:tcPr>
          <w:p>
            <w:pPr>
              <w:pStyle w:val="16"/>
            </w:pPr>
            <w:r>
              <w:t>业务正常提供保障</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委托业务完成及时率(%)</w:t>
            </w:r>
          </w:p>
        </w:tc>
        <w:tc>
          <w:tcPr>
            <w:tcW w:w="5386" w:type="dxa"/>
            <w:vAlign w:val="center"/>
          </w:tcPr>
          <w:p>
            <w:pPr>
              <w:pStyle w:val="16"/>
            </w:pPr>
            <w:r>
              <w:t>委托业务完成及时率(%)</w:t>
            </w:r>
          </w:p>
        </w:tc>
        <w:tc>
          <w:tcPr>
            <w:tcW w:w="2268" w:type="dxa"/>
            <w:vAlign w:val="center"/>
          </w:tcPr>
          <w:p>
            <w:pPr>
              <w:pStyle w:val="16"/>
            </w:pPr>
            <w:r>
              <w:t>≤98百分率</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总成本</w:t>
            </w:r>
          </w:p>
        </w:tc>
        <w:tc>
          <w:tcPr>
            <w:tcW w:w="5386" w:type="dxa"/>
            <w:vAlign w:val="center"/>
          </w:tcPr>
          <w:p>
            <w:pPr>
              <w:pStyle w:val="16"/>
            </w:pPr>
            <w:r>
              <w:t>总成本</w:t>
            </w:r>
          </w:p>
        </w:tc>
        <w:tc>
          <w:tcPr>
            <w:tcW w:w="2268" w:type="dxa"/>
            <w:vAlign w:val="center"/>
          </w:tcPr>
          <w:p>
            <w:pPr>
              <w:pStyle w:val="16"/>
            </w:pPr>
            <w:r>
              <w:t>≤150万元</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保证工作效率</w:t>
            </w:r>
          </w:p>
        </w:tc>
        <w:tc>
          <w:tcPr>
            <w:tcW w:w="1276" w:type="dxa"/>
            <w:vAlign w:val="center"/>
          </w:tcPr>
          <w:p>
            <w:pPr>
              <w:pStyle w:val="16"/>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对象满意度</w:t>
            </w:r>
          </w:p>
        </w:tc>
        <w:tc>
          <w:tcPr>
            <w:tcW w:w="5386" w:type="dxa"/>
            <w:vAlign w:val="center"/>
          </w:tcPr>
          <w:p>
            <w:pPr>
              <w:pStyle w:val="16"/>
            </w:pPr>
            <w:r>
              <w:t>对象满意度</w:t>
            </w:r>
          </w:p>
        </w:tc>
        <w:tc>
          <w:tcPr>
            <w:tcW w:w="2268" w:type="dxa"/>
            <w:vAlign w:val="center"/>
          </w:tcPr>
          <w:p>
            <w:pPr>
              <w:pStyle w:val="16"/>
            </w:pPr>
            <w:r>
              <w:t>≥95百分率</w:t>
            </w:r>
          </w:p>
        </w:tc>
        <w:tc>
          <w:tcPr>
            <w:tcW w:w="1276" w:type="dxa"/>
            <w:vAlign w:val="center"/>
          </w:tcPr>
          <w:p>
            <w:pPr>
              <w:pStyle w:val="16"/>
            </w:pPr>
            <w:r>
              <w:t>实际需求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13011126P00000410386D</w:t>
            </w:r>
          </w:p>
        </w:tc>
        <w:tc>
          <w:tcPr>
            <w:tcW w:w="2835" w:type="dxa"/>
            <w:vAlign w:val="center"/>
          </w:tcPr>
          <w:p>
            <w:pPr>
              <w:pStyle w:val="14"/>
            </w:pPr>
            <w:r>
              <w:t>项目名称</w:t>
            </w:r>
          </w:p>
        </w:tc>
        <w:tc>
          <w:tcPr>
            <w:tcW w:w="6095" w:type="dxa"/>
            <w:gridSpan w:val="3"/>
            <w:vAlign w:val="center"/>
          </w:tcPr>
          <w:p>
            <w:pPr>
              <w:pStyle w:val="16"/>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9.22</w:t>
            </w:r>
          </w:p>
        </w:tc>
        <w:tc>
          <w:tcPr>
            <w:tcW w:w="2835" w:type="dxa"/>
            <w:vAlign w:val="center"/>
          </w:tcPr>
          <w:p>
            <w:pPr>
              <w:pStyle w:val="14"/>
            </w:pPr>
            <w:r>
              <w:t>其中：财政    资金</w:t>
            </w:r>
          </w:p>
        </w:tc>
        <w:tc>
          <w:tcPr>
            <w:tcW w:w="2551" w:type="dxa"/>
            <w:vAlign w:val="center"/>
          </w:tcPr>
          <w:p>
            <w:pPr>
              <w:pStyle w:val="16"/>
            </w:pPr>
            <w:r>
              <w:t>9.22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残保金（残疾人就业保障金）是政府性基金，未按规定比例安排残疾人就业的用人单位需缴纳，核心用于支持残疾人就业与生活保障。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2.30</w:t>
            </w:r>
          </w:p>
        </w:tc>
        <w:tc>
          <w:tcPr>
            <w:tcW w:w="2835" w:type="dxa"/>
            <w:vAlign w:val="center"/>
          </w:tcPr>
          <w:p>
            <w:pPr>
              <w:pStyle w:val="17"/>
            </w:pPr>
            <w:r>
              <w:t>4.61</w:t>
            </w:r>
          </w:p>
        </w:tc>
        <w:tc>
          <w:tcPr>
            <w:tcW w:w="2551" w:type="dxa"/>
            <w:vAlign w:val="center"/>
          </w:tcPr>
          <w:p>
            <w:pPr>
              <w:pStyle w:val="17"/>
            </w:pPr>
            <w:r>
              <w:t>6.91</w:t>
            </w:r>
          </w:p>
        </w:tc>
        <w:tc>
          <w:tcPr>
            <w:tcW w:w="3544" w:type="dxa"/>
            <w:gridSpan w:val="2"/>
            <w:vAlign w:val="center"/>
          </w:tcPr>
          <w:p>
            <w:pPr>
              <w:pStyle w:val="17"/>
            </w:pPr>
            <w:r>
              <w:t>9.22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1.残保金（残疾人就业保障金）是政府性基金，未按规定比例安排残疾人就业的用人单位需缴纳，核心用于支持残疾人就业与生活保障。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数量指标</w:t>
            </w:r>
          </w:p>
        </w:tc>
        <w:tc>
          <w:tcPr>
            <w:tcW w:w="5386" w:type="dxa"/>
            <w:vAlign w:val="center"/>
          </w:tcPr>
          <w:p>
            <w:pPr>
              <w:pStyle w:val="16"/>
            </w:pPr>
            <w:r>
              <w:t>单位人数</w:t>
            </w:r>
          </w:p>
        </w:tc>
        <w:tc>
          <w:tcPr>
            <w:tcW w:w="2268" w:type="dxa"/>
            <w:vAlign w:val="center"/>
          </w:tcPr>
          <w:p>
            <w:pPr>
              <w:pStyle w:val="16"/>
            </w:pPr>
            <w:r>
              <w:t>≥72人</w:t>
            </w:r>
          </w:p>
        </w:tc>
        <w:tc>
          <w:tcPr>
            <w:tcW w:w="1276" w:type="dxa"/>
            <w:vAlign w:val="center"/>
          </w:tcPr>
          <w:p>
            <w:pPr>
              <w:pStyle w:val="16"/>
            </w:pPr>
            <w:r>
              <w:t>根据实际人数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工资标准</w:t>
            </w:r>
          </w:p>
        </w:tc>
        <w:tc>
          <w:tcPr>
            <w:tcW w:w="5386" w:type="dxa"/>
            <w:vAlign w:val="center"/>
          </w:tcPr>
          <w:p>
            <w:pPr>
              <w:pStyle w:val="16"/>
            </w:pPr>
            <w:r>
              <w:t>工资标准比例测算</w:t>
            </w:r>
          </w:p>
        </w:tc>
        <w:tc>
          <w:tcPr>
            <w:tcW w:w="2268" w:type="dxa"/>
            <w:vAlign w:val="center"/>
          </w:tcPr>
          <w:p>
            <w:pPr>
              <w:pStyle w:val="16"/>
            </w:pPr>
            <w:r>
              <w:t>工资标准比例测算</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项目成本</w:t>
            </w:r>
          </w:p>
        </w:tc>
        <w:tc>
          <w:tcPr>
            <w:tcW w:w="5386" w:type="dxa"/>
            <w:vAlign w:val="center"/>
          </w:tcPr>
          <w:p>
            <w:pPr>
              <w:pStyle w:val="16"/>
            </w:pPr>
            <w:r>
              <w:t>项目成本</w:t>
            </w:r>
          </w:p>
        </w:tc>
        <w:tc>
          <w:tcPr>
            <w:tcW w:w="2268" w:type="dxa"/>
            <w:vAlign w:val="center"/>
          </w:tcPr>
          <w:p>
            <w:pPr>
              <w:pStyle w:val="16"/>
            </w:pPr>
            <w:r>
              <w:t>≤9.22万元</w:t>
            </w:r>
          </w:p>
        </w:tc>
        <w:tc>
          <w:tcPr>
            <w:tcW w:w="1276" w:type="dxa"/>
            <w:vAlign w:val="center"/>
          </w:tcPr>
          <w:p>
            <w:pPr>
              <w:pStyle w:val="16"/>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支持残疾人就业与生活保障</w:t>
            </w:r>
          </w:p>
        </w:tc>
        <w:tc>
          <w:tcPr>
            <w:tcW w:w="5386" w:type="dxa"/>
            <w:vAlign w:val="center"/>
          </w:tcPr>
          <w:p>
            <w:pPr>
              <w:pStyle w:val="16"/>
            </w:pPr>
            <w:r>
              <w:t>支持残疾人就业与生活保障</w:t>
            </w:r>
          </w:p>
        </w:tc>
        <w:tc>
          <w:tcPr>
            <w:tcW w:w="2268" w:type="dxa"/>
            <w:vAlign w:val="center"/>
          </w:tcPr>
          <w:p>
            <w:pPr>
              <w:pStyle w:val="16"/>
            </w:pPr>
            <w:r>
              <w:t>支持残疾人就业与生活保障</w:t>
            </w:r>
          </w:p>
        </w:tc>
        <w:tc>
          <w:tcPr>
            <w:tcW w:w="1276" w:type="dxa"/>
            <w:vAlign w:val="center"/>
          </w:tcPr>
          <w:p>
            <w:pPr>
              <w:pStyle w:val="16"/>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w:t>
            </w:r>
          </w:p>
        </w:tc>
        <w:tc>
          <w:tcPr>
            <w:tcW w:w="5386" w:type="dxa"/>
            <w:vAlign w:val="center"/>
          </w:tcPr>
          <w:p>
            <w:pPr>
              <w:pStyle w:val="16"/>
            </w:pPr>
            <w:r>
              <w:t>服务对象满意</w:t>
            </w:r>
          </w:p>
        </w:tc>
        <w:tc>
          <w:tcPr>
            <w:tcW w:w="2268" w:type="dxa"/>
            <w:vAlign w:val="center"/>
          </w:tcPr>
          <w:p>
            <w:pPr>
              <w:pStyle w:val="16"/>
            </w:pPr>
            <w:r>
              <w:t>≥95百分率</w:t>
            </w:r>
          </w:p>
        </w:tc>
        <w:tc>
          <w:tcPr>
            <w:tcW w:w="1276" w:type="dxa"/>
            <w:vAlign w:val="center"/>
          </w:tcPr>
          <w:p>
            <w:pPr>
              <w:pStyle w:val="16"/>
            </w:pPr>
            <w:r>
              <w:t>无</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6、业务咨询委托费绩效目标表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13011126P00000410997L</w:t>
            </w:r>
          </w:p>
        </w:tc>
        <w:tc>
          <w:tcPr>
            <w:tcW w:w="2835" w:type="dxa"/>
            <w:vAlign w:val="center"/>
          </w:tcPr>
          <w:p>
            <w:pPr>
              <w:pStyle w:val="14"/>
            </w:pPr>
            <w:r>
              <w:t>项目名称</w:t>
            </w:r>
          </w:p>
        </w:tc>
        <w:tc>
          <w:tcPr>
            <w:tcW w:w="6095" w:type="dxa"/>
            <w:gridSpan w:val="3"/>
            <w:vAlign w:val="center"/>
          </w:tcPr>
          <w:p>
            <w:pPr>
              <w:pStyle w:val="16"/>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160.00</w:t>
            </w:r>
          </w:p>
        </w:tc>
        <w:tc>
          <w:tcPr>
            <w:tcW w:w="2835" w:type="dxa"/>
            <w:vAlign w:val="center"/>
          </w:tcPr>
          <w:p>
            <w:pPr>
              <w:pStyle w:val="14"/>
            </w:pPr>
            <w:r>
              <w:t>其中：财政    资金</w:t>
            </w:r>
          </w:p>
        </w:tc>
        <w:tc>
          <w:tcPr>
            <w:tcW w:w="2551" w:type="dxa"/>
            <w:vAlign w:val="center"/>
          </w:tcPr>
          <w:p>
            <w:pPr>
              <w:pStyle w:val="16"/>
            </w:pPr>
            <w:r>
              <w:t>160.00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1、为环境管理科学决策服务，提高审批效率；2、开展对投资项目进行可研、初设、社会稳定风险等咨询评审，加强投资决策的科学性合规性。3、保证社会组织变更、注销等事项依法依规进行，维护社会组织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40.00</w:t>
            </w:r>
          </w:p>
        </w:tc>
        <w:tc>
          <w:tcPr>
            <w:tcW w:w="2835" w:type="dxa"/>
            <w:vAlign w:val="center"/>
          </w:tcPr>
          <w:p>
            <w:pPr>
              <w:pStyle w:val="17"/>
            </w:pPr>
            <w:r>
              <w:t>80.00</w:t>
            </w:r>
          </w:p>
        </w:tc>
        <w:tc>
          <w:tcPr>
            <w:tcW w:w="2551" w:type="dxa"/>
            <w:vAlign w:val="center"/>
          </w:tcPr>
          <w:p>
            <w:pPr>
              <w:pStyle w:val="17"/>
            </w:pPr>
            <w:r>
              <w:t>120.00</w:t>
            </w:r>
          </w:p>
        </w:tc>
        <w:tc>
          <w:tcPr>
            <w:tcW w:w="3544" w:type="dxa"/>
            <w:gridSpan w:val="2"/>
            <w:vAlign w:val="center"/>
          </w:tcPr>
          <w:p>
            <w:pPr>
              <w:pStyle w:val="17"/>
            </w:pPr>
            <w:r>
              <w:t>160.00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1.1、为环境管理科学决策服务，提高审批效率；2、开展对投资项目进行可研、初设、社会稳定风险等咨询评审，加强投资决策的科学性合规性。3、保证社会组织变更、注销等事项依法依规进行，维护社会组织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技术评估数量</w:t>
            </w:r>
          </w:p>
        </w:tc>
        <w:tc>
          <w:tcPr>
            <w:tcW w:w="5386" w:type="dxa"/>
            <w:vAlign w:val="center"/>
          </w:tcPr>
          <w:p>
            <w:pPr>
              <w:pStyle w:val="16"/>
            </w:pPr>
            <w:r>
              <w:t>开展技术评估数量</w:t>
            </w:r>
          </w:p>
        </w:tc>
        <w:tc>
          <w:tcPr>
            <w:tcW w:w="2268" w:type="dxa"/>
            <w:vAlign w:val="center"/>
          </w:tcPr>
          <w:p>
            <w:pPr>
              <w:pStyle w:val="16"/>
            </w:pPr>
            <w:r>
              <w:t>&gt;80项</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评估报告参考度</w:t>
            </w:r>
          </w:p>
        </w:tc>
        <w:tc>
          <w:tcPr>
            <w:tcW w:w="5386" w:type="dxa"/>
            <w:vAlign w:val="center"/>
          </w:tcPr>
          <w:p>
            <w:pPr>
              <w:pStyle w:val="16"/>
            </w:pPr>
            <w:r>
              <w:t>评估报告参考度</w:t>
            </w:r>
          </w:p>
        </w:tc>
        <w:tc>
          <w:tcPr>
            <w:tcW w:w="2268" w:type="dxa"/>
            <w:vAlign w:val="center"/>
          </w:tcPr>
          <w:p>
            <w:pPr>
              <w:pStyle w:val="16"/>
            </w:pPr>
            <w:r>
              <w:t>参考高度</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资金支付及时性</w:t>
            </w:r>
          </w:p>
        </w:tc>
        <w:tc>
          <w:tcPr>
            <w:tcW w:w="5386" w:type="dxa"/>
            <w:vAlign w:val="center"/>
          </w:tcPr>
          <w:p>
            <w:pPr>
              <w:pStyle w:val="16"/>
            </w:pPr>
            <w:r>
              <w:t>资金支付及时性</w:t>
            </w:r>
          </w:p>
        </w:tc>
        <w:tc>
          <w:tcPr>
            <w:tcW w:w="2268" w:type="dxa"/>
            <w:vAlign w:val="center"/>
          </w:tcPr>
          <w:p>
            <w:pPr>
              <w:pStyle w:val="16"/>
            </w:pPr>
            <w:r>
              <w:t>及时支付</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成本控制性</w:t>
            </w:r>
          </w:p>
        </w:tc>
        <w:tc>
          <w:tcPr>
            <w:tcW w:w="5386" w:type="dxa"/>
            <w:vAlign w:val="center"/>
          </w:tcPr>
          <w:p>
            <w:pPr>
              <w:pStyle w:val="16"/>
            </w:pPr>
            <w:r>
              <w:t>不超预算</w:t>
            </w:r>
          </w:p>
        </w:tc>
        <w:tc>
          <w:tcPr>
            <w:tcW w:w="2268" w:type="dxa"/>
            <w:vAlign w:val="center"/>
          </w:tcPr>
          <w:p>
            <w:pPr>
              <w:pStyle w:val="16"/>
            </w:pPr>
            <w:r>
              <w:t>≤160万元</w:t>
            </w:r>
          </w:p>
        </w:tc>
        <w:tc>
          <w:tcPr>
            <w:tcW w:w="1276" w:type="dxa"/>
            <w:vAlign w:val="center"/>
          </w:tcPr>
          <w:p>
            <w:pPr>
              <w:pStyle w:val="16"/>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保障工作正常开展</w:t>
            </w:r>
          </w:p>
        </w:tc>
        <w:tc>
          <w:tcPr>
            <w:tcW w:w="5386" w:type="dxa"/>
            <w:vAlign w:val="center"/>
          </w:tcPr>
          <w:p>
            <w:pPr>
              <w:pStyle w:val="16"/>
            </w:pPr>
            <w:r>
              <w:t>保障工作正常开展</w:t>
            </w:r>
          </w:p>
        </w:tc>
        <w:tc>
          <w:tcPr>
            <w:tcW w:w="2268" w:type="dxa"/>
            <w:vAlign w:val="center"/>
          </w:tcPr>
          <w:p>
            <w:pPr>
              <w:pStyle w:val="16"/>
            </w:pPr>
            <w:r>
              <w:t>工作正常开展</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单位员工满意度</w:t>
            </w:r>
          </w:p>
        </w:tc>
        <w:tc>
          <w:tcPr>
            <w:tcW w:w="5386" w:type="dxa"/>
            <w:vAlign w:val="center"/>
          </w:tcPr>
          <w:p>
            <w:pPr>
              <w:pStyle w:val="16"/>
            </w:pPr>
            <w:r>
              <w:t>单位员工满意度</w:t>
            </w:r>
          </w:p>
        </w:tc>
        <w:tc>
          <w:tcPr>
            <w:tcW w:w="2268" w:type="dxa"/>
            <w:vAlign w:val="center"/>
          </w:tcPr>
          <w:p>
            <w:pPr>
              <w:pStyle w:val="16"/>
            </w:pPr>
            <w:r>
              <w:t>≥90百分率</w:t>
            </w:r>
          </w:p>
        </w:tc>
        <w:tc>
          <w:tcPr>
            <w:tcW w:w="1276" w:type="dxa"/>
            <w:vAlign w:val="center"/>
          </w:tcPr>
          <w:p>
            <w:pPr>
              <w:pStyle w:val="16"/>
            </w:pPr>
            <w:r>
              <w:t>调查问卷</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7、栾城区数据和政务服务局房屋租赁项目绩效目标表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13011126P00000410382Y</w:t>
            </w:r>
          </w:p>
        </w:tc>
        <w:tc>
          <w:tcPr>
            <w:tcW w:w="2835" w:type="dxa"/>
            <w:vAlign w:val="center"/>
          </w:tcPr>
          <w:p>
            <w:pPr>
              <w:pStyle w:val="14"/>
            </w:pPr>
            <w:r>
              <w:t>项目名称</w:t>
            </w:r>
          </w:p>
        </w:tc>
        <w:tc>
          <w:tcPr>
            <w:tcW w:w="6095" w:type="dxa"/>
            <w:gridSpan w:val="3"/>
            <w:vAlign w:val="center"/>
          </w:tcPr>
          <w:p>
            <w:pPr>
              <w:pStyle w:val="16"/>
            </w:pPr>
            <w:r>
              <w:t>栾城区数据和政务服务局房屋租赁项目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173.55</w:t>
            </w:r>
          </w:p>
        </w:tc>
        <w:tc>
          <w:tcPr>
            <w:tcW w:w="2835" w:type="dxa"/>
            <w:vAlign w:val="center"/>
          </w:tcPr>
          <w:p>
            <w:pPr>
              <w:pStyle w:val="14"/>
            </w:pPr>
            <w:r>
              <w:t>其中：财政    资金</w:t>
            </w:r>
          </w:p>
        </w:tc>
        <w:tc>
          <w:tcPr>
            <w:tcW w:w="2551" w:type="dxa"/>
            <w:vAlign w:val="center"/>
          </w:tcPr>
          <w:p>
            <w:pPr>
              <w:pStyle w:val="16"/>
            </w:pPr>
            <w:r>
              <w:t>173.55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及时支付租赁办公场所的租赁费，满足日常办公的需要，保障日常办公的正常需求，确保各个办公区域正常运行。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43.39</w:t>
            </w:r>
          </w:p>
        </w:tc>
        <w:tc>
          <w:tcPr>
            <w:tcW w:w="2835" w:type="dxa"/>
            <w:vAlign w:val="center"/>
          </w:tcPr>
          <w:p>
            <w:pPr>
              <w:pStyle w:val="17"/>
            </w:pPr>
            <w:r>
              <w:t>86.77</w:t>
            </w:r>
          </w:p>
        </w:tc>
        <w:tc>
          <w:tcPr>
            <w:tcW w:w="2551" w:type="dxa"/>
            <w:vAlign w:val="center"/>
          </w:tcPr>
          <w:p>
            <w:pPr>
              <w:pStyle w:val="17"/>
            </w:pPr>
            <w:r>
              <w:t>130.16</w:t>
            </w:r>
          </w:p>
        </w:tc>
        <w:tc>
          <w:tcPr>
            <w:tcW w:w="3544" w:type="dxa"/>
            <w:gridSpan w:val="2"/>
            <w:vAlign w:val="center"/>
          </w:tcPr>
          <w:p>
            <w:pPr>
              <w:pStyle w:val="17"/>
            </w:pPr>
            <w:r>
              <w:t>173.55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1.及时支付租赁办公场所的租赁费，满足日常办公的需要，保障日常办公的正常需求，确保各个办公区域正常运行。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租赁房屋面积</w:t>
            </w:r>
          </w:p>
        </w:tc>
        <w:tc>
          <w:tcPr>
            <w:tcW w:w="5386" w:type="dxa"/>
            <w:vAlign w:val="center"/>
          </w:tcPr>
          <w:p>
            <w:pPr>
              <w:pStyle w:val="16"/>
            </w:pPr>
            <w:r>
              <w:t>贺邦大厦3629平方米</w:t>
            </w:r>
          </w:p>
        </w:tc>
        <w:tc>
          <w:tcPr>
            <w:tcW w:w="2268" w:type="dxa"/>
            <w:vAlign w:val="center"/>
          </w:tcPr>
          <w:p>
            <w:pPr>
              <w:pStyle w:val="16"/>
            </w:pPr>
            <w:r>
              <w:t>≥3629平方米</w:t>
            </w:r>
          </w:p>
        </w:tc>
        <w:tc>
          <w:tcPr>
            <w:tcW w:w="1276" w:type="dxa"/>
            <w:vAlign w:val="center"/>
          </w:tcPr>
          <w:p>
            <w:pPr>
              <w:pStyle w:val="16"/>
            </w:pPr>
            <w:r>
              <w:t>实际需求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办公用房正常运转率</w:t>
            </w:r>
          </w:p>
        </w:tc>
        <w:tc>
          <w:tcPr>
            <w:tcW w:w="5386" w:type="dxa"/>
            <w:vAlign w:val="center"/>
          </w:tcPr>
          <w:p>
            <w:pPr>
              <w:pStyle w:val="16"/>
            </w:pPr>
            <w:r>
              <w:t>办公用房正常运转率</w:t>
            </w:r>
          </w:p>
        </w:tc>
        <w:tc>
          <w:tcPr>
            <w:tcW w:w="2268" w:type="dxa"/>
            <w:vAlign w:val="center"/>
          </w:tcPr>
          <w:p>
            <w:pPr>
              <w:pStyle w:val="16"/>
            </w:pPr>
            <w:r>
              <w:t>≥99百分率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租赁支付及时性</w:t>
            </w:r>
          </w:p>
        </w:tc>
        <w:tc>
          <w:tcPr>
            <w:tcW w:w="5386" w:type="dxa"/>
            <w:vAlign w:val="center"/>
          </w:tcPr>
          <w:p>
            <w:pPr>
              <w:pStyle w:val="16"/>
            </w:pPr>
            <w:r>
              <w:t>及时支付租金</w:t>
            </w:r>
          </w:p>
        </w:tc>
        <w:tc>
          <w:tcPr>
            <w:tcW w:w="2268" w:type="dxa"/>
            <w:vAlign w:val="center"/>
          </w:tcPr>
          <w:p>
            <w:pPr>
              <w:pStyle w:val="16"/>
            </w:pPr>
            <w:r>
              <w:t>≥95百分率</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租赁成本</w:t>
            </w:r>
          </w:p>
        </w:tc>
        <w:tc>
          <w:tcPr>
            <w:tcW w:w="5386" w:type="dxa"/>
            <w:vAlign w:val="center"/>
          </w:tcPr>
          <w:p>
            <w:pPr>
              <w:pStyle w:val="16"/>
            </w:pPr>
            <w:r>
              <w:t>控制预算数</w:t>
            </w:r>
          </w:p>
        </w:tc>
        <w:tc>
          <w:tcPr>
            <w:tcW w:w="2268" w:type="dxa"/>
            <w:vAlign w:val="center"/>
          </w:tcPr>
          <w:p>
            <w:pPr>
              <w:pStyle w:val="16"/>
            </w:pPr>
            <w:r>
              <w:t>≤173.5</w:t>
            </w:r>
            <w:r>
              <w:rPr>
                <w:rFonts w:hint="eastAsia"/>
                <w:lang w:val="en-US" w:eastAsia="zh-CN"/>
              </w:rPr>
              <w:t>5</w:t>
            </w:r>
            <w:r>
              <w:t>万元</w:t>
            </w:r>
          </w:p>
        </w:tc>
        <w:tc>
          <w:tcPr>
            <w:tcW w:w="1276" w:type="dxa"/>
            <w:vAlign w:val="center"/>
          </w:tcPr>
          <w:p>
            <w:pPr>
              <w:pStyle w:val="16"/>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提升服务能力</w:t>
            </w:r>
          </w:p>
        </w:tc>
        <w:tc>
          <w:tcPr>
            <w:tcW w:w="5386" w:type="dxa"/>
            <w:vAlign w:val="center"/>
          </w:tcPr>
          <w:p>
            <w:pPr>
              <w:pStyle w:val="16"/>
            </w:pPr>
            <w:r>
              <w:t>进一步提升服务</w:t>
            </w:r>
          </w:p>
        </w:tc>
        <w:tc>
          <w:tcPr>
            <w:tcW w:w="2268" w:type="dxa"/>
            <w:vAlign w:val="center"/>
          </w:tcPr>
          <w:p>
            <w:pPr>
              <w:pStyle w:val="16"/>
            </w:pPr>
            <w:r>
              <w:t>提升服务能力</w:t>
            </w:r>
          </w:p>
        </w:tc>
        <w:tc>
          <w:tcPr>
            <w:tcW w:w="1276" w:type="dxa"/>
            <w:vAlign w:val="center"/>
          </w:tcPr>
          <w:p>
            <w:pPr>
              <w:pStyle w:val="16"/>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&lt;2次</w:t>
            </w:r>
          </w:p>
        </w:tc>
        <w:tc>
          <w:tcPr>
            <w:tcW w:w="1276" w:type="dxa"/>
            <w:vAlign w:val="center"/>
          </w:tcPr>
          <w:p>
            <w:pPr>
              <w:pStyle w:val="16"/>
            </w:pPr>
            <w:r>
              <w:t>无</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rPr>
                <w:rFonts w:hint="eastAsia"/>
                <w:lang w:val="en-US" w:eastAsia="zh-CN"/>
              </w:rPr>
              <w:t>161</w:t>
            </w:r>
            <w:r>
              <w:t>.57</w:t>
            </w:r>
          </w:p>
        </w:tc>
        <w:tc>
          <w:tcPr>
            <w:tcW w:w="964" w:type="dxa"/>
            <w:vAlign w:val="center"/>
          </w:tcPr>
          <w:p>
            <w:pPr>
              <w:pStyle w:val="19"/>
            </w:pPr>
            <w:r>
              <w:rPr>
                <w:rFonts w:hint="eastAsia"/>
                <w:lang w:val="en-US" w:eastAsia="zh-CN"/>
              </w:rPr>
              <w:t>16</w:t>
            </w:r>
            <w:r>
              <w:t>1.57</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rPr>
                <w:rFonts w:hint="eastAsia"/>
                <w:lang w:val="en-US" w:eastAsia="zh-CN"/>
              </w:rPr>
              <w:t>16</w:t>
            </w: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石家庄市栾城区数据和政务服务局本级小计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rPr>
                <w:rFonts w:hint="eastAsia"/>
                <w:lang w:val="en-US" w:eastAsia="zh-CN"/>
              </w:rPr>
              <w:t>16</w:t>
            </w:r>
            <w:r>
              <w:t>1.57</w:t>
            </w:r>
          </w:p>
        </w:tc>
        <w:tc>
          <w:tcPr>
            <w:tcW w:w="964" w:type="dxa"/>
            <w:vAlign w:val="center"/>
          </w:tcPr>
          <w:p>
            <w:pPr>
              <w:pStyle w:val="19"/>
            </w:pPr>
            <w:r>
              <w:rPr>
                <w:rFonts w:hint="eastAsia"/>
                <w:lang w:val="en-US" w:eastAsia="zh-CN"/>
              </w:rPr>
              <w:t>16</w:t>
            </w:r>
            <w:r>
              <w:t>1.57</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rPr>
                <w:rFonts w:hint="eastAsia"/>
                <w:lang w:val="en-US" w:eastAsia="zh-CN"/>
              </w:rPr>
              <w:t>16</w:t>
            </w:r>
            <w:r>
              <w:t>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6"/>
            </w:pPr>
            <w:r>
              <w:t>公用经费一</w:t>
            </w:r>
          </w:p>
        </w:tc>
        <w:tc>
          <w:tcPr>
            <w:tcW w:w="964" w:type="dxa"/>
            <w:vAlign w:val="center"/>
          </w:tcPr>
          <w:p>
            <w:pPr>
              <w:pStyle w:val="15"/>
              <w:jc w:val="center"/>
            </w:pPr>
            <w:r>
              <w:t>14.25</w:t>
            </w:r>
          </w:p>
        </w:tc>
        <w:tc>
          <w:tcPr>
            <w:tcW w:w="1134" w:type="dxa"/>
            <w:vAlign w:val="center"/>
          </w:tcPr>
          <w:p>
            <w:pPr>
              <w:pStyle w:val="16"/>
              <w:jc w:val="center"/>
            </w:pPr>
            <w:r>
              <w:t>其他办公设备</w:t>
            </w:r>
          </w:p>
        </w:tc>
        <w:tc>
          <w:tcPr>
            <w:tcW w:w="1134" w:type="dxa"/>
            <w:vAlign w:val="center"/>
          </w:tcPr>
          <w:p>
            <w:pPr>
              <w:pStyle w:val="16"/>
              <w:jc w:val="center"/>
            </w:pPr>
            <w:r>
              <w:t>A02029900</w:t>
            </w:r>
          </w:p>
        </w:tc>
        <w:tc>
          <w:tcPr>
            <w:tcW w:w="709" w:type="dxa"/>
            <w:vAlign w:val="center"/>
          </w:tcPr>
          <w:p>
            <w:pPr>
              <w:pStyle w:val="17"/>
              <w:jc w:val="center"/>
            </w:pPr>
            <w:r>
              <w:t>台</w:t>
            </w:r>
          </w:p>
        </w:tc>
        <w:tc>
          <w:tcPr>
            <w:tcW w:w="850" w:type="dxa"/>
            <w:vAlign w:val="center"/>
          </w:tcPr>
          <w:p>
            <w:pPr>
              <w:pStyle w:val="15"/>
              <w:jc w:val="center"/>
            </w:pPr>
            <w:r>
              <w:t>1</w:t>
            </w:r>
          </w:p>
        </w:tc>
        <w:tc>
          <w:tcPr>
            <w:tcW w:w="850" w:type="dxa"/>
            <w:vAlign w:val="center"/>
          </w:tcPr>
          <w:p>
            <w:pPr>
              <w:pStyle w:val="15"/>
              <w:jc w:val="center"/>
            </w:pPr>
            <w:r>
              <w:t>0.47</w:t>
            </w:r>
          </w:p>
        </w:tc>
        <w:tc>
          <w:tcPr>
            <w:tcW w:w="964" w:type="dxa"/>
            <w:vAlign w:val="center"/>
          </w:tcPr>
          <w:p>
            <w:pPr>
              <w:pStyle w:val="15"/>
              <w:jc w:val="center"/>
            </w:pPr>
            <w:r>
              <w:t>0.47</w:t>
            </w:r>
          </w:p>
        </w:tc>
        <w:tc>
          <w:tcPr>
            <w:tcW w:w="964" w:type="dxa"/>
            <w:vAlign w:val="center"/>
          </w:tcPr>
          <w:p>
            <w:pPr>
              <w:pStyle w:val="15"/>
              <w:jc w:val="center"/>
            </w:pPr>
            <w:r>
              <w:t>0.47</w:t>
            </w: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jc w:val="center"/>
            </w:pPr>
            <w:r>
              <w:t>14.25</w:t>
            </w:r>
          </w:p>
        </w:tc>
        <w:tc>
          <w:tcPr>
            <w:tcW w:w="1134" w:type="dxa"/>
            <w:vAlign w:val="center"/>
          </w:tcPr>
          <w:p>
            <w:pPr>
              <w:pStyle w:val="16"/>
              <w:jc w:val="center"/>
            </w:pPr>
            <w:r>
              <w:t>复印纸</w:t>
            </w:r>
          </w:p>
        </w:tc>
        <w:tc>
          <w:tcPr>
            <w:tcW w:w="1134" w:type="dxa"/>
            <w:vAlign w:val="center"/>
          </w:tcPr>
          <w:p>
            <w:pPr>
              <w:pStyle w:val="16"/>
              <w:jc w:val="center"/>
            </w:pPr>
            <w:r>
              <w:t>A05040101</w:t>
            </w:r>
          </w:p>
        </w:tc>
        <w:tc>
          <w:tcPr>
            <w:tcW w:w="709" w:type="dxa"/>
            <w:vAlign w:val="center"/>
          </w:tcPr>
          <w:p>
            <w:pPr>
              <w:pStyle w:val="17"/>
              <w:jc w:val="center"/>
            </w:pPr>
            <w:r>
              <w:t>批</w:t>
            </w:r>
          </w:p>
        </w:tc>
        <w:tc>
          <w:tcPr>
            <w:tcW w:w="850" w:type="dxa"/>
            <w:vAlign w:val="center"/>
          </w:tcPr>
          <w:p>
            <w:pPr>
              <w:pStyle w:val="15"/>
              <w:jc w:val="center"/>
            </w:pPr>
            <w:r>
              <w:t>1</w:t>
            </w:r>
          </w:p>
        </w:tc>
        <w:tc>
          <w:tcPr>
            <w:tcW w:w="850" w:type="dxa"/>
            <w:vAlign w:val="center"/>
          </w:tcPr>
          <w:p>
            <w:pPr>
              <w:pStyle w:val="15"/>
              <w:jc w:val="center"/>
            </w:pPr>
            <w:r>
              <w:t>1.10</w:t>
            </w:r>
          </w:p>
        </w:tc>
        <w:tc>
          <w:tcPr>
            <w:tcW w:w="964" w:type="dxa"/>
            <w:vAlign w:val="center"/>
          </w:tcPr>
          <w:p>
            <w:pPr>
              <w:pStyle w:val="15"/>
              <w:jc w:val="center"/>
            </w:pPr>
            <w:r>
              <w:t>1.10</w:t>
            </w:r>
          </w:p>
        </w:tc>
        <w:tc>
          <w:tcPr>
            <w:tcW w:w="964" w:type="dxa"/>
            <w:vAlign w:val="center"/>
          </w:tcPr>
          <w:p>
            <w:pPr>
              <w:pStyle w:val="15"/>
              <w:jc w:val="center"/>
            </w:pPr>
            <w:r>
              <w:t>1.10</w:t>
            </w: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p>
        </w:tc>
        <w:tc>
          <w:tcPr>
            <w:tcW w:w="964" w:type="dxa"/>
            <w:vAlign w:val="center"/>
          </w:tcPr>
          <w:p>
            <w:pPr>
              <w:pStyle w:val="15"/>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shd w:val="clear" w:color="auto" w:fill="auto"/>
            <w:vAlign w:val="center"/>
          </w:tcPr>
          <w:p>
            <w:pPr>
              <w:pStyle w:val="16"/>
              <w:ind w:firstLine="0" w:firstLineChars="0"/>
              <w:rPr>
                <w:rFonts w:ascii="方正书宋_GBK" w:hAnsi="方正书宋_GBK" w:eastAsia="方正书宋_GBK" w:cs="方正书宋_GBK"/>
                <w:sz w:val="21"/>
                <w:szCs w:val="24"/>
                <w:lang w:val="en-US" w:eastAsia="uk-UA" w:bidi="ar-SA"/>
              </w:rPr>
            </w:pPr>
            <w:r>
              <w:t>业务咨询委托费</w:t>
            </w:r>
          </w:p>
        </w:tc>
        <w:tc>
          <w:tcPr>
            <w:tcW w:w="964" w:type="dxa"/>
            <w:shd w:val="clear" w:color="auto" w:fill="auto"/>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160</w:t>
            </w:r>
          </w:p>
        </w:tc>
        <w:tc>
          <w:tcPr>
            <w:tcW w:w="1134" w:type="dxa"/>
            <w:shd w:val="clear" w:color="auto" w:fill="auto"/>
            <w:vAlign w:val="center"/>
          </w:tcPr>
          <w:p>
            <w:pPr>
              <w:pStyle w:val="16"/>
              <w:ind w:firstLine="0" w:firstLineChars="0"/>
              <w:jc w:val="center"/>
              <w:rPr>
                <w:rFonts w:ascii="方正书宋_GBK" w:hAnsi="方正书宋_GBK" w:eastAsia="方正书宋_GBK" w:cs="方正书宋_GBK"/>
                <w:sz w:val="21"/>
                <w:szCs w:val="24"/>
                <w:lang w:val="en-US" w:eastAsia="uk-UA" w:bidi="ar-SA"/>
              </w:rPr>
            </w:pPr>
            <w:r>
              <w:rPr>
                <w:rFonts w:hint="eastAsia"/>
              </w:rPr>
              <w:t>业务咨询委托费</w:t>
            </w:r>
          </w:p>
        </w:tc>
        <w:tc>
          <w:tcPr>
            <w:tcW w:w="1134" w:type="dxa"/>
            <w:shd w:val="clear" w:color="auto" w:fill="auto"/>
            <w:vAlign w:val="center"/>
          </w:tcPr>
          <w:p>
            <w:pPr>
              <w:pStyle w:val="16"/>
              <w:ind w:firstLine="0" w:firstLineChars="0"/>
              <w:jc w:val="center"/>
              <w:rPr>
                <w:rFonts w:ascii="方正书宋_GBK" w:hAnsi="方正书宋_GBK" w:eastAsia="方正书宋_GBK" w:cs="方正书宋_GBK"/>
                <w:sz w:val="21"/>
                <w:szCs w:val="24"/>
                <w:lang w:val="en-US" w:eastAsia="zh-CN" w:bidi="ar-SA"/>
              </w:rPr>
            </w:pPr>
            <w:r>
              <w:rPr>
                <w:rFonts w:hint="eastAsia"/>
                <w:lang w:eastAsia="zh-CN"/>
              </w:rPr>
              <w:t>C09</w:t>
            </w:r>
          </w:p>
        </w:tc>
        <w:tc>
          <w:tcPr>
            <w:tcW w:w="709" w:type="dxa"/>
            <w:shd w:val="clear" w:color="auto" w:fill="auto"/>
            <w:vAlign w:val="center"/>
          </w:tcPr>
          <w:p>
            <w:pPr>
              <w:pStyle w:val="16"/>
              <w:ind w:firstLine="0" w:firstLineChars="0"/>
              <w:jc w:val="center"/>
              <w:rPr>
                <w:rFonts w:ascii="方正书宋_GBK" w:hAnsi="方正书宋_GBK" w:eastAsia="方正书宋_GBK" w:cs="方正书宋_GBK"/>
                <w:sz w:val="21"/>
                <w:szCs w:val="24"/>
                <w:lang w:val="en-US" w:eastAsia="zh-CN" w:bidi="ar-SA"/>
              </w:rPr>
            </w:pPr>
            <w:r>
              <w:rPr>
                <w:rFonts w:hint="eastAsia"/>
                <w:lang w:eastAsia="zh-CN"/>
              </w:rPr>
              <w:t>批</w:t>
            </w:r>
          </w:p>
        </w:tc>
        <w:tc>
          <w:tcPr>
            <w:tcW w:w="850" w:type="dxa"/>
            <w:shd w:val="clear" w:color="auto" w:fill="auto"/>
            <w:vAlign w:val="center"/>
          </w:tcPr>
          <w:p>
            <w:pPr>
              <w:pStyle w:val="15"/>
              <w:ind w:firstLine="0" w:firstLineChars="0"/>
              <w:jc w:val="center"/>
              <w:rPr>
                <w:rFonts w:cs="方正书宋_GBK" w:asciiTheme="minorEastAsia" w:hAnsiTheme="minorEastAsia" w:eastAsiaTheme="minorEastAsia"/>
                <w:sz w:val="21"/>
                <w:szCs w:val="24"/>
                <w:lang w:val="en-US" w:eastAsia="zh-CN" w:bidi="ar-SA"/>
              </w:rPr>
            </w:pPr>
            <w:r>
              <w:rPr>
                <w:rFonts w:hint="eastAsia" w:asciiTheme="minorEastAsia" w:hAnsiTheme="minorEastAsia" w:eastAsiaTheme="minorEastAsia"/>
                <w:lang w:eastAsia="zh-CN"/>
              </w:rPr>
              <w:t>1</w:t>
            </w:r>
          </w:p>
        </w:tc>
        <w:tc>
          <w:tcPr>
            <w:tcW w:w="850" w:type="dxa"/>
            <w:shd w:val="clear" w:color="auto" w:fill="auto"/>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160</w:t>
            </w:r>
          </w:p>
        </w:tc>
        <w:tc>
          <w:tcPr>
            <w:tcW w:w="964" w:type="dxa"/>
            <w:shd w:val="clear" w:color="auto" w:fill="auto"/>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160</w:t>
            </w:r>
          </w:p>
        </w:tc>
        <w:tc>
          <w:tcPr>
            <w:tcW w:w="964" w:type="dxa"/>
            <w:shd w:val="clear" w:color="auto" w:fill="auto"/>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160</w:t>
            </w: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ascii="方正书宋_GBK" w:hAnsi="方正书宋_GBK" w:eastAsia="方正书宋_GBK" w:cs="方正书宋_GBK"/>
                <w:sz w:val="21"/>
                <w:szCs w:val="24"/>
                <w:lang w:val="en-US" w:eastAsia="uk-UA" w:bidi="ar-SA"/>
              </w:rPr>
            </w:pPr>
          </w:p>
        </w:tc>
        <w:tc>
          <w:tcPr>
            <w:tcW w:w="964" w:type="dxa"/>
            <w:shd w:val="clear" w:color="auto" w:fill="auto"/>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石家庄市栾城区数据和政务服务局本级上年末固定资产金额为237.00万元（详见下表）。本年度拟购置固定资产总额为</w:t>
      </w:r>
      <w:r>
        <w:rPr>
          <w:rFonts w:hint="eastAsia" w:eastAsia="方正仿宋_GBK" w:cs="Times New Roman"/>
          <w:b w:val="0"/>
          <w:color w:val="000000"/>
          <w:sz w:val="28"/>
          <w:lang w:val="en-US" w:eastAsia="zh-CN"/>
        </w:rPr>
        <w:t>0.47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305001石家庄市栾城区数据和政务服务局本级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rPr>
                <w:rFonts w:hint="default" w:eastAsia="方正书宋_GBK"/>
                <w:lang w:val="en-US" w:eastAsia="zh-CN"/>
              </w:rPr>
            </w:pPr>
            <w:r>
              <w:rPr>
                <w:rFonts w:hint="eastAsia"/>
                <w:lang w:val="en-US" w:eastAsia="zh-CN"/>
              </w:rPr>
              <w:t>622</w:t>
            </w:r>
          </w:p>
        </w:tc>
        <w:tc>
          <w:tcPr>
            <w:tcW w:w="2835" w:type="dxa"/>
            <w:vAlign w:val="center"/>
          </w:tcPr>
          <w:p>
            <w:pPr>
              <w:pStyle w:val="15"/>
            </w:pPr>
            <w:r>
              <w:t>237.00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rPr>
                <w:rFonts w:hint="eastAsia" w:eastAsia="方正书宋_GBK"/>
                <w:lang w:val="en-US" w:eastAsia="zh-CN"/>
              </w:rPr>
            </w:pPr>
            <w:r>
              <w:rPr>
                <w:rFonts w:hint="eastAsia"/>
                <w:lang w:val="en-US" w:eastAsia="zh-CN"/>
              </w:rPr>
              <w:t>1</w:t>
            </w:r>
          </w:p>
        </w:tc>
        <w:tc>
          <w:tcPr>
            <w:tcW w:w="2835" w:type="dxa"/>
            <w:vAlign w:val="center"/>
          </w:tcPr>
          <w:p>
            <w:pPr>
              <w:pStyle w:val="15"/>
              <w:rPr>
                <w:rFonts w:hint="default" w:eastAsia="方正书宋_GBK"/>
                <w:lang w:val="en-US" w:eastAsia="zh-CN"/>
              </w:rPr>
            </w:pPr>
            <w:r>
              <w:rPr>
                <w:rFonts w:hint="eastAsia"/>
                <w:lang w:val="en-US" w:eastAsia="zh-CN"/>
              </w:rPr>
              <w:t>53.86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rPr>
                <w:rFonts w:hint="default" w:eastAsia="方正书宋_GBK"/>
                <w:lang w:val="en-US" w:eastAsia="zh-CN"/>
              </w:rPr>
            </w:pPr>
            <w:r>
              <w:rPr>
                <w:rFonts w:hint="eastAsia"/>
                <w:lang w:val="en-US" w:eastAsia="zh-CN"/>
              </w:rPr>
              <w:t>620</w:t>
            </w:r>
          </w:p>
        </w:tc>
        <w:tc>
          <w:tcPr>
            <w:tcW w:w="2835" w:type="dxa"/>
            <w:vAlign w:val="center"/>
          </w:tcPr>
          <w:p>
            <w:pPr>
              <w:pStyle w:val="15"/>
              <w:rPr>
                <w:rFonts w:hint="default" w:eastAsia="方正书宋_GBK"/>
                <w:lang w:val="en-US" w:eastAsia="zh-CN"/>
              </w:rPr>
            </w:pPr>
            <w:r>
              <w:rPr>
                <w:rFonts w:hint="eastAsia"/>
                <w:lang w:val="en-US" w:eastAsia="zh-CN"/>
              </w:rPr>
              <w:t>181.14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4148"/>
      <w:r>
        <w:rPr>
          <w:rFonts w:ascii="方正小标宋_GBK" w:hAnsi="方正小标宋_GBK" w:eastAsia="方正小标宋_GBK" w:cs="方正小标宋_GBK"/>
          <w:b w:val="0"/>
          <w:color w:val="000000"/>
          <w:sz w:val="44"/>
        </w:rPr>
        <w:t>二、石家庄市栾城区行政审批服务中心收支预算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667.14</w:t>
            </w:r>
          </w:p>
        </w:tc>
        <w:tc>
          <w:tcPr>
            <w:tcW w:w="4535" w:type="dxa"/>
            <w:vAlign w:val="center"/>
          </w:tcPr>
          <w:p>
            <w:pPr>
              <w:pStyle w:val="16"/>
            </w:pPr>
            <w:r>
              <w:t>一、一般公共服务支出</w:t>
            </w:r>
          </w:p>
        </w:tc>
        <w:tc>
          <w:tcPr>
            <w:tcW w:w="2126" w:type="dxa"/>
            <w:vAlign w:val="center"/>
          </w:tcPr>
          <w:p>
            <w:pPr>
              <w:pStyle w:val="15"/>
            </w:pPr>
            <w:r>
              <w:t>571.71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667.14</w:t>
            </w:r>
          </w:p>
        </w:tc>
        <w:tc>
          <w:tcPr>
            <w:tcW w:w="4535" w:type="dxa"/>
            <w:vAlign w:val="center"/>
          </w:tcPr>
          <w:p>
            <w:pPr>
              <w:pStyle w:val="18"/>
            </w:pPr>
            <w:r>
              <w:t>本年支出合计</w:t>
            </w:r>
          </w:p>
        </w:tc>
        <w:tc>
          <w:tcPr>
            <w:tcW w:w="2126" w:type="dxa"/>
            <w:vAlign w:val="center"/>
          </w:tcPr>
          <w:p>
            <w:pPr>
              <w:pStyle w:val="19"/>
            </w:pPr>
            <w:r>
              <w:t>667.14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667.14</w:t>
            </w:r>
          </w:p>
        </w:tc>
        <w:tc>
          <w:tcPr>
            <w:tcW w:w="4535" w:type="dxa"/>
            <w:vAlign w:val="center"/>
          </w:tcPr>
          <w:p>
            <w:pPr>
              <w:pStyle w:val="18"/>
            </w:pPr>
            <w:r>
              <w:t>支出总计</w:t>
            </w:r>
          </w:p>
        </w:tc>
        <w:tc>
          <w:tcPr>
            <w:tcW w:w="2126" w:type="dxa"/>
            <w:vAlign w:val="center"/>
          </w:tcPr>
          <w:p>
            <w:pPr>
              <w:pStyle w:val="19"/>
            </w:pPr>
            <w:r>
              <w:t>667.14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667.14</w:t>
            </w:r>
          </w:p>
        </w:tc>
        <w:tc>
          <w:tcPr>
            <w:tcW w:w="1134" w:type="dxa"/>
            <w:vAlign w:val="center"/>
          </w:tcPr>
          <w:p>
            <w:pPr>
              <w:pStyle w:val="19"/>
            </w:pPr>
            <w:r>
              <w:t>667.14</w:t>
            </w:r>
          </w:p>
        </w:tc>
        <w:tc>
          <w:tcPr>
            <w:tcW w:w="1134" w:type="dxa"/>
            <w:vAlign w:val="center"/>
          </w:tcPr>
          <w:p>
            <w:pPr>
              <w:pStyle w:val="19"/>
            </w:pPr>
            <w:r>
              <w:t>667.14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2010350</w:t>
            </w:r>
          </w:p>
        </w:tc>
        <w:tc>
          <w:tcPr>
            <w:tcW w:w="1559" w:type="dxa"/>
            <w:vAlign w:val="center"/>
          </w:tcPr>
          <w:p>
            <w:pPr>
              <w:pStyle w:val="16"/>
            </w:pPr>
            <w:r>
              <w:t>事业运行</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r>
              <w:t>571.71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64.27</w:t>
            </w:r>
          </w:p>
        </w:tc>
        <w:tc>
          <w:tcPr>
            <w:tcW w:w="1134" w:type="dxa"/>
            <w:vAlign w:val="center"/>
          </w:tcPr>
          <w:p>
            <w:pPr>
              <w:pStyle w:val="15"/>
            </w:pPr>
            <w:r>
              <w:t>64.27</w:t>
            </w:r>
          </w:p>
        </w:tc>
        <w:tc>
          <w:tcPr>
            <w:tcW w:w="1134" w:type="dxa"/>
            <w:vAlign w:val="center"/>
          </w:tcPr>
          <w:p>
            <w:pPr>
              <w:pStyle w:val="15"/>
            </w:pPr>
            <w:r>
              <w:t>64.27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60.84</w:t>
            </w:r>
          </w:p>
        </w:tc>
        <w:tc>
          <w:tcPr>
            <w:tcW w:w="1134" w:type="dxa"/>
            <w:vAlign w:val="center"/>
          </w:tcPr>
          <w:p>
            <w:pPr>
              <w:pStyle w:val="15"/>
            </w:pPr>
            <w:r>
              <w:t>60.84</w:t>
            </w:r>
          </w:p>
        </w:tc>
        <w:tc>
          <w:tcPr>
            <w:tcW w:w="1134" w:type="dxa"/>
            <w:vAlign w:val="center"/>
          </w:tcPr>
          <w:p>
            <w:pPr>
              <w:pStyle w:val="15"/>
            </w:pPr>
            <w:r>
              <w:t>60.84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60.84</w:t>
            </w:r>
          </w:p>
        </w:tc>
        <w:tc>
          <w:tcPr>
            <w:tcW w:w="1134" w:type="dxa"/>
            <w:vAlign w:val="center"/>
          </w:tcPr>
          <w:p>
            <w:pPr>
              <w:pStyle w:val="15"/>
            </w:pPr>
            <w:r>
              <w:t>60.84</w:t>
            </w:r>
          </w:p>
        </w:tc>
        <w:tc>
          <w:tcPr>
            <w:tcW w:w="1134" w:type="dxa"/>
            <w:vAlign w:val="center"/>
          </w:tcPr>
          <w:p>
            <w:pPr>
              <w:pStyle w:val="15"/>
            </w:pPr>
            <w:r>
              <w:t>60.84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3.44</w:t>
            </w:r>
          </w:p>
        </w:tc>
        <w:tc>
          <w:tcPr>
            <w:tcW w:w="1134" w:type="dxa"/>
            <w:vAlign w:val="center"/>
          </w:tcPr>
          <w:p>
            <w:pPr>
              <w:pStyle w:val="15"/>
            </w:pPr>
            <w:r>
              <w:t>3.44</w:t>
            </w:r>
          </w:p>
        </w:tc>
        <w:tc>
          <w:tcPr>
            <w:tcW w:w="1134" w:type="dxa"/>
            <w:vAlign w:val="center"/>
          </w:tcPr>
          <w:p>
            <w:pPr>
              <w:pStyle w:val="15"/>
            </w:pPr>
            <w:r>
              <w:t>3.44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2.01</w:t>
            </w:r>
          </w:p>
        </w:tc>
        <w:tc>
          <w:tcPr>
            <w:tcW w:w="1134" w:type="dxa"/>
            <w:vAlign w:val="center"/>
          </w:tcPr>
          <w:p>
            <w:pPr>
              <w:pStyle w:val="15"/>
            </w:pPr>
            <w:r>
              <w:t>2.01</w:t>
            </w:r>
          </w:p>
        </w:tc>
        <w:tc>
          <w:tcPr>
            <w:tcW w:w="1134" w:type="dxa"/>
            <w:vAlign w:val="center"/>
          </w:tcPr>
          <w:p>
            <w:pPr>
              <w:pStyle w:val="15"/>
            </w:pPr>
            <w:r>
              <w:t>2.01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1.43</w:t>
            </w:r>
          </w:p>
        </w:tc>
        <w:tc>
          <w:tcPr>
            <w:tcW w:w="1134" w:type="dxa"/>
            <w:vAlign w:val="center"/>
          </w:tcPr>
          <w:p>
            <w:pPr>
              <w:pStyle w:val="15"/>
            </w:pPr>
            <w:r>
              <w:t>1.43</w:t>
            </w:r>
          </w:p>
        </w:tc>
        <w:tc>
          <w:tcPr>
            <w:tcW w:w="1134" w:type="dxa"/>
            <w:vAlign w:val="center"/>
          </w:tcPr>
          <w:p>
            <w:pPr>
              <w:pStyle w:val="15"/>
            </w:pPr>
            <w:r>
              <w:t>1.43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r>
              <w:t>31.15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667.14</w:t>
            </w:r>
          </w:p>
        </w:tc>
        <w:tc>
          <w:tcPr>
            <w:tcW w:w="1361" w:type="dxa"/>
            <w:vAlign w:val="center"/>
          </w:tcPr>
          <w:p>
            <w:pPr>
              <w:pStyle w:val="19"/>
            </w:pPr>
            <w:r>
              <w:t>667.14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571.71</w:t>
            </w:r>
          </w:p>
        </w:tc>
        <w:tc>
          <w:tcPr>
            <w:tcW w:w="1361" w:type="dxa"/>
            <w:vAlign w:val="center"/>
          </w:tcPr>
          <w:p>
            <w:pPr>
              <w:pStyle w:val="15"/>
            </w:pPr>
            <w:r>
              <w:t>571.71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571.71</w:t>
            </w:r>
          </w:p>
        </w:tc>
        <w:tc>
          <w:tcPr>
            <w:tcW w:w="1361" w:type="dxa"/>
            <w:vAlign w:val="center"/>
          </w:tcPr>
          <w:p>
            <w:pPr>
              <w:pStyle w:val="15"/>
            </w:pPr>
            <w:r>
              <w:t>571.71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2010350</w:t>
            </w:r>
          </w:p>
        </w:tc>
        <w:tc>
          <w:tcPr>
            <w:tcW w:w="4535" w:type="dxa"/>
            <w:vAlign w:val="center"/>
          </w:tcPr>
          <w:p>
            <w:pPr>
              <w:pStyle w:val="16"/>
            </w:pPr>
            <w:r>
              <w:t>事业运行</w:t>
            </w:r>
          </w:p>
        </w:tc>
        <w:tc>
          <w:tcPr>
            <w:tcW w:w="1361" w:type="dxa"/>
            <w:vAlign w:val="center"/>
          </w:tcPr>
          <w:p>
            <w:pPr>
              <w:pStyle w:val="15"/>
            </w:pPr>
            <w:r>
              <w:t>571.71</w:t>
            </w:r>
          </w:p>
        </w:tc>
        <w:tc>
          <w:tcPr>
            <w:tcW w:w="1361" w:type="dxa"/>
            <w:vAlign w:val="center"/>
          </w:tcPr>
          <w:p>
            <w:pPr>
              <w:pStyle w:val="15"/>
            </w:pPr>
            <w:r>
              <w:t>571.71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64.27</w:t>
            </w:r>
          </w:p>
        </w:tc>
        <w:tc>
          <w:tcPr>
            <w:tcW w:w="1361" w:type="dxa"/>
            <w:vAlign w:val="center"/>
          </w:tcPr>
          <w:p>
            <w:pPr>
              <w:pStyle w:val="15"/>
            </w:pPr>
            <w:r>
              <w:t>64.27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60.84</w:t>
            </w:r>
          </w:p>
        </w:tc>
        <w:tc>
          <w:tcPr>
            <w:tcW w:w="1361" w:type="dxa"/>
            <w:vAlign w:val="center"/>
          </w:tcPr>
          <w:p>
            <w:pPr>
              <w:pStyle w:val="15"/>
            </w:pPr>
            <w:r>
              <w:t>60.84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60.84</w:t>
            </w:r>
          </w:p>
        </w:tc>
        <w:tc>
          <w:tcPr>
            <w:tcW w:w="1361" w:type="dxa"/>
            <w:vAlign w:val="center"/>
          </w:tcPr>
          <w:p>
            <w:pPr>
              <w:pStyle w:val="15"/>
            </w:pPr>
            <w:r>
              <w:t>60.84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3.44</w:t>
            </w:r>
          </w:p>
        </w:tc>
        <w:tc>
          <w:tcPr>
            <w:tcW w:w="1361" w:type="dxa"/>
            <w:vAlign w:val="center"/>
          </w:tcPr>
          <w:p>
            <w:pPr>
              <w:pStyle w:val="15"/>
            </w:pPr>
            <w:r>
              <w:t>3.44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2.01</w:t>
            </w:r>
          </w:p>
        </w:tc>
        <w:tc>
          <w:tcPr>
            <w:tcW w:w="1361" w:type="dxa"/>
            <w:vAlign w:val="center"/>
          </w:tcPr>
          <w:p>
            <w:pPr>
              <w:pStyle w:val="15"/>
            </w:pPr>
            <w:r>
              <w:t>2.01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1.43</w:t>
            </w:r>
          </w:p>
        </w:tc>
        <w:tc>
          <w:tcPr>
            <w:tcW w:w="1361" w:type="dxa"/>
            <w:vAlign w:val="center"/>
          </w:tcPr>
          <w:p>
            <w:pPr>
              <w:pStyle w:val="15"/>
            </w:pPr>
            <w:r>
              <w:t>1.43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31.15</w:t>
            </w:r>
          </w:p>
        </w:tc>
        <w:tc>
          <w:tcPr>
            <w:tcW w:w="1361" w:type="dxa"/>
            <w:vAlign w:val="center"/>
          </w:tcPr>
          <w:p>
            <w:pPr>
              <w:pStyle w:val="15"/>
            </w:pPr>
            <w:r>
              <w:t>31.15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31.15</w:t>
            </w:r>
          </w:p>
        </w:tc>
        <w:tc>
          <w:tcPr>
            <w:tcW w:w="1361" w:type="dxa"/>
            <w:vAlign w:val="center"/>
          </w:tcPr>
          <w:p>
            <w:pPr>
              <w:pStyle w:val="15"/>
            </w:pPr>
            <w:r>
              <w:t>31.15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31.15</w:t>
            </w:r>
          </w:p>
        </w:tc>
        <w:tc>
          <w:tcPr>
            <w:tcW w:w="1361" w:type="dxa"/>
            <w:vAlign w:val="center"/>
          </w:tcPr>
          <w:p>
            <w:pPr>
              <w:pStyle w:val="15"/>
            </w:pPr>
            <w:r>
              <w:t>31.15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667.14</w:t>
            </w:r>
          </w:p>
        </w:tc>
        <w:tc>
          <w:tcPr>
            <w:tcW w:w="3402" w:type="dxa"/>
            <w:vAlign w:val="center"/>
          </w:tcPr>
          <w:p>
            <w:pPr>
              <w:pStyle w:val="16"/>
            </w:pPr>
            <w:r>
              <w:t>一、一般公共服务支出</w:t>
            </w:r>
          </w:p>
        </w:tc>
        <w:tc>
          <w:tcPr>
            <w:tcW w:w="1474" w:type="dxa"/>
            <w:vAlign w:val="center"/>
          </w:tcPr>
          <w:p>
            <w:pPr>
              <w:pStyle w:val="15"/>
            </w:pPr>
            <w:r>
              <w:t>571.71</w:t>
            </w:r>
          </w:p>
        </w:tc>
        <w:tc>
          <w:tcPr>
            <w:tcW w:w="1474" w:type="dxa"/>
            <w:vAlign w:val="center"/>
          </w:tcPr>
          <w:p>
            <w:pPr>
              <w:pStyle w:val="15"/>
            </w:pPr>
            <w:r>
              <w:t>571.71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64.27</w:t>
            </w:r>
          </w:p>
        </w:tc>
        <w:tc>
          <w:tcPr>
            <w:tcW w:w="1474" w:type="dxa"/>
            <w:vAlign w:val="center"/>
          </w:tcPr>
          <w:p>
            <w:pPr>
              <w:pStyle w:val="15"/>
            </w:pPr>
            <w:r>
              <w:t>64.27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31.15</w:t>
            </w:r>
          </w:p>
        </w:tc>
        <w:tc>
          <w:tcPr>
            <w:tcW w:w="1474" w:type="dxa"/>
            <w:vAlign w:val="center"/>
          </w:tcPr>
          <w:p>
            <w:pPr>
              <w:pStyle w:val="15"/>
            </w:pPr>
            <w:r>
              <w:t>31.15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667.14</w:t>
            </w:r>
          </w:p>
        </w:tc>
        <w:tc>
          <w:tcPr>
            <w:tcW w:w="3402" w:type="dxa"/>
            <w:vAlign w:val="center"/>
          </w:tcPr>
          <w:p>
            <w:pPr>
              <w:pStyle w:val="18"/>
            </w:pPr>
            <w:r>
              <w:t>本年支出合计</w:t>
            </w:r>
          </w:p>
        </w:tc>
        <w:tc>
          <w:tcPr>
            <w:tcW w:w="1474" w:type="dxa"/>
            <w:vAlign w:val="center"/>
          </w:tcPr>
          <w:p>
            <w:pPr>
              <w:pStyle w:val="19"/>
            </w:pPr>
            <w:r>
              <w:t>667.14</w:t>
            </w:r>
          </w:p>
        </w:tc>
        <w:tc>
          <w:tcPr>
            <w:tcW w:w="1474" w:type="dxa"/>
            <w:vAlign w:val="center"/>
          </w:tcPr>
          <w:p>
            <w:pPr>
              <w:pStyle w:val="19"/>
            </w:pPr>
            <w:r>
              <w:t>667.14</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667.14</w:t>
            </w:r>
          </w:p>
        </w:tc>
        <w:tc>
          <w:tcPr>
            <w:tcW w:w="3402" w:type="dxa"/>
            <w:vAlign w:val="center"/>
          </w:tcPr>
          <w:p>
            <w:pPr>
              <w:pStyle w:val="18"/>
            </w:pPr>
            <w:r>
              <w:t>支出总计</w:t>
            </w:r>
          </w:p>
        </w:tc>
        <w:tc>
          <w:tcPr>
            <w:tcW w:w="1474" w:type="dxa"/>
            <w:vAlign w:val="center"/>
          </w:tcPr>
          <w:p>
            <w:pPr>
              <w:pStyle w:val="19"/>
            </w:pPr>
            <w:r>
              <w:t>667.14</w:t>
            </w:r>
          </w:p>
        </w:tc>
        <w:tc>
          <w:tcPr>
            <w:tcW w:w="1474" w:type="dxa"/>
            <w:vAlign w:val="center"/>
          </w:tcPr>
          <w:p>
            <w:pPr>
              <w:pStyle w:val="19"/>
            </w:pPr>
            <w:r>
              <w:t>667.14</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667.14</w:t>
            </w:r>
          </w:p>
        </w:tc>
        <w:tc>
          <w:tcPr>
            <w:tcW w:w="2551" w:type="dxa"/>
            <w:vAlign w:val="center"/>
          </w:tcPr>
          <w:p>
            <w:pPr>
              <w:pStyle w:val="19"/>
            </w:pPr>
            <w:r>
              <w:t>667.14</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571.71</w:t>
            </w:r>
          </w:p>
        </w:tc>
        <w:tc>
          <w:tcPr>
            <w:tcW w:w="2551" w:type="dxa"/>
            <w:vAlign w:val="center"/>
          </w:tcPr>
          <w:p>
            <w:pPr>
              <w:pStyle w:val="15"/>
            </w:pPr>
            <w:r>
              <w:t>571.71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571.71</w:t>
            </w:r>
          </w:p>
        </w:tc>
        <w:tc>
          <w:tcPr>
            <w:tcW w:w="2551" w:type="dxa"/>
            <w:vAlign w:val="center"/>
          </w:tcPr>
          <w:p>
            <w:pPr>
              <w:pStyle w:val="15"/>
            </w:pPr>
            <w:r>
              <w:t>571.71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2010350</w:t>
            </w:r>
          </w:p>
        </w:tc>
        <w:tc>
          <w:tcPr>
            <w:tcW w:w="4535" w:type="dxa"/>
            <w:vAlign w:val="center"/>
          </w:tcPr>
          <w:p>
            <w:pPr>
              <w:pStyle w:val="16"/>
            </w:pPr>
            <w:r>
              <w:t>事业运行</w:t>
            </w:r>
          </w:p>
        </w:tc>
        <w:tc>
          <w:tcPr>
            <w:tcW w:w="2551" w:type="dxa"/>
            <w:vAlign w:val="center"/>
          </w:tcPr>
          <w:p>
            <w:pPr>
              <w:pStyle w:val="15"/>
            </w:pPr>
            <w:r>
              <w:t>571.71</w:t>
            </w:r>
          </w:p>
        </w:tc>
        <w:tc>
          <w:tcPr>
            <w:tcW w:w="2551" w:type="dxa"/>
            <w:vAlign w:val="center"/>
          </w:tcPr>
          <w:p>
            <w:pPr>
              <w:pStyle w:val="15"/>
            </w:pPr>
            <w:r>
              <w:t>571.71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64.27</w:t>
            </w:r>
          </w:p>
        </w:tc>
        <w:tc>
          <w:tcPr>
            <w:tcW w:w="2551" w:type="dxa"/>
            <w:vAlign w:val="center"/>
          </w:tcPr>
          <w:p>
            <w:pPr>
              <w:pStyle w:val="15"/>
            </w:pPr>
            <w:r>
              <w:t>64.27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60.84</w:t>
            </w:r>
          </w:p>
        </w:tc>
        <w:tc>
          <w:tcPr>
            <w:tcW w:w="2551" w:type="dxa"/>
            <w:vAlign w:val="center"/>
          </w:tcPr>
          <w:p>
            <w:pPr>
              <w:pStyle w:val="15"/>
            </w:pPr>
            <w:r>
              <w:t>60.84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60.84</w:t>
            </w:r>
          </w:p>
        </w:tc>
        <w:tc>
          <w:tcPr>
            <w:tcW w:w="2551" w:type="dxa"/>
            <w:vAlign w:val="center"/>
          </w:tcPr>
          <w:p>
            <w:pPr>
              <w:pStyle w:val="15"/>
            </w:pPr>
            <w:r>
              <w:t>60.84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3.44</w:t>
            </w:r>
          </w:p>
        </w:tc>
        <w:tc>
          <w:tcPr>
            <w:tcW w:w="2551" w:type="dxa"/>
            <w:vAlign w:val="center"/>
          </w:tcPr>
          <w:p>
            <w:pPr>
              <w:pStyle w:val="15"/>
            </w:pPr>
            <w:r>
              <w:t>3.44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2.01</w:t>
            </w:r>
          </w:p>
        </w:tc>
        <w:tc>
          <w:tcPr>
            <w:tcW w:w="2551" w:type="dxa"/>
            <w:vAlign w:val="center"/>
          </w:tcPr>
          <w:p>
            <w:pPr>
              <w:pStyle w:val="15"/>
            </w:pPr>
            <w:r>
              <w:t>2.01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1.43</w:t>
            </w:r>
          </w:p>
        </w:tc>
        <w:tc>
          <w:tcPr>
            <w:tcW w:w="2551" w:type="dxa"/>
            <w:vAlign w:val="center"/>
          </w:tcPr>
          <w:p>
            <w:pPr>
              <w:pStyle w:val="15"/>
            </w:pPr>
            <w:r>
              <w:t>1.43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31.15</w:t>
            </w:r>
          </w:p>
        </w:tc>
        <w:tc>
          <w:tcPr>
            <w:tcW w:w="2551" w:type="dxa"/>
            <w:vAlign w:val="center"/>
          </w:tcPr>
          <w:p>
            <w:pPr>
              <w:pStyle w:val="15"/>
            </w:pPr>
            <w:r>
              <w:t>31.15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31.15</w:t>
            </w:r>
          </w:p>
        </w:tc>
        <w:tc>
          <w:tcPr>
            <w:tcW w:w="2551" w:type="dxa"/>
            <w:vAlign w:val="center"/>
          </w:tcPr>
          <w:p>
            <w:pPr>
              <w:pStyle w:val="15"/>
            </w:pPr>
            <w:r>
              <w:t>31.15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31.15</w:t>
            </w:r>
          </w:p>
        </w:tc>
        <w:tc>
          <w:tcPr>
            <w:tcW w:w="2551" w:type="dxa"/>
            <w:vAlign w:val="center"/>
          </w:tcPr>
          <w:p>
            <w:pPr>
              <w:pStyle w:val="15"/>
            </w:pPr>
            <w:r>
              <w:t>31.15</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667.14</w:t>
            </w:r>
          </w:p>
        </w:tc>
        <w:tc>
          <w:tcPr>
            <w:tcW w:w="2551" w:type="dxa"/>
            <w:vAlign w:val="center"/>
          </w:tcPr>
          <w:p>
            <w:pPr>
              <w:pStyle w:val="19"/>
            </w:pPr>
            <w:r>
              <w:t>634.34</w:t>
            </w:r>
          </w:p>
        </w:tc>
        <w:tc>
          <w:tcPr>
            <w:tcW w:w="2551" w:type="dxa"/>
            <w:vAlign w:val="center"/>
          </w:tcPr>
          <w:p>
            <w:pPr>
              <w:pStyle w:val="19"/>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630.30</w:t>
            </w:r>
          </w:p>
        </w:tc>
        <w:tc>
          <w:tcPr>
            <w:tcW w:w="2551" w:type="dxa"/>
            <w:vAlign w:val="center"/>
          </w:tcPr>
          <w:p>
            <w:pPr>
              <w:pStyle w:val="15"/>
            </w:pPr>
            <w:r>
              <w:t>630.30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177.50</w:t>
            </w:r>
          </w:p>
        </w:tc>
        <w:tc>
          <w:tcPr>
            <w:tcW w:w="2551" w:type="dxa"/>
            <w:vAlign w:val="center"/>
          </w:tcPr>
          <w:p>
            <w:pPr>
              <w:pStyle w:val="15"/>
            </w:pPr>
            <w:r>
              <w:t>177.50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33.43</w:t>
            </w:r>
          </w:p>
        </w:tc>
        <w:tc>
          <w:tcPr>
            <w:tcW w:w="2551" w:type="dxa"/>
            <w:vAlign w:val="center"/>
          </w:tcPr>
          <w:p>
            <w:pPr>
              <w:pStyle w:val="15"/>
            </w:pPr>
            <w:r>
              <w:t>33.43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270.47</w:t>
            </w:r>
          </w:p>
        </w:tc>
        <w:tc>
          <w:tcPr>
            <w:tcW w:w="2551" w:type="dxa"/>
            <w:vAlign w:val="center"/>
          </w:tcPr>
          <w:p>
            <w:pPr>
              <w:pStyle w:val="15"/>
            </w:pPr>
            <w:r>
              <w:t>270.47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60.84</w:t>
            </w:r>
          </w:p>
        </w:tc>
        <w:tc>
          <w:tcPr>
            <w:tcW w:w="2551" w:type="dxa"/>
            <w:vAlign w:val="center"/>
          </w:tcPr>
          <w:p>
            <w:pPr>
              <w:pStyle w:val="15"/>
            </w:pPr>
            <w:r>
              <w:t>60.84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31.15</w:t>
            </w:r>
          </w:p>
        </w:tc>
        <w:tc>
          <w:tcPr>
            <w:tcW w:w="2551" w:type="dxa"/>
            <w:vAlign w:val="center"/>
          </w:tcPr>
          <w:p>
            <w:pPr>
              <w:pStyle w:val="15"/>
            </w:pPr>
            <w:r>
              <w:t>31.15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3.44</w:t>
            </w:r>
          </w:p>
        </w:tc>
        <w:tc>
          <w:tcPr>
            <w:tcW w:w="2551" w:type="dxa"/>
            <w:vAlign w:val="center"/>
          </w:tcPr>
          <w:p>
            <w:pPr>
              <w:pStyle w:val="15"/>
            </w:pPr>
            <w:r>
              <w:t>3.44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53.46</w:t>
            </w:r>
          </w:p>
        </w:tc>
        <w:tc>
          <w:tcPr>
            <w:tcW w:w="2551" w:type="dxa"/>
            <w:vAlign w:val="center"/>
          </w:tcPr>
          <w:p>
            <w:pPr>
              <w:pStyle w:val="15"/>
            </w:pPr>
            <w:r>
              <w:t>53.46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32.80</w:t>
            </w:r>
          </w:p>
        </w:tc>
        <w:tc>
          <w:tcPr>
            <w:tcW w:w="2551" w:type="dxa"/>
            <w:vAlign w:val="center"/>
          </w:tcPr>
          <w:p>
            <w:pPr>
              <w:pStyle w:val="15"/>
            </w:pPr>
          </w:p>
        </w:tc>
        <w:tc>
          <w:tcPr>
            <w:tcW w:w="2551" w:type="dxa"/>
            <w:vAlign w:val="center"/>
          </w:tcPr>
          <w:p>
            <w:pPr>
              <w:pStyle w:val="15"/>
            </w:pPr>
            <w:r>
              <w:t>32.80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17.94</w:t>
            </w:r>
          </w:p>
        </w:tc>
        <w:tc>
          <w:tcPr>
            <w:tcW w:w="2551" w:type="dxa"/>
            <w:vAlign w:val="center"/>
          </w:tcPr>
          <w:p>
            <w:pPr>
              <w:pStyle w:val="15"/>
            </w:pPr>
          </w:p>
        </w:tc>
        <w:tc>
          <w:tcPr>
            <w:tcW w:w="2551" w:type="dxa"/>
            <w:vAlign w:val="center"/>
          </w:tcPr>
          <w:p>
            <w:pPr>
              <w:pStyle w:val="15"/>
            </w:pPr>
            <w: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1.59</w:t>
            </w:r>
          </w:p>
        </w:tc>
        <w:tc>
          <w:tcPr>
            <w:tcW w:w="2551" w:type="dxa"/>
            <w:vAlign w:val="center"/>
          </w:tcPr>
          <w:p>
            <w:pPr>
              <w:pStyle w:val="15"/>
            </w:pPr>
          </w:p>
        </w:tc>
        <w:tc>
          <w:tcPr>
            <w:tcW w:w="2551" w:type="dxa"/>
            <w:vAlign w:val="center"/>
          </w:tcPr>
          <w:p>
            <w:pPr>
              <w:pStyle w:val="15"/>
            </w:pPr>
            <w:r>
              <w:t>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2.22</w:t>
            </w:r>
          </w:p>
        </w:tc>
        <w:tc>
          <w:tcPr>
            <w:tcW w:w="2551" w:type="dxa"/>
            <w:vAlign w:val="center"/>
          </w:tcPr>
          <w:p>
            <w:pPr>
              <w:pStyle w:val="15"/>
            </w:pPr>
          </w:p>
        </w:tc>
        <w:tc>
          <w:tcPr>
            <w:tcW w:w="2551" w:type="dxa"/>
            <w:vAlign w:val="center"/>
          </w:tcPr>
          <w:p>
            <w:pPr>
              <w:pStyle w:val="15"/>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3.44</w:t>
            </w:r>
          </w:p>
        </w:tc>
        <w:tc>
          <w:tcPr>
            <w:tcW w:w="2551" w:type="dxa"/>
            <w:vAlign w:val="center"/>
          </w:tcPr>
          <w:p>
            <w:pPr>
              <w:pStyle w:val="15"/>
            </w:pPr>
          </w:p>
        </w:tc>
        <w:tc>
          <w:tcPr>
            <w:tcW w:w="2551" w:type="dxa"/>
            <w:vAlign w:val="center"/>
          </w:tcPr>
          <w:p>
            <w:pPr>
              <w:pStyle w:val="15"/>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6.98</w:t>
            </w:r>
          </w:p>
        </w:tc>
        <w:tc>
          <w:tcPr>
            <w:tcW w:w="2551" w:type="dxa"/>
            <w:vAlign w:val="center"/>
          </w:tcPr>
          <w:p>
            <w:pPr>
              <w:pStyle w:val="15"/>
            </w:pPr>
          </w:p>
        </w:tc>
        <w:tc>
          <w:tcPr>
            <w:tcW w:w="2551" w:type="dxa"/>
            <w:vAlign w:val="center"/>
          </w:tcPr>
          <w:p>
            <w:pPr>
              <w:pStyle w:val="15"/>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0.63</w:t>
            </w:r>
          </w:p>
        </w:tc>
        <w:tc>
          <w:tcPr>
            <w:tcW w:w="2551" w:type="dxa"/>
            <w:vAlign w:val="center"/>
          </w:tcPr>
          <w:p>
            <w:pPr>
              <w:pStyle w:val="15"/>
            </w:pPr>
          </w:p>
        </w:tc>
        <w:tc>
          <w:tcPr>
            <w:tcW w:w="2551" w:type="dxa"/>
            <w:vAlign w:val="center"/>
          </w:tcPr>
          <w:p>
            <w:pPr>
              <w:pStyle w:val="15"/>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4.04</w:t>
            </w:r>
          </w:p>
        </w:tc>
        <w:tc>
          <w:tcPr>
            <w:tcW w:w="2551" w:type="dxa"/>
            <w:vAlign w:val="center"/>
          </w:tcPr>
          <w:p>
            <w:pPr>
              <w:pStyle w:val="15"/>
            </w:pPr>
            <w:r>
              <w:t>4.04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4.04</w:t>
            </w:r>
          </w:p>
        </w:tc>
        <w:tc>
          <w:tcPr>
            <w:tcW w:w="2551" w:type="dxa"/>
            <w:vAlign w:val="center"/>
          </w:tcPr>
          <w:p>
            <w:pPr>
              <w:pStyle w:val="15"/>
            </w:pPr>
            <w:r>
              <w:t>4.04</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6.98</w:t>
            </w:r>
          </w:p>
        </w:tc>
        <w:tc>
          <w:tcPr>
            <w:tcW w:w="2381" w:type="dxa"/>
            <w:vAlign w:val="center"/>
          </w:tcPr>
          <w:p>
            <w:pPr>
              <w:pStyle w:val="19"/>
            </w:pPr>
            <w:r>
              <w:t>6.98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6.98</w:t>
            </w:r>
          </w:p>
        </w:tc>
        <w:tc>
          <w:tcPr>
            <w:tcW w:w="2381" w:type="dxa"/>
            <w:vAlign w:val="center"/>
          </w:tcPr>
          <w:p>
            <w:pPr>
              <w:pStyle w:val="15"/>
            </w:pPr>
            <w:r>
              <w:t>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二、公务用车购置及运维费</w:t>
            </w:r>
          </w:p>
        </w:tc>
        <w:tc>
          <w:tcPr>
            <w:tcW w:w="2381" w:type="dxa"/>
            <w:vAlign w:val="center"/>
          </w:tcPr>
          <w:p>
            <w:pPr>
              <w:pStyle w:val="15"/>
            </w:pPr>
            <w:r>
              <w:t>6.98</w:t>
            </w:r>
          </w:p>
        </w:tc>
        <w:tc>
          <w:tcPr>
            <w:tcW w:w="2381" w:type="dxa"/>
            <w:vAlign w:val="center"/>
          </w:tcPr>
          <w:p>
            <w:pPr>
              <w:pStyle w:val="15"/>
            </w:pPr>
            <w:r>
              <w:t>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 xml:space="preserve">          公务用车运行维护费</w:t>
            </w:r>
          </w:p>
        </w:tc>
        <w:tc>
          <w:tcPr>
            <w:tcW w:w="2381" w:type="dxa"/>
            <w:vAlign w:val="center"/>
          </w:tcPr>
          <w:p>
            <w:pPr>
              <w:pStyle w:val="15"/>
            </w:pPr>
            <w:r>
              <w:t>6.98</w:t>
            </w:r>
          </w:p>
        </w:tc>
        <w:tc>
          <w:tcPr>
            <w:tcW w:w="2381" w:type="dxa"/>
            <w:vAlign w:val="center"/>
          </w:tcPr>
          <w:p>
            <w:pPr>
              <w:pStyle w:val="15"/>
            </w:pPr>
            <w:r>
              <w:t>6.98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石家庄市栾城区行政审批服务中心2026年单位预算信息公开情况说明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按照《中华人民共和国预算法》、《地方预决算公开操作规程》和《关于进一步推进预算公开工作的实施意见》规定，现将石家庄市栾城区行政审批服务中心2026年单位预算公开如下：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负责行政审批事项相关的网络技术保障、政务大厅便民服务、人员培训、重要活动接待、后勤服务、档案整理等工作。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石家庄市栾城区行政审批服务中心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w:t>
      </w:r>
      <w:r>
        <w:rPr>
          <w:rFonts w:hint="eastAsia"/>
          <w:lang w:val="en-US" w:eastAsia="zh-CN"/>
        </w:rPr>
        <w:t>667.14</w:t>
      </w:r>
      <w:r>
        <w:t>万元，其中：一般公共预算收入</w:t>
      </w:r>
      <w:r>
        <w:rPr>
          <w:rFonts w:hint="eastAsia"/>
          <w:lang w:val="en-US" w:eastAsia="zh-CN"/>
        </w:rPr>
        <w:t>667.14</w:t>
      </w:r>
      <w:r>
        <w:t>万元，基金预算收入0万元，国有资本经营预算收入0万元，财政专户核拨收入0万元，单位资金收入0万元，上年结转结余0万元。</w:t>
      </w:r>
    </w:p>
    <w:p>
      <w:pPr>
        <w:pStyle w:val="30"/>
      </w:pPr>
      <w:r>
        <w:t>2、支出说明</w:t>
      </w:r>
    </w:p>
    <w:p>
      <w:pPr>
        <w:pStyle w:val="30"/>
        <w:rPr>
          <w:color w:val="000000" w:themeColor="text1"/>
          <w14:textFill>
            <w14:solidFill>
              <w14:schemeClr w14:val="tx1"/>
            </w14:solidFill>
          </w14:textFill>
        </w:rPr>
      </w:pPr>
      <w:r>
        <w:t>收支预算总表支出栏、基本支出表、项目支出表按经济分类和支出功能分类科目编制，反映石家庄市栾城区行政审批服务中心年度单位预算中支出预算的总体情况。2026年支出预算</w:t>
      </w:r>
      <w:r>
        <w:rPr>
          <w:rFonts w:hint="eastAsia"/>
          <w:lang w:val="en-US" w:eastAsia="zh-CN"/>
        </w:rPr>
        <w:t>667.14</w:t>
      </w:r>
      <w:r>
        <w:t>万元，其中基本支出</w:t>
      </w:r>
      <w:r>
        <w:rPr>
          <w:rFonts w:hint="eastAsia"/>
          <w:lang w:val="en-US" w:eastAsia="zh-CN"/>
        </w:rPr>
        <w:t>667.14</w:t>
      </w:r>
      <w:r>
        <w:t>万元，包括人员经费</w:t>
      </w:r>
      <w:r>
        <w:rPr>
          <w:rFonts w:hint="eastAsia"/>
          <w:lang w:val="en-US" w:eastAsia="zh-CN"/>
        </w:rPr>
        <w:t>634.34</w:t>
      </w:r>
      <w:r>
        <w:t>万元和日常公用经费</w:t>
      </w:r>
      <w:r>
        <w:rPr>
          <w:rFonts w:hint="eastAsia"/>
          <w:lang w:val="en-US" w:eastAsia="zh-CN"/>
        </w:rPr>
        <w:t>32.80</w:t>
      </w:r>
      <w:r>
        <w:t>万元；项目支出0万元，主要为该单位无项目支出；</w:t>
      </w:r>
      <w:r>
        <w:rPr>
          <w:color w:val="000000" w:themeColor="text1"/>
          <w14:textFill>
            <w14:solidFill>
              <w14:schemeClr w14:val="tx1"/>
            </w14:solidFill>
          </w14:textFill>
        </w:rPr>
        <w:t>预计下年使用的单位资金结余0万元。</w:t>
      </w:r>
    </w:p>
    <w:p>
      <w:pPr>
        <w:pStyle w:val="30"/>
        <w:rPr>
          <w:color w:val="000000" w:themeColor="text1"/>
          <w14:textFill>
            <w14:solidFill>
              <w14:schemeClr w14:val="tx1"/>
            </w14:solidFill>
          </w14:textFill>
        </w:rPr>
      </w:pPr>
      <w:r>
        <w:rPr>
          <w:color w:val="000000" w:themeColor="text1"/>
          <w14:textFill>
            <w14:solidFill>
              <w14:schemeClr w14:val="tx1"/>
            </w14:solidFill>
          </w14:textFill>
        </w:rPr>
        <w:t>3、比上年增减情况</w:t>
      </w:r>
    </w:p>
    <w:p>
      <w:pPr>
        <w:pStyle w:val="30"/>
        <w:rPr>
          <w:color w:val="000000" w:themeColor="text1"/>
          <w14:textFill>
            <w14:solidFill>
              <w14:schemeClr w14:val="tx1"/>
            </w14:solidFill>
          </w14:textFill>
        </w:rPr>
      </w:pPr>
      <w:r>
        <w:rPr>
          <w:color w:val="000000" w:themeColor="text1"/>
          <w14:textFill>
            <w14:solidFill>
              <w14:schemeClr w14:val="tx1"/>
            </w14:solidFill>
          </w14:textFill>
        </w:rPr>
        <w:t>2026年预算收支安排</w:t>
      </w:r>
      <w:r>
        <w:rPr>
          <w:rFonts w:hint="eastAsia"/>
          <w:color w:val="000000" w:themeColor="text1"/>
          <w:lang w:val="en-US" w:eastAsia="zh-CN"/>
          <w14:textFill>
            <w14:solidFill>
              <w14:schemeClr w14:val="tx1"/>
            </w14:solidFill>
          </w14:textFill>
        </w:rPr>
        <w:t>667.14</w:t>
      </w:r>
      <w:r>
        <w:rPr>
          <w:color w:val="000000" w:themeColor="text1"/>
          <w14:textFill>
            <w14:solidFill>
              <w14:schemeClr w14:val="tx1"/>
            </w14:solidFill>
          </w14:textFill>
        </w:rPr>
        <w:t>万元，较2025年预算</w:t>
      </w:r>
      <w:r>
        <w:rPr>
          <w:rFonts w:hint="eastAsia"/>
          <w:color w:val="000000" w:themeColor="text1"/>
          <w:lang w:val="en-US" w:eastAsia="zh-CN"/>
          <w14:textFill>
            <w14:solidFill>
              <w14:schemeClr w14:val="tx1"/>
            </w14:solidFill>
          </w14:textFill>
        </w:rPr>
        <w:t>减少11.09</w:t>
      </w:r>
      <w:r>
        <w:rPr>
          <w:color w:val="000000" w:themeColor="text1"/>
          <w14:textFill>
            <w14:solidFill>
              <w14:schemeClr w14:val="tx1"/>
            </w14:solidFill>
          </w14:textFill>
        </w:rPr>
        <w:t>万元，其中：基本支出</w:t>
      </w:r>
      <w:r>
        <w:rPr>
          <w:rFonts w:hint="eastAsia"/>
          <w:color w:val="000000" w:themeColor="text1"/>
          <w:lang w:val="en-US" w:eastAsia="zh-CN"/>
          <w14:textFill>
            <w14:solidFill>
              <w14:schemeClr w14:val="tx1"/>
            </w14:solidFill>
          </w14:textFill>
        </w:rPr>
        <w:t>减少11.09</w:t>
      </w:r>
      <w:r>
        <w:rPr>
          <w:color w:val="000000" w:themeColor="text1"/>
          <w14:textFill>
            <w14:solidFill>
              <w14:schemeClr w14:val="tx1"/>
            </w14:solidFill>
          </w14:textFill>
        </w:rPr>
        <w:t>万元，主要为人员</w:t>
      </w:r>
      <w:r>
        <w:t>经费</w:t>
      </w:r>
      <w:r>
        <w:rPr>
          <w:rFonts w:hint="eastAsia"/>
          <w:lang w:val="en-US" w:eastAsia="zh-CN"/>
        </w:rPr>
        <w:t>减少</w:t>
      </w:r>
      <w:r>
        <w:t>。</w:t>
      </w:r>
      <w:r>
        <w:rPr>
          <w:color w:val="000000" w:themeColor="text1"/>
          <w14:textFill>
            <w14:solidFill>
              <w14:schemeClr w14:val="tx1"/>
            </w14:solidFill>
          </w14:textFill>
        </w:rPr>
        <w:t>项目支出增加0万元，主要为该单位上年无项目支出。预计下年使用的单位资金结余增加0万元。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2026年，我单位机关运行经费共计安排32.80万元，主要用于日常维修、办公用房水电费、办公用房取暖费、办公用房物业管理费等日常运行支出。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pStyle w:val="32"/>
        <w:keepNext w:val="0"/>
        <w:keepLines w:val="0"/>
        <w:pageBreakBefore w:val="0"/>
        <w:widowControl/>
        <w:kinsoku/>
        <w:wordWrap/>
        <w:overflowPunct/>
        <w:topLinePunct w:val="0"/>
        <w:autoSpaceDE/>
        <w:autoSpaceDN/>
        <w:bidi w:val="0"/>
        <w:adjustRightInd/>
        <w:snapToGrid/>
        <w:spacing w:line="500" w:lineRule="exact"/>
        <w:textAlignment w:val="auto"/>
        <w:rPr>
          <w:color w:val="000000" w:themeColor="text1"/>
          <w14:textFill>
            <w14:solidFill>
              <w14:schemeClr w14:val="tx1"/>
            </w14:solidFill>
          </w14:textFill>
        </w:rPr>
      </w:pPr>
      <w:r>
        <w:t>2026年，我单位财政拨款“三公”经费预算安排6.98万元，其中因公出国（境）费0.00万元；公务用车购置及运维费6.98万元（其中：公务用车购置费为0.00万元，公务用车运维费6.98万元)；公务接待费0.00万元。与2025年相比</w:t>
      </w:r>
      <w:r>
        <w:rPr>
          <w:rFonts w:hint="eastAsia"/>
          <w:lang w:val="en-US" w:eastAsia="zh-CN"/>
        </w:rPr>
        <w:t>减少</w:t>
      </w:r>
      <w:r>
        <w:rPr>
          <w:rFonts w:hint="eastAsia"/>
          <w:color w:val="000000" w:themeColor="text1"/>
          <w:lang w:val="en-US" w:eastAsia="zh-CN"/>
          <w14:textFill>
            <w14:solidFill>
              <w14:schemeClr w14:val="tx1"/>
            </w14:solidFill>
          </w14:textFill>
        </w:rPr>
        <w:t>0.22</w:t>
      </w:r>
      <w:r>
        <w:rPr>
          <w:color w:val="000000" w:themeColor="text1"/>
          <w14:textFill>
            <w14:solidFill>
              <w14:schemeClr w14:val="tx1"/>
            </w14:solidFill>
          </w14:textFill>
        </w:rPr>
        <w:t>万元，增减变化的主要原因是压减经费，节约开支</w:t>
      </w:r>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公务用车运维费减少</w:t>
      </w:r>
      <w:r>
        <w:rPr>
          <w:color w:val="000000" w:themeColor="text1"/>
          <w14:textFill>
            <w14:solidFill>
              <w14:schemeClr w14:val="tx1"/>
            </w14:solidFill>
          </w14:textFill>
        </w:rPr>
        <w:t>。</w:t>
      </w:r>
    </w:p>
    <w:p>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9"/>
        <w:rPr>
          <w:rFonts w:hint="eastAsia" w:ascii="Times New Roman" w:hAnsi="Times New Roman" w:eastAsia="方正仿宋_GBK" w:cs="Times New Roman"/>
          <w:sz w:val="28"/>
          <w:szCs w:val="22"/>
          <w:lang w:val="en-US" w:eastAsia="zh-CN"/>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石家庄市栾城区行政审批服务中心上年末固定资产金额为22.76万元（详见下表）。本年度拟购置固定资产总额为0.00万元，已按要求列入政府采购预算，详见政府采购预算表。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305003石家庄市栾城区行政审批服务中心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rPr>
                <w:rFonts w:hint="eastAsia" w:eastAsia="方正书宋_GBK"/>
                <w:lang w:val="en-US" w:eastAsia="zh-CN"/>
              </w:rPr>
            </w:pPr>
            <w:r>
              <w:rPr>
                <w:rFonts w:hint="eastAsia"/>
                <w:lang w:val="en-US" w:eastAsia="zh-CN"/>
              </w:rPr>
              <w:t>3</w:t>
            </w:r>
          </w:p>
        </w:tc>
        <w:tc>
          <w:tcPr>
            <w:tcW w:w="2835" w:type="dxa"/>
            <w:vAlign w:val="center"/>
          </w:tcPr>
          <w:p>
            <w:pPr>
              <w:pStyle w:val="15"/>
            </w:pPr>
            <w:r>
              <w:t>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26973"/>
      <w:r>
        <w:rPr>
          <w:rFonts w:ascii="方正小标宋_GBK" w:hAnsi="方正小标宋_GBK" w:eastAsia="方正小标宋_GBK" w:cs="方正小标宋_GBK"/>
          <w:b w:val="0"/>
          <w:color w:val="000000"/>
          <w:sz w:val="44"/>
        </w:rPr>
        <w:t>三、石家庄市栾城区公共资源交易中心收支预算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182.99</w:t>
            </w:r>
          </w:p>
        </w:tc>
        <w:tc>
          <w:tcPr>
            <w:tcW w:w="4535" w:type="dxa"/>
            <w:vAlign w:val="center"/>
          </w:tcPr>
          <w:p>
            <w:pPr>
              <w:pStyle w:val="16"/>
            </w:pPr>
            <w:r>
              <w:t>一、一般公共服务支出</w:t>
            </w:r>
          </w:p>
        </w:tc>
        <w:tc>
          <w:tcPr>
            <w:tcW w:w="2126" w:type="dxa"/>
            <w:vAlign w:val="center"/>
          </w:tcPr>
          <w:p>
            <w:pPr>
              <w:pStyle w:val="15"/>
            </w:pPr>
            <w:r>
              <w:t>156.58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182.99</w:t>
            </w:r>
          </w:p>
        </w:tc>
        <w:tc>
          <w:tcPr>
            <w:tcW w:w="4535" w:type="dxa"/>
            <w:vAlign w:val="center"/>
          </w:tcPr>
          <w:p>
            <w:pPr>
              <w:pStyle w:val="18"/>
            </w:pPr>
            <w:r>
              <w:t>本年支出合计</w:t>
            </w:r>
          </w:p>
        </w:tc>
        <w:tc>
          <w:tcPr>
            <w:tcW w:w="2126" w:type="dxa"/>
            <w:vAlign w:val="center"/>
          </w:tcPr>
          <w:p>
            <w:pPr>
              <w:pStyle w:val="19"/>
            </w:pPr>
            <w:r>
              <w:t>182.99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182.99</w:t>
            </w:r>
          </w:p>
        </w:tc>
        <w:tc>
          <w:tcPr>
            <w:tcW w:w="4535" w:type="dxa"/>
            <w:vAlign w:val="center"/>
          </w:tcPr>
          <w:p>
            <w:pPr>
              <w:pStyle w:val="18"/>
            </w:pPr>
            <w:r>
              <w:t>支出总计</w:t>
            </w:r>
          </w:p>
        </w:tc>
        <w:tc>
          <w:tcPr>
            <w:tcW w:w="2126" w:type="dxa"/>
            <w:vAlign w:val="center"/>
          </w:tcPr>
          <w:p>
            <w:pPr>
              <w:pStyle w:val="19"/>
            </w:pPr>
            <w:r>
              <w:t>182.99</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182.99</w:t>
            </w:r>
          </w:p>
        </w:tc>
        <w:tc>
          <w:tcPr>
            <w:tcW w:w="1134" w:type="dxa"/>
            <w:vAlign w:val="center"/>
          </w:tcPr>
          <w:p>
            <w:pPr>
              <w:pStyle w:val="19"/>
            </w:pPr>
            <w:r>
              <w:t>182.99</w:t>
            </w:r>
          </w:p>
        </w:tc>
        <w:tc>
          <w:tcPr>
            <w:tcW w:w="1134" w:type="dxa"/>
            <w:vAlign w:val="center"/>
          </w:tcPr>
          <w:p>
            <w:pPr>
              <w:pStyle w:val="19"/>
            </w:pPr>
            <w:r>
              <w:t>182.99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2010350</w:t>
            </w:r>
          </w:p>
        </w:tc>
        <w:tc>
          <w:tcPr>
            <w:tcW w:w="1559" w:type="dxa"/>
            <w:vAlign w:val="center"/>
          </w:tcPr>
          <w:p>
            <w:pPr>
              <w:pStyle w:val="16"/>
            </w:pPr>
            <w:r>
              <w:t>事业运行</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r>
              <w:t>156.58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17.95</w:t>
            </w:r>
          </w:p>
        </w:tc>
        <w:tc>
          <w:tcPr>
            <w:tcW w:w="1134" w:type="dxa"/>
            <w:vAlign w:val="center"/>
          </w:tcPr>
          <w:p>
            <w:pPr>
              <w:pStyle w:val="15"/>
            </w:pPr>
            <w:r>
              <w:t>17.95</w:t>
            </w:r>
          </w:p>
        </w:tc>
        <w:tc>
          <w:tcPr>
            <w:tcW w:w="1134" w:type="dxa"/>
            <w:vAlign w:val="center"/>
          </w:tcPr>
          <w:p>
            <w:pPr>
              <w:pStyle w:val="15"/>
            </w:pPr>
            <w:r>
              <w:t>17.95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16.98</w:t>
            </w:r>
          </w:p>
        </w:tc>
        <w:tc>
          <w:tcPr>
            <w:tcW w:w="1134" w:type="dxa"/>
            <w:vAlign w:val="center"/>
          </w:tcPr>
          <w:p>
            <w:pPr>
              <w:pStyle w:val="15"/>
            </w:pPr>
            <w:r>
              <w:t>16.98</w:t>
            </w:r>
          </w:p>
        </w:tc>
        <w:tc>
          <w:tcPr>
            <w:tcW w:w="1134" w:type="dxa"/>
            <w:vAlign w:val="center"/>
          </w:tcPr>
          <w:p>
            <w:pPr>
              <w:pStyle w:val="15"/>
            </w:pPr>
            <w:r>
              <w:t>16.98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16.98</w:t>
            </w:r>
          </w:p>
        </w:tc>
        <w:tc>
          <w:tcPr>
            <w:tcW w:w="1134" w:type="dxa"/>
            <w:vAlign w:val="center"/>
          </w:tcPr>
          <w:p>
            <w:pPr>
              <w:pStyle w:val="15"/>
            </w:pPr>
            <w:r>
              <w:t>16.98</w:t>
            </w:r>
          </w:p>
        </w:tc>
        <w:tc>
          <w:tcPr>
            <w:tcW w:w="1134" w:type="dxa"/>
            <w:vAlign w:val="center"/>
          </w:tcPr>
          <w:p>
            <w:pPr>
              <w:pStyle w:val="15"/>
            </w:pPr>
            <w:r>
              <w:t>16.98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20827</w:t>
            </w:r>
          </w:p>
        </w:tc>
        <w:tc>
          <w:tcPr>
            <w:tcW w:w="1559" w:type="dxa"/>
            <w:vAlign w:val="center"/>
          </w:tcPr>
          <w:p>
            <w:pPr>
              <w:pStyle w:val="16"/>
            </w:pPr>
            <w:r>
              <w:t>财政对其他社会保险基金的补助</w:t>
            </w:r>
          </w:p>
        </w:tc>
        <w:tc>
          <w:tcPr>
            <w:tcW w:w="1134" w:type="dxa"/>
            <w:vAlign w:val="center"/>
          </w:tcPr>
          <w:p>
            <w:pPr>
              <w:pStyle w:val="15"/>
            </w:pPr>
            <w:r>
              <w:t>0.96</w:t>
            </w:r>
          </w:p>
        </w:tc>
        <w:tc>
          <w:tcPr>
            <w:tcW w:w="1134" w:type="dxa"/>
            <w:vAlign w:val="center"/>
          </w:tcPr>
          <w:p>
            <w:pPr>
              <w:pStyle w:val="15"/>
            </w:pPr>
            <w:r>
              <w:t>0.96</w:t>
            </w:r>
          </w:p>
        </w:tc>
        <w:tc>
          <w:tcPr>
            <w:tcW w:w="1134" w:type="dxa"/>
            <w:vAlign w:val="center"/>
          </w:tcPr>
          <w:p>
            <w:pPr>
              <w:pStyle w:val="15"/>
            </w:pPr>
            <w:r>
              <w:t>0.96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2082701</w:t>
            </w:r>
          </w:p>
        </w:tc>
        <w:tc>
          <w:tcPr>
            <w:tcW w:w="1559" w:type="dxa"/>
            <w:vAlign w:val="center"/>
          </w:tcPr>
          <w:p>
            <w:pPr>
              <w:pStyle w:val="16"/>
            </w:pPr>
            <w:r>
              <w:t>财政对失业保险基金的补助</w:t>
            </w:r>
          </w:p>
        </w:tc>
        <w:tc>
          <w:tcPr>
            <w:tcW w:w="1134" w:type="dxa"/>
            <w:vAlign w:val="center"/>
          </w:tcPr>
          <w:p>
            <w:pPr>
              <w:pStyle w:val="15"/>
            </w:pPr>
            <w:r>
              <w:t>0.56</w:t>
            </w:r>
          </w:p>
        </w:tc>
        <w:tc>
          <w:tcPr>
            <w:tcW w:w="1134" w:type="dxa"/>
            <w:vAlign w:val="center"/>
          </w:tcPr>
          <w:p>
            <w:pPr>
              <w:pStyle w:val="15"/>
            </w:pPr>
            <w:r>
              <w:t>0.56</w:t>
            </w:r>
          </w:p>
        </w:tc>
        <w:tc>
          <w:tcPr>
            <w:tcW w:w="1134" w:type="dxa"/>
            <w:vAlign w:val="center"/>
          </w:tcPr>
          <w:p>
            <w:pPr>
              <w:pStyle w:val="15"/>
            </w:pPr>
            <w:r>
              <w:t>0.56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2082702</w:t>
            </w:r>
          </w:p>
        </w:tc>
        <w:tc>
          <w:tcPr>
            <w:tcW w:w="1559" w:type="dxa"/>
            <w:vAlign w:val="center"/>
          </w:tcPr>
          <w:p>
            <w:pPr>
              <w:pStyle w:val="16"/>
            </w:pPr>
            <w:r>
              <w:t>财政对工伤保险基金的补助</w:t>
            </w:r>
          </w:p>
        </w:tc>
        <w:tc>
          <w:tcPr>
            <w:tcW w:w="1134" w:type="dxa"/>
            <w:vAlign w:val="center"/>
          </w:tcPr>
          <w:p>
            <w:pPr>
              <w:pStyle w:val="15"/>
            </w:pPr>
            <w:r>
              <w:t>0.40</w:t>
            </w:r>
          </w:p>
        </w:tc>
        <w:tc>
          <w:tcPr>
            <w:tcW w:w="1134" w:type="dxa"/>
            <w:vAlign w:val="center"/>
          </w:tcPr>
          <w:p>
            <w:pPr>
              <w:pStyle w:val="15"/>
            </w:pPr>
            <w:r>
              <w:t>0.40</w:t>
            </w:r>
          </w:p>
        </w:tc>
        <w:tc>
          <w:tcPr>
            <w:tcW w:w="1134" w:type="dxa"/>
            <w:vAlign w:val="center"/>
          </w:tcPr>
          <w:p>
            <w:pPr>
              <w:pStyle w:val="15"/>
            </w:pPr>
            <w:r>
              <w:t>0.40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r>
              <w:t>8.46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182.99</w:t>
            </w:r>
          </w:p>
        </w:tc>
        <w:tc>
          <w:tcPr>
            <w:tcW w:w="1361" w:type="dxa"/>
            <w:vAlign w:val="center"/>
          </w:tcPr>
          <w:p>
            <w:pPr>
              <w:pStyle w:val="19"/>
            </w:pPr>
            <w:r>
              <w:t>182.99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156.58</w:t>
            </w:r>
          </w:p>
        </w:tc>
        <w:tc>
          <w:tcPr>
            <w:tcW w:w="1361" w:type="dxa"/>
            <w:vAlign w:val="center"/>
          </w:tcPr>
          <w:p>
            <w:pPr>
              <w:pStyle w:val="15"/>
            </w:pPr>
            <w:r>
              <w:t>156.58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156.58</w:t>
            </w:r>
          </w:p>
        </w:tc>
        <w:tc>
          <w:tcPr>
            <w:tcW w:w="1361" w:type="dxa"/>
            <w:vAlign w:val="center"/>
          </w:tcPr>
          <w:p>
            <w:pPr>
              <w:pStyle w:val="15"/>
            </w:pPr>
            <w:r>
              <w:t>156.58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2010350</w:t>
            </w:r>
          </w:p>
        </w:tc>
        <w:tc>
          <w:tcPr>
            <w:tcW w:w="4535" w:type="dxa"/>
            <w:vAlign w:val="center"/>
          </w:tcPr>
          <w:p>
            <w:pPr>
              <w:pStyle w:val="16"/>
            </w:pPr>
            <w:r>
              <w:t>事业运行</w:t>
            </w:r>
          </w:p>
        </w:tc>
        <w:tc>
          <w:tcPr>
            <w:tcW w:w="1361" w:type="dxa"/>
            <w:vAlign w:val="center"/>
          </w:tcPr>
          <w:p>
            <w:pPr>
              <w:pStyle w:val="15"/>
            </w:pPr>
            <w:r>
              <w:t>156.58</w:t>
            </w:r>
          </w:p>
        </w:tc>
        <w:tc>
          <w:tcPr>
            <w:tcW w:w="1361" w:type="dxa"/>
            <w:vAlign w:val="center"/>
          </w:tcPr>
          <w:p>
            <w:pPr>
              <w:pStyle w:val="15"/>
            </w:pPr>
            <w:r>
              <w:t>156.58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17.95</w:t>
            </w:r>
          </w:p>
        </w:tc>
        <w:tc>
          <w:tcPr>
            <w:tcW w:w="1361" w:type="dxa"/>
            <w:vAlign w:val="center"/>
          </w:tcPr>
          <w:p>
            <w:pPr>
              <w:pStyle w:val="15"/>
            </w:pPr>
            <w:r>
              <w:t>17.95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16.98</w:t>
            </w:r>
          </w:p>
        </w:tc>
        <w:tc>
          <w:tcPr>
            <w:tcW w:w="1361" w:type="dxa"/>
            <w:vAlign w:val="center"/>
          </w:tcPr>
          <w:p>
            <w:pPr>
              <w:pStyle w:val="15"/>
            </w:pPr>
            <w:r>
              <w:t>16.98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16.98</w:t>
            </w:r>
          </w:p>
        </w:tc>
        <w:tc>
          <w:tcPr>
            <w:tcW w:w="1361" w:type="dxa"/>
            <w:vAlign w:val="center"/>
          </w:tcPr>
          <w:p>
            <w:pPr>
              <w:pStyle w:val="15"/>
            </w:pPr>
            <w:r>
              <w:t>16.98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20827</w:t>
            </w:r>
          </w:p>
        </w:tc>
        <w:tc>
          <w:tcPr>
            <w:tcW w:w="4535" w:type="dxa"/>
            <w:vAlign w:val="center"/>
          </w:tcPr>
          <w:p>
            <w:pPr>
              <w:pStyle w:val="16"/>
            </w:pPr>
            <w:r>
              <w:t>财政对其他社会保险基金的补助</w:t>
            </w:r>
          </w:p>
        </w:tc>
        <w:tc>
          <w:tcPr>
            <w:tcW w:w="1361" w:type="dxa"/>
            <w:vAlign w:val="center"/>
          </w:tcPr>
          <w:p>
            <w:pPr>
              <w:pStyle w:val="15"/>
            </w:pPr>
            <w:r>
              <w:t>0.96</w:t>
            </w:r>
          </w:p>
        </w:tc>
        <w:tc>
          <w:tcPr>
            <w:tcW w:w="1361" w:type="dxa"/>
            <w:vAlign w:val="center"/>
          </w:tcPr>
          <w:p>
            <w:pPr>
              <w:pStyle w:val="15"/>
            </w:pPr>
            <w:r>
              <w:t>0.96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2082701</w:t>
            </w:r>
          </w:p>
        </w:tc>
        <w:tc>
          <w:tcPr>
            <w:tcW w:w="4535" w:type="dxa"/>
            <w:vAlign w:val="center"/>
          </w:tcPr>
          <w:p>
            <w:pPr>
              <w:pStyle w:val="16"/>
            </w:pPr>
            <w:r>
              <w:t>财政对失业保险基金的补助</w:t>
            </w:r>
          </w:p>
        </w:tc>
        <w:tc>
          <w:tcPr>
            <w:tcW w:w="1361" w:type="dxa"/>
            <w:vAlign w:val="center"/>
          </w:tcPr>
          <w:p>
            <w:pPr>
              <w:pStyle w:val="15"/>
            </w:pPr>
            <w:r>
              <w:t>0.56</w:t>
            </w:r>
          </w:p>
        </w:tc>
        <w:tc>
          <w:tcPr>
            <w:tcW w:w="1361" w:type="dxa"/>
            <w:vAlign w:val="center"/>
          </w:tcPr>
          <w:p>
            <w:pPr>
              <w:pStyle w:val="15"/>
            </w:pPr>
            <w:r>
              <w:t>0.56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2082702</w:t>
            </w:r>
          </w:p>
        </w:tc>
        <w:tc>
          <w:tcPr>
            <w:tcW w:w="4535" w:type="dxa"/>
            <w:vAlign w:val="center"/>
          </w:tcPr>
          <w:p>
            <w:pPr>
              <w:pStyle w:val="16"/>
            </w:pPr>
            <w:r>
              <w:t>财政对工伤保险基金的补助</w:t>
            </w:r>
          </w:p>
        </w:tc>
        <w:tc>
          <w:tcPr>
            <w:tcW w:w="1361" w:type="dxa"/>
            <w:vAlign w:val="center"/>
          </w:tcPr>
          <w:p>
            <w:pPr>
              <w:pStyle w:val="15"/>
            </w:pPr>
            <w:r>
              <w:t>0.40</w:t>
            </w:r>
          </w:p>
        </w:tc>
        <w:tc>
          <w:tcPr>
            <w:tcW w:w="1361" w:type="dxa"/>
            <w:vAlign w:val="center"/>
          </w:tcPr>
          <w:p>
            <w:pPr>
              <w:pStyle w:val="15"/>
            </w:pPr>
            <w:r>
              <w:t>0.40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8.46</w:t>
            </w:r>
          </w:p>
        </w:tc>
        <w:tc>
          <w:tcPr>
            <w:tcW w:w="1361" w:type="dxa"/>
            <w:vAlign w:val="center"/>
          </w:tcPr>
          <w:p>
            <w:pPr>
              <w:pStyle w:val="15"/>
            </w:pPr>
            <w:r>
              <w:t>8.46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8.46</w:t>
            </w:r>
          </w:p>
        </w:tc>
        <w:tc>
          <w:tcPr>
            <w:tcW w:w="1361" w:type="dxa"/>
            <w:vAlign w:val="center"/>
          </w:tcPr>
          <w:p>
            <w:pPr>
              <w:pStyle w:val="15"/>
            </w:pPr>
            <w:r>
              <w:t>8.46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8.46</w:t>
            </w:r>
          </w:p>
        </w:tc>
        <w:tc>
          <w:tcPr>
            <w:tcW w:w="1361" w:type="dxa"/>
            <w:vAlign w:val="center"/>
          </w:tcPr>
          <w:p>
            <w:pPr>
              <w:pStyle w:val="15"/>
            </w:pPr>
            <w:r>
              <w:t>8.46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182.99</w:t>
            </w:r>
          </w:p>
        </w:tc>
        <w:tc>
          <w:tcPr>
            <w:tcW w:w="3402" w:type="dxa"/>
            <w:vAlign w:val="center"/>
          </w:tcPr>
          <w:p>
            <w:pPr>
              <w:pStyle w:val="16"/>
            </w:pPr>
            <w:r>
              <w:t>一、一般公共服务支出</w:t>
            </w:r>
          </w:p>
        </w:tc>
        <w:tc>
          <w:tcPr>
            <w:tcW w:w="1474" w:type="dxa"/>
            <w:vAlign w:val="center"/>
          </w:tcPr>
          <w:p>
            <w:pPr>
              <w:pStyle w:val="15"/>
            </w:pPr>
            <w:r>
              <w:t>156.58</w:t>
            </w:r>
          </w:p>
        </w:tc>
        <w:tc>
          <w:tcPr>
            <w:tcW w:w="1474" w:type="dxa"/>
            <w:vAlign w:val="center"/>
          </w:tcPr>
          <w:p>
            <w:pPr>
              <w:pStyle w:val="15"/>
            </w:pPr>
            <w:r>
              <w:t>156.58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17.95</w:t>
            </w:r>
          </w:p>
        </w:tc>
        <w:tc>
          <w:tcPr>
            <w:tcW w:w="1474" w:type="dxa"/>
            <w:vAlign w:val="center"/>
          </w:tcPr>
          <w:p>
            <w:pPr>
              <w:pStyle w:val="15"/>
            </w:pPr>
            <w:r>
              <w:t>17.95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8.46</w:t>
            </w:r>
          </w:p>
        </w:tc>
        <w:tc>
          <w:tcPr>
            <w:tcW w:w="1474" w:type="dxa"/>
            <w:vAlign w:val="center"/>
          </w:tcPr>
          <w:p>
            <w:pPr>
              <w:pStyle w:val="15"/>
            </w:pPr>
            <w:r>
              <w:t>8.46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182.99</w:t>
            </w:r>
          </w:p>
        </w:tc>
        <w:tc>
          <w:tcPr>
            <w:tcW w:w="3402" w:type="dxa"/>
            <w:vAlign w:val="center"/>
          </w:tcPr>
          <w:p>
            <w:pPr>
              <w:pStyle w:val="18"/>
            </w:pPr>
            <w:r>
              <w:t>本年支出合计</w:t>
            </w:r>
          </w:p>
        </w:tc>
        <w:tc>
          <w:tcPr>
            <w:tcW w:w="1474" w:type="dxa"/>
            <w:vAlign w:val="center"/>
          </w:tcPr>
          <w:p>
            <w:pPr>
              <w:pStyle w:val="19"/>
            </w:pPr>
            <w:r>
              <w:t>182.99</w:t>
            </w:r>
          </w:p>
        </w:tc>
        <w:tc>
          <w:tcPr>
            <w:tcW w:w="1474" w:type="dxa"/>
            <w:vAlign w:val="center"/>
          </w:tcPr>
          <w:p>
            <w:pPr>
              <w:pStyle w:val="19"/>
            </w:pPr>
            <w:r>
              <w:t>182.99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182.99</w:t>
            </w:r>
          </w:p>
        </w:tc>
        <w:tc>
          <w:tcPr>
            <w:tcW w:w="3402" w:type="dxa"/>
            <w:vAlign w:val="center"/>
          </w:tcPr>
          <w:p>
            <w:pPr>
              <w:pStyle w:val="18"/>
            </w:pPr>
            <w:r>
              <w:t>支出总计</w:t>
            </w:r>
          </w:p>
        </w:tc>
        <w:tc>
          <w:tcPr>
            <w:tcW w:w="1474" w:type="dxa"/>
            <w:vAlign w:val="center"/>
          </w:tcPr>
          <w:p>
            <w:pPr>
              <w:pStyle w:val="19"/>
            </w:pPr>
            <w:r>
              <w:t>182.99</w:t>
            </w:r>
          </w:p>
        </w:tc>
        <w:tc>
          <w:tcPr>
            <w:tcW w:w="1474" w:type="dxa"/>
            <w:vAlign w:val="center"/>
          </w:tcPr>
          <w:p>
            <w:pPr>
              <w:pStyle w:val="19"/>
            </w:pPr>
            <w:r>
              <w:t>182.99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182.99</w:t>
            </w:r>
          </w:p>
        </w:tc>
        <w:tc>
          <w:tcPr>
            <w:tcW w:w="2551" w:type="dxa"/>
            <w:vAlign w:val="center"/>
          </w:tcPr>
          <w:p>
            <w:pPr>
              <w:pStyle w:val="19"/>
            </w:pPr>
            <w:r>
              <w:t>182.99</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156.58</w:t>
            </w:r>
          </w:p>
        </w:tc>
        <w:tc>
          <w:tcPr>
            <w:tcW w:w="2551" w:type="dxa"/>
            <w:vAlign w:val="center"/>
          </w:tcPr>
          <w:p>
            <w:pPr>
              <w:pStyle w:val="15"/>
            </w:pPr>
            <w:r>
              <w:t>156.58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156.58</w:t>
            </w:r>
          </w:p>
        </w:tc>
        <w:tc>
          <w:tcPr>
            <w:tcW w:w="2551" w:type="dxa"/>
            <w:vAlign w:val="center"/>
          </w:tcPr>
          <w:p>
            <w:pPr>
              <w:pStyle w:val="15"/>
            </w:pPr>
            <w:r>
              <w:t>156.58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2010350</w:t>
            </w:r>
          </w:p>
        </w:tc>
        <w:tc>
          <w:tcPr>
            <w:tcW w:w="4535" w:type="dxa"/>
            <w:vAlign w:val="center"/>
          </w:tcPr>
          <w:p>
            <w:pPr>
              <w:pStyle w:val="16"/>
            </w:pPr>
            <w:r>
              <w:t>事业运行</w:t>
            </w:r>
          </w:p>
        </w:tc>
        <w:tc>
          <w:tcPr>
            <w:tcW w:w="2551" w:type="dxa"/>
            <w:vAlign w:val="center"/>
          </w:tcPr>
          <w:p>
            <w:pPr>
              <w:pStyle w:val="15"/>
            </w:pPr>
            <w:r>
              <w:t>156.58</w:t>
            </w:r>
          </w:p>
        </w:tc>
        <w:tc>
          <w:tcPr>
            <w:tcW w:w="2551" w:type="dxa"/>
            <w:vAlign w:val="center"/>
          </w:tcPr>
          <w:p>
            <w:pPr>
              <w:pStyle w:val="15"/>
            </w:pPr>
            <w:r>
              <w:t>156.58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17.95</w:t>
            </w:r>
          </w:p>
        </w:tc>
        <w:tc>
          <w:tcPr>
            <w:tcW w:w="2551" w:type="dxa"/>
            <w:vAlign w:val="center"/>
          </w:tcPr>
          <w:p>
            <w:pPr>
              <w:pStyle w:val="15"/>
            </w:pPr>
            <w:r>
              <w:t>17.95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16.98</w:t>
            </w:r>
          </w:p>
        </w:tc>
        <w:tc>
          <w:tcPr>
            <w:tcW w:w="2551" w:type="dxa"/>
            <w:vAlign w:val="center"/>
          </w:tcPr>
          <w:p>
            <w:pPr>
              <w:pStyle w:val="15"/>
            </w:pPr>
            <w:r>
              <w:t>16.98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16.98</w:t>
            </w:r>
          </w:p>
        </w:tc>
        <w:tc>
          <w:tcPr>
            <w:tcW w:w="2551" w:type="dxa"/>
            <w:vAlign w:val="center"/>
          </w:tcPr>
          <w:p>
            <w:pPr>
              <w:pStyle w:val="15"/>
            </w:pPr>
            <w:r>
              <w:t>16.98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20827</w:t>
            </w:r>
          </w:p>
        </w:tc>
        <w:tc>
          <w:tcPr>
            <w:tcW w:w="4535" w:type="dxa"/>
            <w:vAlign w:val="center"/>
          </w:tcPr>
          <w:p>
            <w:pPr>
              <w:pStyle w:val="16"/>
            </w:pPr>
            <w:r>
              <w:t>财政对其他社会保险基金的补助</w:t>
            </w:r>
          </w:p>
        </w:tc>
        <w:tc>
          <w:tcPr>
            <w:tcW w:w="2551" w:type="dxa"/>
            <w:vAlign w:val="center"/>
          </w:tcPr>
          <w:p>
            <w:pPr>
              <w:pStyle w:val="15"/>
            </w:pPr>
            <w:r>
              <w:t>0.96</w:t>
            </w:r>
          </w:p>
        </w:tc>
        <w:tc>
          <w:tcPr>
            <w:tcW w:w="2551" w:type="dxa"/>
            <w:vAlign w:val="center"/>
          </w:tcPr>
          <w:p>
            <w:pPr>
              <w:pStyle w:val="15"/>
            </w:pPr>
            <w:r>
              <w:t>0.96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2082701</w:t>
            </w:r>
          </w:p>
        </w:tc>
        <w:tc>
          <w:tcPr>
            <w:tcW w:w="4535" w:type="dxa"/>
            <w:vAlign w:val="center"/>
          </w:tcPr>
          <w:p>
            <w:pPr>
              <w:pStyle w:val="16"/>
            </w:pPr>
            <w:r>
              <w:t>财政对失业保险基金的补助</w:t>
            </w:r>
          </w:p>
        </w:tc>
        <w:tc>
          <w:tcPr>
            <w:tcW w:w="2551" w:type="dxa"/>
            <w:vAlign w:val="center"/>
          </w:tcPr>
          <w:p>
            <w:pPr>
              <w:pStyle w:val="15"/>
            </w:pPr>
            <w:r>
              <w:t>0.56</w:t>
            </w:r>
          </w:p>
        </w:tc>
        <w:tc>
          <w:tcPr>
            <w:tcW w:w="2551" w:type="dxa"/>
            <w:vAlign w:val="center"/>
          </w:tcPr>
          <w:p>
            <w:pPr>
              <w:pStyle w:val="15"/>
            </w:pPr>
            <w:r>
              <w:t>0.56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2082702</w:t>
            </w:r>
          </w:p>
        </w:tc>
        <w:tc>
          <w:tcPr>
            <w:tcW w:w="4535" w:type="dxa"/>
            <w:vAlign w:val="center"/>
          </w:tcPr>
          <w:p>
            <w:pPr>
              <w:pStyle w:val="16"/>
            </w:pPr>
            <w:r>
              <w:t>财政对工伤保险基金的补助</w:t>
            </w:r>
          </w:p>
        </w:tc>
        <w:tc>
          <w:tcPr>
            <w:tcW w:w="2551" w:type="dxa"/>
            <w:vAlign w:val="center"/>
          </w:tcPr>
          <w:p>
            <w:pPr>
              <w:pStyle w:val="15"/>
            </w:pPr>
            <w:r>
              <w:t>0.40</w:t>
            </w:r>
          </w:p>
        </w:tc>
        <w:tc>
          <w:tcPr>
            <w:tcW w:w="2551" w:type="dxa"/>
            <w:vAlign w:val="center"/>
          </w:tcPr>
          <w:p>
            <w:pPr>
              <w:pStyle w:val="15"/>
            </w:pPr>
            <w:r>
              <w:t>0.40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8.46</w:t>
            </w:r>
          </w:p>
        </w:tc>
        <w:tc>
          <w:tcPr>
            <w:tcW w:w="2551" w:type="dxa"/>
            <w:vAlign w:val="center"/>
          </w:tcPr>
          <w:p>
            <w:pPr>
              <w:pStyle w:val="15"/>
            </w:pPr>
            <w:r>
              <w:t>8.46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8.46</w:t>
            </w:r>
          </w:p>
        </w:tc>
        <w:tc>
          <w:tcPr>
            <w:tcW w:w="2551" w:type="dxa"/>
            <w:vAlign w:val="center"/>
          </w:tcPr>
          <w:p>
            <w:pPr>
              <w:pStyle w:val="15"/>
            </w:pPr>
            <w:r>
              <w:t>8.46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8.46</w:t>
            </w:r>
          </w:p>
        </w:tc>
        <w:tc>
          <w:tcPr>
            <w:tcW w:w="2551" w:type="dxa"/>
            <w:vAlign w:val="center"/>
          </w:tcPr>
          <w:p>
            <w:pPr>
              <w:pStyle w:val="15"/>
            </w:pPr>
            <w:r>
              <w:t>8.46</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182.99</w:t>
            </w:r>
          </w:p>
        </w:tc>
        <w:tc>
          <w:tcPr>
            <w:tcW w:w="2551" w:type="dxa"/>
            <w:vAlign w:val="center"/>
          </w:tcPr>
          <w:p>
            <w:pPr>
              <w:pStyle w:val="19"/>
            </w:pPr>
            <w:r>
              <w:t>175.83</w:t>
            </w:r>
          </w:p>
        </w:tc>
        <w:tc>
          <w:tcPr>
            <w:tcW w:w="2551" w:type="dxa"/>
            <w:vAlign w:val="center"/>
          </w:tcPr>
          <w:p>
            <w:pPr>
              <w:pStyle w:val="19"/>
            </w:pPr>
            <w:r>
              <w:t>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175.83</w:t>
            </w:r>
          </w:p>
        </w:tc>
        <w:tc>
          <w:tcPr>
            <w:tcW w:w="2551" w:type="dxa"/>
            <w:vAlign w:val="center"/>
          </w:tcPr>
          <w:p>
            <w:pPr>
              <w:pStyle w:val="15"/>
            </w:pPr>
            <w:r>
              <w:t>175.83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49.85</w:t>
            </w:r>
          </w:p>
        </w:tc>
        <w:tc>
          <w:tcPr>
            <w:tcW w:w="2551" w:type="dxa"/>
            <w:vAlign w:val="center"/>
          </w:tcPr>
          <w:p>
            <w:pPr>
              <w:pStyle w:val="15"/>
            </w:pPr>
            <w:r>
              <w:t>49.85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9.24</w:t>
            </w:r>
          </w:p>
        </w:tc>
        <w:tc>
          <w:tcPr>
            <w:tcW w:w="2551" w:type="dxa"/>
            <w:vAlign w:val="center"/>
          </w:tcPr>
          <w:p>
            <w:pPr>
              <w:pStyle w:val="15"/>
            </w:pPr>
            <w:r>
              <w:t>9.24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75.40</w:t>
            </w:r>
          </w:p>
        </w:tc>
        <w:tc>
          <w:tcPr>
            <w:tcW w:w="2551" w:type="dxa"/>
            <w:vAlign w:val="center"/>
          </w:tcPr>
          <w:p>
            <w:pPr>
              <w:pStyle w:val="15"/>
            </w:pPr>
            <w:r>
              <w:t>75.40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16.98</w:t>
            </w:r>
          </w:p>
        </w:tc>
        <w:tc>
          <w:tcPr>
            <w:tcW w:w="2551" w:type="dxa"/>
            <w:vAlign w:val="center"/>
          </w:tcPr>
          <w:p>
            <w:pPr>
              <w:pStyle w:val="15"/>
            </w:pPr>
            <w:r>
              <w:t>16.98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8.46</w:t>
            </w:r>
          </w:p>
        </w:tc>
        <w:tc>
          <w:tcPr>
            <w:tcW w:w="2551" w:type="dxa"/>
            <w:vAlign w:val="center"/>
          </w:tcPr>
          <w:p>
            <w:pPr>
              <w:pStyle w:val="15"/>
            </w:pPr>
            <w:r>
              <w:t>8.46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0.96</w:t>
            </w:r>
          </w:p>
        </w:tc>
        <w:tc>
          <w:tcPr>
            <w:tcW w:w="2551" w:type="dxa"/>
            <w:vAlign w:val="center"/>
          </w:tcPr>
          <w:p>
            <w:pPr>
              <w:pStyle w:val="15"/>
            </w:pPr>
            <w:r>
              <w:t>0.96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14.94</w:t>
            </w:r>
          </w:p>
        </w:tc>
        <w:tc>
          <w:tcPr>
            <w:tcW w:w="2551" w:type="dxa"/>
            <w:vAlign w:val="center"/>
          </w:tcPr>
          <w:p>
            <w:pPr>
              <w:pStyle w:val="15"/>
            </w:pPr>
            <w:r>
              <w:t>14.94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7.16</w:t>
            </w:r>
          </w:p>
        </w:tc>
        <w:tc>
          <w:tcPr>
            <w:tcW w:w="2551" w:type="dxa"/>
            <w:vAlign w:val="center"/>
          </w:tcPr>
          <w:p>
            <w:pPr>
              <w:pStyle w:val="15"/>
            </w:pPr>
          </w:p>
        </w:tc>
        <w:tc>
          <w:tcPr>
            <w:tcW w:w="2551" w:type="dxa"/>
            <w:vAlign w:val="center"/>
          </w:tcPr>
          <w:p>
            <w:pPr>
              <w:pStyle w:val="15"/>
            </w:pPr>
            <w:r>
              <w:t>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5.06</w:t>
            </w:r>
          </w:p>
        </w:tc>
        <w:tc>
          <w:tcPr>
            <w:tcW w:w="2551" w:type="dxa"/>
            <w:vAlign w:val="center"/>
          </w:tcPr>
          <w:p>
            <w:pPr>
              <w:pStyle w:val="15"/>
            </w:pPr>
          </w:p>
        </w:tc>
        <w:tc>
          <w:tcPr>
            <w:tcW w:w="2551" w:type="dxa"/>
            <w:vAlign w:val="center"/>
          </w:tcPr>
          <w:p>
            <w:pPr>
              <w:pStyle w:val="15"/>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30215</w:t>
            </w:r>
          </w:p>
        </w:tc>
        <w:tc>
          <w:tcPr>
            <w:tcW w:w="4535" w:type="dxa"/>
            <w:vAlign w:val="center"/>
          </w:tcPr>
          <w:p>
            <w:pPr>
              <w:pStyle w:val="16"/>
            </w:pPr>
            <w:r>
              <w:t>会议费</w:t>
            </w:r>
          </w:p>
        </w:tc>
        <w:tc>
          <w:tcPr>
            <w:tcW w:w="2551" w:type="dxa"/>
            <w:vAlign w:val="center"/>
          </w:tcPr>
          <w:p>
            <w:pPr>
              <w:pStyle w:val="15"/>
            </w:pPr>
            <w:r>
              <w:t>0.42</w:t>
            </w:r>
          </w:p>
        </w:tc>
        <w:tc>
          <w:tcPr>
            <w:tcW w:w="2551" w:type="dxa"/>
            <w:vAlign w:val="center"/>
          </w:tcPr>
          <w:p>
            <w:pPr>
              <w:pStyle w:val="15"/>
            </w:pPr>
          </w:p>
        </w:tc>
        <w:tc>
          <w:tcPr>
            <w:tcW w:w="2551" w:type="dxa"/>
            <w:vAlign w:val="center"/>
          </w:tcPr>
          <w:p>
            <w:pPr>
              <w:pStyle w:val="15"/>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0.58</w:t>
            </w:r>
          </w:p>
        </w:tc>
        <w:tc>
          <w:tcPr>
            <w:tcW w:w="2551" w:type="dxa"/>
            <w:vAlign w:val="center"/>
          </w:tcPr>
          <w:p>
            <w:pPr>
              <w:pStyle w:val="15"/>
            </w:pPr>
          </w:p>
        </w:tc>
        <w:tc>
          <w:tcPr>
            <w:tcW w:w="2551" w:type="dxa"/>
            <w:vAlign w:val="center"/>
          </w:tcPr>
          <w:p>
            <w:pPr>
              <w:pStyle w:val="15"/>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0.96</w:t>
            </w:r>
          </w:p>
        </w:tc>
        <w:tc>
          <w:tcPr>
            <w:tcW w:w="2551" w:type="dxa"/>
            <w:vAlign w:val="center"/>
          </w:tcPr>
          <w:p>
            <w:pPr>
              <w:pStyle w:val="15"/>
            </w:pPr>
          </w:p>
        </w:tc>
        <w:tc>
          <w:tcPr>
            <w:tcW w:w="2551" w:type="dxa"/>
            <w:vAlign w:val="center"/>
          </w:tcPr>
          <w:p>
            <w:pPr>
              <w:pStyle w:val="15"/>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0.14</w:t>
            </w:r>
          </w:p>
        </w:tc>
        <w:tc>
          <w:tcPr>
            <w:tcW w:w="2551" w:type="dxa"/>
            <w:vAlign w:val="center"/>
          </w:tcPr>
          <w:p>
            <w:pPr>
              <w:pStyle w:val="15"/>
            </w:pPr>
          </w:p>
        </w:tc>
        <w:tc>
          <w:tcPr>
            <w:tcW w:w="2551" w:type="dxa"/>
            <w:vAlign w:val="center"/>
          </w:tcPr>
          <w:p>
            <w:pPr>
              <w:pStyle w:val="15"/>
            </w:pPr>
            <w:r>
              <w:t>0.14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石家庄市栾城区公共资源交易中心2026年单位预算信息公开情况说明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按照《中华人民共和国预算法》、《地方预决算公开操作规程》和《关于进一步推进预算公开工作的实施意见》规定，现将石家庄市栾城区公共资源交易中心2026年单位预算公开如下：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负责提供公共资源交易场所、设施和服务，负责公共资源交易程序的具体操作和实施，负责公共资源交易平台信息化建设、数据统计分析等工作。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石家庄市栾城区公共资源交易中心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2026年预算收入182.99万元，其中：一般公共预算收入182.99万元，基金预算收入0.00万元，国有资本经营预算收入0.00万元，财政专户核拨收入0.00万元，单位资金收入0.00万元，上年结转结余0.00万元。</w:t>
      </w:r>
    </w:p>
    <w:p>
      <w:pPr>
        <w:pStyle w:val="30"/>
      </w:pPr>
      <w:r>
        <w:t>2、支出说明</w:t>
      </w:r>
    </w:p>
    <w:p>
      <w:pPr>
        <w:pStyle w:val="30"/>
        <w:rPr>
          <w:color w:val="000000" w:themeColor="text1"/>
          <w14:textFill>
            <w14:solidFill>
              <w14:schemeClr w14:val="tx1"/>
            </w14:solidFill>
          </w14:textFill>
        </w:rPr>
      </w:pPr>
      <w:r>
        <w:t>收支预算总表支出栏、基本支出表、项目支出表按经济分类和支出功能分类科目编制，反映石家庄市栾城区公共资源交易中心年度单位预算中支出预算的总体情况。2026年支出预算182.99万元，其中基本支出182.99万元，包括人员经费175.83万元和日常公用经费7.16万元；</w:t>
      </w:r>
      <w:r>
        <w:rPr>
          <w:color w:val="000000" w:themeColor="text1"/>
          <w14:textFill>
            <w14:solidFill>
              <w14:schemeClr w14:val="tx1"/>
            </w14:solidFill>
          </w14:textFill>
        </w:rPr>
        <w:t>项目支出0.00万元，主要为该单位无项目支出。预计下年使用的单位资金结余0.00万元。</w:t>
      </w:r>
    </w:p>
    <w:p>
      <w:pPr>
        <w:pStyle w:val="30"/>
      </w:pPr>
      <w:r>
        <w:t>3、比上年增减情况</w:t>
      </w:r>
    </w:p>
    <w:p>
      <w:pPr>
        <w:pStyle w:val="30"/>
        <w:rPr>
          <w:color w:val="FF0000"/>
        </w:rPr>
      </w:pPr>
      <w:r>
        <w:t>2026年预算收支安排182.99万元，较2025年预算增加10.78万元，其中：基本支出增加10.78万元，主要为人员经费</w:t>
      </w:r>
      <w:r>
        <w:rPr>
          <w:rFonts w:hint="eastAsia"/>
          <w:lang w:val="en-US" w:eastAsia="zh-CN"/>
        </w:rPr>
        <w:t>增加</w:t>
      </w:r>
      <w:r>
        <w:t>。</w:t>
      </w:r>
      <w:r>
        <w:rPr>
          <w:color w:val="000000" w:themeColor="text1"/>
          <w14:textFill>
            <w14:solidFill>
              <w14:schemeClr w14:val="tx1"/>
            </w14:solidFill>
          </w14:textFill>
        </w:rPr>
        <w:t>项目支出增加0.00万元，主要为该单位上年无项目支出。预计下年使用的单位资金结余增加0.00万元。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2026年，我单位机关运行经费共计安排7.16万元，主要用于日常维修、办公用房水电费、办公用房取暖费、办公用房物业管理费等日常运行支出。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keepNext w:val="0"/>
        <w:keepLines w:val="0"/>
        <w:pageBreakBefore w:val="0"/>
        <w:widowControl/>
        <w:kinsoku/>
        <w:wordWrap/>
        <w:overflowPunct/>
        <w:topLinePunct w:val="0"/>
        <w:autoSpaceDE/>
        <w:autoSpaceDN/>
        <w:bidi w:val="0"/>
        <w:adjustRightInd/>
        <w:snapToGrid/>
        <w:spacing w:line="500" w:lineRule="exact"/>
        <w:textAlignment w:val="auto"/>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lang w:eastAsia="zh-CN"/>
        </w:rPr>
        <w:t>，</w:t>
      </w:r>
      <w:r>
        <w:t>持平，无增减变化。</w:t>
      </w:r>
    </w:p>
    <w:p>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left="0" w:leftChars="0" w:firstLine="640" w:firstLineChars="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9"/>
        <w:rPr>
          <w:rFonts w:hint="eastAsia" w:ascii="Times New Roman" w:hAnsi="Times New Roman" w:eastAsia="方正仿宋_GBK" w:cs="Times New Roman"/>
          <w:sz w:val="28"/>
          <w:szCs w:val="22"/>
          <w:lang w:val="en-US" w:eastAsia="zh-CN"/>
        </w:rPr>
        <w:sectPr>
          <w:pgSz w:w="16840" w:h="11900" w:orient="landscape"/>
          <w:pgMar w:top="1361" w:right="1020" w:bottom="1361" w:left="1020" w:header="720" w:footer="720" w:gutter="0"/>
          <w:pgNumType w:fmt="decimal"/>
          <w:cols w:space="720" w:num="1"/>
        </w:sectPr>
      </w:pPr>
      <w:bookmarkStart w:id="3" w:name="_GoBack"/>
      <w:r>
        <w:rPr>
          <w:rFonts w:hint="eastAsia" w:ascii="Times New Roman" w:hAnsi="Times New Roman" w:eastAsia="方正仿宋_GBK" w:cs="Times New Roman"/>
          <w:sz w:val="28"/>
          <w:szCs w:val="22"/>
          <w:lang w:val="en-US" w:eastAsia="zh-CN"/>
        </w:rPr>
        <w:t>无</w:t>
      </w:r>
    </w:p>
    <w:bookmarkEnd w:id="3"/>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石家庄市栾城区公共资源交易中心上年末固定资产金额为0.00万元（详见下表）。本年度拟购置固定资产总额为0.00万元，已按要求列入政府采购预算，详见政府采购预算表。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305004石家庄市栾城区公共资源交易中心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101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101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102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102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101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101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102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JvSDC8VAgAAEwQAAA4AAAAAAAAA&#10;AQAgAAAAHwEAAGRycy9lMm9Eb2MueG1sUEsFBgAAAAAGAAYAWQEAAKYFA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102</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521D83"/>
    <w:multiLevelType w:val="singleLevel"/>
    <w:tmpl w:val="25521D8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4231A"/>
    <w:rsid w:val="040D08F7"/>
    <w:rsid w:val="174165D4"/>
    <w:rsid w:val="1DD90342"/>
    <w:rsid w:val="1F3E1D77"/>
    <w:rsid w:val="288B15EA"/>
    <w:rsid w:val="2DF16206"/>
    <w:rsid w:val="31750EFD"/>
    <w:rsid w:val="32DA54BB"/>
    <w:rsid w:val="3A1A5634"/>
    <w:rsid w:val="3A267238"/>
    <w:rsid w:val="3E3068D7"/>
    <w:rsid w:val="422A188F"/>
    <w:rsid w:val="4492209A"/>
    <w:rsid w:val="481C50E8"/>
    <w:rsid w:val="49CA5E32"/>
    <w:rsid w:val="4A5E657A"/>
    <w:rsid w:val="4D16313C"/>
    <w:rsid w:val="4F8B6063"/>
    <w:rsid w:val="4FD23C92"/>
    <w:rsid w:val="51FF6894"/>
    <w:rsid w:val="5200022C"/>
    <w:rsid w:val="53FA59B7"/>
    <w:rsid w:val="5401574F"/>
    <w:rsid w:val="5714693E"/>
    <w:rsid w:val="5D7C348F"/>
    <w:rsid w:val="60AD7EAA"/>
    <w:rsid w:val="6744501E"/>
    <w:rsid w:val="69EA352F"/>
    <w:rsid w:val="6A5A079F"/>
    <w:rsid w:val="6BBD714D"/>
    <w:rsid w:val="6FDD5985"/>
    <w:rsid w:val="730135D3"/>
    <w:rsid w:val="77860D3A"/>
    <w:rsid w:val="7A8610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67</Pages>
  <Words>6202</Words>
  <Characters>7728</Characters>
  <TotalTime>133</TotalTime>
  <ScaleCrop>false</ScaleCrop>
  <LinksUpToDate>false</LinksUpToDate>
  <CharactersWithSpaces>7829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2026-03-05T16:34:00Z</dcterms:created>
  <dc:creator>Administrator</dc:creator>
  <cp:lastModifiedBy>Administrator</cp:lastModifiedBy>
  <cp:lastPrinted>2026-03-06T06:05:00Z</cp:lastPrinted>
  <dcterms:modified xsi:type="dcterms:W3CDTF">2026-03-10T08:12:39Z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312A801790744937BF0DF4035623F9FC_13</vt:lpwstr>
  </property>
  <property fmtid="{D5CDD505-2E9C-101B-9397-08002B2CF9AE}" pid="4" name="KSOTemplateDocerSaveRecord">
    <vt:lpwstr>eyJoZGlkIjoiY2NjODUwY2I1N2ZkYzIyY2I0MjM0NzlmMmM1ZTE0YTAiLCJ1c2VySWQiOiI0MzU4NjEwMDcifQ==</vt:lpwstr>
  </property>
</Properties>
</file>