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pPr>
        <w:jc w:val="center"/>
      </w:pPr>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pPr>
        <w:pStyle w:val="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305石家庄市栾城区数据和政务服务局</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1795.24</w:t>
            </w:r>
          </w:p>
        </w:tc>
        <w:tc>
          <w:tcPr>
            <w:tcW w:w="4535" w:type="dxa"/>
            <w:vAlign w:val="center"/>
          </w:tcPr>
          <w:p>
            <w:pPr>
              <w:pStyle w:val="16"/>
            </w:pPr>
            <w:r>
              <w:t>一、一般公共服务支出</w:t>
            </w:r>
          </w:p>
        </w:tc>
        <w:tc>
          <w:tcPr>
            <w:tcW w:w="2126" w:type="dxa"/>
            <w:vAlign w:val="center"/>
          </w:tcPr>
          <w:p>
            <w:pPr>
              <w:pStyle w:val="15"/>
            </w:pPr>
            <w:r>
              <w:t>1623.05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r>
              <w:t>2218.20</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114.95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57.24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2218.20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4013.44</w:t>
            </w:r>
          </w:p>
        </w:tc>
        <w:tc>
          <w:tcPr>
            <w:tcW w:w="4535" w:type="dxa"/>
            <w:vAlign w:val="center"/>
          </w:tcPr>
          <w:p>
            <w:pPr>
              <w:pStyle w:val="18"/>
            </w:pPr>
            <w:r>
              <w:t>本年支出合计</w:t>
            </w:r>
          </w:p>
        </w:tc>
        <w:tc>
          <w:tcPr>
            <w:tcW w:w="2126" w:type="dxa"/>
            <w:vAlign w:val="center"/>
          </w:tcPr>
          <w:p>
            <w:pPr>
              <w:pStyle w:val="19"/>
            </w:pPr>
            <w:r>
              <w:t>4013.44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4013.44</w:t>
            </w:r>
          </w:p>
        </w:tc>
        <w:tc>
          <w:tcPr>
            <w:tcW w:w="4535" w:type="dxa"/>
            <w:vAlign w:val="center"/>
          </w:tcPr>
          <w:p>
            <w:pPr>
              <w:pStyle w:val="18"/>
            </w:pPr>
            <w:r>
              <w:t>支出总计</w:t>
            </w:r>
          </w:p>
        </w:tc>
        <w:tc>
          <w:tcPr>
            <w:tcW w:w="2126" w:type="dxa"/>
            <w:vAlign w:val="center"/>
          </w:tcPr>
          <w:p>
            <w:pPr>
              <w:pStyle w:val="19"/>
            </w:pPr>
            <w:r>
              <w:t>4013.44</w:t>
            </w:r>
          </w:p>
        </w:tc>
      </w:tr>
    </w:tbl>
    <w:p>
      <w:pPr>
        <w:sectPr>
          <w:footerReference r:id="rId3" w:type="default"/>
          <w:footerReference r:id="rId4" w:type="even"/>
          <w:pgSz w:w="16840" w:h="11900" w:orient="landscape"/>
          <w:pgMar w:top="1361" w:right="1020" w:bottom="1134" w:left="1020" w:header="720" w:footer="720" w:gutter="0"/>
          <w:pgNumType w:fmt="decimal"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305石家庄市栾城区数据和政务服务局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4013.44</w:t>
            </w:r>
          </w:p>
        </w:tc>
        <w:tc>
          <w:tcPr>
            <w:tcW w:w="1134" w:type="dxa"/>
            <w:vAlign w:val="center"/>
          </w:tcPr>
          <w:p>
            <w:pPr>
              <w:pStyle w:val="19"/>
            </w:pPr>
            <w:r>
              <w:t>4013.44</w:t>
            </w:r>
          </w:p>
        </w:tc>
        <w:tc>
          <w:tcPr>
            <w:tcW w:w="1134" w:type="dxa"/>
            <w:vAlign w:val="center"/>
          </w:tcPr>
          <w:p>
            <w:pPr>
              <w:pStyle w:val="19"/>
            </w:pPr>
            <w:r>
              <w:t>4013.44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1623.05</w:t>
            </w:r>
          </w:p>
        </w:tc>
        <w:tc>
          <w:tcPr>
            <w:tcW w:w="1134" w:type="dxa"/>
            <w:vAlign w:val="center"/>
          </w:tcPr>
          <w:p>
            <w:pPr>
              <w:pStyle w:val="15"/>
            </w:pPr>
            <w:r>
              <w:t>1623.05</w:t>
            </w:r>
          </w:p>
        </w:tc>
        <w:tc>
          <w:tcPr>
            <w:tcW w:w="1134" w:type="dxa"/>
            <w:vAlign w:val="center"/>
          </w:tcPr>
          <w:p>
            <w:pPr>
              <w:pStyle w:val="15"/>
            </w:pPr>
            <w:r>
              <w:t>1623.05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1623.05</w:t>
            </w:r>
          </w:p>
        </w:tc>
        <w:tc>
          <w:tcPr>
            <w:tcW w:w="1134" w:type="dxa"/>
            <w:vAlign w:val="center"/>
          </w:tcPr>
          <w:p>
            <w:pPr>
              <w:pStyle w:val="15"/>
            </w:pPr>
            <w:r>
              <w:t>1623.05</w:t>
            </w:r>
          </w:p>
        </w:tc>
        <w:tc>
          <w:tcPr>
            <w:tcW w:w="1134" w:type="dxa"/>
            <w:vAlign w:val="center"/>
          </w:tcPr>
          <w:p>
            <w:pPr>
              <w:pStyle w:val="15"/>
            </w:pPr>
            <w:r>
              <w:t>1623.05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894.75</w:t>
            </w:r>
          </w:p>
        </w:tc>
        <w:tc>
          <w:tcPr>
            <w:tcW w:w="1134" w:type="dxa"/>
            <w:vAlign w:val="center"/>
          </w:tcPr>
          <w:p>
            <w:pPr>
              <w:pStyle w:val="15"/>
            </w:pPr>
            <w:r>
              <w:t>894.75</w:t>
            </w:r>
          </w:p>
        </w:tc>
        <w:tc>
          <w:tcPr>
            <w:tcW w:w="1134" w:type="dxa"/>
            <w:vAlign w:val="center"/>
          </w:tcPr>
          <w:p>
            <w:pPr>
              <w:pStyle w:val="15"/>
            </w:pPr>
            <w:r>
              <w:t>894.75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2010350</w:t>
            </w:r>
          </w:p>
        </w:tc>
        <w:tc>
          <w:tcPr>
            <w:tcW w:w="1559" w:type="dxa"/>
            <w:vAlign w:val="center"/>
          </w:tcPr>
          <w:p>
            <w:pPr>
              <w:pStyle w:val="16"/>
            </w:pPr>
            <w:r>
              <w:t>事业运行</w:t>
            </w:r>
          </w:p>
        </w:tc>
        <w:tc>
          <w:tcPr>
            <w:tcW w:w="1134" w:type="dxa"/>
            <w:vAlign w:val="center"/>
          </w:tcPr>
          <w:p>
            <w:pPr>
              <w:pStyle w:val="15"/>
            </w:pPr>
            <w:r>
              <w:t>728.30</w:t>
            </w:r>
          </w:p>
        </w:tc>
        <w:tc>
          <w:tcPr>
            <w:tcW w:w="1134" w:type="dxa"/>
            <w:vAlign w:val="center"/>
          </w:tcPr>
          <w:p>
            <w:pPr>
              <w:pStyle w:val="15"/>
            </w:pPr>
            <w:r>
              <w:t>728.30</w:t>
            </w:r>
          </w:p>
        </w:tc>
        <w:tc>
          <w:tcPr>
            <w:tcW w:w="1134" w:type="dxa"/>
            <w:vAlign w:val="center"/>
          </w:tcPr>
          <w:p>
            <w:pPr>
              <w:pStyle w:val="15"/>
            </w:pPr>
            <w:r>
              <w:t>728.30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114.95</w:t>
            </w:r>
          </w:p>
        </w:tc>
        <w:tc>
          <w:tcPr>
            <w:tcW w:w="1134" w:type="dxa"/>
            <w:vAlign w:val="center"/>
          </w:tcPr>
          <w:p>
            <w:pPr>
              <w:pStyle w:val="15"/>
            </w:pPr>
            <w:r>
              <w:t>114.95</w:t>
            </w:r>
          </w:p>
        </w:tc>
        <w:tc>
          <w:tcPr>
            <w:tcW w:w="1134" w:type="dxa"/>
            <w:vAlign w:val="center"/>
          </w:tcPr>
          <w:p>
            <w:pPr>
              <w:pStyle w:val="15"/>
            </w:pPr>
            <w:r>
              <w:t>114.95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109.77</w:t>
            </w:r>
          </w:p>
        </w:tc>
        <w:tc>
          <w:tcPr>
            <w:tcW w:w="1134" w:type="dxa"/>
            <w:vAlign w:val="center"/>
          </w:tcPr>
          <w:p>
            <w:pPr>
              <w:pStyle w:val="15"/>
            </w:pPr>
            <w:r>
              <w:t>109.77</w:t>
            </w:r>
          </w:p>
        </w:tc>
        <w:tc>
          <w:tcPr>
            <w:tcW w:w="1134" w:type="dxa"/>
            <w:vAlign w:val="center"/>
          </w:tcPr>
          <w:p>
            <w:pPr>
              <w:pStyle w:val="15"/>
            </w:pPr>
            <w:r>
              <w:t>109.77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109.77</w:t>
            </w:r>
          </w:p>
        </w:tc>
        <w:tc>
          <w:tcPr>
            <w:tcW w:w="1134" w:type="dxa"/>
            <w:vAlign w:val="center"/>
          </w:tcPr>
          <w:p>
            <w:pPr>
              <w:pStyle w:val="15"/>
            </w:pPr>
            <w:r>
              <w:t>109.77</w:t>
            </w:r>
          </w:p>
        </w:tc>
        <w:tc>
          <w:tcPr>
            <w:tcW w:w="1134" w:type="dxa"/>
            <w:vAlign w:val="center"/>
          </w:tcPr>
          <w:p>
            <w:pPr>
              <w:pStyle w:val="15"/>
            </w:pPr>
            <w:r>
              <w:t>109.77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20827</w:t>
            </w:r>
          </w:p>
        </w:tc>
        <w:tc>
          <w:tcPr>
            <w:tcW w:w="1559" w:type="dxa"/>
            <w:vAlign w:val="center"/>
          </w:tcPr>
          <w:p>
            <w:pPr>
              <w:pStyle w:val="16"/>
            </w:pPr>
            <w:r>
              <w:t>财政对其他社会保险基金的补助</w:t>
            </w:r>
          </w:p>
        </w:tc>
        <w:tc>
          <w:tcPr>
            <w:tcW w:w="1134" w:type="dxa"/>
            <w:vAlign w:val="center"/>
          </w:tcPr>
          <w:p>
            <w:pPr>
              <w:pStyle w:val="15"/>
            </w:pPr>
            <w:r>
              <w:t>5.18</w:t>
            </w:r>
          </w:p>
        </w:tc>
        <w:tc>
          <w:tcPr>
            <w:tcW w:w="1134" w:type="dxa"/>
            <w:vAlign w:val="center"/>
          </w:tcPr>
          <w:p>
            <w:pPr>
              <w:pStyle w:val="15"/>
            </w:pPr>
            <w:r>
              <w:t>5.18</w:t>
            </w:r>
          </w:p>
        </w:tc>
        <w:tc>
          <w:tcPr>
            <w:tcW w:w="1134" w:type="dxa"/>
            <w:vAlign w:val="center"/>
          </w:tcPr>
          <w:p>
            <w:pPr>
              <w:pStyle w:val="15"/>
            </w:pPr>
            <w:r>
              <w:t>5.18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2082701</w:t>
            </w:r>
          </w:p>
        </w:tc>
        <w:tc>
          <w:tcPr>
            <w:tcW w:w="1559" w:type="dxa"/>
            <w:vAlign w:val="center"/>
          </w:tcPr>
          <w:p>
            <w:pPr>
              <w:pStyle w:val="16"/>
            </w:pPr>
            <w:r>
              <w:t>财政对失业保险基金的补助</w:t>
            </w:r>
          </w:p>
        </w:tc>
        <w:tc>
          <w:tcPr>
            <w:tcW w:w="1134" w:type="dxa"/>
            <w:vAlign w:val="center"/>
          </w:tcPr>
          <w:p>
            <w:pPr>
              <w:pStyle w:val="15"/>
            </w:pPr>
            <w:r>
              <w:t>2.57</w:t>
            </w:r>
          </w:p>
        </w:tc>
        <w:tc>
          <w:tcPr>
            <w:tcW w:w="1134" w:type="dxa"/>
            <w:vAlign w:val="center"/>
          </w:tcPr>
          <w:p>
            <w:pPr>
              <w:pStyle w:val="15"/>
            </w:pPr>
            <w:r>
              <w:t>2.57</w:t>
            </w:r>
          </w:p>
        </w:tc>
        <w:tc>
          <w:tcPr>
            <w:tcW w:w="1134" w:type="dxa"/>
            <w:vAlign w:val="center"/>
          </w:tcPr>
          <w:p>
            <w:pPr>
              <w:pStyle w:val="15"/>
            </w:pPr>
            <w:r>
              <w:t>2.57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2082702</w:t>
            </w:r>
          </w:p>
        </w:tc>
        <w:tc>
          <w:tcPr>
            <w:tcW w:w="1559" w:type="dxa"/>
            <w:vAlign w:val="center"/>
          </w:tcPr>
          <w:p>
            <w:pPr>
              <w:pStyle w:val="16"/>
            </w:pPr>
            <w:r>
              <w:t>财政对工伤保险基金的补助</w:t>
            </w:r>
          </w:p>
        </w:tc>
        <w:tc>
          <w:tcPr>
            <w:tcW w:w="1134" w:type="dxa"/>
            <w:vAlign w:val="center"/>
          </w:tcPr>
          <w:p>
            <w:pPr>
              <w:pStyle w:val="15"/>
            </w:pPr>
            <w:r>
              <w:t>2.61</w:t>
            </w:r>
          </w:p>
        </w:tc>
        <w:tc>
          <w:tcPr>
            <w:tcW w:w="1134" w:type="dxa"/>
            <w:vAlign w:val="center"/>
          </w:tcPr>
          <w:p>
            <w:pPr>
              <w:pStyle w:val="15"/>
            </w:pPr>
            <w:r>
              <w:t>2.61</w:t>
            </w:r>
          </w:p>
        </w:tc>
        <w:tc>
          <w:tcPr>
            <w:tcW w:w="1134" w:type="dxa"/>
            <w:vAlign w:val="center"/>
          </w:tcPr>
          <w:p>
            <w:pPr>
              <w:pStyle w:val="15"/>
            </w:pPr>
            <w:r>
              <w:t>2.61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57.24</w:t>
            </w:r>
          </w:p>
        </w:tc>
        <w:tc>
          <w:tcPr>
            <w:tcW w:w="1134" w:type="dxa"/>
            <w:vAlign w:val="center"/>
          </w:tcPr>
          <w:p>
            <w:pPr>
              <w:pStyle w:val="15"/>
            </w:pPr>
            <w:r>
              <w:t>57.24</w:t>
            </w:r>
          </w:p>
        </w:tc>
        <w:tc>
          <w:tcPr>
            <w:tcW w:w="1134" w:type="dxa"/>
            <w:vAlign w:val="center"/>
          </w:tcPr>
          <w:p>
            <w:pPr>
              <w:pStyle w:val="15"/>
            </w:pPr>
            <w:r>
              <w:t>57.24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57.24</w:t>
            </w:r>
          </w:p>
        </w:tc>
        <w:tc>
          <w:tcPr>
            <w:tcW w:w="1134" w:type="dxa"/>
            <w:vAlign w:val="center"/>
          </w:tcPr>
          <w:p>
            <w:pPr>
              <w:pStyle w:val="15"/>
            </w:pPr>
            <w:r>
              <w:t>57.24</w:t>
            </w:r>
          </w:p>
        </w:tc>
        <w:tc>
          <w:tcPr>
            <w:tcW w:w="1134" w:type="dxa"/>
            <w:vAlign w:val="center"/>
          </w:tcPr>
          <w:p>
            <w:pPr>
              <w:pStyle w:val="15"/>
            </w:pPr>
            <w:r>
              <w:t>57.24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17.63</w:t>
            </w:r>
          </w:p>
        </w:tc>
        <w:tc>
          <w:tcPr>
            <w:tcW w:w="1134" w:type="dxa"/>
            <w:vAlign w:val="center"/>
          </w:tcPr>
          <w:p>
            <w:pPr>
              <w:pStyle w:val="15"/>
            </w:pPr>
            <w:r>
              <w:t>17.63</w:t>
            </w:r>
          </w:p>
        </w:tc>
        <w:tc>
          <w:tcPr>
            <w:tcW w:w="1134" w:type="dxa"/>
            <w:vAlign w:val="center"/>
          </w:tcPr>
          <w:p>
            <w:pPr>
              <w:pStyle w:val="15"/>
            </w:pPr>
            <w:r>
              <w:t>17.63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39.61</w:t>
            </w:r>
          </w:p>
        </w:tc>
        <w:tc>
          <w:tcPr>
            <w:tcW w:w="1134" w:type="dxa"/>
            <w:vAlign w:val="center"/>
          </w:tcPr>
          <w:p>
            <w:pPr>
              <w:pStyle w:val="15"/>
            </w:pPr>
            <w:r>
              <w:t>39.61</w:t>
            </w:r>
          </w:p>
        </w:tc>
        <w:tc>
          <w:tcPr>
            <w:tcW w:w="1134" w:type="dxa"/>
            <w:vAlign w:val="center"/>
          </w:tcPr>
          <w:p>
            <w:pPr>
              <w:pStyle w:val="15"/>
            </w:pPr>
            <w:r>
              <w:t>39.61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2218.20</w:t>
            </w:r>
          </w:p>
        </w:tc>
        <w:tc>
          <w:tcPr>
            <w:tcW w:w="1134" w:type="dxa"/>
            <w:vAlign w:val="center"/>
          </w:tcPr>
          <w:p>
            <w:pPr>
              <w:pStyle w:val="15"/>
            </w:pPr>
            <w:r>
              <w:t>2218.20</w:t>
            </w:r>
          </w:p>
        </w:tc>
        <w:tc>
          <w:tcPr>
            <w:tcW w:w="1134" w:type="dxa"/>
            <w:vAlign w:val="center"/>
          </w:tcPr>
          <w:p>
            <w:pPr>
              <w:pStyle w:val="15"/>
            </w:pPr>
            <w:r>
              <w:t>2218.20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22904</w:t>
            </w:r>
          </w:p>
        </w:tc>
        <w:tc>
          <w:tcPr>
            <w:tcW w:w="1559" w:type="dxa"/>
            <w:vAlign w:val="center"/>
          </w:tcPr>
          <w:p>
            <w:pPr>
              <w:pStyle w:val="16"/>
            </w:pPr>
            <w:r>
              <w:t>其他政府性基金及对应专项债务收入安排的支出</w:t>
            </w:r>
          </w:p>
        </w:tc>
        <w:tc>
          <w:tcPr>
            <w:tcW w:w="1134" w:type="dxa"/>
            <w:vAlign w:val="center"/>
          </w:tcPr>
          <w:p>
            <w:pPr>
              <w:pStyle w:val="15"/>
            </w:pPr>
            <w:r>
              <w:t>2218.20</w:t>
            </w:r>
          </w:p>
        </w:tc>
        <w:tc>
          <w:tcPr>
            <w:tcW w:w="1134" w:type="dxa"/>
            <w:vAlign w:val="center"/>
          </w:tcPr>
          <w:p>
            <w:pPr>
              <w:pStyle w:val="15"/>
            </w:pPr>
            <w:r>
              <w:t>2218.20</w:t>
            </w:r>
          </w:p>
        </w:tc>
        <w:tc>
          <w:tcPr>
            <w:tcW w:w="1134" w:type="dxa"/>
            <w:vAlign w:val="center"/>
          </w:tcPr>
          <w:p>
            <w:pPr>
              <w:pStyle w:val="15"/>
            </w:pPr>
            <w:r>
              <w:t>2218.20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2290402</w:t>
            </w:r>
          </w:p>
        </w:tc>
        <w:tc>
          <w:tcPr>
            <w:tcW w:w="1559" w:type="dxa"/>
            <w:vAlign w:val="center"/>
          </w:tcPr>
          <w:p>
            <w:pPr>
              <w:pStyle w:val="16"/>
            </w:pPr>
            <w:r>
              <w:t>其他地方自行试点项目收益专项债券收入安排的支出</w:t>
            </w:r>
          </w:p>
        </w:tc>
        <w:tc>
          <w:tcPr>
            <w:tcW w:w="1134" w:type="dxa"/>
            <w:vAlign w:val="center"/>
          </w:tcPr>
          <w:p>
            <w:pPr>
              <w:pStyle w:val="15"/>
            </w:pPr>
            <w:r>
              <w:t>2218.20</w:t>
            </w:r>
          </w:p>
        </w:tc>
        <w:tc>
          <w:tcPr>
            <w:tcW w:w="1134" w:type="dxa"/>
            <w:vAlign w:val="center"/>
          </w:tcPr>
          <w:p>
            <w:pPr>
              <w:pStyle w:val="15"/>
            </w:pPr>
            <w:r>
              <w:t>2218.20</w:t>
            </w:r>
          </w:p>
        </w:tc>
        <w:tc>
          <w:tcPr>
            <w:tcW w:w="1134" w:type="dxa"/>
            <w:vAlign w:val="center"/>
          </w:tcPr>
          <w:p>
            <w:pPr>
              <w:pStyle w:val="15"/>
            </w:pPr>
            <w:r>
              <w:t>2218.20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305石家庄市栾城区数据和政务服务局</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4013.44</w:t>
            </w:r>
          </w:p>
        </w:tc>
        <w:tc>
          <w:tcPr>
            <w:tcW w:w="1361" w:type="dxa"/>
            <w:vAlign w:val="center"/>
          </w:tcPr>
          <w:p>
            <w:pPr>
              <w:pStyle w:val="19"/>
            </w:pPr>
            <w:r>
              <w:t>1253.99</w:t>
            </w:r>
          </w:p>
        </w:tc>
        <w:tc>
          <w:tcPr>
            <w:tcW w:w="1361" w:type="dxa"/>
            <w:vAlign w:val="center"/>
          </w:tcPr>
          <w:p>
            <w:pPr>
              <w:pStyle w:val="19"/>
            </w:pPr>
            <w:r>
              <w:t>2759.45</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1623.05</w:t>
            </w:r>
          </w:p>
        </w:tc>
        <w:tc>
          <w:tcPr>
            <w:tcW w:w="1361" w:type="dxa"/>
            <w:vAlign w:val="center"/>
          </w:tcPr>
          <w:p>
            <w:pPr>
              <w:pStyle w:val="15"/>
            </w:pPr>
            <w:r>
              <w:t>1081.80</w:t>
            </w:r>
          </w:p>
        </w:tc>
        <w:tc>
          <w:tcPr>
            <w:tcW w:w="1361" w:type="dxa"/>
            <w:vAlign w:val="center"/>
          </w:tcPr>
          <w:p>
            <w:pPr>
              <w:pStyle w:val="15"/>
            </w:pPr>
            <w:r>
              <w:t>541.25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1623.05</w:t>
            </w:r>
          </w:p>
        </w:tc>
        <w:tc>
          <w:tcPr>
            <w:tcW w:w="1361" w:type="dxa"/>
            <w:vAlign w:val="center"/>
          </w:tcPr>
          <w:p>
            <w:pPr>
              <w:pStyle w:val="15"/>
            </w:pPr>
            <w:r>
              <w:t>1081.80</w:t>
            </w:r>
          </w:p>
        </w:tc>
        <w:tc>
          <w:tcPr>
            <w:tcW w:w="1361" w:type="dxa"/>
            <w:vAlign w:val="center"/>
          </w:tcPr>
          <w:p>
            <w:pPr>
              <w:pStyle w:val="15"/>
            </w:pPr>
            <w:r>
              <w:t>541.25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894.75</w:t>
            </w:r>
          </w:p>
        </w:tc>
        <w:tc>
          <w:tcPr>
            <w:tcW w:w="1361" w:type="dxa"/>
            <w:vAlign w:val="center"/>
          </w:tcPr>
          <w:p>
            <w:pPr>
              <w:pStyle w:val="15"/>
            </w:pPr>
            <w:r>
              <w:t>353.50</w:t>
            </w:r>
          </w:p>
        </w:tc>
        <w:tc>
          <w:tcPr>
            <w:tcW w:w="1361" w:type="dxa"/>
            <w:vAlign w:val="center"/>
          </w:tcPr>
          <w:p>
            <w:pPr>
              <w:pStyle w:val="15"/>
            </w:pPr>
            <w:r>
              <w:t>541.25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2010350</w:t>
            </w:r>
          </w:p>
        </w:tc>
        <w:tc>
          <w:tcPr>
            <w:tcW w:w="4535" w:type="dxa"/>
            <w:vAlign w:val="center"/>
          </w:tcPr>
          <w:p>
            <w:pPr>
              <w:pStyle w:val="16"/>
            </w:pPr>
            <w:r>
              <w:t>事业运行</w:t>
            </w:r>
          </w:p>
        </w:tc>
        <w:tc>
          <w:tcPr>
            <w:tcW w:w="1361" w:type="dxa"/>
            <w:vAlign w:val="center"/>
          </w:tcPr>
          <w:p>
            <w:pPr>
              <w:pStyle w:val="15"/>
            </w:pPr>
            <w:r>
              <w:t>728.30</w:t>
            </w:r>
          </w:p>
        </w:tc>
        <w:tc>
          <w:tcPr>
            <w:tcW w:w="1361" w:type="dxa"/>
            <w:vAlign w:val="center"/>
          </w:tcPr>
          <w:p>
            <w:pPr>
              <w:pStyle w:val="15"/>
            </w:pPr>
            <w:r>
              <w:t>728.30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114.95</w:t>
            </w:r>
          </w:p>
        </w:tc>
        <w:tc>
          <w:tcPr>
            <w:tcW w:w="1361" w:type="dxa"/>
            <w:vAlign w:val="center"/>
          </w:tcPr>
          <w:p>
            <w:pPr>
              <w:pStyle w:val="15"/>
            </w:pPr>
            <w:r>
              <w:t>114.95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109.77</w:t>
            </w:r>
          </w:p>
        </w:tc>
        <w:tc>
          <w:tcPr>
            <w:tcW w:w="1361" w:type="dxa"/>
            <w:vAlign w:val="center"/>
          </w:tcPr>
          <w:p>
            <w:pPr>
              <w:pStyle w:val="15"/>
            </w:pPr>
            <w:r>
              <w:t>109.77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109.77</w:t>
            </w:r>
          </w:p>
        </w:tc>
        <w:tc>
          <w:tcPr>
            <w:tcW w:w="1361" w:type="dxa"/>
            <w:vAlign w:val="center"/>
          </w:tcPr>
          <w:p>
            <w:pPr>
              <w:pStyle w:val="15"/>
            </w:pPr>
            <w:r>
              <w:t>109.77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20827</w:t>
            </w:r>
          </w:p>
        </w:tc>
        <w:tc>
          <w:tcPr>
            <w:tcW w:w="4535" w:type="dxa"/>
            <w:vAlign w:val="center"/>
          </w:tcPr>
          <w:p>
            <w:pPr>
              <w:pStyle w:val="16"/>
            </w:pPr>
            <w:r>
              <w:t>财政对其他社会保险基金的补助</w:t>
            </w:r>
          </w:p>
        </w:tc>
        <w:tc>
          <w:tcPr>
            <w:tcW w:w="1361" w:type="dxa"/>
            <w:vAlign w:val="center"/>
          </w:tcPr>
          <w:p>
            <w:pPr>
              <w:pStyle w:val="15"/>
            </w:pPr>
            <w:r>
              <w:t>5.18</w:t>
            </w:r>
          </w:p>
        </w:tc>
        <w:tc>
          <w:tcPr>
            <w:tcW w:w="1361" w:type="dxa"/>
            <w:vAlign w:val="center"/>
          </w:tcPr>
          <w:p>
            <w:pPr>
              <w:pStyle w:val="15"/>
            </w:pPr>
            <w:r>
              <w:t>5.18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2082701</w:t>
            </w:r>
          </w:p>
        </w:tc>
        <w:tc>
          <w:tcPr>
            <w:tcW w:w="4535" w:type="dxa"/>
            <w:vAlign w:val="center"/>
          </w:tcPr>
          <w:p>
            <w:pPr>
              <w:pStyle w:val="16"/>
            </w:pPr>
            <w:r>
              <w:t>财政对失业保险基金的补助</w:t>
            </w:r>
          </w:p>
        </w:tc>
        <w:tc>
          <w:tcPr>
            <w:tcW w:w="1361" w:type="dxa"/>
            <w:vAlign w:val="center"/>
          </w:tcPr>
          <w:p>
            <w:pPr>
              <w:pStyle w:val="15"/>
            </w:pPr>
            <w:r>
              <w:t>2.57</w:t>
            </w:r>
          </w:p>
        </w:tc>
        <w:tc>
          <w:tcPr>
            <w:tcW w:w="1361" w:type="dxa"/>
            <w:vAlign w:val="center"/>
          </w:tcPr>
          <w:p>
            <w:pPr>
              <w:pStyle w:val="15"/>
            </w:pPr>
            <w:r>
              <w:t>2.57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2082702</w:t>
            </w:r>
          </w:p>
        </w:tc>
        <w:tc>
          <w:tcPr>
            <w:tcW w:w="4535" w:type="dxa"/>
            <w:vAlign w:val="center"/>
          </w:tcPr>
          <w:p>
            <w:pPr>
              <w:pStyle w:val="16"/>
            </w:pPr>
            <w:r>
              <w:t>财政对工伤保险基金的补助</w:t>
            </w:r>
          </w:p>
        </w:tc>
        <w:tc>
          <w:tcPr>
            <w:tcW w:w="1361" w:type="dxa"/>
            <w:vAlign w:val="center"/>
          </w:tcPr>
          <w:p>
            <w:pPr>
              <w:pStyle w:val="15"/>
            </w:pPr>
            <w:r>
              <w:t>2.61</w:t>
            </w:r>
          </w:p>
        </w:tc>
        <w:tc>
          <w:tcPr>
            <w:tcW w:w="1361" w:type="dxa"/>
            <w:vAlign w:val="center"/>
          </w:tcPr>
          <w:p>
            <w:pPr>
              <w:pStyle w:val="15"/>
            </w:pPr>
            <w:r>
              <w:t>2.61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57.24</w:t>
            </w:r>
          </w:p>
        </w:tc>
        <w:tc>
          <w:tcPr>
            <w:tcW w:w="1361" w:type="dxa"/>
            <w:vAlign w:val="center"/>
          </w:tcPr>
          <w:p>
            <w:pPr>
              <w:pStyle w:val="15"/>
            </w:pPr>
            <w:r>
              <w:t>57.24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57.24</w:t>
            </w:r>
          </w:p>
        </w:tc>
        <w:tc>
          <w:tcPr>
            <w:tcW w:w="1361" w:type="dxa"/>
            <w:vAlign w:val="center"/>
          </w:tcPr>
          <w:p>
            <w:pPr>
              <w:pStyle w:val="15"/>
            </w:pPr>
            <w:r>
              <w:t>57.24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17.63</w:t>
            </w:r>
          </w:p>
        </w:tc>
        <w:tc>
          <w:tcPr>
            <w:tcW w:w="1361" w:type="dxa"/>
            <w:vAlign w:val="center"/>
          </w:tcPr>
          <w:p>
            <w:pPr>
              <w:pStyle w:val="15"/>
            </w:pPr>
            <w:r>
              <w:t>17.63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39.61</w:t>
            </w:r>
          </w:p>
        </w:tc>
        <w:tc>
          <w:tcPr>
            <w:tcW w:w="1361" w:type="dxa"/>
            <w:vAlign w:val="center"/>
          </w:tcPr>
          <w:p>
            <w:pPr>
              <w:pStyle w:val="15"/>
            </w:pPr>
            <w:r>
              <w:t>39.61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229</w:t>
            </w:r>
          </w:p>
        </w:tc>
        <w:tc>
          <w:tcPr>
            <w:tcW w:w="4535" w:type="dxa"/>
            <w:vAlign w:val="center"/>
          </w:tcPr>
          <w:p>
            <w:pPr>
              <w:pStyle w:val="16"/>
            </w:pPr>
            <w:r>
              <w:t>其他支出</w:t>
            </w:r>
          </w:p>
        </w:tc>
        <w:tc>
          <w:tcPr>
            <w:tcW w:w="1361" w:type="dxa"/>
            <w:vAlign w:val="center"/>
          </w:tcPr>
          <w:p>
            <w:pPr>
              <w:pStyle w:val="15"/>
            </w:pPr>
            <w:r>
              <w:t>2218.20</w:t>
            </w:r>
          </w:p>
        </w:tc>
        <w:tc>
          <w:tcPr>
            <w:tcW w:w="1361" w:type="dxa"/>
            <w:vAlign w:val="center"/>
          </w:tcPr>
          <w:p>
            <w:pPr>
              <w:pStyle w:val="15"/>
            </w:pPr>
          </w:p>
        </w:tc>
        <w:tc>
          <w:tcPr>
            <w:tcW w:w="1361" w:type="dxa"/>
            <w:vAlign w:val="center"/>
          </w:tcPr>
          <w:p>
            <w:pPr>
              <w:pStyle w:val="15"/>
            </w:pPr>
            <w:r>
              <w:t>2218.20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22904</w:t>
            </w:r>
          </w:p>
        </w:tc>
        <w:tc>
          <w:tcPr>
            <w:tcW w:w="4535" w:type="dxa"/>
            <w:vAlign w:val="center"/>
          </w:tcPr>
          <w:p>
            <w:pPr>
              <w:pStyle w:val="16"/>
            </w:pPr>
            <w:r>
              <w:t>其他政府性基金及对应专项债务收入安排的支出</w:t>
            </w:r>
          </w:p>
        </w:tc>
        <w:tc>
          <w:tcPr>
            <w:tcW w:w="1361" w:type="dxa"/>
            <w:vAlign w:val="center"/>
          </w:tcPr>
          <w:p>
            <w:pPr>
              <w:pStyle w:val="15"/>
            </w:pPr>
            <w:r>
              <w:t>2218.20</w:t>
            </w:r>
          </w:p>
        </w:tc>
        <w:tc>
          <w:tcPr>
            <w:tcW w:w="1361" w:type="dxa"/>
            <w:vAlign w:val="center"/>
          </w:tcPr>
          <w:p>
            <w:pPr>
              <w:pStyle w:val="15"/>
            </w:pPr>
          </w:p>
        </w:tc>
        <w:tc>
          <w:tcPr>
            <w:tcW w:w="1361" w:type="dxa"/>
            <w:vAlign w:val="center"/>
          </w:tcPr>
          <w:p>
            <w:pPr>
              <w:pStyle w:val="15"/>
            </w:pPr>
            <w:r>
              <w:t>2218.20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2290402</w:t>
            </w:r>
          </w:p>
        </w:tc>
        <w:tc>
          <w:tcPr>
            <w:tcW w:w="4535" w:type="dxa"/>
            <w:vAlign w:val="center"/>
          </w:tcPr>
          <w:p>
            <w:pPr>
              <w:pStyle w:val="16"/>
            </w:pPr>
            <w:r>
              <w:t>其他地方自行试点项目收益专项债券收入安排的支出</w:t>
            </w:r>
          </w:p>
        </w:tc>
        <w:tc>
          <w:tcPr>
            <w:tcW w:w="1361" w:type="dxa"/>
            <w:vAlign w:val="center"/>
          </w:tcPr>
          <w:p>
            <w:pPr>
              <w:pStyle w:val="15"/>
            </w:pPr>
            <w:r>
              <w:t>2218.20</w:t>
            </w:r>
          </w:p>
        </w:tc>
        <w:tc>
          <w:tcPr>
            <w:tcW w:w="1361" w:type="dxa"/>
            <w:vAlign w:val="center"/>
          </w:tcPr>
          <w:p>
            <w:pPr>
              <w:pStyle w:val="15"/>
            </w:pPr>
          </w:p>
        </w:tc>
        <w:tc>
          <w:tcPr>
            <w:tcW w:w="1361" w:type="dxa"/>
            <w:vAlign w:val="center"/>
          </w:tcPr>
          <w:p>
            <w:pPr>
              <w:pStyle w:val="15"/>
            </w:pPr>
            <w:r>
              <w:t>2218.20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305石家庄市栾城区数据和政务服务局</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1795.24</w:t>
            </w:r>
          </w:p>
        </w:tc>
        <w:tc>
          <w:tcPr>
            <w:tcW w:w="3402" w:type="dxa"/>
            <w:vAlign w:val="center"/>
          </w:tcPr>
          <w:p>
            <w:pPr>
              <w:pStyle w:val="16"/>
            </w:pPr>
            <w:r>
              <w:t>一、一般公共服务支出</w:t>
            </w:r>
          </w:p>
        </w:tc>
        <w:tc>
          <w:tcPr>
            <w:tcW w:w="1474" w:type="dxa"/>
            <w:vAlign w:val="center"/>
          </w:tcPr>
          <w:p>
            <w:pPr>
              <w:pStyle w:val="15"/>
            </w:pPr>
            <w:r>
              <w:t>1623.05</w:t>
            </w:r>
          </w:p>
        </w:tc>
        <w:tc>
          <w:tcPr>
            <w:tcW w:w="1474" w:type="dxa"/>
            <w:vAlign w:val="center"/>
          </w:tcPr>
          <w:p>
            <w:pPr>
              <w:pStyle w:val="15"/>
            </w:pPr>
            <w:r>
              <w:t>1623.05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2218.20</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114.95</w:t>
            </w:r>
          </w:p>
        </w:tc>
        <w:tc>
          <w:tcPr>
            <w:tcW w:w="1474" w:type="dxa"/>
            <w:vAlign w:val="center"/>
          </w:tcPr>
          <w:p>
            <w:pPr>
              <w:pStyle w:val="15"/>
            </w:pPr>
            <w:r>
              <w:t>114.95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57.24</w:t>
            </w:r>
          </w:p>
        </w:tc>
        <w:tc>
          <w:tcPr>
            <w:tcW w:w="1474" w:type="dxa"/>
            <w:vAlign w:val="center"/>
          </w:tcPr>
          <w:p>
            <w:pPr>
              <w:pStyle w:val="15"/>
            </w:pPr>
            <w:r>
              <w:t>57.24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2218.20</w:t>
            </w:r>
          </w:p>
        </w:tc>
        <w:tc>
          <w:tcPr>
            <w:tcW w:w="1474" w:type="dxa"/>
            <w:vAlign w:val="center"/>
          </w:tcPr>
          <w:p>
            <w:pPr>
              <w:pStyle w:val="15"/>
            </w:pPr>
          </w:p>
        </w:tc>
        <w:tc>
          <w:tcPr>
            <w:tcW w:w="1474" w:type="dxa"/>
            <w:vAlign w:val="center"/>
          </w:tcPr>
          <w:p>
            <w:pPr>
              <w:pStyle w:val="15"/>
            </w:pPr>
            <w:r>
              <w:t>2218.20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4013.44</w:t>
            </w:r>
          </w:p>
        </w:tc>
        <w:tc>
          <w:tcPr>
            <w:tcW w:w="3402" w:type="dxa"/>
            <w:vAlign w:val="center"/>
          </w:tcPr>
          <w:p>
            <w:pPr>
              <w:pStyle w:val="18"/>
            </w:pPr>
            <w:r>
              <w:t>本年支出合计</w:t>
            </w:r>
          </w:p>
        </w:tc>
        <w:tc>
          <w:tcPr>
            <w:tcW w:w="1474" w:type="dxa"/>
            <w:vAlign w:val="center"/>
          </w:tcPr>
          <w:p>
            <w:pPr>
              <w:pStyle w:val="19"/>
            </w:pPr>
            <w:r>
              <w:t>4013.44</w:t>
            </w:r>
          </w:p>
        </w:tc>
        <w:tc>
          <w:tcPr>
            <w:tcW w:w="1474" w:type="dxa"/>
            <w:vAlign w:val="center"/>
          </w:tcPr>
          <w:p>
            <w:pPr>
              <w:pStyle w:val="19"/>
            </w:pPr>
            <w:r>
              <w:t>1795.24</w:t>
            </w:r>
          </w:p>
        </w:tc>
        <w:tc>
          <w:tcPr>
            <w:tcW w:w="1474" w:type="dxa"/>
            <w:vAlign w:val="center"/>
          </w:tcPr>
          <w:p>
            <w:pPr>
              <w:pStyle w:val="19"/>
            </w:pPr>
            <w:r>
              <w:t>2218.20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4013.44</w:t>
            </w:r>
          </w:p>
        </w:tc>
        <w:tc>
          <w:tcPr>
            <w:tcW w:w="3402" w:type="dxa"/>
            <w:vAlign w:val="center"/>
          </w:tcPr>
          <w:p>
            <w:pPr>
              <w:pStyle w:val="18"/>
            </w:pPr>
            <w:r>
              <w:t>支出总计</w:t>
            </w:r>
          </w:p>
        </w:tc>
        <w:tc>
          <w:tcPr>
            <w:tcW w:w="1474" w:type="dxa"/>
            <w:vAlign w:val="center"/>
          </w:tcPr>
          <w:p>
            <w:pPr>
              <w:pStyle w:val="19"/>
            </w:pPr>
            <w:r>
              <w:t>4013.44</w:t>
            </w:r>
          </w:p>
        </w:tc>
        <w:tc>
          <w:tcPr>
            <w:tcW w:w="1474" w:type="dxa"/>
            <w:vAlign w:val="center"/>
          </w:tcPr>
          <w:p>
            <w:pPr>
              <w:pStyle w:val="19"/>
            </w:pPr>
            <w:r>
              <w:t>1795.24</w:t>
            </w:r>
          </w:p>
        </w:tc>
        <w:tc>
          <w:tcPr>
            <w:tcW w:w="1474" w:type="dxa"/>
            <w:vAlign w:val="center"/>
          </w:tcPr>
          <w:p>
            <w:pPr>
              <w:pStyle w:val="19"/>
            </w:pPr>
            <w:r>
              <w:t>2218.20</w:t>
            </w:r>
          </w:p>
        </w:tc>
        <w:tc>
          <w:tcPr>
            <w:tcW w:w="1474"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305石家庄市栾城区数据和政务服务局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1795.24</w:t>
            </w:r>
          </w:p>
        </w:tc>
        <w:tc>
          <w:tcPr>
            <w:tcW w:w="2551" w:type="dxa"/>
            <w:vAlign w:val="center"/>
          </w:tcPr>
          <w:p>
            <w:pPr>
              <w:pStyle w:val="19"/>
            </w:pPr>
            <w:r>
              <w:t>1253.99</w:t>
            </w:r>
          </w:p>
        </w:tc>
        <w:tc>
          <w:tcPr>
            <w:tcW w:w="2551" w:type="dxa"/>
            <w:vAlign w:val="center"/>
          </w:tcPr>
          <w:p>
            <w:pPr>
              <w:pStyle w:val="19"/>
            </w:pPr>
            <w:r>
              <w:t>541.25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1623.05</w:t>
            </w:r>
          </w:p>
        </w:tc>
        <w:tc>
          <w:tcPr>
            <w:tcW w:w="2551" w:type="dxa"/>
            <w:vAlign w:val="center"/>
          </w:tcPr>
          <w:p>
            <w:pPr>
              <w:pStyle w:val="15"/>
            </w:pPr>
            <w:r>
              <w:t>1081.80</w:t>
            </w:r>
          </w:p>
        </w:tc>
        <w:tc>
          <w:tcPr>
            <w:tcW w:w="2551" w:type="dxa"/>
            <w:vAlign w:val="center"/>
          </w:tcPr>
          <w:p>
            <w:pPr>
              <w:pStyle w:val="15"/>
            </w:pPr>
            <w:r>
              <w:t>541.25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1623.05</w:t>
            </w:r>
          </w:p>
        </w:tc>
        <w:tc>
          <w:tcPr>
            <w:tcW w:w="2551" w:type="dxa"/>
            <w:vAlign w:val="center"/>
          </w:tcPr>
          <w:p>
            <w:pPr>
              <w:pStyle w:val="15"/>
            </w:pPr>
            <w:r>
              <w:t>1081.80</w:t>
            </w:r>
          </w:p>
        </w:tc>
        <w:tc>
          <w:tcPr>
            <w:tcW w:w="2551" w:type="dxa"/>
            <w:vAlign w:val="center"/>
          </w:tcPr>
          <w:p>
            <w:pPr>
              <w:pStyle w:val="15"/>
            </w:pPr>
            <w:r>
              <w:t>541.25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894.75</w:t>
            </w:r>
          </w:p>
        </w:tc>
        <w:tc>
          <w:tcPr>
            <w:tcW w:w="2551" w:type="dxa"/>
            <w:vAlign w:val="center"/>
          </w:tcPr>
          <w:p>
            <w:pPr>
              <w:pStyle w:val="15"/>
            </w:pPr>
            <w:r>
              <w:t>353.50</w:t>
            </w:r>
          </w:p>
        </w:tc>
        <w:tc>
          <w:tcPr>
            <w:tcW w:w="2551" w:type="dxa"/>
            <w:vAlign w:val="center"/>
          </w:tcPr>
          <w:p>
            <w:pPr>
              <w:pStyle w:val="15"/>
            </w:pPr>
            <w:r>
              <w:t>541.25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2010350</w:t>
            </w:r>
          </w:p>
        </w:tc>
        <w:tc>
          <w:tcPr>
            <w:tcW w:w="4535" w:type="dxa"/>
            <w:vAlign w:val="center"/>
          </w:tcPr>
          <w:p>
            <w:pPr>
              <w:pStyle w:val="16"/>
            </w:pPr>
            <w:r>
              <w:t>事业运行</w:t>
            </w:r>
          </w:p>
        </w:tc>
        <w:tc>
          <w:tcPr>
            <w:tcW w:w="2551" w:type="dxa"/>
            <w:vAlign w:val="center"/>
          </w:tcPr>
          <w:p>
            <w:pPr>
              <w:pStyle w:val="15"/>
            </w:pPr>
            <w:r>
              <w:t>728.30</w:t>
            </w:r>
          </w:p>
        </w:tc>
        <w:tc>
          <w:tcPr>
            <w:tcW w:w="2551" w:type="dxa"/>
            <w:vAlign w:val="center"/>
          </w:tcPr>
          <w:p>
            <w:pPr>
              <w:pStyle w:val="15"/>
            </w:pPr>
            <w:r>
              <w:t>728.30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114.95</w:t>
            </w:r>
          </w:p>
        </w:tc>
        <w:tc>
          <w:tcPr>
            <w:tcW w:w="2551" w:type="dxa"/>
            <w:vAlign w:val="center"/>
          </w:tcPr>
          <w:p>
            <w:pPr>
              <w:pStyle w:val="15"/>
            </w:pPr>
            <w:r>
              <w:t>114.95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109.77</w:t>
            </w:r>
          </w:p>
        </w:tc>
        <w:tc>
          <w:tcPr>
            <w:tcW w:w="2551" w:type="dxa"/>
            <w:vAlign w:val="center"/>
          </w:tcPr>
          <w:p>
            <w:pPr>
              <w:pStyle w:val="15"/>
            </w:pPr>
            <w:r>
              <w:t>109.77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109.77</w:t>
            </w:r>
          </w:p>
        </w:tc>
        <w:tc>
          <w:tcPr>
            <w:tcW w:w="2551" w:type="dxa"/>
            <w:vAlign w:val="center"/>
          </w:tcPr>
          <w:p>
            <w:pPr>
              <w:pStyle w:val="15"/>
            </w:pPr>
            <w:r>
              <w:t>109.77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20827</w:t>
            </w:r>
          </w:p>
        </w:tc>
        <w:tc>
          <w:tcPr>
            <w:tcW w:w="4535" w:type="dxa"/>
            <w:vAlign w:val="center"/>
          </w:tcPr>
          <w:p>
            <w:pPr>
              <w:pStyle w:val="16"/>
            </w:pPr>
            <w:r>
              <w:t>财政对其他社会保险基金的补助</w:t>
            </w:r>
          </w:p>
        </w:tc>
        <w:tc>
          <w:tcPr>
            <w:tcW w:w="2551" w:type="dxa"/>
            <w:vAlign w:val="center"/>
          </w:tcPr>
          <w:p>
            <w:pPr>
              <w:pStyle w:val="15"/>
            </w:pPr>
            <w:r>
              <w:t>5.18</w:t>
            </w:r>
          </w:p>
        </w:tc>
        <w:tc>
          <w:tcPr>
            <w:tcW w:w="2551" w:type="dxa"/>
            <w:vAlign w:val="center"/>
          </w:tcPr>
          <w:p>
            <w:pPr>
              <w:pStyle w:val="15"/>
            </w:pPr>
            <w:r>
              <w:t>5.18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2082701</w:t>
            </w:r>
          </w:p>
        </w:tc>
        <w:tc>
          <w:tcPr>
            <w:tcW w:w="4535" w:type="dxa"/>
            <w:vAlign w:val="center"/>
          </w:tcPr>
          <w:p>
            <w:pPr>
              <w:pStyle w:val="16"/>
            </w:pPr>
            <w:r>
              <w:t>财政对失业保险基金的补助</w:t>
            </w:r>
          </w:p>
        </w:tc>
        <w:tc>
          <w:tcPr>
            <w:tcW w:w="2551" w:type="dxa"/>
            <w:vAlign w:val="center"/>
          </w:tcPr>
          <w:p>
            <w:pPr>
              <w:pStyle w:val="15"/>
            </w:pPr>
            <w:r>
              <w:t>2.57</w:t>
            </w:r>
          </w:p>
        </w:tc>
        <w:tc>
          <w:tcPr>
            <w:tcW w:w="2551" w:type="dxa"/>
            <w:vAlign w:val="center"/>
          </w:tcPr>
          <w:p>
            <w:pPr>
              <w:pStyle w:val="15"/>
            </w:pPr>
            <w:r>
              <w:t>2.57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2082702</w:t>
            </w:r>
          </w:p>
        </w:tc>
        <w:tc>
          <w:tcPr>
            <w:tcW w:w="4535" w:type="dxa"/>
            <w:vAlign w:val="center"/>
          </w:tcPr>
          <w:p>
            <w:pPr>
              <w:pStyle w:val="16"/>
            </w:pPr>
            <w:r>
              <w:t>财政对工伤保险基金的补助</w:t>
            </w:r>
          </w:p>
        </w:tc>
        <w:tc>
          <w:tcPr>
            <w:tcW w:w="2551" w:type="dxa"/>
            <w:vAlign w:val="center"/>
          </w:tcPr>
          <w:p>
            <w:pPr>
              <w:pStyle w:val="15"/>
            </w:pPr>
            <w:r>
              <w:t>2.61</w:t>
            </w:r>
          </w:p>
        </w:tc>
        <w:tc>
          <w:tcPr>
            <w:tcW w:w="2551" w:type="dxa"/>
            <w:vAlign w:val="center"/>
          </w:tcPr>
          <w:p>
            <w:pPr>
              <w:pStyle w:val="15"/>
            </w:pPr>
            <w:r>
              <w:t>2.61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57.24</w:t>
            </w:r>
          </w:p>
        </w:tc>
        <w:tc>
          <w:tcPr>
            <w:tcW w:w="2551" w:type="dxa"/>
            <w:vAlign w:val="center"/>
          </w:tcPr>
          <w:p>
            <w:pPr>
              <w:pStyle w:val="15"/>
            </w:pPr>
            <w:r>
              <w:t>57.24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57.24</w:t>
            </w:r>
          </w:p>
        </w:tc>
        <w:tc>
          <w:tcPr>
            <w:tcW w:w="2551" w:type="dxa"/>
            <w:vAlign w:val="center"/>
          </w:tcPr>
          <w:p>
            <w:pPr>
              <w:pStyle w:val="15"/>
            </w:pPr>
            <w:r>
              <w:t>57.24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17.63</w:t>
            </w:r>
          </w:p>
        </w:tc>
        <w:tc>
          <w:tcPr>
            <w:tcW w:w="2551" w:type="dxa"/>
            <w:vAlign w:val="center"/>
          </w:tcPr>
          <w:p>
            <w:pPr>
              <w:pStyle w:val="15"/>
            </w:pPr>
            <w:r>
              <w:t>17.63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39.61</w:t>
            </w:r>
          </w:p>
        </w:tc>
        <w:tc>
          <w:tcPr>
            <w:tcW w:w="2551" w:type="dxa"/>
            <w:vAlign w:val="center"/>
          </w:tcPr>
          <w:p>
            <w:pPr>
              <w:pStyle w:val="15"/>
            </w:pPr>
            <w:r>
              <w:t>39.61</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305石家庄市栾城区数据和政务服务局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1253.99</w:t>
            </w:r>
          </w:p>
        </w:tc>
        <w:tc>
          <w:tcPr>
            <w:tcW w:w="2551" w:type="dxa"/>
            <w:vAlign w:val="center"/>
          </w:tcPr>
          <w:p>
            <w:pPr>
              <w:pStyle w:val="19"/>
            </w:pPr>
            <w:r>
              <w:t>1161.37</w:t>
            </w:r>
          </w:p>
        </w:tc>
        <w:tc>
          <w:tcPr>
            <w:tcW w:w="2551" w:type="dxa"/>
            <w:vAlign w:val="center"/>
          </w:tcPr>
          <w:p>
            <w:pPr>
              <w:pStyle w:val="19"/>
            </w:pPr>
            <w:r>
              <w:t>92.62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1148.17</w:t>
            </w:r>
          </w:p>
        </w:tc>
        <w:tc>
          <w:tcPr>
            <w:tcW w:w="2551" w:type="dxa"/>
            <w:vAlign w:val="center"/>
          </w:tcPr>
          <w:p>
            <w:pPr>
              <w:pStyle w:val="15"/>
            </w:pPr>
            <w:r>
              <w:t>1148.17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321.33</w:t>
            </w:r>
          </w:p>
        </w:tc>
        <w:tc>
          <w:tcPr>
            <w:tcW w:w="2551" w:type="dxa"/>
            <w:vAlign w:val="center"/>
          </w:tcPr>
          <w:p>
            <w:pPr>
              <w:pStyle w:val="15"/>
            </w:pPr>
            <w:r>
              <w:t>321.33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121.36</w:t>
            </w:r>
          </w:p>
        </w:tc>
        <w:tc>
          <w:tcPr>
            <w:tcW w:w="2551" w:type="dxa"/>
            <w:vAlign w:val="center"/>
          </w:tcPr>
          <w:p>
            <w:pPr>
              <w:pStyle w:val="15"/>
            </w:pPr>
            <w:r>
              <w:t>121.36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90.54</w:t>
            </w:r>
          </w:p>
        </w:tc>
        <w:tc>
          <w:tcPr>
            <w:tcW w:w="2551" w:type="dxa"/>
            <w:vAlign w:val="center"/>
          </w:tcPr>
          <w:p>
            <w:pPr>
              <w:pStyle w:val="15"/>
            </w:pPr>
            <w:r>
              <w:t>90.54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345.88</w:t>
            </w:r>
          </w:p>
        </w:tc>
        <w:tc>
          <w:tcPr>
            <w:tcW w:w="2551" w:type="dxa"/>
            <w:vAlign w:val="center"/>
          </w:tcPr>
          <w:p>
            <w:pPr>
              <w:pStyle w:val="15"/>
            </w:pPr>
            <w:r>
              <w:t>345.88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109.77</w:t>
            </w:r>
          </w:p>
        </w:tc>
        <w:tc>
          <w:tcPr>
            <w:tcW w:w="2551" w:type="dxa"/>
            <w:vAlign w:val="center"/>
          </w:tcPr>
          <w:p>
            <w:pPr>
              <w:pStyle w:val="15"/>
            </w:pPr>
            <w:r>
              <w:t>109.77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51.31</w:t>
            </w:r>
          </w:p>
        </w:tc>
        <w:tc>
          <w:tcPr>
            <w:tcW w:w="2551" w:type="dxa"/>
            <w:vAlign w:val="center"/>
          </w:tcPr>
          <w:p>
            <w:pPr>
              <w:pStyle w:val="15"/>
            </w:pPr>
            <w:r>
              <w:t>51.31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5.93</w:t>
            </w:r>
          </w:p>
        </w:tc>
        <w:tc>
          <w:tcPr>
            <w:tcW w:w="2551" w:type="dxa"/>
            <w:vAlign w:val="center"/>
          </w:tcPr>
          <w:p>
            <w:pPr>
              <w:pStyle w:val="15"/>
            </w:pPr>
            <w:r>
              <w:t>5.93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5.18</w:t>
            </w:r>
          </w:p>
        </w:tc>
        <w:tc>
          <w:tcPr>
            <w:tcW w:w="2551" w:type="dxa"/>
            <w:vAlign w:val="center"/>
          </w:tcPr>
          <w:p>
            <w:pPr>
              <w:pStyle w:val="15"/>
            </w:pPr>
            <w:r>
              <w:t>5.18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96.88</w:t>
            </w:r>
          </w:p>
        </w:tc>
        <w:tc>
          <w:tcPr>
            <w:tcW w:w="2551" w:type="dxa"/>
            <w:vAlign w:val="center"/>
          </w:tcPr>
          <w:p>
            <w:pPr>
              <w:pStyle w:val="15"/>
            </w:pPr>
            <w:r>
              <w:t>96.88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92.62</w:t>
            </w:r>
          </w:p>
        </w:tc>
        <w:tc>
          <w:tcPr>
            <w:tcW w:w="2551" w:type="dxa"/>
            <w:vAlign w:val="center"/>
          </w:tcPr>
          <w:p>
            <w:pPr>
              <w:pStyle w:val="15"/>
            </w:pPr>
          </w:p>
        </w:tc>
        <w:tc>
          <w:tcPr>
            <w:tcW w:w="2551" w:type="dxa"/>
            <w:vAlign w:val="center"/>
          </w:tcPr>
          <w:p>
            <w:pPr>
              <w:pStyle w:val="15"/>
            </w:pPr>
            <w:r>
              <w:t>92.62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33.12</w:t>
            </w:r>
          </w:p>
        </w:tc>
        <w:tc>
          <w:tcPr>
            <w:tcW w:w="2551" w:type="dxa"/>
            <w:vAlign w:val="center"/>
          </w:tcPr>
          <w:p>
            <w:pPr>
              <w:pStyle w:val="15"/>
            </w:pPr>
          </w:p>
        </w:tc>
        <w:tc>
          <w:tcPr>
            <w:tcW w:w="2551" w:type="dxa"/>
            <w:vAlign w:val="center"/>
          </w:tcPr>
          <w:p>
            <w:pPr>
              <w:pStyle w:val="15"/>
            </w:pPr>
            <w:r>
              <w:t>33.12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11.65</w:t>
            </w:r>
          </w:p>
        </w:tc>
        <w:tc>
          <w:tcPr>
            <w:tcW w:w="2551" w:type="dxa"/>
            <w:vAlign w:val="center"/>
          </w:tcPr>
          <w:p>
            <w:pPr>
              <w:pStyle w:val="15"/>
            </w:pPr>
          </w:p>
        </w:tc>
        <w:tc>
          <w:tcPr>
            <w:tcW w:w="2551" w:type="dxa"/>
            <w:vAlign w:val="center"/>
          </w:tcPr>
          <w:p>
            <w:pPr>
              <w:pStyle w:val="15"/>
            </w:pPr>
            <w:r>
              <w:t>11.65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11.25</w:t>
            </w:r>
          </w:p>
        </w:tc>
        <w:tc>
          <w:tcPr>
            <w:tcW w:w="2551" w:type="dxa"/>
            <w:vAlign w:val="center"/>
          </w:tcPr>
          <w:p>
            <w:pPr>
              <w:pStyle w:val="15"/>
            </w:pPr>
          </w:p>
        </w:tc>
        <w:tc>
          <w:tcPr>
            <w:tcW w:w="2551" w:type="dxa"/>
            <w:vAlign w:val="center"/>
          </w:tcPr>
          <w:p>
            <w:pPr>
              <w:pStyle w:val="15"/>
            </w:pPr>
            <w:r>
              <w:t>11.25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30215</w:t>
            </w:r>
          </w:p>
        </w:tc>
        <w:tc>
          <w:tcPr>
            <w:tcW w:w="4535" w:type="dxa"/>
            <w:vAlign w:val="center"/>
          </w:tcPr>
          <w:p>
            <w:pPr>
              <w:pStyle w:val="16"/>
            </w:pPr>
            <w:r>
              <w:t>会议费</w:t>
            </w:r>
          </w:p>
        </w:tc>
        <w:tc>
          <w:tcPr>
            <w:tcW w:w="2551" w:type="dxa"/>
            <w:vAlign w:val="center"/>
          </w:tcPr>
          <w:p>
            <w:pPr>
              <w:pStyle w:val="15"/>
            </w:pPr>
            <w:r>
              <w:t>2.76</w:t>
            </w:r>
          </w:p>
        </w:tc>
        <w:tc>
          <w:tcPr>
            <w:tcW w:w="2551" w:type="dxa"/>
            <w:vAlign w:val="center"/>
          </w:tcPr>
          <w:p>
            <w:pPr>
              <w:pStyle w:val="15"/>
            </w:pPr>
          </w:p>
        </w:tc>
        <w:tc>
          <w:tcPr>
            <w:tcW w:w="2551" w:type="dxa"/>
            <w:vAlign w:val="center"/>
          </w:tcPr>
          <w:p>
            <w:pPr>
              <w:pStyle w:val="15"/>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3.85</w:t>
            </w:r>
          </w:p>
        </w:tc>
        <w:tc>
          <w:tcPr>
            <w:tcW w:w="2551" w:type="dxa"/>
            <w:vAlign w:val="center"/>
          </w:tcPr>
          <w:p>
            <w:pPr>
              <w:pStyle w:val="15"/>
            </w:pPr>
          </w:p>
        </w:tc>
        <w:tc>
          <w:tcPr>
            <w:tcW w:w="2551" w:type="dxa"/>
            <w:vAlign w:val="center"/>
          </w:tcPr>
          <w:p>
            <w:pPr>
              <w:pStyle w:val="15"/>
            </w:pPr>
            <w:r>
              <w:t>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6.29</w:t>
            </w:r>
          </w:p>
        </w:tc>
        <w:tc>
          <w:tcPr>
            <w:tcW w:w="2551" w:type="dxa"/>
            <w:vAlign w:val="center"/>
          </w:tcPr>
          <w:p>
            <w:pPr>
              <w:pStyle w:val="15"/>
            </w:pPr>
          </w:p>
        </w:tc>
        <w:tc>
          <w:tcPr>
            <w:tcW w:w="2551" w:type="dxa"/>
            <w:vAlign w:val="center"/>
          </w:tcPr>
          <w:p>
            <w:pPr>
              <w:pStyle w:val="15"/>
            </w:pPr>
            <w:r>
              <w:t>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9.31</w:t>
            </w:r>
          </w:p>
        </w:tc>
        <w:tc>
          <w:tcPr>
            <w:tcW w:w="2551" w:type="dxa"/>
            <w:vAlign w:val="center"/>
          </w:tcPr>
          <w:p>
            <w:pPr>
              <w:pStyle w:val="15"/>
            </w:pPr>
          </w:p>
        </w:tc>
        <w:tc>
          <w:tcPr>
            <w:tcW w:w="2551" w:type="dxa"/>
            <w:vAlign w:val="center"/>
          </w:tcPr>
          <w:p>
            <w:pPr>
              <w:pStyle w:val="15"/>
            </w:pPr>
            <w:r>
              <w:t>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13.02</w:t>
            </w:r>
          </w:p>
        </w:tc>
        <w:tc>
          <w:tcPr>
            <w:tcW w:w="2551" w:type="dxa"/>
            <w:vAlign w:val="center"/>
          </w:tcPr>
          <w:p>
            <w:pPr>
              <w:pStyle w:val="15"/>
            </w:pPr>
          </w:p>
        </w:tc>
        <w:tc>
          <w:tcPr>
            <w:tcW w:w="2551" w:type="dxa"/>
            <w:vAlign w:val="center"/>
          </w:tcPr>
          <w:p>
            <w:pPr>
              <w:pStyle w:val="15"/>
            </w:pPr>
            <w:r>
              <w:t>13.02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1.36</w:t>
            </w:r>
          </w:p>
        </w:tc>
        <w:tc>
          <w:tcPr>
            <w:tcW w:w="2551" w:type="dxa"/>
            <w:vAlign w:val="center"/>
          </w:tcPr>
          <w:p>
            <w:pPr>
              <w:pStyle w:val="15"/>
            </w:pPr>
          </w:p>
        </w:tc>
        <w:tc>
          <w:tcPr>
            <w:tcW w:w="2551" w:type="dxa"/>
            <w:vAlign w:val="center"/>
          </w:tcPr>
          <w:p>
            <w:pPr>
              <w:pStyle w:val="15"/>
            </w:pPr>
            <w:r>
              <w:t>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13.20</w:t>
            </w:r>
          </w:p>
        </w:tc>
        <w:tc>
          <w:tcPr>
            <w:tcW w:w="2551" w:type="dxa"/>
            <w:vAlign w:val="center"/>
          </w:tcPr>
          <w:p>
            <w:pPr>
              <w:pStyle w:val="15"/>
            </w:pPr>
            <w:r>
              <w:t>13.20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13.20</w:t>
            </w:r>
          </w:p>
        </w:tc>
        <w:tc>
          <w:tcPr>
            <w:tcW w:w="2551" w:type="dxa"/>
            <w:vAlign w:val="center"/>
          </w:tcPr>
          <w:p>
            <w:pPr>
              <w:pStyle w:val="15"/>
            </w:pPr>
            <w:r>
              <w:t>13.20</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305石家庄市栾城区数据和政务服务局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2218.20</w:t>
            </w:r>
          </w:p>
        </w:tc>
        <w:tc>
          <w:tcPr>
            <w:tcW w:w="2551" w:type="dxa"/>
            <w:vAlign w:val="center"/>
          </w:tcPr>
          <w:p>
            <w:pPr>
              <w:pStyle w:val="19"/>
            </w:pPr>
          </w:p>
        </w:tc>
        <w:tc>
          <w:tcPr>
            <w:tcW w:w="2551" w:type="dxa"/>
            <w:vAlign w:val="center"/>
          </w:tcPr>
          <w:p>
            <w:pPr>
              <w:pStyle w:val="19"/>
            </w:pPr>
            <w:r>
              <w:t>2218.20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2218.20</w:t>
            </w:r>
          </w:p>
        </w:tc>
        <w:tc>
          <w:tcPr>
            <w:tcW w:w="2551" w:type="dxa"/>
            <w:vAlign w:val="center"/>
          </w:tcPr>
          <w:p>
            <w:pPr>
              <w:pStyle w:val="15"/>
            </w:pPr>
          </w:p>
        </w:tc>
        <w:tc>
          <w:tcPr>
            <w:tcW w:w="2551" w:type="dxa"/>
            <w:vAlign w:val="center"/>
          </w:tcPr>
          <w:p>
            <w:pPr>
              <w:pStyle w:val="15"/>
            </w:pPr>
            <w:r>
              <w:t>2218.20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22904</w:t>
            </w:r>
          </w:p>
        </w:tc>
        <w:tc>
          <w:tcPr>
            <w:tcW w:w="4535" w:type="dxa"/>
            <w:vAlign w:val="center"/>
          </w:tcPr>
          <w:p>
            <w:pPr>
              <w:pStyle w:val="16"/>
            </w:pPr>
            <w:r>
              <w:t>其他政府性基金及对应专项债务收入安排的支出</w:t>
            </w:r>
          </w:p>
        </w:tc>
        <w:tc>
          <w:tcPr>
            <w:tcW w:w="2551" w:type="dxa"/>
            <w:vAlign w:val="center"/>
          </w:tcPr>
          <w:p>
            <w:pPr>
              <w:pStyle w:val="15"/>
            </w:pPr>
            <w:r>
              <w:t>2218.20</w:t>
            </w:r>
          </w:p>
        </w:tc>
        <w:tc>
          <w:tcPr>
            <w:tcW w:w="2551" w:type="dxa"/>
            <w:vAlign w:val="center"/>
          </w:tcPr>
          <w:p>
            <w:pPr>
              <w:pStyle w:val="15"/>
            </w:pPr>
          </w:p>
        </w:tc>
        <w:tc>
          <w:tcPr>
            <w:tcW w:w="2551" w:type="dxa"/>
            <w:vAlign w:val="center"/>
          </w:tcPr>
          <w:p>
            <w:pPr>
              <w:pStyle w:val="15"/>
            </w:pPr>
            <w:r>
              <w:t>2218.20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2290402</w:t>
            </w:r>
          </w:p>
        </w:tc>
        <w:tc>
          <w:tcPr>
            <w:tcW w:w="4535" w:type="dxa"/>
            <w:vAlign w:val="center"/>
          </w:tcPr>
          <w:p>
            <w:pPr>
              <w:pStyle w:val="16"/>
            </w:pPr>
            <w:r>
              <w:t>其他地方自行试点项目收益专项债券收入安排的支出</w:t>
            </w:r>
          </w:p>
        </w:tc>
        <w:tc>
          <w:tcPr>
            <w:tcW w:w="2551" w:type="dxa"/>
            <w:vAlign w:val="center"/>
          </w:tcPr>
          <w:p>
            <w:pPr>
              <w:pStyle w:val="15"/>
            </w:pPr>
            <w:r>
              <w:t>2218.20</w:t>
            </w:r>
          </w:p>
        </w:tc>
        <w:tc>
          <w:tcPr>
            <w:tcW w:w="2551" w:type="dxa"/>
            <w:vAlign w:val="center"/>
          </w:tcPr>
          <w:p>
            <w:pPr>
              <w:pStyle w:val="15"/>
            </w:pPr>
          </w:p>
        </w:tc>
        <w:tc>
          <w:tcPr>
            <w:tcW w:w="2551" w:type="dxa"/>
            <w:vAlign w:val="center"/>
          </w:tcPr>
          <w:p>
            <w:pPr>
              <w:pStyle w:val="15"/>
            </w:pPr>
            <w:r>
              <w:t>2218.20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305石家庄市栾城区数据和政务服务局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305石家庄市栾城区数据和政务服务局</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9.31</w:t>
            </w:r>
          </w:p>
        </w:tc>
        <w:tc>
          <w:tcPr>
            <w:tcW w:w="2381" w:type="dxa"/>
            <w:vAlign w:val="center"/>
          </w:tcPr>
          <w:p>
            <w:pPr>
              <w:pStyle w:val="19"/>
            </w:pPr>
            <w:r>
              <w:t>9.31</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9.31</w:t>
            </w:r>
          </w:p>
        </w:tc>
        <w:tc>
          <w:tcPr>
            <w:tcW w:w="2381" w:type="dxa"/>
            <w:vAlign w:val="center"/>
          </w:tcPr>
          <w:p>
            <w:pPr>
              <w:pStyle w:val="15"/>
            </w:pPr>
            <w:r>
              <w:t>9.31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二、公务用车购置及运维费</w:t>
            </w:r>
          </w:p>
        </w:tc>
        <w:tc>
          <w:tcPr>
            <w:tcW w:w="2381" w:type="dxa"/>
            <w:vAlign w:val="center"/>
          </w:tcPr>
          <w:p>
            <w:pPr>
              <w:pStyle w:val="15"/>
            </w:pPr>
            <w:r>
              <w:t>9.31</w:t>
            </w:r>
          </w:p>
        </w:tc>
        <w:tc>
          <w:tcPr>
            <w:tcW w:w="2381" w:type="dxa"/>
            <w:vAlign w:val="center"/>
          </w:tcPr>
          <w:p>
            <w:pPr>
              <w:pStyle w:val="15"/>
            </w:pPr>
            <w:r>
              <w:t>9.31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 xml:space="preserve">          公务用车运行维护费</w:t>
            </w:r>
          </w:p>
        </w:tc>
        <w:tc>
          <w:tcPr>
            <w:tcW w:w="2381" w:type="dxa"/>
            <w:vAlign w:val="center"/>
          </w:tcPr>
          <w:p>
            <w:pPr>
              <w:pStyle w:val="15"/>
            </w:pPr>
            <w:r>
              <w:t>9.31</w:t>
            </w:r>
          </w:p>
        </w:tc>
        <w:tc>
          <w:tcPr>
            <w:tcW w:w="2381" w:type="dxa"/>
            <w:vAlign w:val="center"/>
          </w:tcPr>
          <w:p>
            <w:pPr>
              <w:pStyle w:val="15"/>
            </w:pPr>
            <w:r>
              <w:t>9.31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石家庄市栾城区数据和政务服务局2026年部门预算信息公开情况说明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石家庄市栾城区数据和政务服务局2026年部门预算信息公开情况说明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按照《中华人民共和国预算法》、《地方预决算公开操作规程》和《关于进一步推进预算公开工作的实施意见》规定，现将石家庄市栾城区数据和政务服务局2026年部门预算公开如下：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一、区数据和政务服务局负责贯彻落实党中央关于数据和政务服务工作、行政审批制度改革工作的方针政策和决策部署，落实省委、市委、区委工作安排，把坚持和加强党中央对数据和政务服务工作、行政审批制度改革工作的集中统一领导落实到履行职责过程中。主要职责是：</w:t>
      </w:r>
    </w:p>
    <w:p>
      <w:pPr>
        <w:pStyle w:val="21"/>
      </w:pPr>
      <w:r>
        <w:t>(一)贯彻执行国家和省、市有关电子政务、智慧城市、政务服务和数据资源管理的方针政策和法律法规，起草相关地方规范性文件，拟订全区数据资源管理发展规划、年度计划、政策措施和评价体系并组织实施。</w:t>
      </w:r>
    </w:p>
    <w:p>
      <w:pPr>
        <w:pStyle w:val="21"/>
      </w:pPr>
      <w:r>
        <w:t>(二)贯彻落实党中央、国务院和省委省政府、市委市政府、区委区政府关于推进政府职能转变和“放管服”改革、行政审批制度改革、政务服务管理、公共资源交易管理、社会信用体系建设有关方针政策和法律法规。贯彻落实上级有关地方性法规、政府规章，起草有关地方规范性文件，制定有关政策落实措施并组织实施。承担区政府推进政府职能转变和“放管服”改革协调小组办公室的日常工作。</w:t>
      </w:r>
    </w:p>
    <w:p>
      <w:pPr>
        <w:pStyle w:val="21"/>
      </w:pPr>
      <w:r>
        <w:t>(三)组织实施国家和地方数据技术标准；研究制定我区数据资源采集、存储、使用、开放、共享等标准规范并监督实施。</w:t>
      </w:r>
    </w:p>
    <w:p>
      <w:pPr>
        <w:pStyle w:val="21"/>
      </w:pPr>
      <w:r>
        <w:t>(四)做好“互联网+政务服务”工作的规划及有关项目建设工作。负责在线政务服务平台建设。推进在线政务服务平台规范化、标准化、集约化建设。</w:t>
      </w:r>
    </w:p>
    <w:p>
      <w:pPr>
        <w:pStyle w:val="21"/>
      </w:pPr>
      <w:r>
        <w:t>(五)拟订全区政务数据和公共数据资源的目录制定、归集管理、整理利用、共享开放管理办法并组织实施，推动数据资源在政府管理和社会治理领域的应用。</w:t>
      </w:r>
    </w:p>
    <w:p>
      <w:pPr>
        <w:pStyle w:val="21"/>
      </w:pPr>
      <w:r>
        <w:t>(六)负责区电子政务组织推动工作，负责区政务网络建设管理和党政机关信息化应用建设指导，负责区级智慧城市项目建设和数据资源基础设施建设管理，提出各部门统筹安排区级信息化项目及资金的使用建议。</w:t>
      </w:r>
    </w:p>
    <w:p>
      <w:pPr>
        <w:pStyle w:val="21"/>
      </w:pPr>
      <w:r>
        <w:t>(七)负责全区数据资源、政务信息化领域的对外交流合作；会同有关部门做好全区数据资源、政务信息化人才培养等工作。</w:t>
      </w:r>
    </w:p>
    <w:p>
      <w:pPr>
        <w:pStyle w:val="21"/>
      </w:pPr>
      <w:r>
        <w:t>(八)负责指导全区经济社会各领域的数据资源开发利用工作，促进全区数据资源产业发展；负责数据资源相关技术研发、行业数据分析成果转化等工作。</w:t>
      </w:r>
    </w:p>
    <w:p>
      <w:pPr>
        <w:pStyle w:val="21"/>
      </w:pPr>
      <w:r>
        <w:t>(九)负责全区数据资源安全保障体系建设，会同有关部门指导各级各部门政务数据资源和公共数据资源的安全保障工作。</w:t>
      </w:r>
    </w:p>
    <w:p>
      <w:pPr>
        <w:pStyle w:val="21"/>
      </w:pPr>
      <w:r>
        <w:t>(十)负责规范全区行政审批行为，创新和完善相关工作体制机制。推进简政放权，清理和规范各类行政许可等管理事项；承担区行政审批制度改革领导小组办公室日常工作。</w:t>
      </w:r>
    </w:p>
    <w:p>
      <w:pPr>
        <w:pStyle w:val="21"/>
      </w:pPr>
      <w:r>
        <w:t>(十一)负责公共资源交易监督管理工作。贯彻落实公共资源交易管理制度、规则及公共资源交易目录，建设、管理统一的公共资源交易电子服务系统，推进公共资源交易领域信用体系建设；负责监督区本级公共资源交易项目进场交易，并对场内交易活动进行监督，将发现的违法违规问题移送有关部门处理；协调开展区本级公共资源交易活动的联动执法。</w:t>
      </w:r>
    </w:p>
    <w:p>
      <w:pPr>
        <w:pStyle w:val="21"/>
      </w:pPr>
      <w:r>
        <w:t>(十二)负责投资项目、商事登记、市场服务、文教体卫、社会事务、住建交通、生态环境、安全生产、农林畜水、经贸商务、城市管理等方面行政审批事项的办理及相关行政性收费，并承担相应的法律责任。</w:t>
      </w:r>
    </w:p>
    <w:p>
      <w:pPr>
        <w:pStyle w:val="21"/>
      </w:pPr>
      <w:r>
        <w:t>(十三)负责协调派驻部门行政审批事项的办理工作，规范、管理和监督派驻部门的行政审批行为。</w:t>
      </w:r>
    </w:p>
    <w:p>
      <w:pPr>
        <w:pStyle w:val="21"/>
      </w:pPr>
      <w:r>
        <w:t>(十四)负责对行政审批、政务服务事项流程进行规范和优化，推进审批服务便民化、标准化建设。</w:t>
      </w:r>
    </w:p>
    <w:p>
      <w:pPr>
        <w:pStyle w:val="21"/>
      </w:pPr>
      <w:r>
        <w:t>(十五)会同有关部门，做好行政审批、政务服务、公共资源交易监督、政务服务平台建设，推行政务服务事项网上办理，形成管理机构、实体大厅、网上平台“三位一体”的政务服务管理模式；推行全区电子证照库建设。</w:t>
      </w:r>
    </w:p>
    <w:p>
      <w:pPr>
        <w:pStyle w:val="21"/>
      </w:pPr>
      <w:r>
        <w:t>(十六)负责全区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pPr>
        <w:pStyle w:val="21"/>
      </w:pPr>
      <w:r>
        <w:t>(十七)负责对全区行政审批、政务服务行为进行监督检查，对窗口工作人员进行日常管理、教育培训和检查考核。</w:t>
      </w:r>
    </w:p>
    <w:p>
      <w:pPr>
        <w:pStyle w:val="21"/>
      </w:pPr>
      <w:r>
        <w:t>(十八)负责区直部门已划转行政许可事项涉及的现场勘验、审图、联合验收等工作。</w:t>
      </w:r>
    </w:p>
    <w:p>
      <w:pPr>
        <w:pStyle w:val="21"/>
      </w:pPr>
      <w:r>
        <w:t>(十九)负责行政审批信息化工作以及区级行政审批信息资料的保管、整理、统计、编目和定期检查工作。</w:t>
      </w:r>
    </w:p>
    <w:p>
      <w:pPr>
        <w:pStyle w:val="21"/>
      </w:pPr>
      <w:r>
        <w:t>(二十)完成区委、区政府交办的其他任务。</w:t>
      </w:r>
    </w:p>
    <w:p>
      <w:pPr>
        <w:pStyle w:val="21"/>
      </w:pPr>
      <w:r>
        <w:t>二、与其他部门在互联网建设与管理职责方面的分工。</w:t>
      </w:r>
    </w:p>
    <w:p>
      <w:pPr>
        <w:pStyle w:val="21"/>
      </w:pPr>
      <w:r>
        <w:t>(一)区政府办公室负责政府门户网站的建设与管理等工作，指导各乡镇政府和区直党政群机关门户网站建设。</w:t>
      </w:r>
    </w:p>
    <w:p>
      <w:pPr>
        <w:pStyle w:val="21"/>
      </w:pPr>
      <w:r>
        <w:t>(二)区委网信办负责维护互联网意识形态安全，监督管理互联网信息内容和网络舆情信息，组织协调互联网宣传和舆论引导工作，推动网络阵地和网络文明建设工作。</w:t>
      </w:r>
    </w:p>
    <w:p>
      <w:pPr>
        <w:pStyle w:val="21"/>
      </w:pPr>
      <w:r>
        <w:t>(三)区科学技术和工业信息化局负责推动数据资源技术产业、技术创新发展，构建以数字为关键要素的数字经济，推动互联网、大数据、人工智能同实体经济深度融合，为数据安全提供技术保障。</w:t>
      </w:r>
    </w:p>
    <w:p>
      <w:pPr>
        <w:pStyle w:val="21"/>
      </w:pPr>
      <w:r>
        <w:t>(四)区数据和政务服务局负责各类数据资源的采集、存储、使用、开发、共享工作，应用大数据资源提升政府治理水平、促进保障和改善民生。</w:t>
      </w:r>
    </w:p>
    <w:p>
      <w:pPr>
        <w:pStyle w:val="21"/>
      </w:pPr>
      <w:r>
        <w:t>三、区数据和政务服务局根据本规定编制权责清单，逐项明确权责名称、权责类型、设定依据、履职方式、追责情形等。在此基础上，编制职责任务清单、职责边界清单，制定办事指南、运行流程图等，进一步优化行政程序，规范权力运行，推行精细化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石家庄市栾城区数据和政务服务局本级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石家庄市栾城区行政审批服务中心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石家庄市栾城区公共资源交易中心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2"/>
      </w:pPr>
      <w:bookmarkStart w:id="10" w:name="_Toc_3_3_0000000011"/>
      <w:r>
        <w:rPr>
          <w:rFonts w:ascii="黑体" w:hAnsi="黑体" w:eastAsia="黑体" w:cs="黑体"/>
          <w:color w:val="000000"/>
          <w:sz w:val="32"/>
        </w:rPr>
        <w:t>二、部门预算安排的总体情况</w:t>
      </w:r>
      <w:bookmarkEnd w:id="10"/>
    </w:p>
    <w:p>
      <w:pPr>
        <w:pStyle w:val="22"/>
        <w:keepNext w:val="0"/>
        <w:keepLines w:val="0"/>
        <w:pageBreakBefore w:val="0"/>
        <w:widowControl/>
        <w:kinsoku/>
        <w:wordWrap/>
        <w:overflowPunct/>
        <w:topLinePunct w:val="0"/>
        <w:autoSpaceDE/>
        <w:autoSpaceDN/>
        <w:bidi w:val="0"/>
        <w:adjustRightInd/>
        <w:snapToGrid/>
        <w:spacing w:line="500" w:lineRule="exact"/>
        <w:textAlignment w:val="auto"/>
      </w:pPr>
      <w:r>
        <w:t>按照预算管理有关规定，目前部门预算的编制实行综合预算管理，即全部收入和支出都反映在预算中。石家庄市栾城区数据和政务服务局机关及所属事业单位的收支包含在部门预算中。</w:t>
      </w:r>
    </w:p>
    <w:p>
      <w:pPr>
        <w:pStyle w:val="22"/>
      </w:pPr>
      <w:r>
        <w:t>1、收入说明</w:t>
      </w:r>
    </w:p>
    <w:p>
      <w:pPr>
        <w:pStyle w:val="22"/>
      </w:pPr>
      <w:r>
        <w:t>反映本部门当年全部收入。2026年预算收入4013.44万元，其中：一般公共预算收入1795.24万元，基金预算收入2218.20万元，国有资本经营预算收入0.00万元，财政专户核拨收入0.00万元，单位资金收入0.00万元，上年结转结余0.00万元。</w:t>
      </w:r>
    </w:p>
    <w:p>
      <w:pPr>
        <w:pStyle w:val="22"/>
      </w:pPr>
      <w:r>
        <w:t>2、支出说明</w:t>
      </w:r>
    </w:p>
    <w:p>
      <w:pPr>
        <w:pStyle w:val="22"/>
        <w:rPr>
          <w:color w:val="000000" w:themeColor="text1"/>
          <w14:textFill>
            <w14:solidFill>
              <w14:schemeClr w14:val="tx1"/>
            </w14:solidFill>
          </w14:textFill>
        </w:rPr>
      </w:pPr>
      <w:r>
        <w:t>收支预算总表支出栏、基本支出表、项目支出表按经济分类和支出功能分类科目编制，反映石家庄市栾城区数据和政务服务局年度部门预算中支出预算的总体情况。2026年支出预算4013.44万元，其中基本支出1253.99万元，包括人员经费1161.37万元和日常公用经费92.62万元；项目支出2759.45万元，主要为劳务派遣人员经费</w:t>
      </w:r>
      <w:r>
        <w:rPr>
          <w:rFonts w:hint="eastAsia"/>
          <w:lang w:eastAsia="zh-CN"/>
        </w:rPr>
        <w:t>、</w:t>
      </w:r>
      <w:r>
        <w:t>行政事业单位应缴残保金</w:t>
      </w:r>
      <w:r>
        <w:rPr>
          <w:rFonts w:hint="eastAsia"/>
          <w:lang w:eastAsia="zh-CN"/>
        </w:rPr>
        <w:t>、</w:t>
      </w:r>
      <w:r>
        <w:t>数政局大厅运转经费（电费）</w:t>
      </w:r>
      <w:r>
        <w:rPr>
          <w:rFonts w:hint="eastAsia"/>
          <w:lang w:eastAsia="zh-CN"/>
        </w:rPr>
        <w:t>、</w:t>
      </w:r>
      <w:r>
        <w:t>栾城区数据和政务服务局房屋租赁项目</w:t>
      </w:r>
      <w:r>
        <w:rPr>
          <w:rFonts w:hint="eastAsia"/>
          <w:lang w:eastAsia="zh-CN"/>
        </w:rPr>
        <w:t>、</w:t>
      </w:r>
      <w:r>
        <w:t>业务咨询委托费</w:t>
      </w:r>
      <w:r>
        <w:rPr>
          <w:rFonts w:hint="eastAsia"/>
          <w:lang w:eastAsia="zh-CN"/>
        </w:rPr>
        <w:t>、</w:t>
      </w:r>
      <w:r>
        <w:t>离退休人员统筹外工资待遇</w:t>
      </w:r>
      <w:r>
        <w:rPr>
          <w:rFonts w:hint="eastAsia"/>
          <w:lang w:eastAsia="zh-CN"/>
        </w:rPr>
        <w:t>、</w:t>
      </w:r>
      <w:r>
        <w:t>栾城区燃气与城市安全预警监测平台建设项目</w:t>
      </w:r>
      <w:r>
        <w:rPr>
          <w:rFonts w:hint="eastAsia"/>
          <w:lang w:val="en-US" w:eastAsia="zh-CN"/>
        </w:rPr>
        <w:t>等</w:t>
      </w:r>
      <w:r>
        <w:rPr>
          <w:rFonts w:hint="eastAsia"/>
          <w:lang w:eastAsia="zh-CN"/>
        </w:rPr>
        <w:t>。</w:t>
      </w:r>
      <w:r>
        <w:rPr>
          <w:color w:val="000000" w:themeColor="text1"/>
          <w14:textFill>
            <w14:solidFill>
              <w14:schemeClr w14:val="tx1"/>
            </w14:solidFill>
          </w14:textFill>
        </w:rPr>
        <w:t>预计下年使用的单位资金结余0.00万元。委托业务费共计安排160.00万元，主要用于因技术原因确需对外委托的辅助性工作和确有必要对外委托开展咨询、评审等工作。</w:t>
      </w:r>
    </w:p>
    <w:p>
      <w:pPr>
        <w:pStyle w:val="22"/>
      </w:pPr>
      <w:r>
        <w:t>3、比上年增减情况</w:t>
      </w:r>
    </w:p>
    <w:p>
      <w:pPr>
        <w:pStyle w:val="22"/>
      </w:pPr>
      <w:r>
        <w:t>2026年预算收支安排4013.44万元，较2025年预算减少1484.28万元，其中：基本支出增加39.60万元，主要</w:t>
      </w:r>
      <w:r>
        <w:rPr>
          <w:rFonts w:hint="eastAsia"/>
          <w:lang w:val="en-US" w:eastAsia="zh-CN"/>
        </w:rPr>
        <w:t>为</w:t>
      </w:r>
      <w:r>
        <w:t>人员经费增加。项目支出减少1523.87万元，主要</w:t>
      </w:r>
      <w:r>
        <w:rPr>
          <w:rFonts w:hint="eastAsia"/>
          <w:lang w:val="en-US" w:eastAsia="zh-CN"/>
        </w:rPr>
        <w:t>为</w:t>
      </w:r>
      <w:r>
        <w:t>栾城区燃气与城市安全预警监测平台建设项目支出减少。</w:t>
      </w:r>
      <w:r>
        <w:rPr>
          <w:color w:val="000000" w:themeColor="text1"/>
          <w14:textFill>
            <w14:solidFill>
              <w14:schemeClr w14:val="tx1"/>
            </w14:solidFill>
          </w14:textFill>
        </w:rPr>
        <w:t>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3"/>
        <w:keepNext w:val="0"/>
        <w:keepLines w:val="0"/>
        <w:pageBreakBefore w:val="0"/>
        <w:widowControl/>
        <w:kinsoku/>
        <w:wordWrap/>
        <w:overflowPunct/>
        <w:topLinePunct w:val="0"/>
        <w:autoSpaceDE/>
        <w:autoSpaceDN/>
        <w:bidi w:val="0"/>
        <w:adjustRightInd/>
        <w:snapToGrid/>
        <w:spacing w:line="500" w:lineRule="exact"/>
        <w:ind w:firstLine="561"/>
        <w:textAlignment w:val="auto"/>
      </w:pPr>
      <w:r>
        <w:t>2026年，我部门机关运行经费共计安排92.62万元，主要用于日常维修、办公用房水电费、办公用房取暖费、办公用房物业管理费等日常运行支出。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keepNext w:val="0"/>
        <w:keepLines w:val="0"/>
        <w:pageBreakBefore w:val="0"/>
        <w:widowControl/>
        <w:kinsoku/>
        <w:wordWrap/>
        <w:overflowPunct/>
        <w:topLinePunct w:val="0"/>
        <w:autoSpaceDE/>
        <w:autoSpaceDN/>
        <w:bidi w:val="0"/>
        <w:adjustRightInd/>
        <w:snapToGrid/>
        <w:spacing w:line="500" w:lineRule="exact"/>
        <w:textAlignment w:val="auto"/>
        <w:rPr>
          <w:color w:val="000000" w:themeColor="text1"/>
          <w14:textFill>
            <w14:solidFill>
              <w14:schemeClr w14:val="tx1"/>
            </w14:solidFill>
          </w14:textFill>
        </w:rPr>
      </w:pPr>
      <w:r>
        <w:t>2026年，我部门财政拨款“三公”经费预算安排9.31万元，其中因公出国（境）费0.00万元；公务用车购置及运维费9.31万元（其中：公务用车购置费为0.00万元，公务用车运维费9.31万元)；公务接待费0.00万元。与2025年相比</w:t>
      </w:r>
      <w:r>
        <w:rPr>
          <w:rFonts w:hint="eastAsia"/>
          <w:lang w:val="en-US" w:eastAsia="zh-CN"/>
        </w:rPr>
        <w:t>减少0.29</w:t>
      </w:r>
      <w:r>
        <w:t>万元，增减变化的主要原因是</w:t>
      </w:r>
      <w:r>
        <w:rPr>
          <w:color w:val="000000" w:themeColor="text1"/>
          <w14:textFill>
            <w14:solidFill>
              <w14:schemeClr w14:val="tx1"/>
            </w14:solidFill>
          </w14:textFill>
        </w:rPr>
        <w:t>压减经费，节约开支</w:t>
      </w:r>
      <w:r>
        <w:rPr>
          <w:rFonts w:hint="eastAsia"/>
          <w:color w:val="000000" w:themeColor="text1"/>
          <w:lang w:eastAsia="zh-CN"/>
          <w14:textFill>
            <w14:solidFill>
              <w14:schemeClr w14:val="tx1"/>
            </w14:solidFill>
          </w14:textFill>
        </w:rPr>
        <w:t>，</w:t>
      </w:r>
      <w:r>
        <w:rPr>
          <w:rFonts w:hint="eastAsia"/>
          <w:color w:val="000000" w:themeColor="text1"/>
          <w:lang w:val="en-US" w:eastAsia="zh-CN"/>
          <w14:textFill>
            <w14:solidFill>
              <w14:schemeClr w14:val="tx1"/>
            </w14:solidFill>
          </w14:textFill>
        </w:rPr>
        <w:t>公务用车运维费减少</w:t>
      </w:r>
      <w:r>
        <w:rPr>
          <w:color w:val="000000" w:themeColor="text1"/>
          <w14:textFill>
            <w14:solidFill>
              <w14:schemeClr w14:val="tx1"/>
            </w14:solidFill>
          </w14:textFill>
        </w:rPr>
        <w:t>。</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color w:val="000000"/>
          <w:sz w:val="28"/>
        </w:rPr>
        <w:t>（一）总体绩效目标</w:t>
      </w:r>
    </w:p>
    <w:p>
      <w:pPr>
        <w:pStyle w:val="25"/>
      </w:pPr>
      <w:r>
        <w:t>严创新工作思路，开创党建工作新局面；提升政治站位，持续推动“高效办成一件事”；强化信用信息归集与共享，推进社会信用体系建设；提升数字社会建设水平，推动数据要素市场化价值化；强化数据支撑，推动智慧城市新发展；提升政务服务水平，完善作风建设长效机制。</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（一）创新工作思路，开创党建工作新局面</w:t>
      </w:r>
    </w:p>
    <w:p>
      <w:pPr>
        <w:pStyle w:val="26"/>
      </w:pPr>
      <w:r>
        <w:t>绩效目标：创新工作思路，开创党建工作新局面。</w:t>
      </w:r>
    </w:p>
    <w:p>
      <w:pPr>
        <w:pStyle w:val="26"/>
      </w:pPr>
      <w:r>
        <w:t>绩效指标：严格落实党建工作责任制，认真谋划党建工作，坚持以党建为引领，围绕政务服务、优化营商环境，调动工作积极性，引领完成重大任务。开展针对性教育和管理，形成党建工作与业务工作齐抓共管的责任机制。</w:t>
      </w:r>
    </w:p>
    <w:p>
      <w:pPr>
        <w:pStyle w:val="26"/>
      </w:pPr>
      <w:r>
        <w:t>（二）提升政治站位，持续推动“高效办成一件事”</w:t>
      </w:r>
    </w:p>
    <w:p>
      <w:pPr>
        <w:pStyle w:val="26"/>
      </w:pPr>
      <w:r>
        <w:t>绩效目标：进一步强化改革意识，按照省、市部署，逐步推行下一批次各“高效办成一件事”事项落实落地。</w:t>
      </w:r>
    </w:p>
    <w:p>
      <w:pPr>
        <w:pStyle w:val="26"/>
      </w:pPr>
      <w:r>
        <w:t>绩效指标：立足栾城区产业发展特点与民生需求实际，拓展特色事项，推动栾城区特色“一件事”落地实施。加强宣传培训，组织各单位做好宣传，积极引导群众通过“一件事”系统办理各类相关业务，按照省市部署，做好各事项办理系统培训工作。</w:t>
      </w:r>
    </w:p>
    <w:p>
      <w:pPr>
        <w:pStyle w:val="26"/>
      </w:pPr>
      <w:r>
        <w:t>（三）强化信用信息归集与共享，推进社会信用体系建设</w:t>
      </w:r>
    </w:p>
    <w:p>
      <w:pPr>
        <w:pStyle w:val="26"/>
      </w:pPr>
      <w:r>
        <w:t>绩效目标：确保周期内的数据及时、准确上传至公信力平台。</w:t>
      </w:r>
    </w:p>
    <w:p>
      <w:pPr>
        <w:pStyle w:val="26"/>
      </w:pPr>
      <w:r>
        <w:t>绩效指标：定期开展专项信用修复培训，针对公示期内的行政处罚对象，分批次组织信用修复培训，提升其信用修复意识和能力。深化诚信宣传教育活动，利用节假日、纪念日等重要节点，推进诚信街区、诚信校园等建设。</w:t>
      </w:r>
    </w:p>
    <w:p>
      <w:pPr>
        <w:pStyle w:val="26"/>
      </w:pPr>
      <w:r>
        <w:t>（四）提升数字社会建设水平，推动数据要素市场化价值化</w:t>
      </w:r>
    </w:p>
    <w:p>
      <w:pPr>
        <w:pStyle w:val="26"/>
      </w:pPr>
      <w:r>
        <w:t>绩效目标：推动企业进行高质量数据集、可信数据空间及数字基础设施建设，常态化征集企业相关项目，推进全域数字化转型；推进“石i企”等平台的宣传推广，提高企业注册率和使用率，纵深推进数字化惠企利民服务。</w:t>
      </w:r>
    </w:p>
    <w:p>
      <w:pPr>
        <w:pStyle w:val="26"/>
      </w:pPr>
      <w:r>
        <w:t>绩效指标：持续推进公共数据资源登记，为数据资源开发利用提供数据支撑；纵深推进高质量数据集建设和“数据要素×”行动，开发培育更多应用场景，进一步激活数据要素价值潜能。及早启动明年数博会筹备工作，充分利用该平台全面展示我区数据工作成果，积极争取各级领导关注与支持。做好基层报表“一表通”牵头工作，推进省“一表报送”系统自上而下贯穿应用，规范各类填表报数行为，解决基层“报表多、重复报、多头要、共享难”等问题，切实减轻基层填表报数工作负担。</w:t>
      </w:r>
    </w:p>
    <w:p>
      <w:pPr>
        <w:pStyle w:val="26"/>
      </w:pPr>
      <w:r>
        <w:t>（五）强化数据支撑，推动智慧城市新发展</w:t>
      </w:r>
    </w:p>
    <w:p>
      <w:pPr>
        <w:pStyle w:val="26"/>
      </w:pPr>
      <w:r>
        <w:t>绩效目标：强化数据支撑，推动智慧城市新发展。</w:t>
      </w:r>
    </w:p>
    <w:p>
      <w:pPr>
        <w:pStyle w:val="26"/>
      </w:pPr>
      <w:r>
        <w:t>绩效指标：一是根据省市工作安排部署，基于栾城区智慧化城市建设项目（一期）及栾城区燃气与城市安全预警监测平台项目建设运行成果，积极申报争取全省《栾城区城市全域数字化转型试点》，结合试点内容，加大示范场景创建力度，实现不少于40个城市全域数字化转型场景落地应用，其中至少10个以上智能体赋能，服务行业及产业发展的应用场景不少于20个。二是推动以上在建的2个项目完成验收、财政评审，并交付正式运行。推进2个项目建设成果深度融合，发挥各板块运行效果，助力城市运行治理精细化智能化，推动城市居民生活服务智慧化，为城市全域数字化转型发挥引领示范作用。</w:t>
      </w:r>
    </w:p>
    <w:p>
      <w:pPr>
        <w:pStyle w:val="26"/>
      </w:pPr>
      <w:r>
        <w:t>（六）提升政务服务水平，完善作风建设长效机制</w:t>
      </w:r>
    </w:p>
    <w:p>
      <w:pPr>
        <w:pStyle w:val="26"/>
      </w:pPr>
      <w:r>
        <w:t>绩效目标：持续从提高网上办事能力、提升实体大厅服务品质两个方向持续精准发力，打造线上线下融合发展、互补促进的审批服务模式。</w:t>
      </w:r>
    </w:p>
    <w:p>
      <w:pPr>
        <w:pStyle w:val="26"/>
      </w:pPr>
      <w:r>
        <w:t>绩效指标：建立与业务部门的信息同步机制，确保新业务、新政策出台后，引导信息能及时更新。加强对引导人员特殊人群服务培训，提高服务意识和沟通能力。开展政务服务综合培训和规范管理，促进服务质量提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 xml:space="preserve">（一）完善制度建设。制定完善预算绩效管理制度，严格按照区财政预算工作安排，科学设定绩效指标和目标，从源头上保障绩效管理的有效落实，严格按照财务管理制度列支各类资金，确保资金支出有序进行，为全年预算绩效目标的实现奠定基础。加强绩效运行监控。按要求开展绩效运行监控，发现问题及时采取措施，确保绩效目标如期保质实现。 </w:t>
      </w:r>
    </w:p>
    <w:p>
      <w:pPr>
        <w:pStyle w:val="27"/>
      </w:pPr>
      <w:r>
        <w:t xml:space="preserve">（二）加强内部监督。加强内部监督制度建设，对绩效运行情况、重大支出决策、资产处置及其他重要经济业务事项的决策和执行督导，对会计资料进行内部审计，并配合做好审计、财政监督等外部监督工作，确保财政资金安全有效。 </w:t>
      </w:r>
    </w:p>
    <w:p>
      <w:pPr>
        <w:pStyle w:val="27"/>
      </w:pPr>
      <w:r>
        <w:t>（三）加强业务学习、提高自身素质。积极推进学习型机关建设，加强党和政府的方针政策、业务知识及相关法律法规的教育培训，注重学以致用，理论联系实际，强化学习计划，突出抓好相关法律法规及实务能力的学习，不断提高工作人员的理论水平及分析解决问题的能力，不断提高工作人员的业务办事能力、组织实施能力、协调配合能力、破解难题能力，创造条件支持和鼓励工作人员参加各类专业技术培训，提升全体工作人员的整体业务素质。</w:t>
      </w:r>
    </w:p>
    <w:p>
      <w:pPr>
        <w:pStyle w:val="27"/>
      </w:pPr>
      <w:r>
        <w:t>（四）提升政务服务水平，完善作风建设长效机制。持续从提高网上办事能力、提升实体大厅服务品质两个方向持续精准发力，打造线上线下融合发展、互补促进的审批服务模式。建立与业务部门的信息同步机制，确保新业务、新政策出台后，引导信息能及时更新。加强对引导人员特殊人群服务培训，提高服务意识和沟通能力。开展政务服务综合培训和规范管理，促进服务质量提升。</w:t>
      </w:r>
    </w:p>
    <w:p>
      <w:pPr>
        <w:pStyle w:val="27"/>
        <w:sectPr>
          <w:pgSz w:w="16840" w:h="11900" w:orient="landscape"/>
          <w:pgMar w:top="1361" w:right="1020" w:bottom="1361" w:left="1020" w:header="720" w:footer="720" w:gutter="0"/>
          <w:pgNumType w:fmt="decimal"/>
          <w:cols w:space="720" w:num="1"/>
        </w:sectPr>
      </w:pPr>
      <w:r>
        <w:t>（五）加强宣传培训调研。加强人员培训，提高审批系统审批人员工作能力，强化预算绩效管理意识，掌握工作方法，提升管理能力；加强调研，提出优化财政资金配置、提高资金使用效益的意见建议；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pgNumType w:fmt="decimal"/>
          <w:cols w:space="720" w:num="1"/>
        </w:sect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pgNumType w:fmt="decimal"/>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1、(结转2024年专项债券)栾城区燃气与城市安全预警监测平台建设项目绩效目标表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13011126P000203100045</w:t>
            </w:r>
          </w:p>
        </w:tc>
        <w:tc>
          <w:tcPr>
            <w:tcW w:w="2835" w:type="dxa"/>
            <w:vAlign w:val="center"/>
          </w:tcPr>
          <w:p>
            <w:pPr>
              <w:pStyle w:val="14"/>
            </w:pPr>
            <w:r>
              <w:t>项目名称</w:t>
            </w:r>
          </w:p>
        </w:tc>
        <w:tc>
          <w:tcPr>
            <w:tcW w:w="6095" w:type="dxa"/>
            <w:gridSpan w:val="3"/>
            <w:vAlign w:val="center"/>
          </w:tcPr>
          <w:p>
            <w:pPr>
              <w:pStyle w:val="16"/>
            </w:pPr>
            <w:r>
              <w:t>(结转2024年专项债券)栾城区燃气与城市安全预警监测平台建设项目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2218.20</w:t>
            </w:r>
          </w:p>
        </w:tc>
        <w:tc>
          <w:tcPr>
            <w:tcW w:w="2835" w:type="dxa"/>
            <w:vAlign w:val="center"/>
          </w:tcPr>
          <w:p>
            <w:pPr>
              <w:pStyle w:val="14"/>
            </w:pPr>
            <w:r>
              <w:t>其中：财政    资金</w:t>
            </w:r>
          </w:p>
        </w:tc>
        <w:tc>
          <w:tcPr>
            <w:tcW w:w="2551" w:type="dxa"/>
            <w:vAlign w:val="center"/>
          </w:tcPr>
          <w:p>
            <w:pPr>
              <w:pStyle w:val="16"/>
            </w:pPr>
            <w:r>
              <w:t>2218.20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提升燃气行业安全监管水平，保障人民群众生命财产安全、推动城市燃气安全预警监测平台建设项目建设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554.55</w:t>
            </w:r>
          </w:p>
        </w:tc>
        <w:tc>
          <w:tcPr>
            <w:tcW w:w="2835" w:type="dxa"/>
            <w:vAlign w:val="center"/>
          </w:tcPr>
          <w:p>
            <w:pPr>
              <w:pStyle w:val="17"/>
            </w:pPr>
            <w:r>
              <w:t>1109.10</w:t>
            </w:r>
          </w:p>
        </w:tc>
        <w:tc>
          <w:tcPr>
            <w:tcW w:w="2551" w:type="dxa"/>
            <w:vAlign w:val="center"/>
          </w:tcPr>
          <w:p>
            <w:pPr>
              <w:pStyle w:val="17"/>
            </w:pPr>
            <w:r>
              <w:t>1663.65</w:t>
            </w:r>
          </w:p>
        </w:tc>
        <w:tc>
          <w:tcPr>
            <w:tcW w:w="3544" w:type="dxa"/>
            <w:gridSpan w:val="2"/>
            <w:vAlign w:val="center"/>
          </w:tcPr>
          <w:p>
            <w:pPr>
              <w:pStyle w:val="17"/>
            </w:pPr>
            <w:r>
              <w:t>2218.20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1.提升燃气行业安全监管水平，保障人民群众生命财产安全、推动城市燃气安全预警监测平台建设项目建设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燃气平台覆盖率</w:t>
            </w:r>
          </w:p>
        </w:tc>
        <w:tc>
          <w:tcPr>
            <w:tcW w:w="5386" w:type="dxa"/>
            <w:vAlign w:val="center"/>
          </w:tcPr>
          <w:p>
            <w:pPr>
              <w:pStyle w:val="16"/>
            </w:pPr>
            <w:r>
              <w:t>保证燃气预警监测平台顺利建设</w:t>
            </w:r>
          </w:p>
        </w:tc>
        <w:tc>
          <w:tcPr>
            <w:tcW w:w="2268" w:type="dxa"/>
            <w:vAlign w:val="center"/>
          </w:tcPr>
          <w:p>
            <w:pPr>
              <w:pStyle w:val="16"/>
            </w:pPr>
            <w:r>
              <w:t>1批</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质量指标</w:t>
            </w:r>
          </w:p>
        </w:tc>
        <w:tc>
          <w:tcPr>
            <w:tcW w:w="5386" w:type="dxa"/>
            <w:vAlign w:val="center"/>
          </w:tcPr>
          <w:p>
            <w:pPr>
              <w:pStyle w:val="16"/>
            </w:pPr>
            <w:r>
              <w:t>质量指标</w:t>
            </w:r>
          </w:p>
        </w:tc>
        <w:tc>
          <w:tcPr>
            <w:tcW w:w="2268" w:type="dxa"/>
            <w:vAlign w:val="center"/>
          </w:tcPr>
          <w:p>
            <w:pPr>
              <w:pStyle w:val="16"/>
            </w:pPr>
            <w:r>
              <w:t>保证用气的安全</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w:t>
            </w:r>
          </w:p>
        </w:tc>
        <w:tc>
          <w:tcPr>
            <w:tcW w:w="5386" w:type="dxa"/>
            <w:vAlign w:val="center"/>
          </w:tcPr>
          <w:p>
            <w:pPr>
              <w:pStyle w:val="16"/>
            </w:pPr>
            <w:r>
              <w:t>资金支付及时性</w:t>
            </w:r>
          </w:p>
        </w:tc>
        <w:tc>
          <w:tcPr>
            <w:tcW w:w="2268" w:type="dxa"/>
            <w:vAlign w:val="center"/>
          </w:tcPr>
          <w:p>
            <w:pPr>
              <w:pStyle w:val="16"/>
            </w:pPr>
            <w:r>
              <w:t>≥90百分率</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总成本</w:t>
            </w:r>
          </w:p>
        </w:tc>
        <w:tc>
          <w:tcPr>
            <w:tcW w:w="5386" w:type="dxa"/>
            <w:vAlign w:val="center"/>
          </w:tcPr>
          <w:p>
            <w:pPr>
              <w:pStyle w:val="16"/>
            </w:pPr>
            <w:r>
              <w:t>总成本</w:t>
            </w:r>
          </w:p>
        </w:tc>
        <w:tc>
          <w:tcPr>
            <w:tcW w:w="2268" w:type="dxa"/>
            <w:vAlign w:val="center"/>
          </w:tcPr>
          <w:p>
            <w:pPr>
              <w:pStyle w:val="16"/>
            </w:pPr>
            <w:r>
              <w:t>≤2218.2万元</w:t>
            </w:r>
          </w:p>
        </w:tc>
        <w:tc>
          <w:tcPr>
            <w:tcW w:w="1276" w:type="dxa"/>
            <w:vAlign w:val="center"/>
          </w:tcPr>
          <w:p>
            <w:pPr>
              <w:pStyle w:val="16"/>
            </w:pPr>
            <w:r>
              <w:t>合同金额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社会影响力</w:t>
            </w:r>
          </w:p>
        </w:tc>
        <w:tc>
          <w:tcPr>
            <w:tcW w:w="5386" w:type="dxa"/>
            <w:vAlign w:val="center"/>
          </w:tcPr>
          <w:p>
            <w:pPr>
              <w:pStyle w:val="16"/>
            </w:pPr>
            <w:r>
              <w:t>社会影响力</w:t>
            </w:r>
          </w:p>
        </w:tc>
        <w:tc>
          <w:tcPr>
            <w:tcW w:w="2268" w:type="dxa"/>
            <w:vAlign w:val="center"/>
          </w:tcPr>
          <w:p>
            <w:pPr>
              <w:pStyle w:val="16"/>
            </w:pPr>
            <w:r>
              <w:t>提升安全</w:t>
            </w:r>
          </w:p>
        </w:tc>
        <w:tc>
          <w:tcPr>
            <w:tcW w:w="1276" w:type="dxa"/>
            <w:vAlign w:val="center"/>
          </w:tcPr>
          <w:p>
            <w:pPr>
              <w:pStyle w:val="16"/>
            </w:pPr>
            <w:r>
              <w:t>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≥95百分率</w:t>
            </w:r>
          </w:p>
        </w:tc>
        <w:tc>
          <w:tcPr>
            <w:tcW w:w="1276" w:type="dxa"/>
            <w:vAlign w:val="center"/>
          </w:tcPr>
          <w:p>
            <w:pPr>
              <w:pStyle w:val="16"/>
            </w:pPr>
            <w:r>
              <w:t>无</w:t>
            </w:r>
          </w:p>
        </w:tc>
      </w:tr>
    </w:tbl>
    <w:p>
      <w:pPr>
        <w:sectPr>
          <w:type w:val="continuous"/>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2、劳务派遣人员经费绩效目标表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13011126P00000410351P</w:t>
            </w:r>
          </w:p>
        </w:tc>
        <w:tc>
          <w:tcPr>
            <w:tcW w:w="2835" w:type="dxa"/>
            <w:vAlign w:val="center"/>
          </w:tcPr>
          <w:p>
            <w:pPr>
              <w:pStyle w:val="14"/>
            </w:pPr>
            <w:r>
              <w:t>项目名称</w:t>
            </w:r>
          </w:p>
        </w:tc>
        <w:tc>
          <w:tcPr>
            <w:tcW w:w="6095" w:type="dxa"/>
            <w:gridSpan w:val="3"/>
            <w:vAlign w:val="center"/>
          </w:tcPr>
          <w:p>
            <w:pPr>
              <w:pStyle w:val="16"/>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48.34</w:t>
            </w:r>
          </w:p>
        </w:tc>
        <w:tc>
          <w:tcPr>
            <w:tcW w:w="2835" w:type="dxa"/>
            <w:vAlign w:val="center"/>
          </w:tcPr>
          <w:p>
            <w:pPr>
              <w:pStyle w:val="14"/>
            </w:pPr>
            <w:r>
              <w:t>其中：财政    资金</w:t>
            </w:r>
          </w:p>
        </w:tc>
        <w:tc>
          <w:tcPr>
            <w:tcW w:w="2551" w:type="dxa"/>
            <w:vAlign w:val="center"/>
          </w:tcPr>
          <w:p>
            <w:pPr>
              <w:pStyle w:val="16"/>
            </w:pPr>
            <w:r>
              <w:t>48.34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用于支付辅助性服务人员工资、保险、管理费用等，促进审批工作，提高工作效率。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12.08</w:t>
            </w:r>
          </w:p>
        </w:tc>
        <w:tc>
          <w:tcPr>
            <w:tcW w:w="2835" w:type="dxa"/>
            <w:vAlign w:val="center"/>
          </w:tcPr>
          <w:p>
            <w:pPr>
              <w:pStyle w:val="17"/>
            </w:pPr>
            <w:r>
              <w:t>24.17</w:t>
            </w:r>
          </w:p>
        </w:tc>
        <w:tc>
          <w:tcPr>
            <w:tcW w:w="2551" w:type="dxa"/>
            <w:vAlign w:val="center"/>
          </w:tcPr>
          <w:p>
            <w:pPr>
              <w:pStyle w:val="17"/>
            </w:pPr>
            <w:r>
              <w:t>36.25</w:t>
            </w:r>
          </w:p>
        </w:tc>
        <w:tc>
          <w:tcPr>
            <w:tcW w:w="3544" w:type="dxa"/>
            <w:gridSpan w:val="2"/>
            <w:vAlign w:val="center"/>
          </w:tcPr>
          <w:p>
            <w:pPr>
              <w:pStyle w:val="17"/>
            </w:pPr>
            <w:r>
              <w:t>48.34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1.用于支付辅助性服务人员工资、保险、管理费用等，促进审批工作，提高工作效率。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购买服务人数</w:t>
            </w:r>
          </w:p>
        </w:tc>
        <w:tc>
          <w:tcPr>
            <w:tcW w:w="5386" w:type="dxa"/>
            <w:vAlign w:val="center"/>
          </w:tcPr>
          <w:p>
            <w:pPr>
              <w:pStyle w:val="16"/>
            </w:pPr>
            <w:r>
              <w:t>购买服务人数</w:t>
            </w:r>
          </w:p>
        </w:tc>
        <w:tc>
          <w:tcPr>
            <w:tcW w:w="2268" w:type="dxa"/>
            <w:vAlign w:val="center"/>
          </w:tcPr>
          <w:p>
            <w:pPr>
              <w:pStyle w:val="16"/>
            </w:pPr>
            <w:r>
              <w:t>≤8人</w:t>
            </w:r>
          </w:p>
        </w:tc>
        <w:tc>
          <w:tcPr>
            <w:tcW w:w="1276" w:type="dxa"/>
            <w:vAlign w:val="center"/>
          </w:tcPr>
          <w:p>
            <w:pPr>
              <w:pStyle w:val="16"/>
            </w:pPr>
            <w:r>
              <w:t>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第三方公司服务质量</w:t>
            </w:r>
          </w:p>
        </w:tc>
        <w:tc>
          <w:tcPr>
            <w:tcW w:w="5386" w:type="dxa"/>
            <w:vAlign w:val="center"/>
          </w:tcPr>
          <w:p>
            <w:pPr>
              <w:pStyle w:val="16"/>
            </w:pPr>
            <w:r>
              <w:t>第三方公司服务质量</w:t>
            </w:r>
          </w:p>
        </w:tc>
        <w:tc>
          <w:tcPr>
            <w:tcW w:w="2268" w:type="dxa"/>
            <w:vAlign w:val="center"/>
          </w:tcPr>
          <w:p>
            <w:pPr>
              <w:pStyle w:val="16"/>
            </w:pPr>
            <w:r>
              <w:t>达到合同要求</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支付及时率</w:t>
            </w:r>
          </w:p>
        </w:tc>
        <w:tc>
          <w:tcPr>
            <w:tcW w:w="5386" w:type="dxa"/>
            <w:vAlign w:val="center"/>
          </w:tcPr>
          <w:p>
            <w:pPr>
              <w:pStyle w:val="16"/>
            </w:pPr>
            <w:r>
              <w:t>支付及时率</w:t>
            </w:r>
          </w:p>
        </w:tc>
        <w:tc>
          <w:tcPr>
            <w:tcW w:w="2268" w:type="dxa"/>
            <w:vAlign w:val="center"/>
          </w:tcPr>
          <w:p>
            <w:pPr>
              <w:pStyle w:val="16"/>
            </w:pPr>
            <w:r>
              <w:t>≥90百分率</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项目成本</w:t>
            </w:r>
          </w:p>
        </w:tc>
        <w:tc>
          <w:tcPr>
            <w:tcW w:w="5386" w:type="dxa"/>
            <w:vAlign w:val="center"/>
          </w:tcPr>
          <w:p>
            <w:pPr>
              <w:pStyle w:val="16"/>
            </w:pPr>
            <w:r>
              <w:t>项目成本</w:t>
            </w:r>
          </w:p>
        </w:tc>
        <w:tc>
          <w:tcPr>
            <w:tcW w:w="2268" w:type="dxa"/>
            <w:vAlign w:val="center"/>
          </w:tcPr>
          <w:p>
            <w:pPr>
              <w:pStyle w:val="16"/>
            </w:pPr>
            <w:r>
              <w:t>≤48.34万元</w:t>
            </w:r>
          </w:p>
        </w:tc>
        <w:tc>
          <w:tcPr>
            <w:tcW w:w="1276" w:type="dxa"/>
            <w:vAlign w:val="center"/>
          </w:tcPr>
          <w:p>
            <w:pPr>
              <w:pStyle w:val="16"/>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提高审批效率</w:t>
            </w:r>
          </w:p>
        </w:tc>
        <w:tc>
          <w:tcPr>
            <w:tcW w:w="5386" w:type="dxa"/>
            <w:vAlign w:val="center"/>
          </w:tcPr>
          <w:p>
            <w:pPr>
              <w:pStyle w:val="16"/>
            </w:pPr>
            <w:r>
              <w:t>提高审批效率</w:t>
            </w:r>
          </w:p>
        </w:tc>
        <w:tc>
          <w:tcPr>
            <w:tcW w:w="2268" w:type="dxa"/>
            <w:vAlign w:val="center"/>
          </w:tcPr>
          <w:p>
            <w:pPr>
              <w:pStyle w:val="16"/>
            </w:pPr>
            <w:r>
              <w:t>进一步提高</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单位意见反馈</w:t>
            </w:r>
          </w:p>
        </w:tc>
        <w:tc>
          <w:tcPr>
            <w:tcW w:w="5386" w:type="dxa"/>
            <w:vAlign w:val="center"/>
          </w:tcPr>
          <w:p>
            <w:pPr>
              <w:pStyle w:val="16"/>
            </w:pPr>
            <w:r>
              <w:t>单位意见反馈</w:t>
            </w:r>
          </w:p>
        </w:tc>
        <w:tc>
          <w:tcPr>
            <w:tcW w:w="2268" w:type="dxa"/>
            <w:vAlign w:val="center"/>
          </w:tcPr>
          <w:p>
            <w:pPr>
              <w:pStyle w:val="16"/>
            </w:pPr>
            <w:r>
              <w:t>≥5次</w:t>
            </w:r>
          </w:p>
        </w:tc>
        <w:tc>
          <w:tcPr>
            <w:tcW w:w="1276" w:type="dxa"/>
            <w:vAlign w:val="center"/>
          </w:tcPr>
          <w:p>
            <w:pPr>
              <w:pStyle w:val="16"/>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3、离退休人员统筹外工资待遇绩效目标表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13011126P00000410376H</w:t>
            </w:r>
          </w:p>
        </w:tc>
        <w:tc>
          <w:tcPr>
            <w:tcW w:w="2835" w:type="dxa"/>
            <w:vAlign w:val="center"/>
          </w:tcPr>
          <w:p>
            <w:pPr>
              <w:pStyle w:val="14"/>
            </w:pPr>
            <w:r>
              <w:t>项目名称</w:t>
            </w:r>
          </w:p>
        </w:tc>
        <w:tc>
          <w:tcPr>
            <w:tcW w:w="6095" w:type="dxa"/>
            <w:gridSpan w:val="3"/>
            <w:vAlign w:val="center"/>
          </w:tcPr>
          <w:p>
            <w:pPr>
              <w:pStyle w:val="16"/>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0.14</w:t>
            </w:r>
          </w:p>
        </w:tc>
        <w:tc>
          <w:tcPr>
            <w:tcW w:w="2835" w:type="dxa"/>
            <w:vAlign w:val="center"/>
          </w:tcPr>
          <w:p>
            <w:pPr>
              <w:pStyle w:val="14"/>
            </w:pPr>
            <w:r>
              <w:t>其中：财政    资金</w:t>
            </w:r>
          </w:p>
        </w:tc>
        <w:tc>
          <w:tcPr>
            <w:tcW w:w="2551" w:type="dxa"/>
            <w:vAlign w:val="center"/>
          </w:tcPr>
          <w:p>
            <w:pPr>
              <w:pStyle w:val="16"/>
            </w:pPr>
            <w:r>
              <w:t>0.14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发放退休人员交通补贴60元/月，每人发放一次性生活补贴300元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0.04</w:t>
            </w:r>
          </w:p>
        </w:tc>
        <w:tc>
          <w:tcPr>
            <w:tcW w:w="2835" w:type="dxa"/>
            <w:vAlign w:val="center"/>
          </w:tcPr>
          <w:p>
            <w:pPr>
              <w:pStyle w:val="17"/>
            </w:pPr>
            <w:r>
              <w:t>0.07</w:t>
            </w:r>
          </w:p>
        </w:tc>
        <w:tc>
          <w:tcPr>
            <w:tcW w:w="2551" w:type="dxa"/>
            <w:vAlign w:val="center"/>
          </w:tcPr>
          <w:p>
            <w:pPr>
              <w:pStyle w:val="17"/>
            </w:pPr>
            <w:r>
              <w:t>0.11</w:t>
            </w:r>
          </w:p>
        </w:tc>
        <w:tc>
          <w:tcPr>
            <w:tcW w:w="3544" w:type="dxa"/>
            <w:gridSpan w:val="2"/>
            <w:vAlign w:val="center"/>
          </w:tcPr>
          <w:p>
            <w:pPr>
              <w:pStyle w:val="17"/>
            </w:pPr>
            <w:r>
              <w:t>0.14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1.发放退休人员交通补贴60元/月，每人发放一次性生活补贴300元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人员数量</w:t>
            </w:r>
          </w:p>
        </w:tc>
        <w:tc>
          <w:tcPr>
            <w:tcW w:w="5386" w:type="dxa"/>
            <w:vAlign w:val="center"/>
          </w:tcPr>
          <w:p>
            <w:pPr>
              <w:pStyle w:val="16"/>
            </w:pPr>
            <w:r>
              <w:t>人员数量</w:t>
            </w:r>
          </w:p>
        </w:tc>
        <w:tc>
          <w:tcPr>
            <w:tcW w:w="2268" w:type="dxa"/>
            <w:vAlign w:val="center"/>
          </w:tcPr>
          <w:p>
            <w:pPr>
              <w:pStyle w:val="16"/>
            </w:pPr>
            <w:r>
              <w:t>3人</w:t>
            </w:r>
          </w:p>
        </w:tc>
        <w:tc>
          <w:tcPr>
            <w:tcW w:w="1276" w:type="dxa"/>
            <w:vAlign w:val="center"/>
          </w:tcPr>
          <w:p>
            <w:pPr>
              <w:pStyle w:val="16"/>
            </w:pPr>
            <w:r>
              <w:t>人社局批复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支付及时率</w:t>
            </w:r>
          </w:p>
        </w:tc>
        <w:tc>
          <w:tcPr>
            <w:tcW w:w="5386" w:type="dxa"/>
            <w:vAlign w:val="center"/>
          </w:tcPr>
          <w:p>
            <w:pPr>
              <w:pStyle w:val="16"/>
            </w:pPr>
            <w:r>
              <w:t>支付及时率</w:t>
            </w:r>
          </w:p>
        </w:tc>
        <w:tc>
          <w:tcPr>
            <w:tcW w:w="2268" w:type="dxa"/>
            <w:vAlign w:val="center"/>
          </w:tcPr>
          <w:p>
            <w:pPr>
              <w:pStyle w:val="16"/>
            </w:pPr>
            <w:r>
              <w:t>≥95百分率</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项目实际成本</w:t>
            </w:r>
          </w:p>
        </w:tc>
        <w:tc>
          <w:tcPr>
            <w:tcW w:w="5386" w:type="dxa"/>
            <w:vAlign w:val="center"/>
          </w:tcPr>
          <w:p>
            <w:pPr>
              <w:pStyle w:val="16"/>
            </w:pPr>
            <w:r>
              <w:t>项目实际成本</w:t>
            </w:r>
          </w:p>
        </w:tc>
        <w:tc>
          <w:tcPr>
            <w:tcW w:w="2268" w:type="dxa"/>
            <w:vAlign w:val="center"/>
          </w:tcPr>
          <w:p>
            <w:pPr>
              <w:pStyle w:val="16"/>
            </w:pPr>
            <w:r>
              <w:t>≤0.14万元</w:t>
            </w:r>
          </w:p>
        </w:tc>
        <w:tc>
          <w:tcPr>
            <w:tcW w:w="1276" w:type="dxa"/>
            <w:vAlign w:val="center"/>
          </w:tcPr>
          <w:p>
            <w:pPr>
              <w:pStyle w:val="16"/>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提供优质服务</w:t>
            </w:r>
          </w:p>
        </w:tc>
        <w:tc>
          <w:tcPr>
            <w:tcW w:w="5386" w:type="dxa"/>
            <w:vAlign w:val="center"/>
          </w:tcPr>
          <w:p>
            <w:pPr>
              <w:pStyle w:val="16"/>
            </w:pPr>
            <w:r>
              <w:t>提供优质服务</w:t>
            </w:r>
          </w:p>
        </w:tc>
        <w:tc>
          <w:tcPr>
            <w:tcW w:w="2268" w:type="dxa"/>
            <w:vAlign w:val="center"/>
          </w:tcPr>
          <w:p>
            <w:pPr>
              <w:pStyle w:val="16"/>
            </w:pPr>
            <w:r>
              <w:t>及时发放</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≥98百分率</w:t>
            </w:r>
          </w:p>
        </w:tc>
        <w:tc>
          <w:tcPr>
            <w:tcW w:w="1276" w:type="dxa"/>
            <w:vAlign w:val="center"/>
          </w:tcPr>
          <w:p>
            <w:pPr>
              <w:pStyle w:val="16"/>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4、数政局大厅运转经费（电费）绩效目标表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13011126P00000410816Q</w:t>
            </w:r>
          </w:p>
        </w:tc>
        <w:tc>
          <w:tcPr>
            <w:tcW w:w="2835" w:type="dxa"/>
            <w:vAlign w:val="center"/>
          </w:tcPr>
          <w:p>
            <w:pPr>
              <w:pStyle w:val="14"/>
            </w:pPr>
            <w:r>
              <w:t>项目名称</w:t>
            </w:r>
          </w:p>
        </w:tc>
        <w:tc>
          <w:tcPr>
            <w:tcW w:w="6095" w:type="dxa"/>
            <w:gridSpan w:val="3"/>
            <w:vAlign w:val="center"/>
          </w:tcPr>
          <w:p>
            <w:pPr>
              <w:pStyle w:val="16"/>
            </w:pPr>
            <w:r>
              <w:t>数政局大厅运转经费（电费）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150.00</w:t>
            </w:r>
          </w:p>
        </w:tc>
        <w:tc>
          <w:tcPr>
            <w:tcW w:w="2835" w:type="dxa"/>
            <w:vAlign w:val="center"/>
          </w:tcPr>
          <w:p>
            <w:pPr>
              <w:pStyle w:val="14"/>
            </w:pPr>
            <w:r>
              <w:t>其中：财政    资金</w:t>
            </w:r>
          </w:p>
        </w:tc>
        <w:tc>
          <w:tcPr>
            <w:tcW w:w="2551" w:type="dxa"/>
            <w:vAlign w:val="center"/>
          </w:tcPr>
          <w:p>
            <w:pPr>
              <w:pStyle w:val="16"/>
            </w:pPr>
            <w:r>
              <w:t>150.00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实施政府服务标准化，进一步优化营商环境，激发市场主体活力，以高效服务能力助力区域经济社会高质量发展。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37.50</w:t>
            </w:r>
          </w:p>
        </w:tc>
        <w:tc>
          <w:tcPr>
            <w:tcW w:w="2835" w:type="dxa"/>
            <w:vAlign w:val="center"/>
          </w:tcPr>
          <w:p>
            <w:pPr>
              <w:pStyle w:val="17"/>
            </w:pPr>
            <w:r>
              <w:t>75.00</w:t>
            </w:r>
          </w:p>
        </w:tc>
        <w:tc>
          <w:tcPr>
            <w:tcW w:w="2551" w:type="dxa"/>
            <w:vAlign w:val="center"/>
          </w:tcPr>
          <w:p>
            <w:pPr>
              <w:pStyle w:val="17"/>
            </w:pPr>
            <w:r>
              <w:t>112.50</w:t>
            </w:r>
          </w:p>
        </w:tc>
        <w:tc>
          <w:tcPr>
            <w:tcW w:w="3544" w:type="dxa"/>
            <w:gridSpan w:val="2"/>
            <w:vAlign w:val="center"/>
          </w:tcPr>
          <w:p>
            <w:pPr>
              <w:pStyle w:val="17"/>
            </w:pPr>
            <w:r>
              <w:t>150.00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1.实施政府服务标准化，进一步优化营商环境，激发市场主体活力，以高效服务能力助力区域经济社会高质量发展。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数量指标</w:t>
            </w:r>
          </w:p>
        </w:tc>
        <w:tc>
          <w:tcPr>
            <w:tcW w:w="5386" w:type="dxa"/>
            <w:vAlign w:val="center"/>
          </w:tcPr>
          <w:p>
            <w:pPr>
              <w:pStyle w:val="16"/>
            </w:pPr>
            <w:r>
              <w:t>数量指标</w:t>
            </w:r>
          </w:p>
        </w:tc>
        <w:tc>
          <w:tcPr>
            <w:tcW w:w="2268" w:type="dxa"/>
            <w:vAlign w:val="center"/>
          </w:tcPr>
          <w:p>
            <w:pPr>
              <w:pStyle w:val="16"/>
            </w:pPr>
            <w:r>
              <w:t>≥100人</w:t>
            </w:r>
          </w:p>
        </w:tc>
        <w:tc>
          <w:tcPr>
            <w:tcW w:w="1276" w:type="dxa"/>
            <w:vAlign w:val="center"/>
          </w:tcPr>
          <w:p>
            <w:pPr>
              <w:pStyle w:val="16"/>
            </w:pPr>
            <w:r>
              <w:t>参考往年统计数量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质量指标</w:t>
            </w:r>
          </w:p>
        </w:tc>
        <w:tc>
          <w:tcPr>
            <w:tcW w:w="5386" w:type="dxa"/>
            <w:vAlign w:val="center"/>
          </w:tcPr>
          <w:p>
            <w:pPr>
              <w:pStyle w:val="16"/>
            </w:pPr>
            <w:r>
              <w:t>质量指标</w:t>
            </w:r>
          </w:p>
        </w:tc>
        <w:tc>
          <w:tcPr>
            <w:tcW w:w="2268" w:type="dxa"/>
            <w:vAlign w:val="center"/>
          </w:tcPr>
          <w:p>
            <w:pPr>
              <w:pStyle w:val="16"/>
            </w:pPr>
            <w:r>
              <w:t>业务正常提供保障</w:t>
            </w:r>
          </w:p>
        </w:tc>
        <w:tc>
          <w:tcPr>
            <w:tcW w:w="1276" w:type="dxa"/>
            <w:vAlign w:val="center"/>
          </w:tcPr>
          <w:p>
            <w:pPr>
              <w:pStyle w:val="16"/>
            </w:pPr>
            <w:r>
              <w:t>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委托业务完成及时率(%)</w:t>
            </w:r>
          </w:p>
        </w:tc>
        <w:tc>
          <w:tcPr>
            <w:tcW w:w="5386" w:type="dxa"/>
            <w:vAlign w:val="center"/>
          </w:tcPr>
          <w:p>
            <w:pPr>
              <w:pStyle w:val="16"/>
            </w:pPr>
            <w:r>
              <w:t>委托业务完成及时率(%)</w:t>
            </w:r>
          </w:p>
        </w:tc>
        <w:tc>
          <w:tcPr>
            <w:tcW w:w="2268" w:type="dxa"/>
            <w:vAlign w:val="center"/>
          </w:tcPr>
          <w:p>
            <w:pPr>
              <w:pStyle w:val="16"/>
            </w:pPr>
            <w:r>
              <w:t>≤98百分率</w:t>
            </w:r>
          </w:p>
        </w:tc>
        <w:tc>
          <w:tcPr>
            <w:tcW w:w="1276" w:type="dxa"/>
            <w:vAlign w:val="center"/>
          </w:tcPr>
          <w:p>
            <w:pPr>
              <w:pStyle w:val="16"/>
            </w:pPr>
            <w:r>
              <w:t>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总成本</w:t>
            </w:r>
          </w:p>
        </w:tc>
        <w:tc>
          <w:tcPr>
            <w:tcW w:w="5386" w:type="dxa"/>
            <w:vAlign w:val="center"/>
          </w:tcPr>
          <w:p>
            <w:pPr>
              <w:pStyle w:val="16"/>
            </w:pPr>
            <w:r>
              <w:t>总成本</w:t>
            </w:r>
          </w:p>
        </w:tc>
        <w:tc>
          <w:tcPr>
            <w:tcW w:w="2268" w:type="dxa"/>
            <w:vAlign w:val="center"/>
          </w:tcPr>
          <w:p>
            <w:pPr>
              <w:pStyle w:val="16"/>
            </w:pPr>
            <w:r>
              <w:t>≤150万元</w:t>
            </w:r>
          </w:p>
        </w:tc>
        <w:tc>
          <w:tcPr>
            <w:tcW w:w="1276" w:type="dxa"/>
            <w:vAlign w:val="center"/>
          </w:tcPr>
          <w:p>
            <w:pPr>
              <w:pStyle w:val="16"/>
            </w:pPr>
            <w:r>
              <w:t>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社会影响力</w:t>
            </w:r>
          </w:p>
        </w:tc>
        <w:tc>
          <w:tcPr>
            <w:tcW w:w="5386" w:type="dxa"/>
            <w:vAlign w:val="center"/>
          </w:tcPr>
          <w:p>
            <w:pPr>
              <w:pStyle w:val="16"/>
            </w:pPr>
            <w:r>
              <w:t>社会影响力</w:t>
            </w:r>
          </w:p>
        </w:tc>
        <w:tc>
          <w:tcPr>
            <w:tcW w:w="2268" w:type="dxa"/>
            <w:vAlign w:val="center"/>
          </w:tcPr>
          <w:p>
            <w:pPr>
              <w:pStyle w:val="16"/>
            </w:pPr>
            <w:r>
              <w:t>保证工作效率</w:t>
            </w:r>
          </w:p>
        </w:tc>
        <w:tc>
          <w:tcPr>
            <w:tcW w:w="1276" w:type="dxa"/>
            <w:vAlign w:val="center"/>
          </w:tcPr>
          <w:p>
            <w:pPr>
              <w:pStyle w:val="16"/>
            </w:pPr>
            <w:r>
              <w:t>按工作计划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对象满意度</w:t>
            </w:r>
          </w:p>
        </w:tc>
        <w:tc>
          <w:tcPr>
            <w:tcW w:w="5386" w:type="dxa"/>
            <w:vAlign w:val="center"/>
          </w:tcPr>
          <w:p>
            <w:pPr>
              <w:pStyle w:val="16"/>
            </w:pPr>
            <w:r>
              <w:t>对象满意度</w:t>
            </w:r>
          </w:p>
        </w:tc>
        <w:tc>
          <w:tcPr>
            <w:tcW w:w="2268" w:type="dxa"/>
            <w:vAlign w:val="center"/>
          </w:tcPr>
          <w:p>
            <w:pPr>
              <w:pStyle w:val="16"/>
            </w:pPr>
            <w:r>
              <w:t>≥95百分率</w:t>
            </w:r>
          </w:p>
        </w:tc>
        <w:tc>
          <w:tcPr>
            <w:tcW w:w="1276" w:type="dxa"/>
            <w:vAlign w:val="center"/>
          </w:tcPr>
          <w:p>
            <w:pPr>
              <w:pStyle w:val="16"/>
            </w:pPr>
            <w:r>
              <w:t>实际需求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5、行政事业单位应缴残保金绩效目标表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13011126P00000410386D</w:t>
            </w:r>
          </w:p>
        </w:tc>
        <w:tc>
          <w:tcPr>
            <w:tcW w:w="2835" w:type="dxa"/>
            <w:vAlign w:val="center"/>
          </w:tcPr>
          <w:p>
            <w:pPr>
              <w:pStyle w:val="14"/>
            </w:pPr>
            <w:r>
              <w:t>项目名称</w:t>
            </w:r>
          </w:p>
        </w:tc>
        <w:tc>
          <w:tcPr>
            <w:tcW w:w="6095" w:type="dxa"/>
            <w:gridSpan w:val="3"/>
            <w:vAlign w:val="center"/>
          </w:tcPr>
          <w:p>
            <w:pPr>
              <w:pStyle w:val="16"/>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9.22</w:t>
            </w:r>
          </w:p>
        </w:tc>
        <w:tc>
          <w:tcPr>
            <w:tcW w:w="2835" w:type="dxa"/>
            <w:vAlign w:val="center"/>
          </w:tcPr>
          <w:p>
            <w:pPr>
              <w:pStyle w:val="14"/>
            </w:pPr>
            <w:r>
              <w:t>其中：财政    资金</w:t>
            </w:r>
          </w:p>
        </w:tc>
        <w:tc>
          <w:tcPr>
            <w:tcW w:w="2551" w:type="dxa"/>
            <w:vAlign w:val="center"/>
          </w:tcPr>
          <w:p>
            <w:pPr>
              <w:pStyle w:val="16"/>
            </w:pPr>
            <w:r>
              <w:t>9.22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残保金（残疾人就业保障金）是政府性基金，未按规定比例安排残疾人就业的用人单位需缴纳，核心用于支持残疾人就业与生活保障。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2.30</w:t>
            </w:r>
          </w:p>
        </w:tc>
        <w:tc>
          <w:tcPr>
            <w:tcW w:w="2835" w:type="dxa"/>
            <w:vAlign w:val="center"/>
          </w:tcPr>
          <w:p>
            <w:pPr>
              <w:pStyle w:val="17"/>
            </w:pPr>
            <w:r>
              <w:t>4.61</w:t>
            </w:r>
          </w:p>
        </w:tc>
        <w:tc>
          <w:tcPr>
            <w:tcW w:w="2551" w:type="dxa"/>
            <w:vAlign w:val="center"/>
          </w:tcPr>
          <w:p>
            <w:pPr>
              <w:pStyle w:val="17"/>
            </w:pPr>
            <w:r>
              <w:t>6.91</w:t>
            </w:r>
          </w:p>
        </w:tc>
        <w:tc>
          <w:tcPr>
            <w:tcW w:w="3544" w:type="dxa"/>
            <w:gridSpan w:val="2"/>
            <w:vAlign w:val="center"/>
          </w:tcPr>
          <w:p>
            <w:pPr>
              <w:pStyle w:val="17"/>
            </w:pPr>
            <w:r>
              <w:t>9.22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1.残保金（残疾人就业保障金）是政府性基金，未按规定比例安排残疾人就业的用人单位需缴纳，核心用于支持残疾人就业与生活保障。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数量指标</w:t>
            </w:r>
          </w:p>
        </w:tc>
        <w:tc>
          <w:tcPr>
            <w:tcW w:w="5386" w:type="dxa"/>
            <w:vAlign w:val="center"/>
          </w:tcPr>
          <w:p>
            <w:pPr>
              <w:pStyle w:val="16"/>
            </w:pPr>
            <w:r>
              <w:t>单位人数</w:t>
            </w:r>
          </w:p>
        </w:tc>
        <w:tc>
          <w:tcPr>
            <w:tcW w:w="2268" w:type="dxa"/>
            <w:vAlign w:val="center"/>
          </w:tcPr>
          <w:p>
            <w:pPr>
              <w:pStyle w:val="16"/>
            </w:pPr>
            <w:r>
              <w:t>≥72人</w:t>
            </w:r>
          </w:p>
        </w:tc>
        <w:tc>
          <w:tcPr>
            <w:tcW w:w="1276" w:type="dxa"/>
            <w:vAlign w:val="center"/>
          </w:tcPr>
          <w:p>
            <w:pPr>
              <w:pStyle w:val="16"/>
            </w:pPr>
            <w:r>
              <w:t>根据实际人数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工资标准</w:t>
            </w:r>
          </w:p>
        </w:tc>
        <w:tc>
          <w:tcPr>
            <w:tcW w:w="5386" w:type="dxa"/>
            <w:vAlign w:val="center"/>
          </w:tcPr>
          <w:p>
            <w:pPr>
              <w:pStyle w:val="16"/>
            </w:pPr>
            <w:r>
              <w:t>工资标准比例测算</w:t>
            </w:r>
          </w:p>
        </w:tc>
        <w:tc>
          <w:tcPr>
            <w:tcW w:w="2268" w:type="dxa"/>
            <w:vAlign w:val="center"/>
          </w:tcPr>
          <w:p>
            <w:pPr>
              <w:pStyle w:val="16"/>
            </w:pPr>
            <w:r>
              <w:t>工资标准比例测算</w:t>
            </w:r>
          </w:p>
        </w:tc>
        <w:tc>
          <w:tcPr>
            <w:tcW w:w="1276" w:type="dxa"/>
            <w:vAlign w:val="center"/>
          </w:tcPr>
          <w:p>
            <w:pPr>
              <w:pStyle w:val="16"/>
            </w:pPr>
            <w:r>
              <w:t>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项目成本</w:t>
            </w:r>
          </w:p>
        </w:tc>
        <w:tc>
          <w:tcPr>
            <w:tcW w:w="5386" w:type="dxa"/>
            <w:vAlign w:val="center"/>
          </w:tcPr>
          <w:p>
            <w:pPr>
              <w:pStyle w:val="16"/>
            </w:pPr>
            <w:r>
              <w:t>项目成本</w:t>
            </w:r>
          </w:p>
        </w:tc>
        <w:tc>
          <w:tcPr>
            <w:tcW w:w="2268" w:type="dxa"/>
            <w:vAlign w:val="center"/>
          </w:tcPr>
          <w:p>
            <w:pPr>
              <w:pStyle w:val="16"/>
            </w:pPr>
            <w:r>
              <w:t>≤9.22万元</w:t>
            </w:r>
          </w:p>
        </w:tc>
        <w:tc>
          <w:tcPr>
            <w:tcW w:w="1276" w:type="dxa"/>
            <w:vAlign w:val="center"/>
          </w:tcPr>
          <w:p>
            <w:pPr>
              <w:pStyle w:val="16"/>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支持残疾人就业与生活保障</w:t>
            </w:r>
          </w:p>
        </w:tc>
        <w:tc>
          <w:tcPr>
            <w:tcW w:w="5386" w:type="dxa"/>
            <w:vAlign w:val="center"/>
          </w:tcPr>
          <w:p>
            <w:pPr>
              <w:pStyle w:val="16"/>
            </w:pPr>
            <w:r>
              <w:t>支持残疾人就业与生活保障</w:t>
            </w:r>
          </w:p>
        </w:tc>
        <w:tc>
          <w:tcPr>
            <w:tcW w:w="2268" w:type="dxa"/>
            <w:vAlign w:val="center"/>
          </w:tcPr>
          <w:p>
            <w:pPr>
              <w:pStyle w:val="16"/>
            </w:pPr>
            <w:r>
              <w:t>支持残疾人就业与生活保障</w:t>
            </w:r>
          </w:p>
        </w:tc>
        <w:tc>
          <w:tcPr>
            <w:tcW w:w="1276" w:type="dxa"/>
            <w:vAlign w:val="center"/>
          </w:tcPr>
          <w:p>
            <w:pPr>
              <w:pStyle w:val="16"/>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w:t>
            </w:r>
          </w:p>
        </w:tc>
        <w:tc>
          <w:tcPr>
            <w:tcW w:w="5386" w:type="dxa"/>
            <w:vAlign w:val="center"/>
          </w:tcPr>
          <w:p>
            <w:pPr>
              <w:pStyle w:val="16"/>
            </w:pPr>
            <w:r>
              <w:t>服务对象满意</w:t>
            </w:r>
          </w:p>
        </w:tc>
        <w:tc>
          <w:tcPr>
            <w:tcW w:w="2268" w:type="dxa"/>
            <w:vAlign w:val="center"/>
          </w:tcPr>
          <w:p>
            <w:pPr>
              <w:pStyle w:val="16"/>
            </w:pPr>
            <w:r>
              <w:t>≥95百分率</w:t>
            </w:r>
          </w:p>
        </w:tc>
        <w:tc>
          <w:tcPr>
            <w:tcW w:w="1276" w:type="dxa"/>
            <w:vAlign w:val="center"/>
          </w:tcPr>
          <w:p>
            <w:pPr>
              <w:pStyle w:val="16"/>
            </w:pPr>
            <w:r>
              <w:t>无</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6、业务咨询委托费绩效目标表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13011126P00000410997L</w:t>
            </w:r>
          </w:p>
        </w:tc>
        <w:tc>
          <w:tcPr>
            <w:tcW w:w="2835" w:type="dxa"/>
            <w:vAlign w:val="center"/>
          </w:tcPr>
          <w:p>
            <w:pPr>
              <w:pStyle w:val="14"/>
            </w:pPr>
            <w:r>
              <w:t>项目名称</w:t>
            </w:r>
          </w:p>
        </w:tc>
        <w:tc>
          <w:tcPr>
            <w:tcW w:w="6095" w:type="dxa"/>
            <w:gridSpan w:val="3"/>
            <w:vAlign w:val="center"/>
          </w:tcPr>
          <w:p>
            <w:pPr>
              <w:pStyle w:val="16"/>
            </w:pPr>
            <w:r>
              <w:t>业务咨询委托费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160.00</w:t>
            </w:r>
          </w:p>
        </w:tc>
        <w:tc>
          <w:tcPr>
            <w:tcW w:w="2835" w:type="dxa"/>
            <w:vAlign w:val="center"/>
          </w:tcPr>
          <w:p>
            <w:pPr>
              <w:pStyle w:val="14"/>
            </w:pPr>
            <w:r>
              <w:t>其中：财政    资金</w:t>
            </w:r>
          </w:p>
        </w:tc>
        <w:tc>
          <w:tcPr>
            <w:tcW w:w="2551" w:type="dxa"/>
            <w:vAlign w:val="center"/>
          </w:tcPr>
          <w:p>
            <w:pPr>
              <w:pStyle w:val="16"/>
            </w:pPr>
            <w:r>
              <w:t>160.00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1、为环境管理科学决策服务，提高审批效率；2、开展对投资项目进行可研、初设、社会稳定风险等咨询评审，加强投资决策的科学性合规性。3、保证社会组织变更、注销等事项依法依规进行，维护社会组织健康有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40.00</w:t>
            </w:r>
          </w:p>
        </w:tc>
        <w:tc>
          <w:tcPr>
            <w:tcW w:w="2835" w:type="dxa"/>
            <w:vAlign w:val="center"/>
          </w:tcPr>
          <w:p>
            <w:pPr>
              <w:pStyle w:val="17"/>
            </w:pPr>
            <w:r>
              <w:t>80.00</w:t>
            </w:r>
          </w:p>
        </w:tc>
        <w:tc>
          <w:tcPr>
            <w:tcW w:w="2551" w:type="dxa"/>
            <w:vAlign w:val="center"/>
          </w:tcPr>
          <w:p>
            <w:pPr>
              <w:pStyle w:val="17"/>
            </w:pPr>
            <w:r>
              <w:t>120.00</w:t>
            </w:r>
          </w:p>
        </w:tc>
        <w:tc>
          <w:tcPr>
            <w:tcW w:w="3544" w:type="dxa"/>
            <w:gridSpan w:val="2"/>
            <w:vAlign w:val="center"/>
          </w:tcPr>
          <w:p>
            <w:pPr>
              <w:pStyle w:val="17"/>
            </w:pPr>
            <w:r>
              <w:t>160.00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1.1、为环境管理科学决策服务，提高审批效率；2、开展对投资项目进行可研、初设、社会稳定风险等咨询评审，加强投资决策的科学性合规性。3、保证社会组织变更、注销等事项依法依规进行，维护社会组织健康有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技术评估数量</w:t>
            </w:r>
          </w:p>
        </w:tc>
        <w:tc>
          <w:tcPr>
            <w:tcW w:w="5386" w:type="dxa"/>
            <w:vAlign w:val="center"/>
          </w:tcPr>
          <w:p>
            <w:pPr>
              <w:pStyle w:val="16"/>
            </w:pPr>
            <w:r>
              <w:t>开展技术评估数量</w:t>
            </w:r>
          </w:p>
        </w:tc>
        <w:tc>
          <w:tcPr>
            <w:tcW w:w="2268" w:type="dxa"/>
            <w:vAlign w:val="center"/>
          </w:tcPr>
          <w:p>
            <w:pPr>
              <w:pStyle w:val="16"/>
            </w:pPr>
            <w:r>
              <w:t>&gt;80项</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评估报告参考度</w:t>
            </w:r>
          </w:p>
        </w:tc>
        <w:tc>
          <w:tcPr>
            <w:tcW w:w="5386" w:type="dxa"/>
            <w:vAlign w:val="center"/>
          </w:tcPr>
          <w:p>
            <w:pPr>
              <w:pStyle w:val="16"/>
            </w:pPr>
            <w:r>
              <w:t>评估报告参考度</w:t>
            </w:r>
          </w:p>
        </w:tc>
        <w:tc>
          <w:tcPr>
            <w:tcW w:w="2268" w:type="dxa"/>
            <w:vAlign w:val="center"/>
          </w:tcPr>
          <w:p>
            <w:pPr>
              <w:pStyle w:val="16"/>
            </w:pPr>
            <w:r>
              <w:t>参考高度</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资金支付及时性</w:t>
            </w:r>
          </w:p>
        </w:tc>
        <w:tc>
          <w:tcPr>
            <w:tcW w:w="5386" w:type="dxa"/>
            <w:vAlign w:val="center"/>
          </w:tcPr>
          <w:p>
            <w:pPr>
              <w:pStyle w:val="16"/>
            </w:pPr>
            <w:r>
              <w:t>资金支付及时性</w:t>
            </w:r>
          </w:p>
        </w:tc>
        <w:tc>
          <w:tcPr>
            <w:tcW w:w="2268" w:type="dxa"/>
            <w:vAlign w:val="center"/>
          </w:tcPr>
          <w:p>
            <w:pPr>
              <w:pStyle w:val="16"/>
            </w:pPr>
            <w:r>
              <w:t>及时支付</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不超预算</w:t>
            </w:r>
          </w:p>
        </w:tc>
        <w:tc>
          <w:tcPr>
            <w:tcW w:w="2268" w:type="dxa"/>
            <w:vAlign w:val="center"/>
          </w:tcPr>
          <w:p>
            <w:pPr>
              <w:pStyle w:val="16"/>
            </w:pPr>
            <w:r>
              <w:t>≤160万元</w:t>
            </w:r>
          </w:p>
        </w:tc>
        <w:tc>
          <w:tcPr>
            <w:tcW w:w="1276" w:type="dxa"/>
            <w:vAlign w:val="center"/>
          </w:tcPr>
          <w:p>
            <w:pPr>
              <w:pStyle w:val="16"/>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保障工作正常开展</w:t>
            </w:r>
          </w:p>
        </w:tc>
        <w:tc>
          <w:tcPr>
            <w:tcW w:w="5386" w:type="dxa"/>
            <w:vAlign w:val="center"/>
          </w:tcPr>
          <w:p>
            <w:pPr>
              <w:pStyle w:val="16"/>
            </w:pPr>
            <w:r>
              <w:t>保障工作正常开展</w:t>
            </w:r>
          </w:p>
        </w:tc>
        <w:tc>
          <w:tcPr>
            <w:tcW w:w="2268" w:type="dxa"/>
            <w:vAlign w:val="center"/>
          </w:tcPr>
          <w:p>
            <w:pPr>
              <w:pStyle w:val="16"/>
            </w:pPr>
            <w:r>
              <w:t>工作正常开展</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单位员工满意度</w:t>
            </w:r>
          </w:p>
        </w:tc>
        <w:tc>
          <w:tcPr>
            <w:tcW w:w="5386" w:type="dxa"/>
            <w:vAlign w:val="center"/>
          </w:tcPr>
          <w:p>
            <w:pPr>
              <w:pStyle w:val="16"/>
            </w:pPr>
            <w:r>
              <w:t>单位员工满意度</w:t>
            </w:r>
          </w:p>
        </w:tc>
        <w:tc>
          <w:tcPr>
            <w:tcW w:w="2268" w:type="dxa"/>
            <w:vAlign w:val="center"/>
          </w:tcPr>
          <w:p>
            <w:pPr>
              <w:pStyle w:val="16"/>
            </w:pPr>
            <w:r>
              <w:t>≥90百分率</w:t>
            </w:r>
          </w:p>
        </w:tc>
        <w:tc>
          <w:tcPr>
            <w:tcW w:w="1276" w:type="dxa"/>
            <w:vAlign w:val="center"/>
          </w:tcPr>
          <w:p>
            <w:pPr>
              <w:pStyle w:val="16"/>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7、栾城区数据和政务服务局房屋租赁项目绩效目标表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13011126P00000410382Y</w:t>
            </w:r>
          </w:p>
        </w:tc>
        <w:tc>
          <w:tcPr>
            <w:tcW w:w="2835" w:type="dxa"/>
            <w:vAlign w:val="center"/>
          </w:tcPr>
          <w:p>
            <w:pPr>
              <w:pStyle w:val="14"/>
            </w:pPr>
            <w:r>
              <w:t>项目名称</w:t>
            </w:r>
          </w:p>
        </w:tc>
        <w:tc>
          <w:tcPr>
            <w:tcW w:w="6095" w:type="dxa"/>
            <w:gridSpan w:val="3"/>
            <w:vAlign w:val="center"/>
          </w:tcPr>
          <w:p>
            <w:pPr>
              <w:pStyle w:val="16"/>
            </w:pPr>
            <w:r>
              <w:t>栾城区数据和政务服务局房屋租赁项目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173.55</w:t>
            </w:r>
          </w:p>
        </w:tc>
        <w:tc>
          <w:tcPr>
            <w:tcW w:w="2835" w:type="dxa"/>
            <w:vAlign w:val="center"/>
          </w:tcPr>
          <w:p>
            <w:pPr>
              <w:pStyle w:val="14"/>
            </w:pPr>
            <w:r>
              <w:t>其中：财政    资金</w:t>
            </w:r>
          </w:p>
        </w:tc>
        <w:tc>
          <w:tcPr>
            <w:tcW w:w="2551" w:type="dxa"/>
            <w:vAlign w:val="center"/>
          </w:tcPr>
          <w:p>
            <w:pPr>
              <w:pStyle w:val="16"/>
            </w:pPr>
            <w:r>
              <w:t>173.55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及时支付租赁办公场所的租赁费，满足日常办公的需要，保障日常办公的正常需求，确保各个办公区域正常运行。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43.39</w:t>
            </w:r>
          </w:p>
        </w:tc>
        <w:tc>
          <w:tcPr>
            <w:tcW w:w="2835" w:type="dxa"/>
            <w:vAlign w:val="center"/>
          </w:tcPr>
          <w:p>
            <w:pPr>
              <w:pStyle w:val="17"/>
            </w:pPr>
            <w:r>
              <w:t>86.77</w:t>
            </w:r>
          </w:p>
        </w:tc>
        <w:tc>
          <w:tcPr>
            <w:tcW w:w="2551" w:type="dxa"/>
            <w:vAlign w:val="center"/>
          </w:tcPr>
          <w:p>
            <w:pPr>
              <w:pStyle w:val="17"/>
            </w:pPr>
            <w:r>
              <w:t>130.16</w:t>
            </w:r>
          </w:p>
        </w:tc>
        <w:tc>
          <w:tcPr>
            <w:tcW w:w="3544" w:type="dxa"/>
            <w:gridSpan w:val="2"/>
            <w:vAlign w:val="center"/>
          </w:tcPr>
          <w:p>
            <w:pPr>
              <w:pStyle w:val="17"/>
            </w:pPr>
            <w:r>
              <w:t>173.55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1.及时支付租赁办公场所的租赁费，满足日常办公的需要，保障日常办公的正常需求，确保各个办公区域正常运行。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租赁房屋面积</w:t>
            </w:r>
          </w:p>
        </w:tc>
        <w:tc>
          <w:tcPr>
            <w:tcW w:w="5386" w:type="dxa"/>
            <w:vAlign w:val="center"/>
          </w:tcPr>
          <w:p>
            <w:pPr>
              <w:pStyle w:val="16"/>
            </w:pPr>
            <w:r>
              <w:t>贺邦大厦3629平方米</w:t>
            </w:r>
          </w:p>
        </w:tc>
        <w:tc>
          <w:tcPr>
            <w:tcW w:w="2268" w:type="dxa"/>
            <w:vAlign w:val="center"/>
          </w:tcPr>
          <w:p>
            <w:pPr>
              <w:pStyle w:val="16"/>
            </w:pPr>
            <w:r>
              <w:t>≥3629平方米</w:t>
            </w:r>
          </w:p>
        </w:tc>
        <w:tc>
          <w:tcPr>
            <w:tcW w:w="1276" w:type="dxa"/>
            <w:vAlign w:val="center"/>
          </w:tcPr>
          <w:p>
            <w:pPr>
              <w:pStyle w:val="16"/>
            </w:pPr>
            <w:r>
              <w:t>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办公用房正常运转率</w:t>
            </w:r>
          </w:p>
        </w:tc>
        <w:tc>
          <w:tcPr>
            <w:tcW w:w="5386" w:type="dxa"/>
            <w:vAlign w:val="center"/>
          </w:tcPr>
          <w:p>
            <w:pPr>
              <w:pStyle w:val="16"/>
            </w:pPr>
            <w:r>
              <w:t>办公用房正常运转率</w:t>
            </w:r>
          </w:p>
        </w:tc>
        <w:tc>
          <w:tcPr>
            <w:tcW w:w="2268" w:type="dxa"/>
            <w:vAlign w:val="center"/>
          </w:tcPr>
          <w:p>
            <w:pPr>
              <w:pStyle w:val="16"/>
            </w:pPr>
            <w:r>
              <w:t>≥99百分率</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租赁支付及时性</w:t>
            </w:r>
          </w:p>
        </w:tc>
        <w:tc>
          <w:tcPr>
            <w:tcW w:w="5386" w:type="dxa"/>
            <w:vAlign w:val="center"/>
          </w:tcPr>
          <w:p>
            <w:pPr>
              <w:pStyle w:val="16"/>
            </w:pPr>
            <w:r>
              <w:t>及时支付租金</w:t>
            </w:r>
          </w:p>
        </w:tc>
        <w:tc>
          <w:tcPr>
            <w:tcW w:w="2268" w:type="dxa"/>
            <w:vAlign w:val="center"/>
          </w:tcPr>
          <w:p>
            <w:pPr>
              <w:pStyle w:val="16"/>
            </w:pPr>
            <w:r>
              <w:t>≥95百分率</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租赁成本</w:t>
            </w:r>
          </w:p>
        </w:tc>
        <w:tc>
          <w:tcPr>
            <w:tcW w:w="5386" w:type="dxa"/>
            <w:vAlign w:val="center"/>
          </w:tcPr>
          <w:p>
            <w:pPr>
              <w:pStyle w:val="16"/>
            </w:pPr>
            <w:r>
              <w:t>控制预算数</w:t>
            </w:r>
          </w:p>
        </w:tc>
        <w:tc>
          <w:tcPr>
            <w:tcW w:w="2268" w:type="dxa"/>
            <w:vAlign w:val="center"/>
          </w:tcPr>
          <w:p>
            <w:pPr>
              <w:pStyle w:val="16"/>
            </w:pPr>
            <w:r>
              <w:t>≤173.5</w:t>
            </w:r>
            <w:r>
              <w:rPr>
                <w:rFonts w:hint="eastAsia"/>
                <w:lang w:val="en-US" w:eastAsia="zh-CN"/>
              </w:rPr>
              <w:t>5</w:t>
            </w:r>
            <w:r>
              <w:t>万元</w:t>
            </w:r>
          </w:p>
        </w:tc>
        <w:tc>
          <w:tcPr>
            <w:tcW w:w="1276" w:type="dxa"/>
            <w:vAlign w:val="center"/>
          </w:tcPr>
          <w:p>
            <w:pPr>
              <w:pStyle w:val="16"/>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提升服务能力</w:t>
            </w:r>
          </w:p>
        </w:tc>
        <w:tc>
          <w:tcPr>
            <w:tcW w:w="5386" w:type="dxa"/>
            <w:vAlign w:val="center"/>
          </w:tcPr>
          <w:p>
            <w:pPr>
              <w:pStyle w:val="16"/>
            </w:pPr>
            <w:r>
              <w:t>进一步提升服务</w:t>
            </w:r>
          </w:p>
        </w:tc>
        <w:tc>
          <w:tcPr>
            <w:tcW w:w="2268" w:type="dxa"/>
            <w:vAlign w:val="center"/>
          </w:tcPr>
          <w:p>
            <w:pPr>
              <w:pStyle w:val="16"/>
            </w:pPr>
            <w:r>
              <w:t>提升服务能力</w:t>
            </w:r>
          </w:p>
        </w:tc>
        <w:tc>
          <w:tcPr>
            <w:tcW w:w="1276" w:type="dxa"/>
            <w:vAlign w:val="center"/>
          </w:tcPr>
          <w:p>
            <w:pPr>
              <w:pStyle w:val="16"/>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&lt;2次</w:t>
            </w:r>
          </w:p>
        </w:tc>
        <w:tc>
          <w:tcPr>
            <w:tcW w:w="1276" w:type="dxa"/>
            <w:vAlign w:val="center"/>
          </w:tcPr>
          <w:p>
            <w:pPr>
              <w:pStyle w:val="16"/>
            </w:pPr>
            <w:r>
              <w:t>无</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305石家庄市栾城区数据和政务服务局</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rPr>
                <w:rFonts w:hint="eastAsia"/>
                <w:lang w:val="en-US" w:eastAsia="zh-CN"/>
              </w:rPr>
              <w:t>16</w:t>
            </w:r>
            <w:r>
              <w:t>1.57</w:t>
            </w:r>
          </w:p>
        </w:tc>
        <w:tc>
          <w:tcPr>
            <w:tcW w:w="964" w:type="dxa"/>
            <w:vAlign w:val="center"/>
          </w:tcPr>
          <w:p>
            <w:pPr>
              <w:pStyle w:val="19"/>
            </w:pPr>
            <w:r>
              <w:rPr>
                <w:rFonts w:hint="eastAsia"/>
                <w:lang w:val="en-US" w:eastAsia="zh-CN"/>
              </w:rPr>
              <w:t>16</w:t>
            </w:r>
            <w:r>
              <w:t>1.57</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rPr>
                <w:rFonts w:hint="eastAsia"/>
                <w:lang w:val="en-US" w:eastAsia="zh-CN"/>
              </w:rPr>
              <w:t>161</w:t>
            </w:r>
            <w:r>
              <w:t>.57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8"/>
            </w:pPr>
            <w:r>
              <w:t>石家庄市栾城区数据和政务服务局本级小计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rPr>
                <w:rFonts w:hint="eastAsia"/>
                <w:lang w:val="en-US" w:eastAsia="zh-CN"/>
              </w:rPr>
              <w:t>16</w:t>
            </w:r>
            <w:r>
              <w:t>1.57</w:t>
            </w:r>
          </w:p>
        </w:tc>
        <w:tc>
          <w:tcPr>
            <w:tcW w:w="964" w:type="dxa"/>
            <w:vAlign w:val="center"/>
          </w:tcPr>
          <w:p>
            <w:pPr>
              <w:pStyle w:val="19"/>
            </w:pPr>
            <w:r>
              <w:rPr>
                <w:rFonts w:hint="eastAsia"/>
                <w:lang w:val="en-US" w:eastAsia="zh-CN"/>
              </w:rPr>
              <w:t>16</w:t>
            </w:r>
            <w:r>
              <w:t>1.57</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jc w:val="center"/>
            </w:pPr>
            <w:r>
              <w:rPr>
                <w:rFonts w:hint="eastAsia"/>
                <w:lang w:val="en-US" w:eastAsia="zh-CN"/>
              </w:rPr>
              <w:t>16</w:t>
            </w:r>
            <w:r>
              <w:t>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jc w:val="center"/>
            </w:pPr>
            <w:r>
              <w:t>14.25</w:t>
            </w:r>
          </w:p>
        </w:tc>
        <w:tc>
          <w:tcPr>
            <w:tcW w:w="1134" w:type="dxa"/>
            <w:vAlign w:val="center"/>
          </w:tcPr>
          <w:p>
            <w:pPr>
              <w:pStyle w:val="16"/>
              <w:jc w:val="center"/>
            </w:pPr>
            <w:r>
              <w:t>其他办公设备</w:t>
            </w:r>
          </w:p>
        </w:tc>
        <w:tc>
          <w:tcPr>
            <w:tcW w:w="1134" w:type="dxa"/>
            <w:vAlign w:val="center"/>
          </w:tcPr>
          <w:p>
            <w:pPr>
              <w:pStyle w:val="16"/>
              <w:jc w:val="center"/>
            </w:pPr>
            <w:r>
              <w:t>A02029900</w:t>
            </w:r>
          </w:p>
        </w:tc>
        <w:tc>
          <w:tcPr>
            <w:tcW w:w="709" w:type="dxa"/>
            <w:vAlign w:val="center"/>
          </w:tcPr>
          <w:p>
            <w:pPr>
              <w:pStyle w:val="17"/>
              <w:jc w:val="center"/>
            </w:pPr>
            <w:r>
              <w:t>台</w:t>
            </w:r>
          </w:p>
        </w:tc>
        <w:tc>
          <w:tcPr>
            <w:tcW w:w="850" w:type="dxa"/>
            <w:vAlign w:val="center"/>
          </w:tcPr>
          <w:p>
            <w:pPr>
              <w:pStyle w:val="15"/>
              <w:jc w:val="center"/>
            </w:pPr>
            <w:r>
              <w:t>1</w:t>
            </w:r>
          </w:p>
        </w:tc>
        <w:tc>
          <w:tcPr>
            <w:tcW w:w="850" w:type="dxa"/>
            <w:vAlign w:val="center"/>
          </w:tcPr>
          <w:p>
            <w:pPr>
              <w:pStyle w:val="15"/>
              <w:jc w:val="center"/>
            </w:pPr>
            <w:r>
              <w:t>0.47</w:t>
            </w:r>
          </w:p>
        </w:tc>
        <w:tc>
          <w:tcPr>
            <w:tcW w:w="964" w:type="dxa"/>
            <w:vAlign w:val="center"/>
          </w:tcPr>
          <w:p>
            <w:pPr>
              <w:pStyle w:val="15"/>
              <w:jc w:val="center"/>
            </w:pPr>
            <w:r>
              <w:t>0.47</w:t>
            </w:r>
          </w:p>
        </w:tc>
        <w:tc>
          <w:tcPr>
            <w:tcW w:w="964" w:type="dxa"/>
            <w:vAlign w:val="center"/>
          </w:tcPr>
          <w:p>
            <w:pPr>
              <w:pStyle w:val="15"/>
              <w:jc w:val="center"/>
            </w:pPr>
            <w:r>
              <w:t>0.47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jc w:val="center"/>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jc w:val="center"/>
            </w:pPr>
            <w:r>
              <w:t>14.25</w:t>
            </w:r>
          </w:p>
        </w:tc>
        <w:tc>
          <w:tcPr>
            <w:tcW w:w="1134" w:type="dxa"/>
            <w:vAlign w:val="center"/>
          </w:tcPr>
          <w:p>
            <w:pPr>
              <w:pStyle w:val="16"/>
              <w:jc w:val="center"/>
            </w:pPr>
            <w:r>
              <w:t>复印纸</w:t>
            </w:r>
          </w:p>
        </w:tc>
        <w:tc>
          <w:tcPr>
            <w:tcW w:w="1134" w:type="dxa"/>
            <w:vAlign w:val="center"/>
          </w:tcPr>
          <w:p>
            <w:pPr>
              <w:pStyle w:val="16"/>
              <w:jc w:val="center"/>
            </w:pPr>
            <w:r>
              <w:t>A05040101</w:t>
            </w:r>
          </w:p>
        </w:tc>
        <w:tc>
          <w:tcPr>
            <w:tcW w:w="709" w:type="dxa"/>
            <w:vAlign w:val="center"/>
          </w:tcPr>
          <w:p>
            <w:pPr>
              <w:pStyle w:val="17"/>
              <w:jc w:val="center"/>
            </w:pPr>
            <w:r>
              <w:t>批</w:t>
            </w:r>
          </w:p>
        </w:tc>
        <w:tc>
          <w:tcPr>
            <w:tcW w:w="850" w:type="dxa"/>
            <w:vAlign w:val="center"/>
          </w:tcPr>
          <w:p>
            <w:pPr>
              <w:pStyle w:val="15"/>
              <w:jc w:val="center"/>
            </w:pPr>
            <w:r>
              <w:t>1</w:t>
            </w:r>
          </w:p>
        </w:tc>
        <w:tc>
          <w:tcPr>
            <w:tcW w:w="850" w:type="dxa"/>
            <w:vAlign w:val="center"/>
          </w:tcPr>
          <w:p>
            <w:pPr>
              <w:pStyle w:val="15"/>
              <w:jc w:val="center"/>
            </w:pPr>
            <w:r>
              <w:t>1.10</w:t>
            </w:r>
          </w:p>
        </w:tc>
        <w:tc>
          <w:tcPr>
            <w:tcW w:w="964" w:type="dxa"/>
            <w:vAlign w:val="center"/>
          </w:tcPr>
          <w:p>
            <w:pPr>
              <w:pStyle w:val="15"/>
              <w:jc w:val="center"/>
            </w:pPr>
            <w:r>
              <w:t>1.10</w:t>
            </w:r>
          </w:p>
        </w:tc>
        <w:tc>
          <w:tcPr>
            <w:tcW w:w="964" w:type="dxa"/>
            <w:vAlign w:val="center"/>
          </w:tcPr>
          <w:p>
            <w:pPr>
              <w:pStyle w:val="15"/>
              <w:jc w:val="center"/>
            </w:pPr>
            <w:r>
              <w:t>1.10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jc w:val="center"/>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业务咨询委托费</w:t>
            </w:r>
          </w:p>
        </w:tc>
        <w:tc>
          <w:tcPr>
            <w:tcW w:w="964" w:type="dxa"/>
            <w:vAlign w:val="center"/>
          </w:tcPr>
          <w:p>
            <w:pPr>
              <w:pStyle w:val="15"/>
              <w:jc w:val="center"/>
              <w:rPr>
                <w:rFonts w:hint="default" w:eastAsia="方正书宋_GBK"/>
                <w:lang w:val="en-US" w:eastAsia="zh-CN"/>
              </w:rPr>
            </w:pPr>
            <w:r>
              <w:rPr>
                <w:rFonts w:hint="eastAsia"/>
                <w:lang w:val="en-US" w:eastAsia="zh-CN"/>
              </w:rPr>
              <w:t>160</w:t>
            </w:r>
          </w:p>
        </w:tc>
        <w:tc>
          <w:tcPr>
            <w:tcW w:w="1134" w:type="dxa"/>
            <w:shd w:val="clear" w:color="auto" w:fill="auto"/>
            <w:vAlign w:val="center"/>
          </w:tcPr>
          <w:p>
            <w:pPr>
              <w:pStyle w:val="16"/>
              <w:jc w:val="center"/>
              <w:rPr>
                <w:lang w:val="en-US" w:eastAsia="uk-UA"/>
              </w:rPr>
            </w:pPr>
            <w:r>
              <w:rPr>
                <w:rFonts w:hint="eastAsia"/>
              </w:rPr>
              <w:t>业务咨询委托费</w:t>
            </w:r>
          </w:p>
        </w:tc>
        <w:tc>
          <w:tcPr>
            <w:tcW w:w="1134" w:type="dxa"/>
            <w:shd w:val="clear" w:color="auto" w:fill="auto"/>
            <w:vAlign w:val="center"/>
          </w:tcPr>
          <w:p>
            <w:pPr>
              <w:pStyle w:val="16"/>
              <w:jc w:val="center"/>
              <w:rPr>
                <w:lang w:val="en-US" w:eastAsia="zh-CN"/>
              </w:rPr>
            </w:pPr>
            <w:r>
              <w:rPr>
                <w:rFonts w:hint="eastAsia"/>
                <w:lang w:eastAsia="zh-CN"/>
              </w:rPr>
              <w:t>C09</w:t>
            </w:r>
          </w:p>
        </w:tc>
        <w:tc>
          <w:tcPr>
            <w:tcW w:w="709" w:type="dxa"/>
            <w:shd w:val="clear" w:color="auto" w:fill="auto"/>
            <w:vAlign w:val="center"/>
          </w:tcPr>
          <w:p>
            <w:pPr>
              <w:pStyle w:val="16"/>
              <w:jc w:val="center"/>
              <w:rPr>
                <w:lang w:val="en-US" w:eastAsia="zh-CN"/>
              </w:rPr>
            </w:pPr>
            <w:r>
              <w:rPr>
                <w:rFonts w:hint="eastAsia"/>
                <w:lang w:eastAsia="zh-CN"/>
              </w:rPr>
              <w:t>批</w:t>
            </w:r>
          </w:p>
        </w:tc>
        <w:tc>
          <w:tcPr>
            <w:tcW w:w="850" w:type="dxa"/>
            <w:shd w:val="clear" w:color="auto" w:fill="auto"/>
            <w:vAlign w:val="center"/>
          </w:tcPr>
          <w:p>
            <w:pPr>
              <w:pStyle w:val="15"/>
              <w:ind w:firstLine="0" w:firstLineChars="0"/>
              <w:jc w:val="center"/>
              <w:rPr>
                <w:rFonts w:cs="方正书宋_GBK" w:asciiTheme="minorEastAsia" w:hAnsiTheme="minorEastAsia" w:eastAsiaTheme="minorEastAsia"/>
                <w:sz w:val="21"/>
                <w:szCs w:val="24"/>
                <w:lang w:val="en-US" w:eastAsia="zh-CN" w:bidi="ar-SA"/>
              </w:rPr>
            </w:pPr>
            <w:r>
              <w:rPr>
                <w:rFonts w:hint="eastAsia" w:asciiTheme="minorEastAsia" w:hAnsiTheme="minorEastAsia" w:eastAsiaTheme="minorEastAsia"/>
                <w:lang w:eastAsia="zh-CN"/>
              </w:rPr>
              <w:t>1</w:t>
            </w:r>
          </w:p>
        </w:tc>
        <w:tc>
          <w:tcPr>
            <w:tcW w:w="850" w:type="dxa"/>
            <w:vAlign w:val="center"/>
          </w:tcPr>
          <w:p>
            <w:pPr>
              <w:pStyle w:val="15"/>
              <w:jc w:val="center"/>
              <w:rPr>
                <w:rFonts w:hint="default" w:eastAsia="方正书宋_GBK"/>
                <w:lang w:val="en-US" w:eastAsia="zh-CN"/>
              </w:rPr>
            </w:pPr>
            <w:r>
              <w:rPr>
                <w:rFonts w:hint="eastAsia"/>
                <w:lang w:val="en-US" w:eastAsia="zh-CN"/>
              </w:rPr>
              <w:t>160</w:t>
            </w:r>
          </w:p>
        </w:tc>
        <w:tc>
          <w:tcPr>
            <w:tcW w:w="964" w:type="dxa"/>
            <w:vAlign w:val="center"/>
          </w:tcPr>
          <w:p>
            <w:pPr>
              <w:pStyle w:val="15"/>
              <w:jc w:val="center"/>
              <w:rPr>
                <w:rFonts w:hint="default" w:eastAsia="方正书宋_GBK"/>
                <w:lang w:val="en-US" w:eastAsia="zh-CN"/>
              </w:rPr>
            </w:pPr>
            <w:r>
              <w:rPr>
                <w:rFonts w:hint="eastAsia"/>
                <w:lang w:val="en-US" w:eastAsia="zh-CN"/>
              </w:rPr>
              <w:t>160</w:t>
            </w:r>
          </w:p>
        </w:tc>
        <w:tc>
          <w:tcPr>
            <w:tcW w:w="964" w:type="dxa"/>
            <w:vAlign w:val="center"/>
          </w:tcPr>
          <w:p>
            <w:pPr>
              <w:pStyle w:val="15"/>
              <w:jc w:val="center"/>
              <w:rPr>
                <w:rFonts w:hint="default" w:eastAsia="方正书宋_GBK"/>
                <w:lang w:val="en-US" w:eastAsia="zh-CN"/>
              </w:rPr>
            </w:pPr>
            <w:r>
              <w:rPr>
                <w:rFonts w:hint="eastAsia"/>
                <w:lang w:val="en-US" w:eastAsia="zh-CN"/>
              </w:rPr>
              <w:t>160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jc w:val="center"/>
              <w:rPr>
                <w:rFonts w:hint="default"/>
                <w:lang w:val="en-US" w:eastAsia="zh-CN"/>
              </w:rPr>
            </w:pPr>
            <w:r>
              <w:rPr>
                <w:rFonts w:hint="eastAsia"/>
                <w:lang w:val="en-US" w:eastAsia="zh-CN"/>
              </w:rPr>
              <w:t>160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石家庄市栾城区数据和政务服务局（含所属单位）上年末固定资产金额为259.76万元（详见下表）。本年度拟购置固定资产总额为</w:t>
      </w:r>
      <w:r>
        <w:rPr>
          <w:rFonts w:hint="eastAsia" w:eastAsia="方正仿宋_GBK" w:cs="Times New Roman"/>
          <w:b w:val="0"/>
          <w:color w:val="000000"/>
          <w:sz w:val="28"/>
          <w:lang w:val="en-US" w:eastAsia="zh-CN"/>
        </w:rPr>
        <w:t>0.47</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305石家庄市栾城区数据和政务服务局</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rPr>
                <w:rFonts w:hint="default" w:eastAsia="方正书宋_GBK"/>
                <w:lang w:val="en-US" w:eastAsia="zh-CN"/>
              </w:rPr>
            </w:pPr>
            <w:r>
              <w:rPr>
                <w:rFonts w:hint="eastAsia"/>
                <w:lang w:val="en-US" w:eastAsia="zh-CN"/>
              </w:rPr>
              <w:t>625</w:t>
            </w:r>
          </w:p>
        </w:tc>
        <w:tc>
          <w:tcPr>
            <w:tcW w:w="2835" w:type="dxa"/>
            <w:vAlign w:val="center"/>
          </w:tcPr>
          <w:p>
            <w:pPr>
              <w:pStyle w:val="15"/>
            </w:pPr>
            <w:r>
              <w:t>259.76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4</w:t>
            </w:r>
          </w:p>
        </w:tc>
        <w:tc>
          <w:tcPr>
            <w:tcW w:w="2835" w:type="dxa"/>
            <w:vAlign w:val="center"/>
          </w:tcPr>
          <w:p>
            <w:pPr>
              <w:pStyle w:val="15"/>
            </w:pPr>
            <w:r>
              <w:t>24.76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rPr>
                <w:rFonts w:hint="eastAsia" w:eastAsia="方正书宋_GBK"/>
                <w:lang w:val="en-US" w:eastAsia="zh-CN"/>
              </w:rPr>
            </w:pPr>
            <w:r>
              <w:rPr>
                <w:rFonts w:hint="eastAsia"/>
                <w:lang w:val="en-US" w:eastAsia="zh-CN"/>
              </w:rPr>
              <w:t>1</w:t>
            </w:r>
          </w:p>
        </w:tc>
        <w:tc>
          <w:tcPr>
            <w:tcW w:w="2835" w:type="dxa"/>
            <w:vAlign w:val="center"/>
          </w:tcPr>
          <w:p>
            <w:pPr>
              <w:pStyle w:val="15"/>
              <w:rPr>
                <w:rFonts w:hint="default" w:eastAsia="方正书宋_GBK"/>
                <w:lang w:val="en-US" w:eastAsia="zh-CN"/>
              </w:rPr>
            </w:pPr>
            <w:r>
              <w:rPr>
                <w:rFonts w:hint="eastAsia"/>
                <w:lang w:val="en-US" w:eastAsia="zh-CN"/>
              </w:rPr>
              <w:t>53.86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rPr>
                <w:rFonts w:hint="default" w:eastAsia="方正书宋_GBK"/>
                <w:lang w:val="en-US" w:eastAsia="zh-CN"/>
              </w:rPr>
            </w:pPr>
            <w:r>
              <w:rPr>
                <w:rFonts w:hint="eastAsia"/>
                <w:lang w:val="en-US" w:eastAsia="zh-CN"/>
              </w:rPr>
              <w:t>620</w:t>
            </w:r>
          </w:p>
        </w:tc>
        <w:tc>
          <w:tcPr>
            <w:tcW w:w="2835" w:type="dxa"/>
            <w:vAlign w:val="center"/>
          </w:tcPr>
          <w:p>
            <w:pPr>
              <w:pStyle w:val="15"/>
              <w:rPr>
                <w:rFonts w:hint="default" w:eastAsia="方正书宋_GBK"/>
                <w:lang w:val="en-US" w:eastAsia="zh-CN"/>
              </w:rPr>
            </w:pPr>
            <w:r>
              <w:rPr>
                <w:rFonts w:hint="eastAsia"/>
                <w:lang w:val="en-US" w:eastAsia="zh-CN"/>
              </w:rPr>
              <w:t>181.14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bookmarkStart w:id="20" w:name="_GoBack"/>
      <w:bookmarkEnd w:id="20"/>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101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101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102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102</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D20B4D"/>
    <w:rsid w:val="040D08F7"/>
    <w:rsid w:val="0A36039E"/>
    <w:rsid w:val="149503B7"/>
    <w:rsid w:val="14E86739"/>
    <w:rsid w:val="15F454DC"/>
    <w:rsid w:val="1DD90342"/>
    <w:rsid w:val="1E454BFC"/>
    <w:rsid w:val="21E97AD4"/>
    <w:rsid w:val="288B15EA"/>
    <w:rsid w:val="2CA927FA"/>
    <w:rsid w:val="31750EFD"/>
    <w:rsid w:val="347D5796"/>
    <w:rsid w:val="375810A4"/>
    <w:rsid w:val="465F41FD"/>
    <w:rsid w:val="4D16313C"/>
    <w:rsid w:val="4F8B6063"/>
    <w:rsid w:val="53FA59B7"/>
    <w:rsid w:val="60AD7EAA"/>
    <w:rsid w:val="6E7D7067"/>
    <w:rsid w:val="6FDD5985"/>
    <w:rsid w:val="71997D14"/>
    <w:rsid w:val="730135D3"/>
    <w:rsid w:val="736F4D2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37</Pages>
  <Words>5409</Words>
  <Characters>6913</Characters>
  <TotalTime>13</TotalTime>
  <ScaleCrop>false</ScaleCrop>
  <LinksUpToDate>false</LinksUpToDate>
  <CharactersWithSpaces>7029</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2026-03-05T16:34:00Z</dcterms:created>
  <dc:creator>Administrator</dc:creator>
  <cp:lastModifiedBy>Administrator</cp:lastModifiedBy>
  <cp:lastPrinted>2026-03-09T02:46:00Z</cp:lastPrinted>
  <dcterms:modified xsi:type="dcterms:W3CDTF">2026-03-10T08:11:51Z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312A801790744937BF0DF4035623F9FC_13</vt:lpwstr>
  </property>
  <property fmtid="{D5CDD505-2E9C-101B-9397-08002B2CF9AE}" pid="4" name="KSOTemplateDocerSaveRecord">
    <vt:lpwstr>eyJoZGlkIjoiY2NjODUwY2I1N2ZkYzIyY2I0MjM0NzlmMmM1ZTE0YTAiLCJ1c2VySWQiOiI0MzU4NjEwMDcifQ==</vt:lpwstr>
  </property>
</Properties>
</file>