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45</w:t>
      </w:r>
      <w:r>
        <w:fldChar w:fldCharType="end"/>
      </w:r>
      <w:r>
        <w:fldChar w:fldCharType="end"/>
      </w:r>
    </w:p>
    <w:p>
      <w:r>
        <w:fldChar w:fldCharType="end"/>
      </w:r>
    </w:p>
    <w:p>
      <w:pPr>
        <w:sectPr>
          <w:pgSz w:w="16840" w:h="11900" w:orient="landscape"/>
          <w:pgMar w:top="1587" w:right="1134" w:bottom="1361" w:left="1134" w:header="720" w:footer="720" w:gutter="0"/>
          <w:pgNumType w:start="1"/>
        </w:sectPr>
      </w:pP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315石家庄市栾城区司法局</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1230.20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r>
              <w:t>1126.55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69.18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1230.20</w:t>
            </w:r>
          </w:p>
        </w:tc>
        <w:tc>
          <w:tcPr>
            <w:tcW w:w="4535" w:type="dxa"/>
            <w:vAlign w:val="center"/>
          </w:tcPr>
          <w:p>
            <w:pPr>
              <w:pStyle w:val="16"/>
            </w:pPr>
            <w:r>
              <w:t>本年支出合计</w:t>
            </w:r>
          </w:p>
        </w:tc>
        <w:tc>
          <w:tcPr>
            <w:tcW w:w="2126" w:type="dxa"/>
            <w:vAlign w:val="center"/>
          </w:tcPr>
          <w:p>
            <w:pPr>
              <w:pStyle w:val="17"/>
            </w:pPr>
            <w:r>
              <w:t>1230.20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1230.20</w:t>
            </w:r>
          </w:p>
        </w:tc>
        <w:tc>
          <w:tcPr>
            <w:tcW w:w="4535" w:type="dxa"/>
            <w:vAlign w:val="center"/>
          </w:tcPr>
          <w:p>
            <w:pPr>
              <w:pStyle w:val="16"/>
            </w:pPr>
            <w:r>
              <w:t>支出总计</w:t>
            </w:r>
          </w:p>
        </w:tc>
        <w:tc>
          <w:tcPr>
            <w:tcW w:w="2126" w:type="dxa"/>
            <w:vAlign w:val="center"/>
          </w:tcPr>
          <w:p>
            <w:pPr>
              <w:pStyle w:val="17"/>
            </w:pPr>
            <w:r>
              <w:t>1230.20</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315石家庄市栾城区司法局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1230.20</w:t>
            </w:r>
          </w:p>
        </w:tc>
        <w:tc>
          <w:tcPr>
            <w:tcW w:w="1134" w:type="dxa"/>
            <w:vAlign w:val="center"/>
          </w:tcPr>
          <w:p>
            <w:pPr>
              <w:pStyle w:val="17"/>
            </w:pPr>
            <w:r>
              <w:t>1230.20</w:t>
            </w:r>
          </w:p>
        </w:tc>
        <w:tc>
          <w:tcPr>
            <w:tcW w:w="1134" w:type="dxa"/>
            <w:vAlign w:val="center"/>
          </w:tcPr>
          <w:p>
            <w:pPr>
              <w:pStyle w:val="17"/>
            </w:pPr>
            <w:r>
              <w:t>1230.20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204</w:t>
            </w:r>
          </w:p>
        </w:tc>
        <w:tc>
          <w:tcPr>
            <w:tcW w:w="1559" w:type="dxa"/>
            <w:vAlign w:val="center"/>
          </w:tcPr>
          <w:p>
            <w:pPr>
              <w:pStyle w:val="14"/>
            </w:pPr>
            <w:r>
              <w:t>公共安全支出</w:t>
            </w:r>
          </w:p>
        </w:tc>
        <w:tc>
          <w:tcPr>
            <w:tcW w:w="1134" w:type="dxa"/>
            <w:vAlign w:val="center"/>
          </w:tcPr>
          <w:p>
            <w:pPr>
              <w:pStyle w:val="13"/>
            </w:pPr>
            <w:r>
              <w:t>1126.55</w:t>
            </w:r>
          </w:p>
        </w:tc>
        <w:tc>
          <w:tcPr>
            <w:tcW w:w="1134" w:type="dxa"/>
            <w:vAlign w:val="center"/>
          </w:tcPr>
          <w:p>
            <w:pPr>
              <w:pStyle w:val="13"/>
            </w:pPr>
            <w:r>
              <w:t>1126.55</w:t>
            </w:r>
          </w:p>
        </w:tc>
        <w:tc>
          <w:tcPr>
            <w:tcW w:w="1134" w:type="dxa"/>
            <w:vAlign w:val="center"/>
          </w:tcPr>
          <w:p>
            <w:pPr>
              <w:pStyle w:val="13"/>
            </w:pPr>
            <w:r>
              <w:t>1126.55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20406</w:t>
            </w:r>
          </w:p>
        </w:tc>
        <w:tc>
          <w:tcPr>
            <w:tcW w:w="1559" w:type="dxa"/>
            <w:vAlign w:val="center"/>
          </w:tcPr>
          <w:p>
            <w:pPr>
              <w:pStyle w:val="14"/>
            </w:pPr>
            <w:r>
              <w:t>司法</w:t>
            </w:r>
          </w:p>
        </w:tc>
        <w:tc>
          <w:tcPr>
            <w:tcW w:w="1134" w:type="dxa"/>
            <w:vAlign w:val="center"/>
          </w:tcPr>
          <w:p>
            <w:pPr>
              <w:pStyle w:val="13"/>
            </w:pPr>
            <w:r>
              <w:t>1101.05</w:t>
            </w:r>
          </w:p>
        </w:tc>
        <w:tc>
          <w:tcPr>
            <w:tcW w:w="1134" w:type="dxa"/>
            <w:vAlign w:val="center"/>
          </w:tcPr>
          <w:p>
            <w:pPr>
              <w:pStyle w:val="13"/>
            </w:pPr>
            <w:r>
              <w:t>1101.05</w:t>
            </w:r>
          </w:p>
        </w:tc>
        <w:tc>
          <w:tcPr>
            <w:tcW w:w="1134" w:type="dxa"/>
            <w:vAlign w:val="center"/>
          </w:tcPr>
          <w:p>
            <w:pPr>
              <w:pStyle w:val="13"/>
            </w:pPr>
            <w:r>
              <w:t>1101.05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2040601</w:t>
            </w:r>
          </w:p>
        </w:tc>
        <w:tc>
          <w:tcPr>
            <w:tcW w:w="1559" w:type="dxa"/>
            <w:vAlign w:val="center"/>
          </w:tcPr>
          <w:p>
            <w:pPr>
              <w:pStyle w:val="14"/>
            </w:pPr>
            <w:r>
              <w:t>行政运行</w:t>
            </w:r>
          </w:p>
        </w:tc>
        <w:tc>
          <w:tcPr>
            <w:tcW w:w="1134" w:type="dxa"/>
            <w:vAlign w:val="center"/>
          </w:tcPr>
          <w:p>
            <w:pPr>
              <w:pStyle w:val="13"/>
            </w:pPr>
            <w:r>
              <w:t>803.82</w:t>
            </w:r>
          </w:p>
        </w:tc>
        <w:tc>
          <w:tcPr>
            <w:tcW w:w="1134" w:type="dxa"/>
            <w:vAlign w:val="center"/>
          </w:tcPr>
          <w:p>
            <w:pPr>
              <w:pStyle w:val="13"/>
            </w:pPr>
            <w:r>
              <w:t>803.82</w:t>
            </w:r>
          </w:p>
        </w:tc>
        <w:tc>
          <w:tcPr>
            <w:tcW w:w="1134" w:type="dxa"/>
            <w:vAlign w:val="center"/>
          </w:tcPr>
          <w:p>
            <w:pPr>
              <w:pStyle w:val="13"/>
            </w:pPr>
            <w:r>
              <w:t>803.82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2040610</w:t>
            </w:r>
          </w:p>
        </w:tc>
        <w:tc>
          <w:tcPr>
            <w:tcW w:w="1559" w:type="dxa"/>
            <w:vAlign w:val="center"/>
          </w:tcPr>
          <w:p>
            <w:pPr>
              <w:pStyle w:val="14"/>
            </w:pPr>
            <w:r>
              <w:t>社区矫正</w:t>
            </w:r>
          </w:p>
        </w:tc>
        <w:tc>
          <w:tcPr>
            <w:tcW w:w="1134" w:type="dxa"/>
            <w:vAlign w:val="center"/>
          </w:tcPr>
          <w:p>
            <w:pPr>
              <w:pStyle w:val="13"/>
            </w:pPr>
            <w:r>
              <w:t>9.81</w:t>
            </w:r>
          </w:p>
        </w:tc>
        <w:tc>
          <w:tcPr>
            <w:tcW w:w="1134" w:type="dxa"/>
            <w:vAlign w:val="center"/>
          </w:tcPr>
          <w:p>
            <w:pPr>
              <w:pStyle w:val="13"/>
            </w:pPr>
            <w:r>
              <w:t>9.81</w:t>
            </w:r>
          </w:p>
        </w:tc>
        <w:tc>
          <w:tcPr>
            <w:tcW w:w="1134" w:type="dxa"/>
            <w:vAlign w:val="center"/>
          </w:tcPr>
          <w:p>
            <w:pPr>
              <w:pStyle w:val="13"/>
            </w:pPr>
            <w:r>
              <w:t>9.81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2040650</w:t>
            </w:r>
          </w:p>
        </w:tc>
        <w:tc>
          <w:tcPr>
            <w:tcW w:w="1559" w:type="dxa"/>
            <w:vAlign w:val="center"/>
          </w:tcPr>
          <w:p>
            <w:pPr>
              <w:pStyle w:val="14"/>
            </w:pPr>
            <w:r>
              <w:t>事业运行</w:t>
            </w:r>
          </w:p>
        </w:tc>
        <w:tc>
          <w:tcPr>
            <w:tcW w:w="1134" w:type="dxa"/>
            <w:vAlign w:val="center"/>
          </w:tcPr>
          <w:p>
            <w:pPr>
              <w:pStyle w:val="13"/>
            </w:pPr>
            <w:r>
              <w:t>151.25</w:t>
            </w:r>
          </w:p>
        </w:tc>
        <w:tc>
          <w:tcPr>
            <w:tcW w:w="1134" w:type="dxa"/>
            <w:vAlign w:val="center"/>
          </w:tcPr>
          <w:p>
            <w:pPr>
              <w:pStyle w:val="13"/>
            </w:pPr>
            <w:r>
              <w:t>151.25</w:t>
            </w:r>
          </w:p>
        </w:tc>
        <w:tc>
          <w:tcPr>
            <w:tcW w:w="1134" w:type="dxa"/>
            <w:vAlign w:val="center"/>
          </w:tcPr>
          <w:p>
            <w:pPr>
              <w:pStyle w:val="13"/>
            </w:pPr>
            <w:r>
              <w:t>151.25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2040699</w:t>
            </w:r>
          </w:p>
        </w:tc>
        <w:tc>
          <w:tcPr>
            <w:tcW w:w="1559" w:type="dxa"/>
            <w:vAlign w:val="center"/>
          </w:tcPr>
          <w:p>
            <w:pPr>
              <w:pStyle w:val="14"/>
            </w:pPr>
            <w:r>
              <w:t>其他司法支出</w:t>
            </w:r>
          </w:p>
        </w:tc>
        <w:tc>
          <w:tcPr>
            <w:tcW w:w="1134" w:type="dxa"/>
            <w:vAlign w:val="center"/>
          </w:tcPr>
          <w:p>
            <w:pPr>
              <w:pStyle w:val="13"/>
            </w:pPr>
            <w:r>
              <w:t>136.17</w:t>
            </w:r>
          </w:p>
        </w:tc>
        <w:tc>
          <w:tcPr>
            <w:tcW w:w="1134" w:type="dxa"/>
            <w:vAlign w:val="center"/>
          </w:tcPr>
          <w:p>
            <w:pPr>
              <w:pStyle w:val="13"/>
            </w:pPr>
            <w:r>
              <w:t>136.17</w:t>
            </w:r>
          </w:p>
        </w:tc>
        <w:tc>
          <w:tcPr>
            <w:tcW w:w="1134" w:type="dxa"/>
            <w:vAlign w:val="center"/>
          </w:tcPr>
          <w:p>
            <w:pPr>
              <w:pStyle w:val="13"/>
            </w:pPr>
            <w:r>
              <w:t>136.17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20499</w:t>
            </w:r>
          </w:p>
        </w:tc>
        <w:tc>
          <w:tcPr>
            <w:tcW w:w="1559" w:type="dxa"/>
            <w:vAlign w:val="center"/>
          </w:tcPr>
          <w:p>
            <w:pPr>
              <w:pStyle w:val="14"/>
            </w:pPr>
            <w:r>
              <w:t>其他公共安全支出</w:t>
            </w:r>
          </w:p>
        </w:tc>
        <w:tc>
          <w:tcPr>
            <w:tcW w:w="1134" w:type="dxa"/>
            <w:vAlign w:val="center"/>
          </w:tcPr>
          <w:p>
            <w:pPr>
              <w:pStyle w:val="13"/>
            </w:pPr>
            <w:r>
              <w:t>25.50</w:t>
            </w:r>
          </w:p>
        </w:tc>
        <w:tc>
          <w:tcPr>
            <w:tcW w:w="1134" w:type="dxa"/>
            <w:vAlign w:val="center"/>
          </w:tcPr>
          <w:p>
            <w:pPr>
              <w:pStyle w:val="13"/>
            </w:pPr>
            <w:r>
              <w:t>25.50</w:t>
            </w:r>
          </w:p>
        </w:tc>
        <w:tc>
          <w:tcPr>
            <w:tcW w:w="1134" w:type="dxa"/>
            <w:vAlign w:val="center"/>
          </w:tcPr>
          <w:p>
            <w:pPr>
              <w:pStyle w:val="13"/>
            </w:pPr>
            <w:r>
              <w:t>25.50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2049999</w:t>
            </w:r>
          </w:p>
        </w:tc>
        <w:tc>
          <w:tcPr>
            <w:tcW w:w="1559" w:type="dxa"/>
            <w:vAlign w:val="center"/>
          </w:tcPr>
          <w:p>
            <w:pPr>
              <w:pStyle w:val="14"/>
            </w:pPr>
            <w:r>
              <w:t>其他公共安全支出</w:t>
            </w:r>
          </w:p>
        </w:tc>
        <w:tc>
          <w:tcPr>
            <w:tcW w:w="1134" w:type="dxa"/>
            <w:vAlign w:val="center"/>
          </w:tcPr>
          <w:p>
            <w:pPr>
              <w:pStyle w:val="13"/>
            </w:pPr>
            <w:r>
              <w:t>25.50</w:t>
            </w:r>
          </w:p>
        </w:tc>
        <w:tc>
          <w:tcPr>
            <w:tcW w:w="1134" w:type="dxa"/>
            <w:vAlign w:val="center"/>
          </w:tcPr>
          <w:p>
            <w:pPr>
              <w:pStyle w:val="13"/>
            </w:pPr>
            <w:r>
              <w:t>25.50</w:t>
            </w:r>
          </w:p>
        </w:tc>
        <w:tc>
          <w:tcPr>
            <w:tcW w:w="1134" w:type="dxa"/>
            <w:vAlign w:val="center"/>
          </w:tcPr>
          <w:p>
            <w:pPr>
              <w:pStyle w:val="13"/>
            </w:pPr>
            <w:r>
              <w:t>25.50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69.18</w:t>
            </w:r>
          </w:p>
        </w:tc>
        <w:tc>
          <w:tcPr>
            <w:tcW w:w="1134" w:type="dxa"/>
            <w:vAlign w:val="center"/>
          </w:tcPr>
          <w:p>
            <w:pPr>
              <w:pStyle w:val="13"/>
            </w:pPr>
            <w:r>
              <w:t>69.18</w:t>
            </w:r>
          </w:p>
        </w:tc>
        <w:tc>
          <w:tcPr>
            <w:tcW w:w="1134" w:type="dxa"/>
            <w:vAlign w:val="center"/>
          </w:tcPr>
          <w:p>
            <w:pPr>
              <w:pStyle w:val="13"/>
            </w:pPr>
            <w:r>
              <w:t>69.18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67.11</w:t>
            </w:r>
          </w:p>
        </w:tc>
        <w:tc>
          <w:tcPr>
            <w:tcW w:w="1134" w:type="dxa"/>
            <w:vAlign w:val="center"/>
          </w:tcPr>
          <w:p>
            <w:pPr>
              <w:pStyle w:val="13"/>
            </w:pPr>
            <w:r>
              <w:t>67.11</w:t>
            </w:r>
          </w:p>
        </w:tc>
        <w:tc>
          <w:tcPr>
            <w:tcW w:w="1134" w:type="dxa"/>
            <w:vAlign w:val="center"/>
          </w:tcPr>
          <w:p>
            <w:pPr>
              <w:pStyle w:val="13"/>
            </w:pPr>
            <w:r>
              <w:t>67.11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67.11</w:t>
            </w:r>
          </w:p>
        </w:tc>
        <w:tc>
          <w:tcPr>
            <w:tcW w:w="1134" w:type="dxa"/>
            <w:vAlign w:val="center"/>
          </w:tcPr>
          <w:p>
            <w:pPr>
              <w:pStyle w:val="13"/>
            </w:pPr>
            <w:r>
              <w:t>67.11</w:t>
            </w:r>
          </w:p>
        </w:tc>
        <w:tc>
          <w:tcPr>
            <w:tcW w:w="1134" w:type="dxa"/>
            <w:vAlign w:val="center"/>
          </w:tcPr>
          <w:p>
            <w:pPr>
              <w:pStyle w:val="13"/>
            </w:pPr>
            <w:r>
              <w:t>67.11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2.07</w:t>
            </w:r>
          </w:p>
        </w:tc>
        <w:tc>
          <w:tcPr>
            <w:tcW w:w="1134" w:type="dxa"/>
            <w:vAlign w:val="center"/>
          </w:tcPr>
          <w:p>
            <w:pPr>
              <w:pStyle w:val="13"/>
            </w:pPr>
            <w:r>
              <w:t>2.07</w:t>
            </w:r>
          </w:p>
        </w:tc>
        <w:tc>
          <w:tcPr>
            <w:tcW w:w="1134" w:type="dxa"/>
            <w:vAlign w:val="center"/>
          </w:tcPr>
          <w:p>
            <w:pPr>
              <w:pStyle w:val="13"/>
            </w:pPr>
            <w:r>
              <w:t>2.07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0.47</w:t>
            </w:r>
          </w:p>
        </w:tc>
        <w:tc>
          <w:tcPr>
            <w:tcW w:w="1134" w:type="dxa"/>
            <w:vAlign w:val="center"/>
          </w:tcPr>
          <w:p>
            <w:pPr>
              <w:pStyle w:val="13"/>
            </w:pPr>
            <w:r>
              <w:t>0.47</w:t>
            </w:r>
          </w:p>
        </w:tc>
        <w:tc>
          <w:tcPr>
            <w:tcW w:w="1134" w:type="dxa"/>
            <w:vAlign w:val="center"/>
          </w:tcPr>
          <w:p>
            <w:pPr>
              <w:pStyle w:val="13"/>
            </w:pPr>
            <w:r>
              <w:t>0.47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1.61</w:t>
            </w:r>
          </w:p>
        </w:tc>
        <w:tc>
          <w:tcPr>
            <w:tcW w:w="1134" w:type="dxa"/>
            <w:vAlign w:val="center"/>
          </w:tcPr>
          <w:p>
            <w:pPr>
              <w:pStyle w:val="13"/>
            </w:pPr>
            <w:r>
              <w:t>1.61</w:t>
            </w:r>
          </w:p>
        </w:tc>
        <w:tc>
          <w:tcPr>
            <w:tcW w:w="1134" w:type="dxa"/>
            <w:vAlign w:val="center"/>
          </w:tcPr>
          <w:p>
            <w:pPr>
              <w:pStyle w:val="13"/>
            </w:pPr>
            <w:r>
              <w:t>1.61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34.48</w:t>
            </w:r>
          </w:p>
        </w:tc>
        <w:tc>
          <w:tcPr>
            <w:tcW w:w="1134" w:type="dxa"/>
            <w:vAlign w:val="center"/>
          </w:tcPr>
          <w:p>
            <w:pPr>
              <w:pStyle w:val="13"/>
            </w:pPr>
            <w:r>
              <w:t>34.48</w:t>
            </w:r>
          </w:p>
        </w:tc>
        <w:tc>
          <w:tcPr>
            <w:tcW w:w="1134" w:type="dxa"/>
            <w:vAlign w:val="center"/>
          </w:tcPr>
          <w:p>
            <w:pPr>
              <w:pStyle w:val="13"/>
            </w:pPr>
            <w:r>
              <w:t>34.48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34.48</w:t>
            </w:r>
          </w:p>
        </w:tc>
        <w:tc>
          <w:tcPr>
            <w:tcW w:w="1134" w:type="dxa"/>
            <w:vAlign w:val="center"/>
          </w:tcPr>
          <w:p>
            <w:pPr>
              <w:pStyle w:val="13"/>
            </w:pPr>
            <w:r>
              <w:t>34.48</w:t>
            </w:r>
          </w:p>
        </w:tc>
        <w:tc>
          <w:tcPr>
            <w:tcW w:w="1134" w:type="dxa"/>
            <w:vAlign w:val="center"/>
          </w:tcPr>
          <w:p>
            <w:pPr>
              <w:pStyle w:val="13"/>
            </w:pPr>
            <w:r>
              <w:t>34.48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26.86</w:t>
            </w:r>
          </w:p>
        </w:tc>
        <w:tc>
          <w:tcPr>
            <w:tcW w:w="1134" w:type="dxa"/>
            <w:vAlign w:val="center"/>
          </w:tcPr>
          <w:p>
            <w:pPr>
              <w:pStyle w:val="13"/>
            </w:pPr>
            <w:r>
              <w:t>26.86</w:t>
            </w:r>
          </w:p>
        </w:tc>
        <w:tc>
          <w:tcPr>
            <w:tcW w:w="1134" w:type="dxa"/>
            <w:vAlign w:val="center"/>
          </w:tcPr>
          <w:p>
            <w:pPr>
              <w:pStyle w:val="13"/>
            </w:pPr>
            <w:r>
              <w:t>26.86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7.62</w:t>
            </w:r>
          </w:p>
        </w:tc>
        <w:tc>
          <w:tcPr>
            <w:tcW w:w="1134" w:type="dxa"/>
            <w:vAlign w:val="center"/>
          </w:tcPr>
          <w:p>
            <w:pPr>
              <w:pStyle w:val="13"/>
            </w:pPr>
            <w:r>
              <w:t>7.62</w:t>
            </w:r>
          </w:p>
        </w:tc>
        <w:tc>
          <w:tcPr>
            <w:tcW w:w="1134" w:type="dxa"/>
            <w:vAlign w:val="center"/>
          </w:tcPr>
          <w:p>
            <w:pPr>
              <w:pStyle w:val="13"/>
            </w:pPr>
            <w:r>
              <w:t>7.62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315石家庄市栾城区司法局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1230.20</w:t>
            </w:r>
          </w:p>
        </w:tc>
        <w:tc>
          <w:tcPr>
            <w:tcW w:w="1361" w:type="dxa"/>
            <w:vAlign w:val="center"/>
          </w:tcPr>
          <w:p>
            <w:pPr>
              <w:pStyle w:val="17"/>
            </w:pPr>
            <w:r>
              <w:t>941.96</w:t>
            </w:r>
          </w:p>
        </w:tc>
        <w:tc>
          <w:tcPr>
            <w:tcW w:w="1361" w:type="dxa"/>
            <w:vAlign w:val="center"/>
          </w:tcPr>
          <w:p>
            <w:pPr>
              <w:pStyle w:val="17"/>
            </w:pPr>
            <w:r>
              <w:t>288.24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204</w:t>
            </w:r>
          </w:p>
        </w:tc>
        <w:tc>
          <w:tcPr>
            <w:tcW w:w="4535" w:type="dxa"/>
            <w:vAlign w:val="center"/>
          </w:tcPr>
          <w:p>
            <w:pPr>
              <w:pStyle w:val="14"/>
            </w:pPr>
            <w:r>
              <w:t>公共安全支出</w:t>
            </w:r>
          </w:p>
        </w:tc>
        <w:tc>
          <w:tcPr>
            <w:tcW w:w="1361" w:type="dxa"/>
            <w:vAlign w:val="center"/>
          </w:tcPr>
          <w:p>
            <w:pPr>
              <w:pStyle w:val="13"/>
            </w:pPr>
            <w:r>
              <w:t>1126.55</w:t>
            </w:r>
          </w:p>
        </w:tc>
        <w:tc>
          <w:tcPr>
            <w:tcW w:w="1361" w:type="dxa"/>
            <w:vAlign w:val="center"/>
          </w:tcPr>
          <w:p>
            <w:pPr>
              <w:pStyle w:val="13"/>
            </w:pPr>
            <w:r>
              <w:t>838.30</w:t>
            </w:r>
          </w:p>
        </w:tc>
        <w:tc>
          <w:tcPr>
            <w:tcW w:w="1361" w:type="dxa"/>
            <w:vAlign w:val="center"/>
          </w:tcPr>
          <w:p>
            <w:pPr>
              <w:pStyle w:val="13"/>
            </w:pPr>
            <w:r>
              <w:t>288.24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20406</w:t>
            </w:r>
          </w:p>
        </w:tc>
        <w:tc>
          <w:tcPr>
            <w:tcW w:w="4535" w:type="dxa"/>
            <w:vAlign w:val="center"/>
          </w:tcPr>
          <w:p>
            <w:pPr>
              <w:pStyle w:val="14"/>
            </w:pPr>
            <w:r>
              <w:t>司法</w:t>
            </w:r>
          </w:p>
        </w:tc>
        <w:tc>
          <w:tcPr>
            <w:tcW w:w="1361" w:type="dxa"/>
            <w:vAlign w:val="center"/>
          </w:tcPr>
          <w:p>
            <w:pPr>
              <w:pStyle w:val="13"/>
            </w:pPr>
            <w:r>
              <w:t>1101.05</w:t>
            </w:r>
          </w:p>
        </w:tc>
        <w:tc>
          <w:tcPr>
            <w:tcW w:w="1361" w:type="dxa"/>
            <w:vAlign w:val="center"/>
          </w:tcPr>
          <w:p>
            <w:pPr>
              <w:pStyle w:val="13"/>
            </w:pPr>
            <w:r>
              <w:t>838.30</w:t>
            </w:r>
          </w:p>
        </w:tc>
        <w:tc>
          <w:tcPr>
            <w:tcW w:w="1361" w:type="dxa"/>
            <w:vAlign w:val="center"/>
          </w:tcPr>
          <w:p>
            <w:pPr>
              <w:pStyle w:val="13"/>
            </w:pPr>
            <w:r>
              <w:t>262.74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2040601</w:t>
            </w:r>
          </w:p>
        </w:tc>
        <w:tc>
          <w:tcPr>
            <w:tcW w:w="4535" w:type="dxa"/>
            <w:vAlign w:val="center"/>
          </w:tcPr>
          <w:p>
            <w:pPr>
              <w:pStyle w:val="14"/>
            </w:pPr>
            <w:r>
              <w:t>行政运行</w:t>
            </w:r>
          </w:p>
        </w:tc>
        <w:tc>
          <w:tcPr>
            <w:tcW w:w="1361" w:type="dxa"/>
            <w:vAlign w:val="center"/>
          </w:tcPr>
          <w:p>
            <w:pPr>
              <w:pStyle w:val="13"/>
            </w:pPr>
            <w:r>
              <w:t>803.82</w:t>
            </w:r>
          </w:p>
        </w:tc>
        <w:tc>
          <w:tcPr>
            <w:tcW w:w="1361" w:type="dxa"/>
            <w:vAlign w:val="center"/>
          </w:tcPr>
          <w:p>
            <w:pPr>
              <w:pStyle w:val="13"/>
            </w:pPr>
            <w:r>
              <w:t>687.49</w:t>
            </w:r>
          </w:p>
        </w:tc>
        <w:tc>
          <w:tcPr>
            <w:tcW w:w="1361" w:type="dxa"/>
            <w:vAlign w:val="center"/>
          </w:tcPr>
          <w:p>
            <w:pPr>
              <w:pStyle w:val="13"/>
            </w:pPr>
            <w:r>
              <w:t>116.33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2040610</w:t>
            </w:r>
          </w:p>
        </w:tc>
        <w:tc>
          <w:tcPr>
            <w:tcW w:w="4535" w:type="dxa"/>
            <w:vAlign w:val="center"/>
          </w:tcPr>
          <w:p>
            <w:pPr>
              <w:pStyle w:val="14"/>
            </w:pPr>
            <w:r>
              <w:t>社区矫正</w:t>
            </w:r>
          </w:p>
        </w:tc>
        <w:tc>
          <w:tcPr>
            <w:tcW w:w="1361" w:type="dxa"/>
            <w:vAlign w:val="center"/>
          </w:tcPr>
          <w:p>
            <w:pPr>
              <w:pStyle w:val="13"/>
            </w:pPr>
            <w:r>
              <w:t>9.81</w:t>
            </w:r>
          </w:p>
        </w:tc>
        <w:tc>
          <w:tcPr>
            <w:tcW w:w="1361" w:type="dxa"/>
            <w:vAlign w:val="center"/>
          </w:tcPr>
          <w:p>
            <w:pPr>
              <w:pStyle w:val="13"/>
            </w:pPr>
          </w:p>
        </w:tc>
        <w:tc>
          <w:tcPr>
            <w:tcW w:w="1361" w:type="dxa"/>
            <w:vAlign w:val="center"/>
          </w:tcPr>
          <w:p>
            <w:pPr>
              <w:pStyle w:val="13"/>
            </w:pPr>
            <w:r>
              <w:t>9.81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2040650</w:t>
            </w:r>
          </w:p>
        </w:tc>
        <w:tc>
          <w:tcPr>
            <w:tcW w:w="4535" w:type="dxa"/>
            <w:vAlign w:val="center"/>
          </w:tcPr>
          <w:p>
            <w:pPr>
              <w:pStyle w:val="14"/>
            </w:pPr>
            <w:r>
              <w:t>事业运行</w:t>
            </w:r>
          </w:p>
        </w:tc>
        <w:tc>
          <w:tcPr>
            <w:tcW w:w="1361" w:type="dxa"/>
            <w:vAlign w:val="center"/>
          </w:tcPr>
          <w:p>
            <w:pPr>
              <w:pStyle w:val="13"/>
            </w:pPr>
            <w:r>
              <w:t>151.25</w:t>
            </w:r>
          </w:p>
        </w:tc>
        <w:tc>
          <w:tcPr>
            <w:tcW w:w="1361" w:type="dxa"/>
            <w:vAlign w:val="center"/>
          </w:tcPr>
          <w:p>
            <w:pPr>
              <w:pStyle w:val="13"/>
            </w:pPr>
            <w:r>
              <w:t>150.81</w:t>
            </w:r>
          </w:p>
        </w:tc>
        <w:tc>
          <w:tcPr>
            <w:tcW w:w="1361" w:type="dxa"/>
            <w:vAlign w:val="center"/>
          </w:tcPr>
          <w:p>
            <w:pPr>
              <w:pStyle w:val="13"/>
            </w:pPr>
            <w:r>
              <w:t>0.44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2040699</w:t>
            </w:r>
          </w:p>
        </w:tc>
        <w:tc>
          <w:tcPr>
            <w:tcW w:w="4535" w:type="dxa"/>
            <w:vAlign w:val="center"/>
          </w:tcPr>
          <w:p>
            <w:pPr>
              <w:pStyle w:val="14"/>
            </w:pPr>
            <w:r>
              <w:t>其他司法支出</w:t>
            </w:r>
          </w:p>
        </w:tc>
        <w:tc>
          <w:tcPr>
            <w:tcW w:w="1361" w:type="dxa"/>
            <w:vAlign w:val="center"/>
          </w:tcPr>
          <w:p>
            <w:pPr>
              <w:pStyle w:val="13"/>
            </w:pPr>
            <w:r>
              <w:t>136.17</w:t>
            </w:r>
          </w:p>
        </w:tc>
        <w:tc>
          <w:tcPr>
            <w:tcW w:w="1361" w:type="dxa"/>
            <w:vAlign w:val="center"/>
          </w:tcPr>
          <w:p>
            <w:pPr>
              <w:pStyle w:val="13"/>
            </w:pPr>
          </w:p>
        </w:tc>
        <w:tc>
          <w:tcPr>
            <w:tcW w:w="1361" w:type="dxa"/>
            <w:vAlign w:val="center"/>
          </w:tcPr>
          <w:p>
            <w:pPr>
              <w:pStyle w:val="13"/>
            </w:pPr>
            <w:r>
              <w:t>136.17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20499</w:t>
            </w:r>
          </w:p>
        </w:tc>
        <w:tc>
          <w:tcPr>
            <w:tcW w:w="4535" w:type="dxa"/>
            <w:vAlign w:val="center"/>
          </w:tcPr>
          <w:p>
            <w:pPr>
              <w:pStyle w:val="14"/>
            </w:pPr>
            <w:r>
              <w:t>其他公共安全支出</w:t>
            </w:r>
          </w:p>
        </w:tc>
        <w:tc>
          <w:tcPr>
            <w:tcW w:w="1361" w:type="dxa"/>
            <w:vAlign w:val="center"/>
          </w:tcPr>
          <w:p>
            <w:pPr>
              <w:pStyle w:val="13"/>
            </w:pPr>
            <w:r>
              <w:t>25.50</w:t>
            </w:r>
          </w:p>
        </w:tc>
        <w:tc>
          <w:tcPr>
            <w:tcW w:w="1361" w:type="dxa"/>
            <w:vAlign w:val="center"/>
          </w:tcPr>
          <w:p>
            <w:pPr>
              <w:pStyle w:val="13"/>
            </w:pPr>
          </w:p>
        </w:tc>
        <w:tc>
          <w:tcPr>
            <w:tcW w:w="1361" w:type="dxa"/>
            <w:vAlign w:val="center"/>
          </w:tcPr>
          <w:p>
            <w:pPr>
              <w:pStyle w:val="13"/>
            </w:pPr>
            <w:r>
              <w:t>25.50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2049999</w:t>
            </w:r>
          </w:p>
        </w:tc>
        <w:tc>
          <w:tcPr>
            <w:tcW w:w="4535" w:type="dxa"/>
            <w:vAlign w:val="center"/>
          </w:tcPr>
          <w:p>
            <w:pPr>
              <w:pStyle w:val="14"/>
            </w:pPr>
            <w:r>
              <w:t>其他公共安全支出</w:t>
            </w:r>
          </w:p>
        </w:tc>
        <w:tc>
          <w:tcPr>
            <w:tcW w:w="1361" w:type="dxa"/>
            <w:vAlign w:val="center"/>
          </w:tcPr>
          <w:p>
            <w:pPr>
              <w:pStyle w:val="13"/>
            </w:pPr>
            <w:r>
              <w:t>25.50</w:t>
            </w:r>
          </w:p>
        </w:tc>
        <w:tc>
          <w:tcPr>
            <w:tcW w:w="1361" w:type="dxa"/>
            <w:vAlign w:val="center"/>
          </w:tcPr>
          <w:p>
            <w:pPr>
              <w:pStyle w:val="13"/>
            </w:pPr>
          </w:p>
        </w:tc>
        <w:tc>
          <w:tcPr>
            <w:tcW w:w="1361" w:type="dxa"/>
            <w:vAlign w:val="center"/>
          </w:tcPr>
          <w:p>
            <w:pPr>
              <w:pStyle w:val="13"/>
            </w:pPr>
            <w:r>
              <w:t>25.50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69.18</w:t>
            </w:r>
          </w:p>
        </w:tc>
        <w:tc>
          <w:tcPr>
            <w:tcW w:w="1361" w:type="dxa"/>
            <w:vAlign w:val="center"/>
          </w:tcPr>
          <w:p>
            <w:pPr>
              <w:pStyle w:val="13"/>
            </w:pPr>
            <w:r>
              <w:t>69.18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67.11</w:t>
            </w:r>
          </w:p>
        </w:tc>
        <w:tc>
          <w:tcPr>
            <w:tcW w:w="1361" w:type="dxa"/>
            <w:vAlign w:val="center"/>
          </w:tcPr>
          <w:p>
            <w:pPr>
              <w:pStyle w:val="13"/>
            </w:pPr>
            <w:r>
              <w:t>67.11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67.11</w:t>
            </w:r>
          </w:p>
        </w:tc>
        <w:tc>
          <w:tcPr>
            <w:tcW w:w="1361" w:type="dxa"/>
            <w:vAlign w:val="center"/>
          </w:tcPr>
          <w:p>
            <w:pPr>
              <w:pStyle w:val="13"/>
            </w:pPr>
            <w:r>
              <w:t>67.11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2.07</w:t>
            </w:r>
          </w:p>
        </w:tc>
        <w:tc>
          <w:tcPr>
            <w:tcW w:w="1361" w:type="dxa"/>
            <w:vAlign w:val="center"/>
          </w:tcPr>
          <w:p>
            <w:pPr>
              <w:pStyle w:val="13"/>
            </w:pPr>
            <w:r>
              <w:t>2.07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0.47</w:t>
            </w:r>
          </w:p>
        </w:tc>
        <w:tc>
          <w:tcPr>
            <w:tcW w:w="1361" w:type="dxa"/>
            <w:vAlign w:val="center"/>
          </w:tcPr>
          <w:p>
            <w:pPr>
              <w:pStyle w:val="13"/>
            </w:pPr>
            <w:r>
              <w:t>0.47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1.61</w:t>
            </w:r>
          </w:p>
        </w:tc>
        <w:tc>
          <w:tcPr>
            <w:tcW w:w="1361" w:type="dxa"/>
            <w:vAlign w:val="center"/>
          </w:tcPr>
          <w:p>
            <w:pPr>
              <w:pStyle w:val="13"/>
            </w:pPr>
            <w:r>
              <w:t>1.61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34.48</w:t>
            </w:r>
          </w:p>
        </w:tc>
        <w:tc>
          <w:tcPr>
            <w:tcW w:w="1361" w:type="dxa"/>
            <w:vAlign w:val="center"/>
          </w:tcPr>
          <w:p>
            <w:pPr>
              <w:pStyle w:val="13"/>
            </w:pPr>
            <w:r>
              <w:t>34.48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34.48</w:t>
            </w:r>
          </w:p>
        </w:tc>
        <w:tc>
          <w:tcPr>
            <w:tcW w:w="1361" w:type="dxa"/>
            <w:vAlign w:val="center"/>
          </w:tcPr>
          <w:p>
            <w:pPr>
              <w:pStyle w:val="13"/>
            </w:pPr>
            <w:r>
              <w:t>34.48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26.86</w:t>
            </w:r>
          </w:p>
        </w:tc>
        <w:tc>
          <w:tcPr>
            <w:tcW w:w="1361" w:type="dxa"/>
            <w:vAlign w:val="center"/>
          </w:tcPr>
          <w:p>
            <w:pPr>
              <w:pStyle w:val="13"/>
            </w:pPr>
            <w:r>
              <w:t>26.86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7.62</w:t>
            </w:r>
          </w:p>
        </w:tc>
        <w:tc>
          <w:tcPr>
            <w:tcW w:w="1361" w:type="dxa"/>
            <w:vAlign w:val="center"/>
          </w:tcPr>
          <w:p>
            <w:pPr>
              <w:pStyle w:val="13"/>
            </w:pPr>
            <w:r>
              <w:t>7.62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315石家庄市栾城区司法局</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1230.20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r>
              <w:t>1126.55</w:t>
            </w:r>
          </w:p>
        </w:tc>
        <w:tc>
          <w:tcPr>
            <w:tcW w:w="1474" w:type="dxa"/>
            <w:vAlign w:val="center"/>
          </w:tcPr>
          <w:p>
            <w:pPr>
              <w:pStyle w:val="13"/>
            </w:pPr>
            <w:r>
              <w:t>1126.55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69.18</w:t>
            </w:r>
          </w:p>
        </w:tc>
        <w:tc>
          <w:tcPr>
            <w:tcW w:w="1474" w:type="dxa"/>
            <w:vAlign w:val="center"/>
          </w:tcPr>
          <w:p>
            <w:pPr>
              <w:pStyle w:val="13"/>
            </w:pPr>
            <w:r>
              <w:t>69.18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34.48</w:t>
            </w:r>
          </w:p>
        </w:tc>
        <w:tc>
          <w:tcPr>
            <w:tcW w:w="1474" w:type="dxa"/>
            <w:vAlign w:val="center"/>
          </w:tcPr>
          <w:p>
            <w:pPr>
              <w:pStyle w:val="13"/>
            </w:pPr>
            <w:r>
              <w:t>34.48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1230.20</w:t>
            </w:r>
          </w:p>
        </w:tc>
        <w:tc>
          <w:tcPr>
            <w:tcW w:w="3402" w:type="dxa"/>
            <w:vAlign w:val="center"/>
          </w:tcPr>
          <w:p>
            <w:pPr>
              <w:pStyle w:val="16"/>
            </w:pPr>
            <w:r>
              <w:t>本年支出合计</w:t>
            </w:r>
          </w:p>
        </w:tc>
        <w:tc>
          <w:tcPr>
            <w:tcW w:w="1474" w:type="dxa"/>
            <w:vAlign w:val="center"/>
          </w:tcPr>
          <w:p>
            <w:pPr>
              <w:pStyle w:val="17"/>
            </w:pPr>
            <w:r>
              <w:t>1230.20</w:t>
            </w:r>
          </w:p>
        </w:tc>
        <w:tc>
          <w:tcPr>
            <w:tcW w:w="1474" w:type="dxa"/>
            <w:vAlign w:val="center"/>
          </w:tcPr>
          <w:p>
            <w:pPr>
              <w:pStyle w:val="17"/>
            </w:pPr>
            <w:r>
              <w:t>1230.20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1230.20</w:t>
            </w:r>
          </w:p>
        </w:tc>
        <w:tc>
          <w:tcPr>
            <w:tcW w:w="3402" w:type="dxa"/>
            <w:vAlign w:val="center"/>
          </w:tcPr>
          <w:p>
            <w:pPr>
              <w:pStyle w:val="16"/>
            </w:pPr>
            <w:r>
              <w:t>支出总计</w:t>
            </w:r>
          </w:p>
        </w:tc>
        <w:tc>
          <w:tcPr>
            <w:tcW w:w="1474" w:type="dxa"/>
            <w:vAlign w:val="center"/>
          </w:tcPr>
          <w:p>
            <w:pPr>
              <w:pStyle w:val="17"/>
            </w:pPr>
            <w:r>
              <w:t>1230.20</w:t>
            </w:r>
          </w:p>
        </w:tc>
        <w:tc>
          <w:tcPr>
            <w:tcW w:w="1474" w:type="dxa"/>
            <w:vAlign w:val="center"/>
          </w:tcPr>
          <w:p>
            <w:pPr>
              <w:pStyle w:val="17"/>
            </w:pPr>
            <w:r>
              <w:t>1230.20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315石家庄市栾城区司法局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1230.20</w:t>
            </w:r>
          </w:p>
        </w:tc>
        <w:tc>
          <w:tcPr>
            <w:tcW w:w="2551" w:type="dxa"/>
            <w:vAlign w:val="center"/>
          </w:tcPr>
          <w:p>
            <w:pPr>
              <w:pStyle w:val="17"/>
            </w:pPr>
            <w:r>
              <w:t>941.96</w:t>
            </w:r>
          </w:p>
        </w:tc>
        <w:tc>
          <w:tcPr>
            <w:tcW w:w="2551" w:type="dxa"/>
            <w:vAlign w:val="center"/>
          </w:tcPr>
          <w:p>
            <w:pPr>
              <w:pStyle w:val="17"/>
            </w:pPr>
            <w:r>
              <w:t>288.24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204</w:t>
            </w:r>
          </w:p>
        </w:tc>
        <w:tc>
          <w:tcPr>
            <w:tcW w:w="4535" w:type="dxa"/>
            <w:vAlign w:val="center"/>
          </w:tcPr>
          <w:p>
            <w:pPr>
              <w:pStyle w:val="14"/>
            </w:pPr>
            <w:r>
              <w:t>公共安全支出</w:t>
            </w:r>
          </w:p>
        </w:tc>
        <w:tc>
          <w:tcPr>
            <w:tcW w:w="2551" w:type="dxa"/>
            <w:vAlign w:val="center"/>
          </w:tcPr>
          <w:p>
            <w:pPr>
              <w:pStyle w:val="13"/>
            </w:pPr>
            <w:r>
              <w:t>1126.55</w:t>
            </w:r>
          </w:p>
        </w:tc>
        <w:tc>
          <w:tcPr>
            <w:tcW w:w="2551" w:type="dxa"/>
            <w:vAlign w:val="center"/>
          </w:tcPr>
          <w:p>
            <w:pPr>
              <w:pStyle w:val="13"/>
            </w:pPr>
            <w:r>
              <w:t>838.30</w:t>
            </w:r>
          </w:p>
        </w:tc>
        <w:tc>
          <w:tcPr>
            <w:tcW w:w="2551" w:type="dxa"/>
            <w:vAlign w:val="center"/>
          </w:tcPr>
          <w:p>
            <w:pPr>
              <w:pStyle w:val="13"/>
            </w:pPr>
            <w:r>
              <w:t>288.24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20406</w:t>
            </w:r>
          </w:p>
        </w:tc>
        <w:tc>
          <w:tcPr>
            <w:tcW w:w="4535" w:type="dxa"/>
            <w:vAlign w:val="center"/>
          </w:tcPr>
          <w:p>
            <w:pPr>
              <w:pStyle w:val="14"/>
            </w:pPr>
            <w:r>
              <w:t>司法</w:t>
            </w:r>
          </w:p>
        </w:tc>
        <w:tc>
          <w:tcPr>
            <w:tcW w:w="2551" w:type="dxa"/>
            <w:vAlign w:val="center"/>
          </w:tcPr>
          <w:p>
            <w:pPr>
              <w:pStyle w:val="13"/>
            </w:pPr>
            <w:r>
              <w:t>1101.05</w:t>
            </w:r>
          </w:p>
        </w:tc>
        <w:tc>
          <w:tcPr>
            <w:tcW w:w="2551" w:type="dxa"/>
            <w:vAlign w:val="center"/>
          </w:tcPr>
          <w:p>
            <w:pPr>
              <w:pStyle w:val="13"/>
            </w:pPr>
            <w:r>
              <w:t>838.30</w:t>
            </w:r>
          </w:p>
        </w:tc>
        <w:tc>
          <w:tcPr>
            <w:tcW w:w="2551" w:type="dxa"/>
            <w:vAlign w:val="center"/>
          </w:tcPr>
          <w:p>
            <w:pPr>
              <w:pStyle w:val="13"/>
            </w:pPr>
            <w:r>
              <w:t>262.74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2040601</w:t>
            </w:r>
          </w:p>
        </w:tc>
        <w:tc>
          <w:tcPr>
            <w:tcW w:w="4535" w:type="dxa"/>
            <w:vAlign w:val="center"/>
          </w:tcPr>
          <w:p>
            <w:pPr>
              <w:pStyle w:val="14"/>
            </w:pPr>
            <w:r>
              <w:t>行政运行</w:t>
            </w:r>
          </w:p>
        </w:tc>
        <w:tc>
          <w:tcPr>
            <w:tcW w:w="2551" w:type="dxa"/>
            <w:vAlign w:val="center"/>
          </w:tcPr>
          <w:p>
            <w:pPr>
              <w:pStyle w:val="13"/>
            </w:pPr>
            <w:r>
              <w:t>803.82</w:t>
            </w:r>
          </w:p>
        </w:tc>
        <w:tc>
          <w:tcPr>
            <w:tcW w:w="2551" w:type="dxa"/>
            <w:vAlign w:val="center"/>
          </w:tcPr>
          <w:p>
            <w:pPr>
              <w:pStyle w:val="13"/>
            </w:pPr>
            <w:r>
              <w:t>687.49</w:t>
            </w:r>
          </w:p>
        </w:tc>
        <w:tc>
          <w:tcPr>
            <w:tcW w:w="2551" w:type="dxa"/>
            <w:vAlign w:val="center"/>
          </w:tcPr>
          <w:p>
            <w:pPr>
              <w:pStyle w:val="13"/>
            </w:pPr>
            <w:r>
              <w:t>116.33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2040610</w:t>
            </w:r>
          </w:p>
        </w:tc>
        <w:tc>
          <w:tcPr>
            <w:tcW w:w="4535" w:type="dxa"/>
            <w:vAlign w:val="center"/>
          </w:tcPr>
          <w:p>
            <w:pPr>
              <w:pStyle w:val="14"/>
            </w:pPr>
            <w:r>
              <w:t>社区矫正</w:t>
            </w:r>
          </w:p>
        </w:tc>
        <w:tc>
          <w:tcPr>
            <w:tcW w:w="2551" w:type="dxa"/>
            <w:vAlign w:val="center"/>
          </w:tcPr>
          <w:p>
            <w:pPr>
              <w:pStyle w:val="13"/>
            </w:pPr>
            <w:r>
              <w:t>9.81</w:t>
            </w:r>
          </w:p>
        </w:tc>
        <w:tc>
          <w:tcPr>
            <w:tcW w:w="2551" w:type="dxa"/>
            <w:vAlign w:val="center"/>
          </w:tcPr>
          <w:p>
            <w:pPr>
              <w:pStyle w:val="13"/>
            </w:pPr>
          </w:p>
        </w:tc>
        <w:tc>
          <w:tcPr>
            <w:tcW w:w="2551" w:type="dxa"/>
            <w:vAlign w:val="center"/>
          </w:tcPr>
          <w:p>
            <w:pPr>
              <w:pStyle w:val="13"/>
            </w:pPr>
            <w:r>
              <w:t>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2040650</w:t>
            </w:r>
          </w:p>
        </w:tc>
        <w:tc>
          <w:tcPr>
            <w:tcW w:w="4535" w:type="dxa"/>
            <w:vAlign w:val="center"/>
          </w:tcPr>
          <w:p>
            <w:pPr>
              <w:pStyle w:val="14"/>
            </w:pPr>
            <w:r>
              <w:t>事业运行</w:t>
            </w:r>
          </w:p>
        </w:tc>
        <w:tc>
          <w:tcPr>
            <w:tcW w:w="2551" w:type="dxa"/>
            <w:vAlign w:val="center"/>
          </w:tcPr>
          <w:p>
            <w:pPr>
              <w:pStyle w:val="13"/>
            </w:pPr>
            <w:r>
              <w:t>151.25</w:t>
            </w:r>
          </w:p>
        </w:tc>
        <w:tc>
          <w:tcPr>
            <w:tcW w:w="2551" w:type="dxa"/>
            <w:vAlign w:val="center"/>
          </w:tcPr>
          <w:p>
            <w:pPr>
              <w:pStyle w:val="13"/>
            </w:pPr>
            <w:r>
              <w:t>150.81</w:t>
            </w:r>
          </w:p>
        </w:tc>
        <w:tc>
          <w:tcPr>
            <w:tcW w:w="2551" w:type="dxa"/>
            <w:vAlign w:val="center"/>
          </w:tcPr>
          <w:p>
            <w:pPr>
              <w:pStyle w:val="13"/>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2040699</w:t>
            </w:r>
          </w:p>
        </w:tc>
        <w:tc>
          <w:tcPr>
            <w:tcW w:w="4535" w:type="dxa"/>
            <w:vAlign w:val="center"/>
          </w:tcPr>
          <w:p>
            <w:pPr>
              <w:pStyle w:val="14"/>
            </w:pPr>
            <w:r>
              <w:t>其他司法支出</w:t>
            </w:r>
          </w:p>
        </w:tc>
        <w:tc>
          <w:tcPr>
            <w:tcW w:w="2551" w:type="dxa"/>
            <w:vAlign w:val="center"/>
          </w:tcPr>
          <w:p>
            <w:pPr>
              <w:pStyle w:val="13"/>
            </w:pPr>
            <w:r>
              <w:t>136.17</w:t>
            </w:r>
          </w:p>
        </w:tc>
        <w:tc>
          <w:tcPr>
            <w:tcW w:w="2551" w:type="dxa"/>
            <w:vAlign w:val="center"/>
          </w:tcPr>
          <w:p>
            <w:pPr>
              <w:pStyle w:val="13"/>
            </w:pPr>
          </w:p>
        </w:tc>
        <w:tc>
          <w:tcPr>
            <w:tcW w:w="2551" w:type="dxa"/>
            <w:vAlign w:val="center"/>
          </w:tcPr>
          <w:p>
            <w:pPr>
              <w:pStyle w:val="13"/>
            </w:pPr>
            <w:r>
              <w:t>136.17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20499</w:t>
            </w:r>
          </w:p>
        </w:tc>
        <w:tc>
          <w:tcPr>
            <w:tcW w:w="4535" w:type="dxa"/>
            <w:vAlign w:val="center"/>
          </w:tcPr>
          <w:p>
            <w:pPr>
              <w:pStyle w:val="14"/>
            </w:pPr>
            <w:r>
              <w:t>其他公共安全支出</w:t>
            </w:r>
          </w:p>
        </w:tc>
        <w:tc>
          <w:tcPr>
            <w:tcW w:w="2551" w:type="dxa"/>
            <w:vAlign w:val="center"/>
          </w:tcPr>
          <w:p>
            <w:pPr>
              <w:pStyle w:val="13"/>
            </w:pPr>
            <w:r>
              <w:t>25.50</w:t>
            </w:r>
          </w:p>
        </w:tc>
        <w:tc>
          <w:tcPr>
            <w:tcW w:w="2551" w:type="dxa"/>
            <w:vAlign w:val="center"/>
          </w:tcPr>
          <w:p>
            <w:pPr>
              <w:pStyle w:val="13"/>
            </w:pPr>
          </w:p>
        </w:tc>
        <w:tc>
          <w:tcPr>
            <w:tcW w:w="2551" w:type="dxa"/>
            <w:vAlign w:val="center"/>
          </w:tcPr>
          <w:p>
            <w:pPr>
              <w:pStyle w:val="13"/>
            </w:pPr>
            <w:r>
              <w:t>25.50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2049999</w:t>
            </w:r>
          </w:p>
        </w:tc>
        <w:tc>
          <w:tcPr>
            <w:tcW w:w="4535" w:type="dxa"/>
            <w:vAlign w:val="center"/>
          </w:tcPr>
          <w:p>
            <w:pPr>
              <w:pStyle w:val="14"/>
            </w:pPr>
            <w:r>
              <w:t>其他公共安全支出</w:t>
            </w:r>
          </w:p>
        </w:tc>
        <w:tc>
          <w:tcPr>
            <w:tcW w:w="2551" w:type="dxa"/>
            <w:vAlign w:val="center"/>
          </w:tcPr>
          <w:p>
            <w:pPr>
              <w:pStyle w:val="13"/>
            </w:pPr>
            <w:r>
              <w:t>25.50</w:t>
            </w:r>
          </w:p>
        </w:tc>
        <w:tc>
          <w:tcPr>
            <w:tcW w:w="2551" w:type="dxa"/>
            <w:vAlign w:val="center"/>
          </w:tcPr>
          <w:p>
            <w:pPr>
              <w:pStyle w:val="13"/>
            </w:pPr>
          </w:p>
        </w:tc>
        <w:tc>
          <w:tcPr>
            <w:tcW w:w="2551" w:type="dxa"/>
            <w:vAlign w:val="center"/>
          </w:tcPr>
          <w:p>
            <w:pPr>
              <w:pStyle w:val="13"/>
            </w:pPr>
            <w:r>
              <w:t>25.50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69.18</w:t>
            </w:r>
          </w:p>
        </w:tc>
        <w:tc>
          <w:tcPr>
            <w:tcW w:w="2551" w:type="dxa"/>
            <w:vAlign w:val="center"/>
          </w:tcPr>
          <w:p>
            <w:pPr>
              <w:pStyle w:val="13"/>
            </w:pPr>
            <w:r>
              <w:t>69.18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67.11</w:t>
            </w:r>
          </w:p>
        </w:tc>
        <w:tc>
          <w:tcPr>
            <w:tcW w:w="2551" w:type="dxa"/>
            <w:vAlign w:val="center"/>
          </w:tcPr>
          <w:p>
            <w:pPr>
              <w:pStyle w:val="13"/>
            </w:pPr>
            <w:r>
              <w:t>67.11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67.11</w:t>
            </w:r>
          </w:p>
        </w:tc>
        <w:tc>
          <w:tcPr>
            <w:tcW w:w="2551" w:type="dxa"/>
            <w:vAlign w:val="center"/>
          </w:tcPr>
          <w:p>
            <w:pPr>
              <w:pStyle w:val="13"/>
            </w:pPr>
            <w:r>
              <w:t>67.11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2.07</w:t>
            </w:r>
          </w:p>
        </w:tc>
        <w:tc>
          <w:tcPr>
            <w:tcW w:w="2551" w:type="dxa"/>
            <w:vAlign w:val="center"/>
          </w:tcPr>
          <w:p>
            <w:pPr>
              <w:pStyle w:val="13"/>
            </w:pPr>
            <w:r>
              <w:t>2.07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0.47</w:t>
            </w:r>
          </w:p>
        </w:tc>
        <w:tc>
          <w:tcPr>
            <w:tcW w:w="2551" w:type="dxa"/>
            <w:vAlign w:val="center"/>
          </w:tcPr>
          <w:p>
            <w:pPr>
              <w:pStyle w:val="13"/>
            </w:pPr>
            <w:r>
              <w:t>0.47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1.61</w:t>
            </w:r>
          </w:p>
        </w:tc>
        <w:tc>
          <w:tcPr>
            <w:tcW w:w="2551" w:type="dxa"/>
            <w:vAlign w:val="center"/>
          </w:tcPr>
          <w:p>
            <w:pPr>
              <w:pStyle w:val="13"/>
            </w:pPr>
            <w:r>
              <w:t>1.61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34.48</w:t>
            </w:r>
          </w:p>
        </w:tc>
        <w:tc>
          <w:tcPr>
            <w:tcW w:w="2551" w:type="dxa"/>
            <w:vAlign w:val="center"/>
          </w:tcPr>
          <w:p>
            <w:pPr>
              <w:pStyle w:val="13"/>
            </w:pPr>
            <w:r>
              <w:t>34.48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34.48</w:t>
            </w:r>
          </w:p>
        </w:tc>
        <w:tc>
          <w:tcPr>
            <w:tcW w:w="2551" w:type="dxa"/>
            <w:vAlign w:val="center"/>
          </w:tcPr>
          <w:p>
            <w:pPr>
              <w:pStyle w:val="13"/>
            </w:pPr>
            <w:r>
              <w:t>34.48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26.86</w:t>
            </w:r>
          </w:p>
        </w:tc>
        <w:tc>
          <w:tcPr>
            <w:tcW w:w="2551" w:type="dxa"/>
            <w:vAlign w:val="center"/>
          </w:tcPr>
          <w:p>
            <w:pPr>
              <w:pStyle w:val="13"/>
            </w:pPr>
            <w:r>
              <w:t>26.86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7.62</w:t>
            </w:r>
          </w:p>
        </w:tc>
        <w:tc>
          <w:tcPr>
            <w:tcW w:w="2551" w:type="dxa"/>
            <w:vAlign w:val="center"/>
          </w:tcPr>
          <w:p>
            <w:pPr>
              <w:pStyle w:val="13"/>
            </w:pPr>
            <w:r>
              <w:t>7.62</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315石家庄市栾城区司法局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941.96</w:t>
            </w:r>
          </w:p>
        </w:tc>
        <w:tc>
          <w:tcPr>
            <w:tcW w:w="2551" w:type="dxa"/>
            <w:vAlign w:val="center"/>
          </w:tcPr>
          <w:p>
            <w:pPr>
              <w:pStyle w:val="17"/>
            </w:pPr>
            <w:r>
              <w:t>860.75</w:t>
            </w:r>
          </w:p>
        </w:tc>
        <w:tc>
          <w:tcPr>
            <w:tcW w:w="2551" w:type="dxa"/>
            <w:vAlign w:val="center"/>
          </w:tcPr>
          <w:p>
            <w:pPr>
              <w:pStyle w:val="17"/>
            </w:pPr>
            <w:r>
              <w:t>81.22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732.48</w:t>
            </w:r>
          </w:p>
        </w:tc>
        <w:tc>
          <w:tcPr>
            <w:tcW w:w="2551" w:type="dxa"/>
            <w:vAlign w:val="center"/>
          </w:tcPr>
          <w:p>
            <w:pPr>
              <w:pStyle w:val="13"/>
            </w:pPr>
            <w:r>
              <w:t>732.48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204.41</w:t>
            </w:r>
          </w:p>
        </w:tc>
        <w:tc>
          <w:tcPr>
            <w:tcW w:w="2551" w:type="dxa"/>
            <w:vAlign w:val="center"/>
          </w:tcPr>
          <w:p>
            <w:pPr>
              <w:pStyle w:val="13"/>
            </w:pPr>
            <w:r>
              <w:t>204.41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166.75</w:t>
            </w:r>
          </w:p>
        </w:tc>
        <w:tc>
          <w:tcPr>
            <w:tcW w:w="2551" w:type="dxa"/>
            <w:vAlign w:val="center"/>
          </w:tcPr>
          <w:p>
            <w:pPr>
              <w:pStyle w:val="13"/>
            </w:pPr>
            <w:r>
              <w:t>166.75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131.92</w:t>
            </w:r>
          </w:p>
        </w:tc>
        <w:tc>
          <w:tcPr>
            <w:tcW w:w="2551" w:type="dxa"/>
            <w:vAlign w:val="center"/>
          </w:tcPr>
          <w:p>
            <w:pPr>
              <w:pStyle w:val="13"/>
            </w:pPr>
            <w:r>
              <w:t>131.92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67.18</w:t>
            </w:r>
          </w:p>
        </w:tc>
        <w:tc>
          <w:tcPr>
            <w:tcW w:w="2551" w:type="dxa"/>
            <w:vAlign w:val="center"/>
          </w:tcPr>
          <w:p>
            <w:pPr>
              <w:pStyle w:val="13"/>
            </w:pPr>
            <w:r>
              <w:t>67.18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67.11</w:t>
            </w:r>
          </w:p>
        </w:tc>
        <w:tc>
          <w:tcPr>
            <w:tcW w:w="2551" w:type="dxa"/>
            <w:vAlign w:val="center"/>
          </w:tcPr>
          <w:p>
            <w:pPr>
              <w:pStyle w:val="13"/>
            </w:pPr>
            <w:r>
              <w:t>67.11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25.44</w:t>
            </w:r>
          </w:p>
        </w:tc>
        <w:tc>
          <w:tcPr>
            <w:tcW w:w="2551" w:type="dxa"/>
            <w:vAlign w:val="center"/>
          </w:tcPr>
          <w:p>
            <w:pPr>
              <w:pStyle w:val="13"/>
            </w:pPr>
            <w:r>
              <w:t>25.44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9.04</w:t>
            </w:r>
          </w:p>
        </w:tc>
        <w:tc>
          <w:tcPr>
            <w:tcW w:w="2551" w:type="dxa"/>
            <w:vAlign w:val="center"/>
          </w:tcPr>
          <w:p>
            <w:pPr>
              <w:pStyle w:val="13"/>
            </w:pPr>
            <w:r>
              <w:t>9.04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2.07</w:t>
            </w:r>
          </w:p>
        </w:tc>
        <w:tc>
          <w:tcPr>
            <w:tcW w:w="2551" w:type="dxa"/>
            <w:vAlign w:val="center"/>
          </w:tcPr>
          <w:p>
            <w:pPr>
              <w:pStyle w:val="13"/>
            </w:pPr>
            <w:r>
              <w:t>2.07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58.56</w:t>
            </w:r>
          </w:p>
        </w:tc>
        <w:tc>
          <w:tcPr>
            <w:tcW w:w="2551" w:type="dxa"/>
            <w:vAlign w:val="center"/>
          </w:tcPr>
          <w:p>
            <w:pPr>
              <w:pStyle w:val="13"/>
            </w:pPr>
            <w:r>
              <w:t>58.56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81.22</w:t>
            </w:r>
          </w:p>
        </w:tc>
        <w:tc>
          <w:tcPr>
            <w:tcW w:w="2551" w:type="dxa"/>
            <w:vAlign w:val="center"/>
          </w:tcPr>
          <w:p>
            <w:pPr>
              <w:pStyle w:val="13"/>
            </w:pPr>
          </w:p>
        </w:tc>
        <w:tc>
          <w:tcPr>
            <w:tcW w:w="2551" w:type="dxa"/>
            <w:vAlign w:val="center"/>
          </w:tcPr>
          <w:p>
            <w:pPr>
              <w:pStyle w:val="13"/>
            </w:pPr>
            <w:r>
              <w:t>81.22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18.40</w:t>
            </w:r>
          </w:p>
        </w:tc>
        <w:tc>
          <w:tcPr>
            <w:tcW w:w="2551" w:type="dxa"/>
            <w:vAlign w:val="center"/>
          </w:tcPr>
          <w:p>
            <w:pPr>
              <w:pStyle w:val="13"/>
            </w:pPr>
          </w:p>
        </w:tc>
        <w:tc>
          <w:tcPr>
            <w:tcW w:w="2551" w:type="dxa"/>
            <w:vAlign w:val="center"/>
          </w:tcPr>
          <w:p>
            <w:pPr>
              <w:pStyle w:val="13"/>
            </w:pPr>
            <w:r>
              <w:t>18.40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15.98</w:t>
            </w:r>
          </w:p>
        </w:tc>
        <w:tc>
          <w:tcPr>
            <w:tcW w:w="2551" w:type="dxa"/>
            <w:vAlign w:val="center"/>
          </w:tcPr>
          <w:p>
            <w:pPr>
              <w:pStyle w:val="13"/>
            </w:pPr>
          </w:p>
        </w:tc>
        <w:tc>
          <w:tcPr>
            <w:tcW w:w="2551" w:type="dxa"/>
            <w:vAlign w:val="center"/>
          </w:tcPr>
          <w:p>
            <w:pPr>
              <w:pStyle w:val="13"/>
            </w:pPr>
            <w:r>
              <w:t>15.98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6.86</w:t>
            </w:r>
          </w:p>
        </w:tc>
        <w:tc>
          <w:tcPr>
            <w:tcW w:w="2551" w:type="dxa"/>
            <w:vAlign w:val="center"/>
          </w:tcPr>
          <w:p>
            <w:pPr>
              <w:pStyle w:val="13"/>
            </w:pPr>
          </w:p>
        </w:tc>
        <w:tc>
          <w:tcPr>
            <w:tcW w:w="2551" w:type="dxa"/>
            <w:vAlign w:val="center"/>
          </w:tcPr>
          <w:p>
            <w:pPr>
              <w:pStyle w:val="13"/>
            </w:pPr>
            <w:r>
              <w:t>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1.59</w:t>
            </w:r>
          </w:p>
        </w:tc>
        <w:tc>
          <w:tcPr>
            <w:tcW w:w="2551" w:type="dxa"/>
            <w:vAlign w:val="center"/>
          </w:tcPr>
          <w:p>
            <w:pPr>
              <w:pStyle w:val="13"/>
            </w:pPr>
          </w:p>
        </w:tc>
        <w:tc>
          <w:tcPr>
            <w:tcW w:w="2551" w:type="dxa"/>
            <w:vAlign w:val="center"/>
          </w:tcPr>
          <w:p>
            <w:pPr>
              <w:pStyle w:val="13"/>
            </w:pPr>
            <w:r>
              <w:t>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2.77</w:t>
            </w:r>
          </w:p>
        </w:tc>
        <w:tc>
          <w:tcPr>
            <w:tcW w:w="2551" w:type="dxa"/>
            <w:vAlign w:val="center"/>
          </w:tcPr>
          <w:p>
            <w:pPr>
              <w:pStyle w:val="13"/>
            </w:pPr>
          </w:p>
        </w:tc>
        <w:tc>
          <w:tcPr>
            <w:tcW w:w="2551" w:type="dxa"/>
            <w:vAlign w:val="center"/>
          </w:tcPr>
          <w:p>
            <w:pPr>
              <w:pStyle w:val="13"/>
            </w:pPr>
            <w:r>
              <w:t>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3.70</w:t>
            </w:r>
          </w:p>
        </w:tc>
        <w:tc>
          <w:tcPr>
            <w:tcW w:w="2551" w:type="dxa"/>
            <w:vAlign w:val="center"/>
          </w:tcPr>
          <w:p>
            <w:pPr>
              <w:pStyle w:val="13"/>
            </w:pPr>
          </w:p>
        </w:tc>
        <w:tc>
          <w:tcPr>
            <w:tcW w:w="2551" w:type="dxa"/>
            <w:vAlign w:val="center"/>
          </w:tcPr>
          <w:p>
            <w:pPr>
              <w:pStyle w:val="13"/>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6.98</w:t>
            </w:r>
          </w:p>
        </w:tc>
        <w:tc>
          <w:tcPr>
            <w:tcW w:w="2551" w:type="dxa"/>
            <w:vAlign w:val="center"/>
          </w:tcPr>
          <w:p>
            <w:pPr>
              <w:pStyle w:val="13"/>
            </w:pPr>
          </w:p>
        </w:tc>
        <w:tc>
          <w:tcPr>
            <w:tcW w:w="2551" w:type="dxa"/>
            <w:vAlign w:val="center"/>
          </w:tcPr>
          <w:p>
            <w:pPr>
              <w:pStyle w:val="13"/>
            </w:pPr>
            <w:r>
              <w:t>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19.80</w:t>
            </w:r>
          </w:p>
        </w:tc>
        <w:tc>
          <w:tcPr>
            <w:tcW w:w="2551" w:type="dxa"/>
            <w:vAlign w:val="center"/>
          </w:tcPr>
          <w:p>
            <w:pPr>
              <w:pStyle w:val="13"/>
            </w:pPr>
          </w:p>
        </w:tc>
        <w:tc>
          <w:tcPr>
            <w:tcW w:w="2551" w:type="dxa"/>
            <w:vAlign w:val="center"/>
          </w:tcPr>
          <w:p>
            <w:pPr>
              <w:pStyle w:val="13"/>
            </w:pPr>
            <w:r>
              <w:t>19.80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5.13</w:t>
            </w:r>
          </w:p>
        </w:tc>
        <w:tc>
          <w:tcPr>
            <w:tcW w:w="2551" w:type="dxa"/>
            <w:vAlign w:val="center"/>
          </w:tcPr>
          <w:p>
            <w:pPr>
              <w:pStyle w:val="13"/>
            </w:pPr>
          </w:p>
        </w:tc>
        <w:tc>
          <w:tcPr>
            <w:tcW w:w="2551" w:type="dxa"/>
            <w:vAlign w:val="center"/>
          </w:tcPr>
          <w:p>
            <w:pPr>
              <w:pStyle w:val="13"/>
            </w:pPr>
            <w:r>
              <w:t>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128.27</w:t>
            </w:r>
          </w:p>
        </w:tc>
        <w:tc>
          <w:tcPr>
            <w:tcW w:w="2551" w:type="dxa"/>
            <w:vAlign w:val="center"/>
          </w:tcPr>
          <w:p>
            <w:pPr>
              <w:pStyle w:val="13"/>
            </w:pPr>
            <w:r>
              <w:t>128.27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126.68</w:t>
            </w:r>
          </w:p>
        </w:tc>
        <w:tc>
          <w:tcPr>
            <w:tcW w:w="2551" w:type="dxa"/>
            <w:vAlign w:val="center"/>
          </w:tcPr>
          <w:p>
            <w:pPr>
              <w:pStyle w:val="13"/>
            </w:pPr>
            <w:r>
              <w:t>126.68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1.58</w:t>
            </w:r>
          </w:p>
        </w:tc>
        <w:tc>
          <w:tcPr>
            <w:tcW w:w="2551" w:type="dxa"/>
            <w:vAlign w:val="center"/>
          </w:tcPr>
          <w:p>
            <w:pPr>
              <w:pStyle w:val="13"/>
            </w:pPr>
            <w:r>
              <w:t>1.58</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315石家庄市栾城区司法局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315石家庄市栾城区司法局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315石家庄市栾城区司法局</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rFonts w:hint="default" w:eastAsia="方正书宋_GBK"/>
                <w:lang w:eastAsia="zh-CN"/>
              </w:rPr>
            </w:pPr>
            <w:r>
              <w:rPr>
                <w:rFonts w:hint="default"/>
                <w:lang w:eastAsia="zh-CN"/>
              </w:rPr>
              <w:t>6.98</w:t>
            </w:r>
          </w:p>
        </w:tc>
        <w:tc>
          <w:tcPr>
            <w:tcW w:w="2381" w:type="dxa"/>
            <w:vAlign w:val="center"/>
          </w:tcPr>
          <w:p>
            <w:pPr>
              <w:pStyle w:val="17"/>
              <w:rPr>
                <w:rFonts w:hint="default" w:eastAsia="方正书宋_GBK"/>
                <w:lang w:eastAsia="zh-CN"/>
              </w:rPr>
            </w:pPr>
            <w:r>
              <w:rPr>
                <w:rFonts w:hint="default"/>
                <w:lang w:eastAsia="zh-CN"/>
              </w:rPr>
              <w:t>6.98</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6.98</w:t>
            </w:r>
          </w:p>
        </w:tc>
        <w:tc>
          <w:tcPr>
            <w:tcW w:w="2381" w:type="dxa"/>
            <w:vAlign w:val="center"/>
          </w:tcPr>
          <w:p>
            <w:pPr>
              <w:pStyle w:val="13"/>
            </w:pPr>
            <w:r>
              <w:t>6.98</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二、公务用车购置及运维费</w:t>
            </w:r>
          </w:p>
        </w:tc>
        <w:tc>
          <w:tcPr>
            <w:tcW w:w="2381" w:type="dxa"/>
            <w:vAlign w:val="center"/>
          </w:tcPr>
          <w:p>
            <w:pPr>
              <w:pStyle w:val="13"/>
            </w:pPr>
            <w:r>
              <w:t>6.98</w:t>
            </w:r>
          </w:p>
        </w:tc>
        <w:tc>
          <w:tcPr>
            <w:tcW w:w="2381" w:type="dxa"/>
            <w:vAlign w:val="center"/>
          </w:tcPr>
          <w:p>
            <w:pPr>
              <w:pStyle w:val="13"/>
            </w:pPr>
            <w:r>
              <w:t>6.98</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公务用车运行维护费</w:t>
            </w:r>
          </w:p>
        </w:tc>
        <w:tc>
          <w:tcPr>
            <w:tcW w:w="2381" w:type="dxa"/>
            <w:vAlign w:val="center"/>
          </w:tcPr>
          <w:p>
            <w:pPr>
              <w:pStyle w:val="13"/>
            </w:pPr>
            <w:r>
              <w:t>6.98</w:t>
            </w:r>
          </w:p>
        </w:tc>
        <w:tc>
          <w:tcPr>
            <w:tcW w:w="2381" w:type="dxa"/>
            <w:vAlign w:val="center"/>
          </w:tcPr>
          <w:p>
            <w:pPr>
              <w:pStyle w:val="13"/>
            </w:pPr>
            <w:r>
              <w:t>6.98</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石家庄市栾城区司法局2026年部门预算信息公开情况说明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石家庄市栾城区司法局2026年部门预算信息公开情况说明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按照《中华人民共和国预算法》、《地方预决算公开操作规程》和《关于进一步推进预算公开工作的实施意见》规定，现将石家庄市栾城区司法局2026年部门预算公开如下：</w:t>
      </w:r>
    </w:p>
    <w:p>
      <w:pPr>
        <w:spacing w:before="10" w:after="10" w:line="360" w:lineRule="auto"/>
        <w:ind w:firstLine="640"/>
        <w:jc w:val="left"/>
        <w:outlineLvl w:val="2"/>
      </w:pPr>
      <w:bookmarkStart w:id="19" w:name="_GoBack"/>
      <w:bookmarkEnd w:id="19"/>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根据《栾城区司法局职能配置、内设机构和人员编制规定》，石家庄市栾城区司法局的主要职责是：</w:t>
      </w:r>
    </w:p>
    <w:p>
      <w:pPr>
        <w:pStyle w:val="19"/>
      </w:pPr>
      <w:r>
        <w:t>（一）贯彻落实国家司法行政工作方针政策；编制全区司法行政工作中长期规划和年度工作计划，并组织实施。</w:t>
      </w:r>
    </w:p>
    <w:p>
      <w:pPr>
        <w:pStyle w:val="19"/>
      </w:pPr>
      <w:r>
        <w:t>（二）承担全面依法治区重大问题的政策研究。组织协调有关方面提出全面依法治区中长期规划建议，负责有关重大决策部署督察工作。</w:t>
      </w:r>
    </w:p>
    <w:p>
      <w:pPr>
        <w:pStyle w:val="19"/>
      </w:pPr>
      <w:r>
        <w:t>（三）负责区政府各部门规范性文件的备案审查工作。负责对区政府政策措施、规范性文件和合同协议的合法性审核工作；承办区政府交办的涉法事务。</w:t>
      </w:r>
    </w:p>
    <w:p>
      <w:pPr>
        <w:pStyle w:val="19"/>
      </w:pPr>
      <w:r>
        <w:t>（四）承担统筹推进法治政府建设的责任。指导、监督政府各部门依法行政工作；负责综合协调行政执法，推进行政执法体制改革有关工作，推进严格规范公正文明执法；依法承办行政复议案件；受区政府委托，代理行政诉讼的应诉；指导、监督全区行政复议和行政应诉工作。</w:t>
      </w:r>
    </w:p>
    <w:p>
      <w:pPr>
        <w:pStyle w:val="19"/>
      </w:pPr>
      <w:r>
        <w:t>（五）承担统筹规划全区法治社会建设的责任。负责拟定全区法治宣传教育规划，组织实施普法宣传工作；负责全区依法治理和法治创建工作，推动全区人民参与和促进法治建设，负责全区调解工作，负责全区人民陪审员、人民监督员选任管理工作；负责管理和指导基层司法所工作。</w:t>
      </w:r>
    </w:p>
    <w:p>
      <w:pPr>
        <w:pStyle w:val="19"/>
      </w:pPr>
      <w:r>
        <w:t>（六）负责管理和指导全区社区矫正工作和刑满释放人员帮教安置工作。</w:t>
      </w:r>
    </w:p>
    <w:p>
      <w:pPr>
        <w:pStyle w:val="19"/>
      </w:pPr>
      <w:r>
        <w:t>（七）负责管理和指导全区律师、公证、法律援助、司法鉴定工作。</w:t>
      </w:r>
    </w:p>
    <w:p>
      <w:pPr>
        <w:pStyle w:val="19"/>
      </w:pPr>
      <w:r>
        <w:t>（八）规划、协调、指导全区法治人才队伍建设相关工作，负责全区司法行政系统队伍建设和思想政治工作。</w:t>
      </w:r>
    </w:p>
    <w:p>
      <w:pPr>
        <w:pStyle w:val="19"/>
      </w:pPr>
      <w:r>
        <w:t>（九）承办区委、区政府交办的其他事项。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石家庄市栾城区司法局</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河北省石家庄市栾城公证处</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石家庄市栾城区法律援助中心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pPr>
        <w:pStyle w:val="20"/>
      </w:pPr>
      <w:r>
        <w:t>按照预算管理有关规定，目前部门预算的编制实行综合预算管理，即全部收入和支出都反映在预算中。石家庄市栾城区司法局机关及所属事业单位的收支包含在部门预算中。</w:t>
      </w:r>
    </w:p>
    <w:p>
      <w:pPr>
        <w:pStyle w:val="20"/>
      </w:pPr>
      <w:r>
        <w:t>1、收入说明</w:t>
      </w:r>
    </w:p>
    <w:p>
      <w:pPr>
        <w:pStyle w:val="20"/>
      </w:pPr>
      <w:r>
        <w:t>反映本部门当年全部收入。2026年预算收入1230.20万元，其中：一般公共预算收入1230.20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石家庄市栾城区司法局年度部门预算中支出预算的总体情况。2026年支出预算1230.20万元，其中基本支出941.96万元，包括人员经费860.75万元和日常公用经费81.22万元；项目支出288.24万元，主要为办案经费、委托业务费、社区矫正经费、劳务派遣人员工资、离退休统筹外工资、丧葬费及抚恤金。</w:t>
      </w:r>
    </w:p>
    <w:p>
      <w:pPr>
        <w:pStyle w:val="20"/>
      </w:pPr>
      <w:r>
        <w:t>3、比上年增减情况</w:t>
      </w:r>
    </w:p>
    <w:p>
      <w:pPr>
        <w:pStyle w:val="20"/>
      </w:pPr>
      <w:r>
        <w:t>2026年预算收支安排1230.20万元，较2025年预算增加37.41万元，其中：基本支出减少1.78万元，主要为在职人员达到法定退休年龄，办理退休手续。项目支出增加39.20万元，主要为两名退休公务员死亡，需要发放抚恤金及丧葬费。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2026年，我部门机关运行经费共计安排81.22万元，主要用于日常维修、办公用房水电费、办公用房取暖费、办公用房物业管理费等日常运行支出。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6.98万元，其中因公出国（境）费0.00万元；公务用车购置及运维费6.98万元（其中：公务用车购置费为0.00万元，公务用车运维费6.98万元)；公务接待费0.00万元。与2025年相比减少0.22万元，减少的主要原因是落实过紧日子思想，压减三公经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根据《石家庄市栾城区司法局职能配置、内设机构和人员编制规定》，结合司法行政职能特点，栾城区司法局2026年部门绩效目标是：</w:t>
      </w:r>
    </w:p>
    <w:p>
      <w:pPr>
        <w:pStyle w:val="23"/>
      </w:pPr>
      <w:r>
        <w:t>以习近平新时代中国特色社会主义思想为指导，坚持党对司法行政工作的绝对领导，坚持以人民为中心发展思想，紧紧围绕区委、区政府工作部署，紧盯法治建设、经济大局、社会稳定和民生需求，充分履行“一个统筹、四大职能”工作职责，奋力开创司法行政工作新局面，为加快建设经济强区美丽栾城作出更大贡献。进一步加强法治建设方案实施，使我区服刑人员再犯罪率低于0.2%。法律服务热线“12348”接通率达到100%，法律服务热线的投诉率低于1%。开展各类主题普法宣传活动10次以上，健全网络公共法律服务平台体系，提供更高质量法律服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1、充分发挥依法治区办公室统筹协调作用</w:t>
      </w:r>
    </w:p>
    <w:p>
      <w:pPr>
        <w:pStyle w:val="24"/>
      </w:pPr>
      <w:r>
        <w:t>绩效目标：提升区委全面依法治区委员会工作规划和年度工作要点，做好中央、省、市、区法治重点工作的协调、督导、检查工作，打通执法、司法、守法各环节。</w:t>
      </w:r>
    </w:p>
    <w:p>
      <w:pPr>
        <w:pStyle w:val="24"/>
      </w:pPr>
      <w:r>
        <w:t>绩效指标：一是开展法治政府示范创建活动，培树一批工作典型，以重点领域、关键环节为抓手，带动全面依法治区工作的整体推进。二是加强培训学习，切实提高行政执法质量和水平，2026年对区直各部门行政执法人员培训不少于1000人次。三是以法治政府建设综合性督察为重点，2026年综合性督察不少于1次，对执法案卷评审不少于150本，及时了解全面依法治区工作进展中出现的问题，真正让法治督察立威、管用。四是对规范性文件的审核不少于30件，对区政府签订的重大合同、行政决策合法性审核不少于30件。</w:t>
      </w:r>
    </w:p>
    <w:p>
      <w:pPr>
        <w:pStyle w:val="24"/>
      </w:pPr>
      <w:r>
        <w:t>2、多措并举严格重点人群管理，确保安全稳定</w:t>
      </w:r>
    </w:p>
    <w:p>
      <w:pPr>
        <w:pStyle w:val="24"/>
      </w:pPr>
      <w:r>
        <w:t>绩效目标：加强社区矫正执法，有效防止脱管、漏管和重新违法犯罪，努力提高社区矫正工作质量，促进社区服刑人员顺利回归社会，促进社会和谐。</w:t>
      </w:r>
    </w:p>
    <w:p>
      <w:pPr>
        <w:pStyle w:val="24"/>
      </w:pPr>
      <w:r>
        <w:t>绩效指标：对全区服刑人员集中培训不少于1000人次，印发教材和宣传材料1500余册。通过社区矫正工作，使得服刑人员的再犯罪率低于0.2%，为维护社会稳定大局，发挥积极作用。</w:t>
      </w:r>
    </w:p>
    <w:p>
      <w:pPr>
        <w:pStyle w:val="24"/>
      </w:pPr>
      <w:r>
        <w:t>3、打造全业务、全时空的公共法律服务网络</w:t>
      </w:r>
    </w:p>
    <w:p>
      <w:pPr>
        <w:pStyle w:val="24"/>
      </w:pPr>
      <w:r>
        <w:t>绩效目标：聚焦经济发展和服务保障民生，着力推进公共法律服务体系建设提档升级。</w:t>
      </w:r>
    </w:p>
    <w:p>
      <w:pPr>
        <w:pStyle w:val="24"/>
      </w:pPr>
      <w:r>
        <w:t>绩效指标：一是规范区级公共法律服务实体平台建设，全面提升实体平台建设，加快公证、司法鉴定等法律服务资源入驻。二是进一步完善“12348”服务热线和“两个顾问”网络平台建设，群众服务满意率为90%以上。</w:t>
      </w:r>
    </w:p>
    <w:p>
      <w:pPr>
        <w:pStyle w:val="24"/>
      </w:pPr>
      <w:r>
        <w:t>4、认真抓好司法行政改革工作</w:t>
      </w:r>
    </w:p>
    <w:p>
      <w:pPr>
        <w:pStyle w:val="24"/>
      </w:pPr>
      <w:r>
        <w:t>绩效目标：着眼改革和基层基础建设，着力提升司法行政系统整体工作水平。</w:t>
      </w:r>
    </w:p>
    <w:p>
      <w:pPr>
        <w:pStyle w:val="24"/>
      </w:pPr>
      <w:r>
        <w:t>绩效指标：一是大力加强律师党建工作，进一步提升律所党支部规范化建设水平。二是进一步壮大律师队伍规模，培养和发展有影响力的律师和事务所，提升我区律师事务所竞争力。三是以“阵地化”促“规范化”，进一步加大工作推进力度。</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加强领导，完善制度建设。2026年我局根据区级部门预算绩效管理，完善预算绩效管理制度，科学设定绩效指标和目标，从源头上保障绩效管理的有效落实，制定各类资金使用和管理办法，确保资金支出有序进行，为全年预算绩效目标的实现奠定制度基础。</w:t>
      </w:r>
    </w:p>
    <w:p>
      <w:pPr>
        <w:pStyle w:val="25"/>
      </w:pPr>
      <w:r>
        <w:t>2、正规途径，优化支出管理。2026年，我局经费开支继续实行优化管理，在支出过程中加强内审、内控管理，对各项目经费进行全程监控和管理，优化经费开支项目，提高经费的使用率，以经费支出促工作效率。对重大支出决策、资产处置及其他重要业务事项的决策和执行进行督导。强化内部审计，配合各级各部门审计、财政监督，确保财政资金安全有效。</w:t>
      </w:r>
    </w:p>
    <w:p>
      <w:pPr>
        <w:pStyle w:val="25"/>
      </w:pPr>
      <w:r>
        <w:t>3、关注民生，高度重视公共法律服务体系建设。帮助人民群众解决遇到的法律问题，2026年，法律援助中心继续加强对“12348”法律服务热线的管理，提高律师答疑解惑的水平和能力，对值班律师加大培训力度。端正服务态度，提高服务热情。积极组织开展“送法进企”“送法进社区”“送法进校”活动，为民营企业发展营造良好的法治环境。</w:t>
      </w:r>
    </w:p>
    <w:p>
      <w:pPr>
        <w:pStyle w:val="25"/>
      </w:pPr>
      <w:r>
        <w:t>4、加强法治宣传教育。大力开展法治宣传，不断总结推广经验，让社会各界和广大群众了解司法行政工作职能，知晓获得公共法律服务的途径，提高公共法律服务的知晓率和认可度，能够及时便捷获取公共法律服务，形成全社会支持和共同参与公共法律服务体系建设的良好氛围。</w:t>
      </w:r>
    </w:p>
    <w:p>
      <w:pPr>
        <w:pStyle w:val="25"/>
      </w:pPr>
    </w:p>
    <w:p>
      <w:pPr>
        <w:spacing w:before="10" w:after="10" w:line="360" w:lineRule="auto"/>
        <w:ind w:firstLine="640" w:firstLineChars="200"/>
        <w:jc w:val="left"/>
        <w:outlineLvl w:val="2"/>
        <w:rPr>
          <w:rFonts w:ascii="黑体" w:hAnsi="黑体" w:eastAsia="黑体" w:cs="黑体"/>
          <w:color w:val="000000"/>
          <w:sz w:val="32"/>
        </w:rPr>
      </w:pPr>
      <w:r>
        <w:rPr>
          <w:rFonts w:ascii="黑体" w:hAnsi="黑体" w:eastAsia="黑体" w:cs="黑体"/>
          <w:color w:val="000000"/>
          <w:sz w:val="32"/>
        </w:rPr>
        <w:t>六、部门主管专项资金预算安排情况及绩效目标</w:t>
      </w:r>
    </w:p>
    <w:p>
      <w:pPr>
        <w:spacing w:before="10" w:after="10" w:line="360" w:lineRule="auto"/>
        <w:ind w:firstLine="640" w:firstLineChars="200"/>
        <w:jc w:val="left"/>
        <w:outlineLvl w:val="9"/>
        <w:sectPr>
          <w:pgSz w:w="16840" w:h="11900" w:orient="landscape"/>
          <w:pgMar w:top="1361" w:right="1020" w:bottom="1361" w:left="1020" w:header="720" w:footer="720" w:gutter="0"/>
        </w:sectPr>
      </w:pPr>
      <w:r>
        <w:rPr>
          <w:rFonts w:hint="eastAsia" w:ascii="黑体" w:hAnsi="黑体" w:eastAsia="黑体" w:cs="黑体"/>
          <w:color w:val="000000"/>
          <w:sz w:val="32"/>
          <w:lang w:val="en-US" w:eastAsia="zh-CN"/>
        </w:rPr>
        <w:t>无</w:t>
      </w:r>
    </w:p>
    <w:p>
      <w:pPr>
        <w:spacing w:before="10" w:after="10" w:line="360" w:lineRule="auto"/>
        <w:jc w:val="left"/>
        <w:outlineLvl w:val="2"/>
        <w:sectPr>
          <w:pgSz w:w="16840" w:h="11900" w:orient="landscape"/>
          <w:pgMar w:top="1361" w:right="1020" w:bottom="1134" w:left="1020" w:header="720" w:footer="720" w:gutter="0"/>
        </w:sectPr>
      </w:pPr>
      <w:bookmarkStart w:id="14" w:name="_Toc_3_3_0000000016"/>
      <w:r>
        <w:rPr>
          <w:rFonts w:ascii="黑体" w:hAnsi="黑体" w:eastAsia="黑体" w:cs="黑体"/>
          <w:color w:val="000000"/>
          <w:sz w:val="32"/>
        </w:rPr>
        <w:t>七、部门项目预算安排情况及绩效目标</w:t>
      </w:r>
      <w:bookmarkEnd w:id="14"/>
    </w:p>
    <w:p>
      <w:pPr>
        <w:spacing w:before="0" w:after="0"/>
        <w:ind w:firstLine="560"/>
        <w:jc w:val="left"/>
        <w:outlineLvl w:val="9"/>
      </w:pPr>
      <w:r>
        <w:rPr>
          <w:rFonts w:ascii="方正仿宋_GBK" w:hAnsi="方正仿宋_GBK" w:eastAsia="方正仿宋_GBK" w:cs="方正仿宋_GBK"/>
          <w:color w:val="000000"/>
          <w:sz w:val="28"/>
        </w:rPr>
        <w:t>1、抚恤金及丧葬费绩效目标表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13011126P00000410436B</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49.63</w:t>
            </w:r>
          </w:p>
        </w:tc>
        <w:tc>
          <w:tcPr>
            <w:tcW w:w="2835" w:type="dxa"/>
            <w:vAlign w:val="center"/>
          </w:tcPr>
          <w:p>
            <w:pPr>
              <w:pStyle w:val="12"/>
            </w:pPr>
            <w:r>
              <w:t>其中：财政    资金</w:t>
            </w:r>
          </w:p>
        </w:tc>
        <w:tc>
          <w:tcPr>
            <w:tcW w:w="2551" w:type="dxa"/>
            <w:vAlign w:val="center"/>
          </w:tcPr>
          <w:p>
            <w:pPr>
              <w:pStyle w:val="14"/>
            </w:pPr>
            <w:r>
              <w:t>49.63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根据相关文件及规定发放给死者家属的抚恤金及丧葬费。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12.50</w:t>
            </w:r>
          </w:p>
        </w:tc>
        <w:tc>
          <w:tcPr>
            <w:tcW w:w="2835" w:type="dxa"/>
            <w:vAlign w:val="center"/>
          </w:tcPr>
          <w:p>
            <w:pPr>
              <w:pStyle w:val="15"/>
            </w:pPr>
            <w:r>
              <w:t>25.00</w:t>
            </w:r>
          </w:p>
        </w:tc>
        <w:tc>
          <w:tcPr>
            <w:tcW w:w="2551" w:type="dxa"/>
            <w:vAlign w:val="center"/>
          </w:tcPr>
          <w:p>
            <w:pPr>
              <w:pStyle w:val="15"/>
            </w:pPr>
            <w:r>
              <w:t>37.50</w:t>
            </w:r>
          </w:p>
        </w:tc>
        <w:tc>
          <w:tcPr>
            <w:tcW w:w="3544" w:type="dxa"/>
            <w:gridSpan w:val="2"/>
            <w:vAlign w:val="center"/>
          </w:tcPr>
          <w:p>
            <w:pPr>
              <w:pStyle w:val="15"/>
            </w:pPr>
            <w:r>
              <w:t>49.63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1.按规定发放给死者家属的抚恤金及丧葬费。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完成及时率</w:t>
            </w:r>
          </w:p>
        </w:tc>
        <w:tc>
          <w:tcPr>
            <w:tcW w:w="5386" w:type="dxa"/>
            <w:vAlign w:val="center"/>
          </w:tcPr>
          <w:p>
            <w:pPr>
              <w:pStyle w:val="14"/>
            </w:pPr>
            <w:r>
              <w:t>完成及时率</w:t>
            </w:r>
          </w:p>
        </w:tc>
        <w:tc>
          <w:tcPr>
            <w:tcW w:w="2268" w:type="dxa"/>
            <w:vAlign w:val="center"/>
          </w:tcPr>
          <w:p>
            <w:pPr>
              <w:pStyle w:val="14"/>
            </w:pPr>
            <w:r>
              <w:t>按规定时间及时发放</w:t>
            </w:r>
          </w:p>
        </w:tc>
        <w:tc>
          <w:tcPr>
            <w:tcW w:w="1276" w:type="dxa"/>
            <w:vAlign w:val="center"/>
          </w:tcPr>
          <w:p>
            <w:pPr>
              <w:pStyle w:val="14"/>
            </w:pPr>
            <w:r>
              <w:t>实际情况</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2、关于提前下达2026年省级基层公检法司转移支付资金的通知（石财行[2025]40号）绩效目标表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13011126P00000410932B</w:t>
            </w:r>
          </w:p>
        </w:tc>
        <w:tc>
          <w:tcPr>
            <w:tcW w:w="2835" w:type="dxa"/>
            <w:vAlign w:val="center"/>
          </w:tcPr>
          <w:p>
            <w:pPr>
              <w:pStyle w:val="12"/>
            </w:pPr>
            <w:r>
              <w:t>项目名称</w:t>
            </w:r>
          </w:p>
        </w:tc>
        <w:tc>
          <w:tcPr>
            <w:tcW w:w="6095" w:type="dxa"/>
            <w:gridSpan w:val="3"/>
            <w:vAlign w:val="center"/>
          </w:tcPr>
          <w:p>
            <w:pPr>
              <w:pStyle w:val="14"/>
            </w:pPr>
            <w:r>
              <w:t>关于提前下达2026年省级基层公检法司转移支付资金的通知（石财行[2025]40号）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w:t>
            </w:r>
          </w:p>
        </w:tc>
        <w:tc>
          <w:tcPr>
            <w:tcW w:w="2835" w:type="dxa"/>
            <w:vAlign w:val="center"/>
          </w:tcPr>
          <w:p>
            <w:pPr>
              <w:pStyle w:val="12"/>
            </w:pPr>
            <w:r>
              <w:t>其中：财政    资金</w:t>
            </w:r>
          </w:p>
        </w:tc>
        <w:tc>
          <w:tcPr>
            <w:tcW w:w="2551" w:type="dxa"/>
            <w:vAlign w:val="center"/>
          </w:tcPr>
          <w:p>
            <w:pPr>
              <w:pStyle w:val="14"/>
            </w:pPr>
            <w:r>
              <w:t>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保障司法行政工作的正常开展。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2.25</w:t>
            </w:r>
          </w:p>
        </w:tc>
        <w:tc>
          <w:tcPr>
            <w:tcW w:w="2835" w:type="dxa"/>
            <w:vAlign w:val="center"/>
          </w:tcPr>
          <w:p>
            <w:pPr>
              <w:pStyle w:val="15"/>
            </w:pPr>
            <w:r>
              <w:t>4.50</w:t>
            </w:r>
          </w:p>
        </w:tc>
        <w:tc>
          <w:tcPr>
            <w:tcW w:w="2551" w:type="dxa"/>
            <w:vAlign w:val="center"/>
          </w:tcPr>
          <w:p>
            <w:pPr>
              <w:pStyle w:val="15"/>
            </w:pPr>
            <w:r>
              <w:t>6.75</w:t>
            </w:r>
          </w:p>
        </w:tc>
        <w:tc>
          <w:tcPr>
            <w:tcW w:w="3544" w:type="dxa"/>
            <w:gridSpan w:val="2"/>
            <w:vAlign w:val="center"/>
          </w:tcPr>
          <w:p>
            <w:pPr>
              <w:pStyle w:val="15"/>
            </w:pPr>
            <w:r>
              <w:t>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1.保障司法行政工作的正常开展。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是否及时支付</w:t>
            </w:r>
          </w:p>
        </w:tc>
        <w:tc>
          <w:tcPr>
            <w:tcW w:w="1276" w:type="dxa"/>
            <w:vAlign w:val="center"/>
          </w:tcPr>
          <w:p>
            <w:pPr>
              <w:pStyle w:val="14"/>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稳步提升</w:t>
            </w:r>
          </w:p>
        </w:tc>
        <w:tc>
          <w:tcPr>
            <w:tcW w:w="1276" w:type="dxa"/>
            <w:vAlign w:val="center"/>
          </w:tcPr>
          <w:p>
            <w:pPr>
              <w:pStyle w:val="14"/>
            </w:pPr>
            <w:r>
              <w:t>工作实际</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3、关于提前下达2026年省级社区矫正补助资金的通知（石财行[2025]32号）绩效目标表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13011126P000004109304</w:t>
            </w:r>
          </w:p>
        </w:tc>
        <w:tc>
          <w:tcPr>
            <w:tcW w:w="2835" w:type="dxa"/>
            <w:vAlign w:val="center"/>
          </w:tcPr>
          <w:p>
            <w:pPr>
              <w:pStyle w:val="12"/>
            </w:pPr>
            <w:r>
              <w:t>项目名称</w:t>
            </w:r>
          </w:p>
        </w:tc>
        <w:tc>
          <w:tcPr>
            <w:tcW w:w="6095" w:type="dxa"/>
            <w:gridSpan w:val="3"/>
            <w:vAlign w:val="center"/>
          </w:tcPr>
          <w:p>
            <w:pPr>
              <w:pStyle w:val="14"/>
            </w:pPr>
            <w:r>
              <w:t>关于提前下达2026年省级社区矫正补助资金的通知（石财行[2025]32号）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9.81</w:t>
            </w:r>
          </w:p>
        </w:tc>
        <w:tc>
          <w:tcPr>
            <w:tcW w:w="2835" w:type="dxa"/>
            <w:vAlign w:val="center"/>
          </w:tcPr>
          <w:p>
            <w:pPr>
              <w:pStyle w:val="12"/>
            </w:pPr>
            <w:r>
              <w:t>其中：财政    资金</w:t>
            </w:r>
          </w:p>
        </w:tc>
        <w:tc>
          <w:tcPr>
            <w:tcW w:w="2551" w:type="dxa"/>
            <w:vAlign w:val="center"/>
          </w:tcPr>
          <w:p>
            <w:pPr>
              <w:pStyle w:val="14"/>
            </w:pPr>
            <w:r>
              <w:t>9.81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保障社区矫正业务工作的正常开展。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w:t>
            </w:r>
          </w:p>
        </w:tc>
        <w:tc>
          <w:tcPr>
            <w:tcW w:w="2835" w:type="dxa"/>
            <w:vAlign w:val="center"/>
          </w:tcPr>
          <w:p>
            <w:pPr>
              <w:pStyle w:val="15"/>
            </w:pPr>
            <w:r>
              <w:t>5.00</w:t>
            </w:r>
          </w:p>
        </w:tc>
        <w:tc>
          <w:tcPr>
            <w:tcW w:w="2551" w:type="dxa"/>
            <w:vAlign w:val="center"/>
          </w:tcPr>
          <w:p>
            <w:pPr>
              <w:pStyle w:val="15"/>
            </w:pPr>
            <w:r>
              <w:t>7.50</w:t>
            </w:r>
          </w:p>
        </w:tc>
        <w:tc>
          <w:tcPr>
            <w:tcW w:w="3544" w:type="dxa"/>
            <w:gridSpan w:val="2"/>
            <w:vAlign w:val="center"/>
          </w:tcPr>
          <w:p>
            <w:pPr>
              <w:pStyle w:val="15"/>
            </w:pPr>
            <w:r>
              <w:t>9.81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1.保障社区矫正业务工作的正常开展。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社区矫正人数</w:t>
            </w:r>
          </w:p>
        </w:tc>
        <w:tc>
          <w:tcPr>
            <w:tcW w:w="5386" w:type="dxa"/>
            <w:vAlign w:val="center"/>
          </w:tcPr>
          <w:p>
            <w:pPr>
              <w:pStyle w:val="14"/>
            </w:pPr>
            <w:r>
              <w:t>社区矫正人数</w:t>
            </w:r>
          </w:p>
        </w:tc>
        <w:tc>
          <w:tcPr>
            <w:tcW w:w="2268" w:type="dxa"/>
            <w:vAlign w:val="center"/>
          </w:tcPr>
          <w:p>
            <w:pPr>
              <w:pStyle w:val="14"/>
            </w:pPr>
            <w:r>
              <w:t>≥100人</w:t>
            </w:r>
          </w:p>
        </w:tc>
        <w:tc>
          <w:tcPr>
            <w:tcW w:w="1276" w:type="dxa"/>
            <w:vAlign w:val="center"/>
          </w:tcPr>
          <w:p>
            <w:pPr>
              <w:pStyle w:val="14"/>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再犯罪减低率</w:t>
            </w:r>
          </w:p>
        </w:tc>
        <w:tc>
          <w:tcPr>
            <w:tcW w:w="5386" w:type="dxa"/>
            <w:vAlign w:val="center"/>
          </w:tcPr>
          <w:p>
            <w:pPr>
              <w:pStyle w:val="14"/>
            </w:pPr>
            <w:r>
              <w:t>再犯罪减低率</w:t>
            </w:r>
          </w:p>
        </w:tc>
        <w:tc>
          <w:tcPr>
            <w:tcW w:w="2268" w:type="dxa"/>
            <w:vAlign w:val="center"/>
          </w:tcPr>
          <w:p>
            <w:pPr>
              <w:pStyle w:val="14"/>
            </w:pPr>
            <w:r>
              <w:t>≥90百分比</w:t>
            </w:r>
          </w:p>
        </w:tc>
        <w:tc>
          <w:tcPr>
            <w:tcW w:w="1276" w:type="dxa"/>
            <w:vAlign w:val="center"/>
          </w:tcPr>
          <w:p>
            <w:pPr>
              <w:pStyle w:val="14"/>
            </w:pPr>
            <w:r>
              <w:t>实际情况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4、关于提前下达2026年中央政法纪检监察转移支付资金预算的通知（石财行[2025]39号）绩效目标表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13011126P00000410933Y</w:t>
            </w:r>
          </w:p>
        </w:tc>
        <w:tc>
          <w:tcPr>
            <w:tcW w:w="2835" w:type="dxa"/>
            <w:vAlign w:val="center"/>
          </w:tcPr>
          <w:p>
            <w:pPr>
              <w:pStyle w:val="12"/>
            </w:pPr>
            <w:r>
              <w:t>项目名称</w:t>
            </w:r>
          </w:p>
        </w:tc>
        <w:tc>
          <w:tcPr>
            <w:tcW w:w="6095" w:type="dxa"/>
            <w:gridSpan w:val="3"/>
            <w:vAlign w:val="center"/>
          </w:tcPr>
          <w:p>
            <w:pPr>
              <w:pStyle w:val="14"/>
            </w:pPr>
            <w:r>
              <w:t>关于提前下达2026年中央政法纪检监察转移支付资金预算的通知（石财行[2025]39号）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57.00</w:t>
            </w:r>
          </w:p>
        </w:tc>
        <w:tc>
          <w:tcPr>
            <w:tcW w:w="2835" w:type="dxa"/>
            <w:vAlign w:val="center"/>
          </w:tcPr>
          <w:p>
            <w:pPr>
              <w:pStyle w:val="12"/>
            </w:pPr>
            <w:r>
              <w:t>其中：财政    资金</w:t>
            </w:r>
          </w:p>
        </w:tc>
        <w:tc>
          <w:tcPr>
            <w:tcW w:w="2551" w:type="dxa"/>
            <w:vAlign w:val="center"/>
          </w:tcPr>
          <w:p>
            <w:pPr>
              <w:pStyle w:val="14"/>
            </w:pPr>
            <w:r>
              <w:t>57.00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保障司法行政工作的正常开展。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14.25</w:t>
            </w:r>
          </w:p>
        </w:tc>
        <w:tc>
          <w:tcPr>
            <w:tcW w:w="2835" w:type="dxa"/>
            <w:vAlign w:val="center"/>
          </w:tcPr>
          <w:p>
            <w:pPr>
              <w:pStyle w:val="15"/>
            </w:pPr>
            <w:r>
              <w:t>28.50</w:t>
            </w:r>
          </w:p>
        </w:tc>
        <w:tc>
          <w:tcPr>
            <w:tcW w:w="2551" w:type="dxa"/>
            <w:vAlign w:val="center"/>
          </w:tcPr>
          <w:p>
            <w:pPr>
              <w:pStyle w:val="15"/>
            </w:pPr>
            <w:r>
              <w:t>42.75</w:t>
            </w:r>
          </w:p>
        </w:tc>
        <w:tc>
          <w:tcPr>
            <w:tcW w:w="3544" w:type="dxa"/>
            <w:gridSpan w:val="2"/>
            <w:vAlign w:val="center"/>
          </w:tcPr>
          <w:p>
            <w:pPr>
              <w:pStyle w:val="15"/>
            </w:pPr>
            <w:r>
              <w:t>57.00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1.保障司法行政工作的正常开展。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控制在合理范围内</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工作正常开展</w:t>
            </w:r>
          </w:p>
        </w:tc>
        <w:tc>
          <w:tcPr>
            <w:tcW w:w="1276" w:type="dxa"/>
            <w:vAlign w:val="center"/>
          </w:tcPr>
          <w:p>
            <w:pPr>
              <w:pStyle w:val="14"/>
            </w:pPr>
            <w:r>
              <w:t>实际工作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5、关于提前下达2026年中央政法纪检监察转移支付资金预算的通知（石财行[2025]39号）绩效目标表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13011126P00000410934J</w:t>
            </w:r>
          </w:p>
        </w:tc>
        <w:tc>
          <w:tcPr>
            <w:tcW w:w="2835" w:type="dxa"/>
            <w:vAlign w:val="center"/>
          </w:tcPr>
          <w:p>
            <w:pPr>
              <w:pStyle w:val="12"/>
            </w:pPr>
            <w:r>
              <w:t>项目名称</w:t>
            </w:r>
          </w:p>
        </w:tc>
        <w:tc>
          <w:tcPr>
            <w:tcW w:w="6095" w:type="dxa"/>
            <w:gridSpan w:val="3"/>
            <w:vAlign w:val="center"/>
          </w:tcPr>
          <w:p>
            <w:pPr>
              <w:pStyle w:val="14"/>
            </w:pPr>
            <w:r>
              <w:t>关于提前下达2026年中央政法纪检监察转移支付资金预算的通知（石财行[2025]39号）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21.00</w:t>
            </w:r>
          </w:p>
        </w:tc>
        <w:tc>
          <w:tcPr>
            <w:tcW w:w="2835" w:type="dxa"/>
            <w:vAlign w:val="center"/>
          </w:tcPr>
          <w:p>
            <w:pPr>
              <w:pStyle w:val="12"/>
            </w:pPr>
            <w:r>
              <w:t>其中：财政    资金</w:t>
            </w:r>
          </w:p>
        </w:tc>
        <w:tc>
          <w:tcPr>
            <w:tcW w:w="2551" w:type="dxa"/>
            <w:vAlign w:val="center"/>
          </w:tcPr>
          <w:p>
            <w:pPr>
              <w:pStyle w:val="14"/>
            </w:pPr>
            <w:r>
              <w:t>21.00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保障司法行政工作的正常开展。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5.25</w:t>
            </w:r>
          </w:p>
        </w:tc>
        <w:tc>
          <w:tcPr>
            <w:tcW w:w="2835" w:type="dxa"/>
            <w:vAlign w:val="center"/>
          </w:tcPr>
          <w:p>
            <w:pPr>
              <w:pStyle w:val="15"/>
            </w:pPr>
            <w:r>
              <w:t>10.50</w:t>
            </w:r>
          </w:p>
        </w:tc>
        <w:tc>
          <w:tcPr>
            <w:tcW w:w="2551" w:type="dxa"/>
            <w:vAlign w:val="center"/>
          </w:tcPr>
          <w:p>
            <w:pPr>
              <w:pStyle w:val="15"/>
            </w:pPr>
            <w:r>
              <w:t>15.75</w:t>
            </w:r>
          </w:p>
        </w:tc>
        <w:tc>
          <w:tcPr>
            <w:tcW w:w="3544" w:type="dxa"/>
            <w:gridSpan w:val="2"/>
            <w:vAlign w:val="center"/>
          </w:tcPr>
          <w:p>
            <w:pPr>
              <w:pStyle w:val="15"/>
            </w:pPr>
            <w:r>
              <w:t>21.00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1.保障司法行政工作的正常开展。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控制在预算成本内</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工作正常开展</w:t>
            </w:r>
          </w:p>
        </w:tc>
        <w:tc>
          <w:tcPr>
            <w:tcW w:w="1276" w:type="dxa"/>
            <w:vAlign w:val="center"/>
          </w:tcPr>
          <w:p>
            <w:pPr>
              <w:pStyle w:val="14"/>
            </w:pPr>
            <w:r>
              <w:t>工作实际</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6、结转2025年度省级基层公检法司转移支付资金的通知（石财行[2024]38号）绩效目标表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13011126P00000410116P</w:t>
            </w:r>
          </w:p>
        </w:tc>
        <w:tc>
          <w:tcPr>
            <w:tcW w:w="2835" w:type="dxa"/>
            <w:vAlign w:val="center"/>
          </w:tcPr>
          <w:p>
            <w:pPr>
              <w:pStyle w:val="12"/>
            </w:pPr>
            <w:r>
              <w:t>项目名称</w:t>
            </w:r>
          </w:p>
        </w:tc>
        <w:tc>
          <w:tcPr>
            <w:tcW w:w="6095" w:type="dxa"/>
            <w:gridSpan w:val="3"/>
            <w:vAlign w:val="center"/>
          </w:tcPr>
          <w:p>
            <w:pPr>
              <w:pStyle w:val="14"/>
            </w:pPr>
            <w:r>
              <w:t>结转2025年度省级基层公检法司转移支付资金的通知（石财行[2024]38号）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主要用于开展业务工作时的设备购置。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1.25</w:t>
            </w:r>
          </w:p>
        </w:tc>
        <w:tc>
          <w:tcPr>
            <w:tcW w:w="2835" w:type="dxa"/>
            <w:vAlign w:val="center"/>
          </w:tcPr>
          <w:p>
            <w:pPr>
              <w:pStyle w:val="15"/>
            </w:pPr>
            <w:r>
              <w:t>2.50</w:t>
            </w:r>
          </w:p>
        </w:tc>
        <w:tc>
          <w:tcPr>
            <w:tcW w:w="2551" w:type="dxa"/>
            <w:vAlign w:val="center"/>
          </w:tcPr>
          <w:p>
            <w:pPr>
              <w:pStyle w:val="15"/>
            </w:pPr>
            <w:r>
              <w:t>3.75</w:t>
            </w:r>
          </w:p>
        </w:tc>
        <w:tc>
          <w:tcPr>
            <w:tcW w:w="3544" w:type="dxa"/>
            <w:gridSpan w:val="2"/>
            <w:vAlign w:val="center"/>
          </w:tcPr>
          <w:p>
            <w:pPr>
              <w:pStyle w:val="15"/>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1.主要用于开展业务工作时的设备购置。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是否及时支付</w:t>
            </w:r>
          </w:p>
        </w:tc>
        <w:tc>
          <w:tcPr>
            <w:tcW w:w="1276" w:type="dxa"/>
            <w:vAlign w:val="center"/>
          </w:tcPr>
          <w:p>
            <w:pPr>
              <w:pStyle w:val="14"/>
            </w:pPr>
            <w:r>
              <w:t>根据实际工作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政法经费保障水平</w:t>
            </w:r>
          </w:p>
        </w:tc>
        <w:tc>
          <w:tcPr>
            <w:tcW w:w="5386" w:type="dxa"/>
            <w:vAlign w:val="center"/>
          </w:tcPr>
          <w:p>
            <w:pPr>
              <w:pStyle w:val="14"/>
            </w:pPr>
            <w:r>
              <w:t>政法经费保障水平</w:t>
            </w:r>
          </w:p>
        </w:tc>
        <w:tc>
          <w:tcPr>
            <w:tcW w:w="2268" w:type="dxa"/>
            <w:vAlign w:val="center"/>
          </w:tcPr>
          <w:p>
            <w:pPr>
              <w:pStyle w:val="14"/>
            </w:pPr>
            <w:r>
              <w:t>稳步提升</w:t>
            </w:r>
          </w:p>
        </w:tc>
        <w:tc>
          <w:tcPr>
            <w:tcW w:w="1276" w:type="dxa"/>
            <w:vAlign w:val="center"/>
          </w:tcPr>
          <w:p>
            <w:pPr>
              <w:pStyle w:val="14"/>
            </w:pPr>
            <w:r>
              <w:t>根据实际工作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7、结转2025年社区矫正专项经费预算指标的通知（石财行[2025]1号）绩效目标表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13011126P00000410121H</w:t>
            </w:r>
          </w:p>
        </w:tc>
        <w:tc>
          <w:tcPr>
            <w:tcW w:w="2835" w:type="dxa"/>
            <w:vAlign w:val="center"/>
          </w:tcPr>
          <w:p>
            <w:pPr>
              <w:pStyle w:val="12"/>
            </w:pPr>
            <w:r>
              <w:t>项目名称</w:t>
            </w:r>
          </w:p>
        </w:tc>
        <w:tc>
          <w:tcPr>
            <w:tcW w:w="6095" w:type="dxa"/>
            <w:gridSpan w:val="3"/>
            <w:vAlign w:val="center"/>
          </w:tcPr>
          <w:p>
            <w:pPr>
              <w:pStyle w:val="14"/>
            </w:pPr>
            <w:r>
              <w:t>结转2025年社区矫正专项经费预算指标的通知（石财行[2025]1号）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4.50</w:t>
            </w:r>
          </w:p>
        </w:tc>
        <w:tc>
          <w:tcPr>
            <w:tcW w:w="2835" w:type="dxa"/>
            <w:vAlign w:val="center"/>
          </w:tcPr>
          <w:p>
            <w:pPr>
              <w:pStyle w:val="12"/>
            </w:pPr>
            <w:r>
              <w:t>其中：财政    资金</w:t>
            </w:r>
          </w:p>
        </w:tc>
        <w:tc>
          <w:tcPr>
            <w:tcW w:w="2551" w:type="dxa"/>
            <w:vAlign w:val="center"/>
          </w:tcPr>
          <w:p>
            <w:pPr>
              <w:pStyle w:val="14"/>
            </w:pPr>
            <w:r>
              <w:t>4.50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保障社区矫正工作的正常开展。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1.13</w:t>
            </w:r>
          </w:p>
        </w:tc>
        <w:tc>
          <w:tcPr>
            <w:tcW w:w="2835" w:type="dxa"/>
            <w:vAlign w:val="center"/>
          </w:tcPr>
          <w:p>
            <w:pPr>
              <w:pStyle w:val="15"/>
            </w:pPr>
            <w:r>
              <w:t>2.25</w:t>
            </w:r>
          </w:p>
        </w:tc>
        <w:tc>
          <w:tcPr>
            <w:tcW w:w="2551" w:type="dxa"/>
            <w:vAlign w:val="center"/>
          </w:tcPr>
          <w:p>
            <w:pPr>
              <w:pStyle w:val="15"/>
            </w:pPr>
            <w:r>
              <w:t>3.38</w:t>
            </w:r>
          </w:p>
        </w:tc>
        <w:tc>
          <w:tcPr>
            <w:tcW w:w="3544" w:type="dxa"/>
            <w:gridSpan w:val="2"/>
            <w:vAlign w:val="center"/>
          </w:tcPr>
          <w:p>
            <w:pPr>
              <w:pStyle w:val="15"/>
            </w:pPr>
            <w:r>
              <w:t>4.50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1.保障社区矫正工作的正常开展。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社区矫正人数</w:t>
            </w:r>
          </w:p>
        </w:tc>
        <w:tc>
          <w:tcPr>
            <w:tcW w:w="5386" w:type="dxa"/>
            <w:vAlign w:val="center"/>
          </w:tcPr>
          <w:p>
            <w:pPr>
              <w:pStyle w:val="14"/>
            </w:pPr>
            <w:r>
              <w:t>社区矫正人数</w:t>
            </w:r>
          </w:p>
        </w:tc>
        <w:tc>
          <w:tcPr>
            <w:tcW w:w="2268" w:type="dxa"/>
            <w:vAlign w:val="center"/>
          </w:tcPr>
          <w:p>
            <w:pPr>
              <w:pStyle w:val="14"/>
            </w:pPr>
            <w:r>
              <w:t>≥100人</w:t>
            </w:r>
          </w:p>
        </w:tc>
        <w:tc>
          <w:tcPr>
            <w:tcW w:w="1276" w:type="dxa"/>
            <w:vAlign w:val="center"/>
          </w:tcPr>
          <w:p>
            <w:pPr>
              <w:pStyle w:val="14"/>
            </w:pPr>
            <w:r>
              <w:t>依据实际情况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人员重新犯罪率</w:t>
            </w:r>
          </w:p>
        </w:tc>
        <w:tc>
          <w:tcPr>
            <w:tcW w:w="5386" w:type="dxa"/>
            <w:vAlign w:val="center"/>
          </w:tcPr>
          <w:p>
            <w:pPr>
              <w:pStyle w:val="14"/>
            </w:pPr>
            <w:r>
              <w:t>人员重新犯罪率</w:t>
            </w:r>
          </w:p>
        </w:tc>
        <w:tc>
          <w:tcPr>
            <w:tcW w:w="2268" w:type="dxa"/>
            <w:vAlign w:val="center"/>
          </w:tcPr>
          <w:p>
            <w:pPr>
              <w:pStyle w:val="14"/>
            </w:pPr>
            <w:r>
              <w:t>≤5百分比</w:t>
            </w:r>
          </w:p>
        </w:tc>
        <w:tc>
          <w:tcPr>
            <w:tcW w:w="1276" w:type="dxa"/>
            <w:vAlign w:val="center"/>
          </w:tcPr>
          <w:p>
            <w:pPr>
              <w:pStyle w:val="14"/>
            </w:pPr>
            <w:r>
              <w:t>依据实际情况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8、结转2025年中央政法纪检监察转移支付资金的通知（石财行[2024]37号）绩效目标表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13011126P00000410117B</w:t>
            </w:r>
          </w:p>
        </w:tc>
        <w:tc>
          <w:tcPr>
            <w:tcW w:w="2835" w:type="dxa"/>
            <w:vAlign w:val="center"/>
          </w:tcPr>
          <w:p>
            <w:pPr>
              <w:pStyle w:val="12"/>
            </w:pPr>
            <w:r>
              <w:t>项目名称</w:t>
            </w:r>
          </w:p>
        </w:tc>
        <w:tc>
          <w:tcPr>
            <w:tcW w:w="6095" w:type="dxa"/>
            <w:gridSpan w:val="3"/>
            <w:vAlign w:val="center"/>
          </w:tcPr>
          <w:p>
            <w:pPr>
              <w:pStyle w:val="14"/>
            </w:pPr>
            <w:r>
              <w:t>结转2025年中央政法纪检监察转移支付资金的通知（石财行[2024]37号）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14.50</w:t>
            </w:r>
          </w:p>
        </w:tc>
        <w:tc>
          <w:tcPr>
            <w:tcW w:w="2835" w:type="dxa"/>
            <w:vAlign w:val="center"/>
          </w:tcPr>
          <w:p>
            <w:pPr>
              <w:pStyle w:val="12"/>
            </w:pPr>
            <w:r>
              <w:t>其中：财政    资金</w:t>
            </w:r>
          </w:p>
        </w:tc>
        <w:tc>
          <w:tcPr>
            <w:tcW w:w="2551" w:type="dxa"/>
            <w:vAlign w:val="center"/>
          </w:tcPr>
          <w:p>
            <w:pPr>
              <w:pStyle w:val="14"/>
            </w:pPr>
            <w:r>
              <w:t>14.50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用于办公设备的购置，以确保工作的正常开展。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3.63</w:t>
            </w:r>
          </w:p>
        </w:tc>
        <w:tc>
          <w:tcPr>
            <w:tcW w:w="2835" w:type="dxa"/>
            <w:vAlign w:val="center"/>
          </w:tcPr>
          <w:p>
            <w:pPr>
              <w:pStyle w:val="15"/>
            </w:pPr>
            <w:r>
              <w:t>7.25</w:t>
            </w:r>
          </w:p>
        </w:tc>
        <w:tc>
          <w:tcPr>
            <w:tcW w:w="2551" w:type="dxa"/>
            <w:vAlign w:val="center"/>
          </w:tcPr>
          <w:p>
            <w:pPr>
              <w:pStyle w:val="15"/>
            </w:pPr>
            <w:r>
              <w:t>10.88</w:t>
            </w:r>
          </w:p>
        </w:tc>
        <w:tc>
          <w:tcPr>
            <w:tcW w:w="3544" w:type="dxa"/>
            <w:gridSpan w:val="2"/>
            <w:vAlign w:val="center"/>
          </w:tcPr>
          <w:p>
            <w:pPr>
              <w:pStyle w:val="15"/>
            </w:pPr>
            <w:r>
              <w:t>14.50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1.主要用于开展业务时的设备购置。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支付及时性</w:t>
            </w:r>
          </w:p>
        </w:tc>
        <w:tc>
          <w:tcPr>
            <w:tcW w:w="1276" w:type="dxa"/>
            <w:vAlign w:val="center"/>
          </w:tcPr>
          <w:p>
            <w:pPr>
              <w:pStyle w:val="14"/>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政法经费保障水平</w:t>
            </w:r>
          </w:p>
        </w:tc>
        <w:tc>
          <w:tcPr>
            <w:tcW w:w="5386" w:type="dxa"/>
            <w:vAlign w:val="center"/>
          </w:tcPr>
          <w:p>
            <w:pPr>
              <w:pStyle w:val="14"/>
            </w:pPr>
            <w:r>
              <w:t>政法经费保障水平</w:t>
            </w:r>
          </w:p>
        </w:tc>
        <w:tc>
          <w:tcPr>
            <w:tcW w:w="2268" w:type="dxa"/>
            <w:vAlign w:val="center"/>
          </w:tcPr>
          <w:p>
            <w:pPr>
              <w:pStyle w:val="14"/>
            </w:pPr>
            <w:r>
              <w:t>稳步提升</w:t>
            </w:r>
          </w:p>
        </w:tc>
        <w:tc>
          <w:tcPr>
            <w:tcW w:w="1276" w:type="dxa"/>
            <w:vAlign w:val="center"/>
          </w:tcPr>
          <w:p>
            <w:pPr>
              <w:pStyle w:val="14"/>
            </w:pPr>
            <w:r>
              <w:t>根据工作实际</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9、结转2025年中央政法纪检监察转移支付资金的通知（石财行[2024]37号）绩效目标表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13011126P00000410118Y</w:t>
            </w:r>
          </w:p>
        </w:tc>
        <w:tc>
          <w:tcPr>
            <w:tcW w:w="2835" w:type="dxa"/>
            <w:vAlign w:val="center"/>
          </w:tcPr>
          <w:p>
            <w:pPr>
              <w:pStyle w:val="12"/>
            </w:pPr>
            <w:r>
              <w:t>项目名称</w:t>
            </w:r>
          </w:p>
        </w:tc>
        <w:tc>
          <w:tcPr>
            <w:tcW w:w="6095" w:type="dxa"/>
            <w:gridSpan w:val="3"/>
            <w:vAlign w:val="center"/>
          </w:tcPr>
          <w:p>
            <w:pPr>
              <w:pStyle w:val="14"/>
            </w:pPr>
            <w:r>
              <w:t>结转2025年中央政法纪检监察转移支付资金的通知（石财行[2024]37号）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3.59</w:t>
            </w:r>
          </w:p>
        </w:tc>
        <w:tc>
          <w:tcPr>
            <w:tcW w:w="2835" w:type="dxa"/>
            <w:vAlign w:val="center"/>
          </w:tcPr>
          <w:p>
            <w:pPr>
              <w:pStyle w:val="12"/>
            </w:pPr>
            <w:r>
              <w:t>其中：财政    资金</w:t>
            </w:r>
          </w:p>
        </w:tc>
        <w:tc>
          <w:tcPr>
            <w:tcW w:w="2551" w:type="dxa"/>
            <w:vAlign w:val="center"/>
          </w:tcPr>
          <w:p>
            <w:pPr>
              <w:pStyle w:val="14"/>
            </w:pPr>
            <w:r>
              <w:t>3.59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此项经费用于办公经费的支出，保障司法行政工作的有序开展。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2.00</w:t>
            </w:r>
          </w:p>
        </w:tc>
        <w:tc>
          <w:tcPr>
            <w:tcW w:w="2551" w:type="dxa"/>
            <w:vAlign w:val="center"/>
          </w:tcPr>
          <w:p>
            <w:pPr>
              <w:pStyle w:val="15"/>
            </w:pPr>
            <w:r>
              <w:t>3.00</w:t>
            </w:r>
          </w:p>
        </w:tc>
        <w:tc>
          <w:tcPr>
            <w:tcW w:w="3544" w:type="dxa"/>
            <w:gridSpan w:val="2"/>
            <w:vAlign w:val="center"/>
          </w:tcPr>
          <w:p>
            <w:pPr>
              <w:pStyle w:val="15"/>
            </w:pPr>
            <w:r>
              <w:t>3.59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1.保障司法行政工作的正常开展。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项目预算控制数</w:t>
            </w:r>
          </w:p>
        </w:tc>
        <w:tc>
          <w:tcPr>
            <w:tcW w:w="2268" w:type="dxa"/>
            <w:vAlign w:val="center"/>
          </w:tcPr>
          <w:p>
            <w:pPr>
              <w:pStyle w:val="14"/>
            </w:pPr>
            <w:r>
              <w:t>成本控制在合理范围内</w:t>
            </w:r>
          </w:p>
        </w:tc>
        <w:tc>
          <w:tcPr>
            <w:tcW w:w="1276" w:type="dxa"/>
            <w:vAlign w:val="center"/>
          </w:tcPr>
          <w:p>
            <w:pPr>
              <w:pStyle w:val="14"/>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司法行政工作顺利开展</w:t>
            </w:r>
          </w:p>
        </w:tc>
        <w:tc>
          <w:tcPr>
            <w:tcW w:w="1276" w:type="dxa"/>
            <w:vAlign w:val="center"/>
          </w:tcPr>
          <w:p>
            <w:pPr>
              <w:pStyle w:val="14"/>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≥85百分比</w:t>
            </w:r>
          </w:p>
        </w:tc>
        <w:tc>
          <w:tcPr>
            <w:tcW w:w="1276" w:type="dxa"/>
            <w:vAlign w:val="center"/>
          </w:tcPr>
          <w:p>
            <w:pPr>
              <w:pStyle w:val="14"/>
            </w:pPr>
            <w:r>
              <w:t>根据服务群众满意度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10、结转2025年中央政法纪检监察转移支付资金的通知（石财行[2024]37号）绩效目标表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13011126P00000410119J</w:t>
            </w:r>
          </w:p>
        </w:tc>
        <w:tc>
          <w:tcPr>
            <w:tcW w:w="2835" w:type="dxa"/>
            <w:vAlign w:val="center"/>
          </w:tcPr>
          <w:p>
            <w:pPr>
              <w:pStyle w:val="12"/>
            </w:pPr>
            <w:r>
              <w:t>项目名称</w:t>
            </w:r>
          </w:p>
        </w:tc>
        <w:tc>
          <w:tcPr>
            <w:tcW w:w="6095" w:type="dxa"/>
            <w:gridSpan w:val="3"/>
            <w:vAlign w:val="center"/>
          </w:tcPr>
          <w:p>
            <w:pPr>
              <w:pStyle w:val="14"/>
            </w:pPr>
            <w:r>
              <w:t>结转2025年中央政法纪检监察转移支付资金的通知（石财行[2024]37号）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w:t>
            </w:r>
          </w:p>
        </w:tc>
        <w:tc>
          <w:tcPr>
            <w:tcW w:w="2835" w:type="dxa"/>
            <w:vAlign w:val="center"/>
          </w:tcPr>
          <w:p>
            <w:pPr>
              <w:pStyle w:val="12"/>
            </w:pPr>
            <w:r>
              <w:t>其中：财政    资金</w:t>
            </w:r>
          </w:p>
        </w:tc>
        <w:tc>
          <w:tcPr>
            <w:tcW w:w="2551" w:type="dxa"/>
            <w:vAlign w:val="center"/>
          </w:tcPr>
          <w:p>
            <w:pPr>
              <w:pStyle w:val="14"/>
            </w:pPr>
            <w:r>
              <w:t>1.50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用于开展工作时办公设备的购置。</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0.38</w:t>
            </w:r>
          </w:p>
        </w:tc>
        <w:tc>
          <w:tcPr>
            <w:tcW w:w="2835" w:type="dxa"/>
            <w:vAlign w:val="center"/>
          </w:tcPr>
          <w:p>
            <w:pPr>
              <w:pStyle w:val="15"/>
            </w:pPr>
            <w:r>
              <w:t>0.75</w:t>
            </w:r>
          </w:p>
        </w:tc>
        <w:tc>
          <w:tcPr>
            <w:tcW w:w="2551" w:type="dxa"/>
            <w:vAlign w:val="center"/>
          </w:tcPr>
          <w:p>
            <w:pPr>
              <w:pStyle w:val="15"/>
            </w:pPr>
            <w:r>
              <w:t>1.13</w:t>
            </w:r>
          </w:p>
        </w:tc>
        <w:tc>
          <w:tcPr>
            <w:tcW w:w="3544" w:type="dxa"/>
            <w:gridSpan w:val="2"/>
            <w:vAlign w:val="center"/>
          </w:tcPr>
          <w:p>
            <w:pPr>
              <w:pStyle w:val="15"/>
            </w:pPr>
            <w:r>
              <w:t>1.50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1.用于开展工作时办公设备的购置。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支付及时性</w:t>
            </w:r>
          </w:p>
        </w:tc>
        <w:tc>
          <w:tcPr>
            <w:tcW w:w="1276" w:type="dxa"/>
            <w:vAlign w:val="center"/>
          </w:tcPr>
          <w:p>
            <w:pPr>
              <w:pStyle w:val="14"/>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工作稳步提升</w:t>
            </w:r>
          </w:p>
        </w:tc>
        <w:tc>
          <w:tcPr>
            <w:tcW w:w="1276" w:type="dxa"/>
            <w:vAlign w:val="center"/>
          </w:tcPr>
          <w:p>
            <w:pPr>
              <w:pStyle w:val="14"/>
            </w:pPr>
            <w:r>
              <w:t>根据工作实际</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13011126P000004104492</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59.72</w:t>
            </w:r>
          </w:p>
        </w:tc>
        <w:tc>
          <w:tcPr>
            <w:tcW w:w="2835" w:type="dxa"/>
            <w:vAlign w:val="center"/>
          </w:tcPr>
          <w:p>
            <w:pPr>
              <w:pStyle w:val="12"/>
            </w:pPr>
            <w:r>
              <w:t>其中：财政    资金</w:t>
            </w:r>
          </w:p>
        </w:tc>
        <w:tc>
          <w:tcPr>
            <w:tcW w:w="2551" w:type="dxa"/>
            <w:vAlign w:val="center"/>
          </w:tcPr>
          <w:p>
            <w:pPr>
              <w:pStyle w:val="14"/>
            </w:pPr>
            <w:r>
              <w:t>59.72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保障劳务派遣人员工资正常发放。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15.00</w:t>
            </w:r>
          </w:p>
        </w:tc>
        <w:tc>
          <w:tcPr>
            <w:tcW w:w="2835" w:type="dxa"/>
            <w:vAlign w:val="center"/>
          </w:tcPr>
          <w:p>
            <w:pPr>
              <w:pStyle w:val="15"/>
            </w:pPr>
            <w:r>
              <w:t>30.00</w:t>
            </w:r>
          </w:p>
        </w:tc>
        <w:tc>
          <w:tcPr>
            <w:tcW w:w="2551" w:type="dxa"/>
            <w:vAlign w:val="center"/>
          </w:tcPr>
          <w:p>
            <w:pPr>
              <w:pStyle w:val="15"/>
            </w:pPr>
            <w:r>
              <w:t>45.00</w:t>
            </w:r>
          </w:p>
        </w:tc>
        <w:tc>
          <w:tcPr>
            <w:tcW w:w="3544" w:type="dxa"/>
            <w:gridSpan w:val="2"/>
            <w:vAlign w:val="center"/>
          </w:tcPr>
          <w:p>
            <w:pPr>
              <w:pStyle w:val="15"/>
            </w:pPr>
            <w:r>
              <w:t>59.72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1.保障劳务派遣人员工资正常发放。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对象满意度</w:t>
            </w:r>
          </w:p>
        </w:tc>
        <w:tc>
          <w:tcPr>
            <w:tcW w:w="5386" w:type="dxa"/>
            <w:vAlign w:val="center"/>
          </w:tcPr>
          <w:p>
            <w:pPr>
              <w:pStyle w:val="14"/>
            </w:pPr>
            <w:r>
              <w:t>对象满意度</w:t>
            </w:r>
          </w:p>
        </w:tc>
        <w:tc>
          <w:tcPr>
            <w:tcW w:w="2268" w:type="dxa"/>
            <w:vAlign w:val="center"/>
          </w:tcPr>
          <w:p>
            <w:pPr>
              <w:pStyle w:val="14"/>
            </w:pPr>
            <w:r>
              <w:t>≥85</w:t>
            </w:r>
          </w:p>
        </w:tc>
        <w:tc>
          <w:tcPr>
            <w:tcW w:w="1276" w:type="dxa"/>
            <w:vAlign w:val="center"/>
          </w:tcPr>
          <w:p>
            <w:pPr>
              <w:pStyle w:val="14"/>
            </w:pPr>
            <w:r>
              <w:t>实际发放情况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13011126P000004104511</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1.70</w:t>
            </w:r>
          </w:p>
        </w:tc>
        <w:tc>
          <w:tcPr>
            <w:tcW w:w="2835" w:type="dxa"/>
            <w:vAlign w:val="center"/>
          </w:tcPr>
          <w:p>
            <w:pPr>
              <w:pStyle w:val="12"/>
            </w:pPr>
            <w:r>
              <w:t>其中：财政    资金</w:t>
            </w:r>
          </w:p>
        </w:tc>
        <w:tc>
          <w:tcPr>
            <w:tcW w:w="2551" w:type="dxa"/>
            <w:vAlign w:val="center"/>
          </w:tcPr>
          <w:p>
            <w:pPr>
              <w:pStyle w:val="14"/>
            </w:pPr>
            <w:r>
              <w:t>1.70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保障退休人员交通费支出。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0.50</w:t>
            </w:r>
          </w:p>
        </w:tc>
        <w:tc>
          <w:tcPr>
            <w:tcW w:w="2835" w:type="dxa"/>
            <w:vAlign w:val="center"/>
          </w:tcPr>
          <w:p>
            <w:pPr>
              <w:pStyle w:val="15"/>
            </w:pPr>
            <w:r>
              <w:t>1.00</w:t>
            </w:r>
          </w:p>
        </w:tc>
        <w:tc>
          <w:tcPr>
            <w:tcW w:w="2551" w:type="dxa"/>
            <w:vAlign w:val="center"/>
          </w:tcPr>
          <w:p>
            <w:pPr>
              <w:pStyle w:val="15"/>
            </w:pPr>
            <w:r>
              <w:t>1.50</w:t>
            </w:r>
          </w:p>
        </w:tc>
        <w:tc>
          <w:tcPr>
            <w:tcW w:w="3544" w:type="dxa"/>
            <w:gridSpan w:val="2"/>
            <w:vAlign w:val="center"/>
          </w:tcPr>
          <w:p>
            <w:pPr>
              <w:pStyle w:val="15"/>
            </w:pPr>
            <w:r>
              <w:t>1.70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1.保障退休人员交通费正常发放。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按要求及时发放</w:t>
            </w:r>
          </w:p>
        </w:tc>
        <w:tc>
          <w:tcPr>
            <w:tcW w:w="1276" w:type="dxa"/>
            <w:vAlign w:val="center"/>
          </w:tcPr>
          <w:p>
            <w:pPr>
              <w:pStyle w:val="14"/>
            </w:pPr>
            <w:r>
              <w:t>实际情况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13011126P00000410437Y</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5.28</w:t>
            </w:r>
          </w:p>
        </w:tc>
        <w:tc>
          <w:tcPr>
            <w:tcW w:w="2835" w:type="dxa"/>
            <w:vAlign w:val="center"/>
          </w:tcPr>
          <w:p>
            <w:pPr>
              <w:pStyle w:val="12"/>
            </w:pPr>
            <w:r>
              <w:t>其中：财政    资金</w:t>
            </w:r>
          </w:p>
        </w:tc>
        <w:tc>
          <w:tcPr>
            <w:tcW w:w="2551" w:type="dxa"/>
            <w:vAlign w:val="center"/>
          </w:tcPr>
          <w:p>
            <w:pPr>
              <w:pStyle w:val="14"/>
            </w:pPr>
            <w:r>
              <w:t>5.28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支持残疾人就业，保障残疾人生活。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1.50</w:t>
            </w:r>
          </w:p>
        </w:tc>
        <w:tc>
          <w:tcPr>
            <w:tcW w:w="2835" w:type="dxa"/>
            <w:vAlign w:val="center"/>
          </w:tcPr>
          <w:p>
            <w:pPr>
              <w:pStyle w:val="15"/>
            </w:pPr>
            <w:r>
              <w:t>3.00</w:t>
            </w:r>
          </w:p>
        </w:tc>
        <w:tc>
          <w:tcPr>
            <w:tcW w:w="2551" w:type="dxa"/>
            <w:vAlign w:val="center"/>
          </w:tcPr>
          <w:p>
            <w:pPr>
              <w:pStyle w:val="15"/>
            </w:pPr>
            <w:r>
              <w:t>4.00</w:t>
            </w:r>
          </w:p>
        </w:tc>
        <w:tc>
          <w:tcPr>
            <w:tcW w:w="3544" w:type="dxa"/>
            <w:gridSpan w:val="2"/>
            <w:vAlign w:val="center"/>
          </w:tcPr>
          <w:p>
            <w:pPr>
              <w:pStyle w:val="15"/>
            </w:pPr>
            <w:r>
              <w:t>5.28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1.支持残疾人就业，保障残疾人生活。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按规定时间及时支出</w:t>
            </w:r>
          </w:p>
        </w:tc>
        <w:tc>
          <w:tcPr>
            <w:tcW w:w="1276" w:type="dxa"/>
            <w:vAlign w:val="center"/>
          </w:tcPr>
          <w:p>
            <w:pPr>
              <w:pStyle w:val="14"/>
            </w:pPr>
            <w:r>
              <w:t>工作实际</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13011126P00000410442Q</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0.44</w:t>
            </w:r>
          </w:p>
        </w:tc>
        <w:tc>
          <w:tcPr>
            <w:tcW w:w="2835" w:type="dxa"/>
            <w:vAlign w:val="center"/>
          </w:tcPr>
          <w:p>
            <w:pPr>
              <w:pStyle w:val="12"/>
            </w:pPr>
            <w:r>
              <w:t>其中：财政    资金</w:t>
            </w:r>
          </w:p>
        </w:tc>
        <w:tc>
          <w:tcPr>
            <w:tcW w:w="2551" w:type="dxa"/>
            <w:vAlign w:val="center"/>
          </w:tcPr>
          <w:p>
            <w:pPr>
              <w:pStyle w:val="14"/>
            </w:pPr>
            <w:r>
              <w:t>0.44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支持残疾人就业，保障残疾人生活。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0.10</w:t>
            </w:r>
          </w:p>
        </w:tc>
        <w:tc>
          <w:tcPr>
            <w:tcW w:w="2835" w:type="dxa"/>
            <w:vAlign w:val="center"/>
          </w:tcPr>
          <w:p>
            <w:pPr>
              <w:pStyle w:val="15"/>
            </w:pPr>
            <w:r>
              <w:t>0.20</w:t>
            </w:r>
          </w:p>
        </w:tc>
        <w:tc>
          <w:tcPr>
            <w:tcW w:w="2551" w:type="dxa"/>
            <w:vAlign w:val="center"/>
          </w:tcPr>
          <w:p>
            <w:pPr>
              <w:pStyle w:val="15"/>
            </w:pPr>
            <w:r>
              <w:t>0.30</w:t>
            </w:r>
          </w:p>
        </w:tc>
        <w:tc>
          <w:tcPr>
            <w:tcW w:w="3544" w:type="dxa"/>
            <w:gridSpan w:val="2"/>
            <w:vAlign w:val="center"/>
          </w:tcPr>
          <w:p>
            <w:pPr>
              <w:pStyle w:val="15"/>
            </w:pPr>
            <w:r>
              <w:t>0.44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1.支持残疾人就业，保障残疾人生活。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按规定时间及时发放</w:t>
            </w:r>
          </w:p>
        </w:tc>
        <w:tc>
          <w:tcPr>
            <w:tcW w:w="1276" w:type="dxa"/>
            <w:vAlign w:val="center"/>
          </w:tcPr>
          <w:p>
            <w:pPr>
              <w:pStyle w:val="14"/>
            </w:pPr>
            <w:r>
              <w:t>实际情况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15、关于提前下达2026年度省级基层公检法司转移支付资金的通知（石财行[2025]40号）绩效目标表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13011126P00000410961B</w:t>
            </w:r>
          </w:p>
        </w:tc>
        <w:tc>
          <w:tcPr>
            <w:tcW w:w="2835" w:type="dxa"/>
            <w:vAlign w:val="center"/>
          </w:tcPr>
          <w:p>
            <w:pPr>
              <w:pStyle w:val="12"/>
            </w:pPr>
            <w:r>
              <w:t>项目名称</w:t>
            </w:r>
          </w:p>
        </w:tc>
        <w:tc>
          <w:tcPr>
            <w:tcW w:w="6095" w:type="dxa"/>
            <w:gridSpan w:val="3"/>
            <w:vAlign w:val="center"/>
          </w:tcPr>
          <w:p>
            <w:pPr>
              <w:pStyle w:val="14"/>
            </w:pPr>
            <w:r>
              <w:t>关于提前下达2026年度省级基层公检法司转移支付资金的通知（石财行[2025]40号）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保障法律援助工作的正常开展。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1.25</w:t>
            </w:r>
          </w:p>
        </w:tc>
        <w:tc>
          <w:tcPr>
            <w:tcW w:w="2835" w:type="dxa"/>
            <w:vAlign w:val="center"/>
          </w:tcPr>
          <w:p>
            <w:pPr>
              <w:pStyle w:val="15"/>
            </w:pPr>
            <w:r>
              <w:t>2.50</w:t>
            </w:r>
          </w:p>
        </w:tc>
        <w:tc>
          <w:tcPr>
            <w:tcW w:w="2551" w:type="dxa"/>
            <w:vAlign w:val="center"/>
          </w:tcPr>
          <w:p>
            <w:pPr>
              <w:pStyle w:val="15"/>
            </w:pPr>
            <w:r>
              <w:t>3.75</w:t>
            </w:r>
          </w:p>
        </w:tc>
        <w:tc>
          <w:tcPr>
            <w:tcW w:w="3544" w:type="dxa"/>
            <w:gridSpan w:val="2"/>
            <w:vAlign w:val="center"/>
          </w:tcPr>
          <w:p>
            <w:pPr>
              <w:pStyle w:val="15"/>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1.保障法律援助工作的正常开展。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对象满意度</w:t>
            </w:r>
          </w:p>
        </w:tc>
        <w:tc>
          <w:tcPr>
            <w:tcW w:w="5386" w:type="dxa"/>
            <w:vAlign w:val="center"/>
          </w:tcPr>
          <w:p>
            <w:pPr>
              <w:pStyle w:val="14"/>
            </w:pPr>
            <w:r>
              <w:t>对象满意度</w:t>
            </w:r>
          </w:p>
        </w:tc>
        <w:tc>
          <w:tcPr>
            <w:tcW w:w="2268" w:type="dxa"/>
            <w:vAlign w:val="center"/>
          </w:tcPr>
          <w:p>
            <w:pPr>
              <w:pStyle w:val="14"/>
            </w:pPr>
            <w:r>
              <w:t>≥95百分比</w:t>
            </w:r>
          </w:p>
        </w:tc>
        <w:tc>
          <w:tcPr>
            <w:tcW w:w="1276" w:type="dxa"/>
            <w:vAlign w:val="center"/>
          </w:tcPr>
          <w:p>
            <w:pPr>
              <w:pStyle w:val="14"/>
            </w:pPr>
            <w:r>
              <w:t>工作实际</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16、关于提前下达2026年中央政法纪检监察转移支付资金预算的通知（石财行[2025]39号）绩效目标表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13011126P00000410960P</w:t>
            </w:r>
          </w:p>
        </w:tc>
        <w:tc>
          <w:tcPr>
            <w:tcW w:w="2835" w:type="dxa"/>
            <w:vAlign w:val="center"/>
          </w:tcPr>
          <w:p>
            <w:pPr>
              <w:pStyle w:val="12"/>
            </w:pPr>
            <w:r>
              <w:t>项目名称</w:t>
            </w:r>
          </w:p>
        </w:tc>
        <w:tc>
          <w:tcPr>
            <w:tcW w:w="6095" w:type="dxa"/>
            <w:gridSpan w:val="3"/>
            <w:vAlign w:val="center"/>
          </w:tcPr>
          <w:p>
            <w:pPr>
              <w:pStyle w:val="14"/>
            </w:pPr>
            <w:r>
              <w:t>关于提前下达2026年中央政法纪检监察转移支付资金预算的通知（石财行[2025]39号）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w:t>
            </w:r>
          </w:p>
        </w:tc>
        <w:tc>
          <w:tcPr>
            <w:tcW w:w="2835" w:type="dxa"/>
            <w:vAlign w:val="center"/>
          </w:tcPr>
          <w:p>
            <w:pPr>
              <w:pStyle w:val="12"/>
            </w:pPr>
            <w:r>
              <w:t>其中：财政    资金</w:t>
            </w:r>
          </w:p>
        </w:tc>
        <w:tc>
          <w:tcPr>
            <w:tcW w:w="2551" w:type="dxa"/>
            <w:vAlign w:val="center"/>
          </w:tcPr>
          <w:p>
            <w:pPr>
              <w:pStyle w:val="14"/>
            </w:pPr>
            <w:r>
              <w:t>14.00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保障法律援助工作的正常开展。</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3.50</w:t>
            </w:r>
          </w:p>
        </w:tc>
        <w:tc>
          <w:tcPr>
            <w:tcW w:w="2835" w:type="dxa"/>
            <w:vAlign w:val="center"/>
          </w:tcPr>
          <w:p>
            <w:pPr>
              <w:pStyle w:val="15"/>
            </w:pPr>
            <w:r>
              <w:t>7.00</w:t>
            </w:r>
          </w:p>
        </w:tc>
        <w:tc>
          <w:tcPr>
            <w:tcW w:w="2551" w:type="dxa"/>
            <w:vAlign w:val="center"/>
          </w:tcPr>
          <w:p>
            <w:pPr>
              <w:pStyle w:val="15"/>
            </w:pPr>
            <w:r>
              <w:t>10.50</w:t>
            </w:r>
          </w:p>
        </w:tc>
        <w:tc>
          <w:tcPr>
            <w:tcW w:w="3544" w:type="dxa"/>
            <w:gridSpan w:val="2"/>
            <w:vAlign w:val="center"/>
          </w:tcPr>
          <w:p>
            <w:pPr>
              <w:pStyle w:val="15"/>
            </w:pPr>
            <w:r>
              <w:t>14.00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1.保障法律援助工作的正常开展。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对象满意度</w:t>
            </w:r>
          </w:p>
        </w:tc>
        <w:tc>
          <w:tcPr>
            <w:tcW w:w="5386" w:type="dxa"/>
            <w:vAlign w:val="center"/>
          </w:tcPr>
          <w:p>
            <w:pPr>
              <w:pStyle w:val="14"/>
            </w:pPr>
            <w:r>
              <w:t>对象满意度</w:t>
            </w:r>
          </w:p>
        </w:tc>
        <w:tc>
          <w:tcPr>
            <w:tcW w:w="2268" w:type="dxa"/>
            <w:vAlign w:val="center"/>
          </w:tcPr>
          <w:p>
            <w:pPr>
              <w:pStyle w:val="14"/>
            </w:pPr>
            <w:r>
              <w:t>≥95百分比</w:t>
            </w:r>
          </w:p>
        </w:tc>
        <w:tc>
          <w:tcPr>
            <w:tcW w:w="1276" w:type="dxa"/>
            <w:vAlign w:val="center"/>
          </w:tcPr>
          <w:p>
            <w:pPr>
              <w:pStyle w:val="14"/>
            </w:pPr>
            <w:r>
              <w:t>工作实际</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17、结转2025年中央政法纪检监察转移支付资金的通知（石财行[2024]37号）绩效目标表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13011126P00000410123Q</w:t>
            </w:r>
          </w:p>
        </w:tc>
        <w:tc>
          <w:tcPr>
            <w:tcW w:w="2835" w:type="dxa"/>
            <w:vAlign w:val="center"/>
          </w:tcPr>
          <w:p>
            <w:pPr>
              <w:pStyle w:val="12"/>
            </w:pPr>
            <w:r>
              <w:t>项目名称</w:t>
            </w:r>
          </w:p>
        </w:tc>
        <w:tc>
          <w:tcPr>
            <w:tcW w:w="6095" w:type="dxa"/>
            <w:gridSpan w:val="3"/>
            <w:vAlign w:val="center"/>
          </w:tcPr>
          <w:p>
            <w:pPr>
              <w:pStyle w:val="14"/>
            </w:pPr>
            <w:r>
              <w:t>结转2025年中央政法纪检监察转移支付资金的通知（石财行[2024]37号）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12.57</w:t>
            </w:r>
          </w:p>
        </w:tc>
        <w:tc>
          <w:tcPr>
            <w:tcW w:w="2835" w:type="dxa"/>
            <w:vAlign w:val="center"/>
          </w:tcPr>
          <w:p>
            <w:pPr>
              <w:pStyle w:val="12"/>
            </w:pPr>
            <w:r>
              <w:t>其中：财政    资金</w:t>
            </w:r>
          </w:p>
        </w:tc>
        <w:tc>
          <w:tcPr>
            <w:tcW w:w="2551" w:type="dxa"/>
            <w:vAlign w:val="center"/>
          </w:tcPr>
          <w:p>
            <w:pPr>
              <w:pStyle w:val="14"/>
            </w:pPr>
            <w:r>
              <w:t>12.57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保障法律援助工作的正常开展。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3.00</w:t>
            </w:r>
          </w:p>
        </w:tc>
        <w:tc>
          <w:tcPr>
            <w:tcW w:w="2835" w:type="dxa"/>
            <w:vAlign w:val="center"/>
          </w:tcPr>
          <w:p>
            <w:pPr>
              <w:pStyle w:val="15"/>
            </w:pPr>
            <w:r>
              <w:t>6.00</w:t>
            </w:r>
          </w:p>
        </w:tc>
        <w:tc>
          <w:tcPr>
            <w:tcW w:w="2551" w:type="dxa"/>
            <w:vAlign w:val="center"/>
          </w:tcPr>
          <w:p>
            <w:pPr>
              <w:pStyle w:val="15"/>
            </w:pPr>
            <w:r>
              <w:t>9.00</w:t>
            </w:r>
          </w:p>
        </w:tc>
        <w:tc>
          <w:tcPr>
            <w:tcW w:w="3544" w:type="dxa"/>
            <w:gridSpan w:val="2"/>
            <w:vAlign w:val="center"/>
          </w:tcPr>
          <w:p>
            <w:pPr>
              <w:pStyle w:val="15"/>
            </w:pPr>
            <w:r>
              <w:t>12.57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1.保障法律援助工作的正常开展。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≥95百分比</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18、结转2025年中央政法纪检监察转移支付资金预算的通知（石财行[2025]12号）绩效目标表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13011126P000004101250</w:t>
            </w:r>
          </w:p>
        </w:tc>
        <w:tc>
          <w:tcPr>
            <w:tcW w:w="2835" w:type="dxa"/>
            <w:vAlign w:val="center"/>
          </w:tcPr>
          <w:p>
            <w:pPr>
              <w:pStyle w:val="12"/>
            </w:pPr>
            <w:r>
              <w:t>项目名称</w:t>
            </w:r>
          </w:p>
        </w:tc>
        <w:tc>
          <w:tcPr>
            <w:tcW w:w="6095" w:type="dxa"/>
            <w:gridSpan w:val="3"/>
            <w:vAlign w:val="center"/>
          </w:tcPr>
          <w:p>
            <w:pPr>
              <w:pStyle w:val="14"/>
            </w:pPr>
            <w:r>
              <w:t>结转2025年中央政法纪检监察转移支付资金预算的通知（石财行[2025]12号）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w:t>
            </w:r>
          </w:p>
        </w:tc>
        <w:tc>
          <w:tcPr>
            <w:tcW w:w="2835" w:type="dxa"/>
            <w:vAlign w:val="center"/>
          </w:tcPr>
          <w:p>
            <w:pPr>
              <w:pStyle w:val="12"/>
            </w:pPr>
            <w:r>
              <w:t>其中：财政    资金</w:t>
            </w:r>
          </w:p>
        </w:tc>
        <w:tc>
          <w:tcPr>
            <w:tcW w:w="2551" w:type="dxa"/>
            <w:vAlign w:val="center"/>
          </w:tcPr>
          <w:p>
            <w:pPr>
              <w:pStyle w:val="14"/>
            </w:pPr>
            <w:r>
              <w:t>14.00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保障法律援助工作正常开展。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3.50</w:t>
            </w:r>
          </w:p>
        </w:tc>
        <w:tc>
          <w:tcPr>
            <w:tcW w:w="2835" w:type="dxa"/>
            <w:vAlign w:val="center"/>
          </w:tcPr>
          <w:p>
            <w:pPr>
              <w:pStyle w:val="15"/>
            </w:pPr>
            <w:r>
              <w:t>7.00</w:t>
            </w:r>
          </w:p>
        </w:tc>
        <w:tc>
          <w:tcPr>
            <w:tcW w:w="2551" w:type="dxa"/>
            <w:vAlign w:val="center"/>
          </w:tcPr>
          <w:p>
            <w:pPr>
              <w:pStyle w:val="15"/>
            </w:pPr>
            <w:r>
              <w:t>10.50</w:t>
            </w:r>
          </w:p>
        </w:tc>
        <w:tc>
          <w:tcPr>
            <w:tcW w:w="3544" w:type="dxa"/>
            <w:gridSpan w:val="2"/>
            <w:vAlign w:val="center"/>
          </w:tcPr>
          <w:p>
            <w:pPr>
              <w:pStyle w:val="15"/>
            </w:pPr>
            <w:r>
              <w:t>14.00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1.保障法律援助工作正常开展。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≥90百分比</w:t>
            </w:r>
          </w:p>
        </w:tc>
        <w:tc>
          <w:tcPr>
            <w:tcW w:w="1276" w:type="dxa"/>
            <w:vAlign w:val="center"/>
          </w:tcPr>
          <w:p>
            <w:pPr>
              <w:pStyle w:val="14"/>
            </w:pPr>
            <w:r>
              <w:t>根据实际情况</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315石家庄市栾城区司法局</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9.13</w:t>
            </w:r>
          </w:p>
        </w:tc>
        <w:tc>
          <w:tcPr>
            <w:tcW w:w="964" w:type="dxa"/>
            <w:vAlign w:val="center"/>
          </w:tcPr>
          <w:p>
            <w:pPr>
              <w:pStyle w:val="17"/>
            </w:pPr>
            <w:r>
              <w:t>9.13</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石家庄市栾城区司法局小计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9.13</w:t>
            </w:r>
          </w:p>
        </w:tc>
        <w:tc>
          <w:tcPr>
            <w:tcW w:w="964" w:type="dxa"/>
            <w:vAlign w:val="center"/>
          </w:tcPr>
          <w:p>
            <w:pPr>
              <w:pStyle w:val="17"/>
            </w:pPr>
            <w:r>
              <w:t>9.13</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23.97</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320</w:t>
            </w:r>
          </w:p>
        </w:tc>
        <w:tc>
          <w:tcPr>
            <w:tcW w:w="850" w:type="dxa"/>
            <w:vAlign w:val="center"/>
          </w:tcPr>
          <w:p>
            <w:pPr>
              <w:pStyle w:val="13"/>
            </w:pPr>
            <w:r>
              <w:t>0.00</w:t>
            </w:r>
          </w:p>
        </w:tc>
        <w:tc>
          <w:tcPr>
            <w:tcW w:w="964" w:type="dxa"/>
            <w:vAlign w:val="center"/>
          </w:tcPr>
          <w:p>
            <w:pPr>
              <w:pStyle w:val="13"/>
            </w:pPr>
            <w:r>
              <w:t>0.63</w:t>
            </w:r>
          </w:p>
        </w:tc>
        <w:tc>
          <w:tcPr>
            <w:tcW w:w="964" w:type="dxa"/>
            <w:vAlign w:val="center"/>
          </w:tcPr>
          <w:p>
            <w:pPr>
              <w:pStyle w:val="13"/>
            </w:pPr>
            <w:r>
              <w:t>0.63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关于提前下达2026年省级基层公检法司转移支付资金的通知（石财行[2025]40号）</w:t>
            </w:r>
          </w:p>
        </w:tc>
        <w:tc>
          <w:tcPr>
            <w:tcW w:w="964" w:type="dxa"/>
            <w:vAlign w:val="center"/>
          </w:tcPr>
          <w:p>
            <w:pPr>
              <w:pStyle w:val="13"/>
            </w:pPr>
            <w:r>
              <w:t>9.00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0.40</w:t>
            </w:r>
          </w:p>
        </w:tc>
        <w:tc>
          <w:tcPr>
            <w:tcW w:w="964" w:type="dxa"/>
            <w:vAlign w:val="center"/>
          </w:tcPr>
          <w:p>
            <w:pPr>
              <w:pStyle w:val="13"/>
            </w:pPr>
            <w:r>
              <w:t>4.00</w:t>
            </w:r>
          </w:p>
        </w:tc>
        <w:tc>
          <w:tcPr>
            <w:tcW w:w="964" w:type="dxa"/>
            <w:vAlign w:val="center"/>
          </w:tcPr>
          <w:p>
            <w:pPr>
              <w:pStyle w:val="13"/>
            </w:pPr>
            <w:r>
              <w:t>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关于提前下达2026年省级基层公检法司转移支付资金的通知（石财行[2025]40号）</w:t>
            </w:r>
          </w:p>
        </w:tc>
        <w:tc>
          <w:tcPr>
            <w:tcW w:w="964" w:type="dxa"/>
            <w:vAlign w:val="center"/>
          </w:tcPr>
          <w:p>
            <w:pPr>
              <w:pStyle w:val="13"/>
            </w:pPr>
            <w:r>
              <w:t>9.00</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0.15</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关于提前下达2026年省级基层公检法司转移支付资金的通知（石财行[2025]40号）</w:t>
            </w:r>
          </w:p>
        </w:tc>
        <w:tc>
          <w:tcPr>
            <w:tcW w:w="964" w:type="dxa"/>
            <w:vAlign w:val="center"/>
          </w:tcPr>
          <w:p>
            <w:pPr>
              <w:pStyle w:val="13"/>
            </w:pPr>
            <w:r>
              <w:t>9.00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套</w:t>
            </w:r>
          </w:p>
        </w:tc>
        <w:tc>
          <w:tcPr>
            <w:tcW w:w="850" w:type="dxa"/>
            <w:vAlign w:val="center"/>
          </w:tcPr>
          <w:p>
            <w:pPr>
              <w:pStyle w:val="13"/>
            </w:pPr>
            <w:r>
              <w:t>20</w:t>
            </w:r>
          </w:p>
        </w:tc>
        <w:tc>
          <w:tcPr>
            <w:tcW w:w="850" w:type="dxa"/>
            <w:vAlign w:val="center"/>
          </w:tcPr>
          <w:p>
            <w:pPr>
              <w:pStyle w:val="13"/>
            </w:pPr>
            <w:r>
              <w:t>0.15</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石家庄市栾城区司法局（含所属单位）上年末固定资产金额为383.14万元（详见下表）。本年度拟购置固定资产总额为11.50万元，已按要求列入政府采购预算，详见政府采购预算表。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315石家庄市栾城区司法局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411.68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872.70</w:t>
            </w:r>
          </w:p>
        </w:tc>
        <w:tc>
          <w:tcPr>
            <w:tcW w:w="2835" w:type="dxa"/>
            <w:vAlign w:val="center"/>
          </w:tcPr>
          <w:p>
            <w:pPr>
              <w:pStyle w:val="13"/>
            </w:pPr>
            <w:r>
              <w:t>41.80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3</w:t>
            </w:r>
          </w:p>
        </w:tc>
        <w:tc>
          <w:tcPr>
            <w:tcW w:w="2835" w:type="dxa"/>
            <w:vAlign w:val="center"/>
          </w:tcPr>
          <w:p>
            <w:pPr>
              <w:pStyle w:val="13"/>
            </w:pPr>
            <w:r>
              <w:t>40.69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346</w:t>
            </w:r>
          </w:p>
        </w:tc>
        <w:tc>
          <w:tcPr>
            <w:tcW w:w="2835" w:type="dxa"/>
            <w:vAlign w:val="center"/>
          </w:tcPr>
          <w:p>
            <w:pPr>
              <w:pStyle w:val="13"/>
              <w:rPr>
                <w:rFonts w:hint="default" w:eastAsia="方正书宋_GBK"/>
                <w:lang w:val="en-US" w:eastAsia="zh-CN"/>
              </w:rPr>
            </w:pPr>
            <w:r>
              <w:t>3</w:t>
            </w:r>
            <w:r>
              <w:rPr>
                <w:rFonts w:hint="eastAsia"/>
                <w:lang w:val="en-US" w:eastAsia="zh-CN"/>
              </w:rPr>
              <w:t>29.19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021F36"/>
    <w:multiLevelType w:val="singleLevel"/>
    <w:tmpl w:val="0D021F36"/>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CC64652"/>
    <w:rsid w:val="23B475F6"/>
    <w:rsid w:val="46AD418F"/>
    <w:rsid w:val="46FB6A5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123</Pages>
  <TotalTime>34</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2026-03-09T09:25:00Z</dcterms:created>
  <dc:creator>Administrator</dc:creator>
  <cp:lastModifiedBy>Administrator</cp:lastModifiedBy>
  <dcterms:modified xsi:type="dcterms:W3CDTF">2026-03-10T09:05:37Z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