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47</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48</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49</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50</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318石家庄市栾城区财政局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2894.62</w:t>
            </w:r>
          </w:p>
        </w:tc>
        <w:tc>
          <w:tcPr>
            <w:tcW w:w="4535" w:type="dxa"/>
            <w:vAlign w:val="center"/>
          </w:tcPr>
          <w:p>
            <w:pPr>
              <w:pStyle w:val="13"/>
            </w:pPr>
            <w:r>
              <w:t>一、一般公共服务支出</w:t>
            </w:r>
          </w:p>
        </w:tc>
        <w:tc>
          <w:tcPr>
            <w:tcW w:w="2126" w:type="dxa"/>
            <w:vAlign w:val="center"/>
          </w:tcPr>
          <w:p>
            <w:pPr>
              <w:pStyle w:val="12"/>
            </w:pPr>
            <w:r>
              <w:t>2643.24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169.04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79.27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2894.62</w:t>
            </w:r>
          </w:p>
        </w:tc>
        <w:tc>
          <w:tcPr>
            <w:tcW w:w="4535" w:type="dxa"/>
            <w:vAlign w:val="center"/>
          </w:tcPr>
          <w:p>
            <w:pPr>
              <w:pStyle w:val="15"/>
            </w:pPr>
            <w:r>
              <w:t>本年支出合计</w:t>
            </w:r>
          </w:p>
        </w:tc>
        <w:tc>
          <w:tcPr>
            <w:tcW w:w="2126" w:type="dxa"/>
            <w:vAlign w:val="center"/>
          </w:tcPr>
          <w:p>
            <w:pPr>
              <w:pStyle w:val="16"/>
            </w:pPr>
            <w:r>
              <w:t>2894.62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2894.62</w:t>
            </w:r>
          </w:p>
        </w:tc>
        <w:tc>
          <w:tcPr>
            <w:tcW w:w="4535" w:type="dxa"/>
            <w:vAlign w:val="center"/>
          </w:tcPr>
          <w:p>
            <w:pPr>
              <w:pStyle w:val="15"/>
            </w:pPr>
            <w:r>
              <w:t>支出总计</w:t>
            </w:r>
          </w:p>
        </w:tc>
        <w:tc>
          <w:tcPr>
            <w:tcW w:w="2126" w:type="dxa"/>
            <w:vAlign w:val="center"/>
          </w:tcPr>
          <w:p>
            <w:pPr>
              <w:pStyle w:val="16"/>
            </w:pPr>
            <w:r>
              <w:t>2894.62</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318石家庄市栾城区财政局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2894.62</w:t>
            </w:r>
          </w:p>
        </w:tc>
        <w:tc>
          <w:tcPr>
            <w:tcW w:w="1134" w:type="dxa"/>
            <w:vAlign w:val="center"/>
          </w:tcPr>
          <w:p>
            <w:pPr>
              <w:pStyle w:val="16"/>
            </w:pPr>
            <w:r>
              <w:t>2894.62</w:t>
            </w:r>
          </w:p>
        </w:tc>
        <w:tc>
          <w:tcPr>
            <w:tcW w:w="1134" w:type="dxa"/>
            <w:vAlign w:val="center"/>
          </w:tcPr>
          <w:p>
            <w:pPr>
              <w:pStyle w:val="16"/>
            </w:pPr>
            <w:r>
              <w:t>2894.62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2643.24</w:t>
            </w:r>
          </w:p>
        </w:tc>
        <w:tc>
          <w:tcPr>
            <w:tcW w:w="1134" w:type="dxa"/>
            <w:vAlign w:val="center"/>
          </w:tcPr>
          <w:p>
            <w:pPr>
              <w:pStyle w:val="12"/>
            </w:pPr>
            <w:r>
              <w:t>2643.24</w:t>
            </w:r>
          </w:p>
        </w:tc>
        <w:tc>
          <w:tcPr>
            <w:tcW w:w="1134" w:type="dxa"/>
            <w:vAlign w:val="center"/>
          </w:tcPr>
          <w:p>
            <w:pPr>
              <w:pStyle w:val="12"/>
            </w:pPr>
            <w:r>
              <w:t>2643.24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20106</w:t>
            </w:r>
          </w:p>
        </w:tc>
        <w:tc>
          <w:tcPr>
            <w:tcW w:w="1559" w:type="dxa"/>
            <w:vAlign w:val="center"/>
          </w:tcPr>
          <w:p>
            <w:pPr>
              <w:pStyle w:val="13"/>
            </w:pPr>
            <w:r>
              <w:t>财政事务</w:t>
            </w:r>
          </w:p>
        </w:tc>
        <w:tc>
          <w:tcPr>
            <w:tcW w:w="1134" w:type="dxa"/>
            <w:vAlign w:val="center"/>
          </w:tcPr>
          <w:p>
            <w:pPr>
              <w:pStyle w:val="12"/>
            </w:pPr>
            <w:r>
              <w:t>2643.24</w:t>
            </w:r>
          </w:p>
        </w:tc>
        <w:tc>
          <w:tcPr>
            <w:tcW w:w="1134" w:type="dxa"/>
            <w:vAlign w:val="center"/>
          </w:tcPr>
          <w:p>
            <w:pPr>
              <w:pStyle w:val="12"/>
            </w:pPr>
            <w:r>
              <w:t>2643.24</w:t>
            </w:r>
          </w:p>
        </w:tc>
        <w:tc>
          <w:tcPr>
            <w:tcW w:w="1134" w:type="dxa"/>
            <w:vAlign w:val="center"/>
          </w:tcPr>
          <w:p>
            <w:pPr>
              <w:pStyle w:val="12"/>
            </w:pPr>
            <w:r>
              <w:t>2643.24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2010601</w:t>
            </w:r>
          </w:p>
        </w:tc>
        <w:tc>
          <w:tcPr>
            <w:tcW w:w="1559" w:type="dxa"/>
            <w:vAlign w:val="center"/>
          </w:tcPr>
          <w:p>
            <w:pPr>
              <w:pStyle w:val="13"/>
            </w:pPr>
            <w:r>
              <w:t>行政运行</w:t>
            </w:r>
          </w:p>
        </w:tc>
        <w:tc>
          <w:tcPr>
            <w:tcW w:w="1134" w:type="dxa"/>
            <w:vAlign w:val="center"/>
          </w:tcPr>
          <w:p>
            <w:pPr>
              <w:pStyle w:val="12"/>
            </w:pPr>
            <w:r>
              <w:t>430.35</w:t>
            </w:r>
          </w:p>
        </w:tc>
        <w:tc>
          <w:tcPr>
            <w:tcW w:w="1134" w:type="dxa"/>
            <w:vAlign w:val="center"/>
          </w:tcPr>
          <w:p>
            <w:pPr>
              <w:pStyle w:val="12"/>
            </w:pPr>
            <w:r>
              <w:t>430.35</w:t>
            </w:r>
          </w:p>
        </w:tc>
        <w:tc>
          <w:tcPr>
            <w:tcW w:w="1134" w:type="dxa"/>
            <w:vAlign w:val="center"/>
          </w:tcPr>
          <w:p>
            <w:pPr>
              <w:pStyle w:val="12"/>
            </w:pPr>
            <w:r>
              <w:t>430.35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2010602</w:t>
            </w:r>
          </w:p>
        </w:tc>
        <w:tc>
          <w:tcPr>
            <w:tcW w:w="1559" w:type="dxa"/>
            <w:vAlign w:val="center"/>
          </w:tcPr>
          <w:p>
            <w:pPr>
              <w:pStyle w:val="13"/>
            </w:pPr>
            <w:r>
              <w:t>一般行政管理事务</w:t>
            </w:r>
          </w:p>
        </w:tc>
        <w:tc>
          <w:tcPr>
            <w:tcW w:w="1134" w:type="dxa"/>
            <w:vAlign w:val="center"/>
          </w:tcPr>
          <w:p>
            <w:pPr>
              <w:pStyle w:val="12"/>
            </w:pPr>
            <w:r>
              <w:t>54.50</w:t>
            </w:r>
          </w:p>
        </w:tc>
        <w:tc>
          <w:tcPr>
            <w:tcW w:w="1134" w:type="dxa"/>
            <w:vAlign w:val="center"/>
          </w:tcPr>
          <w:p>
            <w:pPr>
              <w:pStyle w:val="12"/>
            </w:pPr>
            <w:r>
              <w:t>54.50</w:t>
            </w:r>
          </w:p>
        </w:tc>
        <w:tc>
          <w:tcPr>
            <w:tcW w:w="1134" w:type="dxa"/>
            <w:vAlign w:val="center"/>
          </w:tcPr>
          <w:p>
            <w:pPr>
              <w:pStyle w:val="12"/>
            </w:pPr>
            <w:r>
              <w:t>54.50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2010604</w:t>
            </w:r>
          </w:p>
        </w:tc>
        <w:tc>
          <w:tcPr>
            <w:tcW w:w="1559" w:type="dxa"/>
            <w:vAlign w:val="center"/>
          </w:tcPr>
          <w:p>
            <w:pPr>
              <w:pStyle w:val="13"/>
            </w:pPr>
            <w:r>
              <w:t>预算改革业务</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2010607</w:t>
            </w:r>
          </w:p>
        </w:tc>
        <w:tc>
          <w:tcPr>
            <w:tcW w:w="1559" w:type="dxa"/>
            <w:vAlign w:val="center"/>
          </w:tcPr>
          <w:p>
            <w:pPr>
              <w:pStyle w:val="13"/>
            </w:pPr>
            <w:r>
              <w:t>信息化建设</w:t>
            </w:r>
          </w:p>
        </w:tc>
        <w:tc>
          <w:tcPr>
            <w:tcW w:w="1134" w:type="dxa"/>
            <w:vAlign w:val="center"/>
          </w:tcPr>
          <w:p>
            <w:pPr>
              <w:pStyle w:val="12"/>
            </w:pPr>
            <w:r>
              <w:t>70.12</w:t>
            </w:r>
          </w:p>
        </w:tc>
        <w:tc>
          <w:tcPr>
            <w:tcW w:w="1134" w:type="dxa"/>
            <w:vAlign w:val="center"/>
          </w:tcPr>
          <w:p>
            <w:pPr>
              <w:pStyle w:val="12"/>
            </w:pPr>
            <w:r>
              <w:t>70.12</w:t>
            </w:r>
          </w:p>
        </w:tc>
        <w:tc>
          <w:tcPr>
            <w:tcW w:w="1134" w:type="dxa"/>
            <w:vAlign w:val="center"/>
          </w:tcPr>
          <w:p>
            <w:pPr>
              <w:pStyle w:val="12"/>
            </w:pPr>
            <w:r>
              <w:t>70.12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2010608</w:t>
            </w:r>
          </w:p>
        </w:tc>
        <w:tc>
          <w:tcPr>
            <w:tcW w:w="1559" w:type="dxa"/>
            <w:vAlign w:val="center"/>
          </w:tcPr>
          <w:p>
            <w:pPr>
              <w:pStyle w:val="13"/>
            </w:pPr>
            <w:r>
              <w:t>财政委托业务支出</w:t>
            </w:r>
          </w:p>
        </w:tc>
        <w:tc>
          <w:tcPr>
            <w:tcW w:w="1134" w:type="dxa"/>
            <w:vAlign w:val="center"/>
          </w:tcPr>
          <w:p>
            <w:pPr>
              <w:pStyle w:val="12"/>
            </w:pPr>
            <w:r>
              <w:t>854.00</w:t>
            </w:r>
          </w:p>
        </w:tc>
        <w:tc>
          <w:tcPr>
            <w:tcW w:w="1134" w:type="dxa"/>
            <w:vAlign w:val="center"/>
          </w:tcPr>
          <w:p>
            <w:pPr>
              <w:pStyle w:val="12"/>
            </w:pPr>
            <w:r>
              <w:t>854.00</w:t>
            </w:r>
          </w:p>
        </w:tc>
        <w:tc>
          <w:tcPr>
            <w:tcW w:w="1134" w:type="dxa"/>
            <w:vAlign w:val="center"/>
          </w:tcPr>
          <w:p>
            <w:pPr>
              <w:pStyle w:val="12"/>
            </w:pPr>
            <w:r>
              <w:t>854.00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2010650</w:t>
            </w:r>
          </w:p>
        </w:tc>
        <w:tc>
          <w:tcPr>
            <w:tcW w:w="1559" w:type="dxa"/>
            <w:vAlign w:val="center"/>
          </w:tcPr>
          <w:p>
            <w:pPr>
              <w:pStyle w:val="13"/>
            </w:pPr>
            <w:r>
              <w:t>事业运行</w:t>
            </w:r>
          </w:p>
        </w:tc>
        <w:tc>
          <w:tcPr>
            <w:tcW w:w="1134" w:type="dxa"/>
            <w:vAlign w:val="center"/>
          </w:tcPr>
          <w:p>
            <w:pPr>
              <w:pStyle w:val="12"/>
            </w:pPr>
            <w:r>
              <w:t>1231.39</w:t>
            </w:r>
          </w:p>
        </w:tc>
        <w:tc>
          <w:tcPr>
            <w:tcW w:w="1134" w:type="dxa"/>
            <w:vAlign w:val="center"/>
          </w:tcPr>
          <w:p>
            <w:pPr>
              <w:pStyle w:val="12"/>
            </w:pPr>
            <w:r>
              <w:t>1231.39</w:t>
            </w:r>
          </w:p>
        </w:tc>
        <w:tc>
          <w:tcPr>
            <w:tcW w:w="1134" w:type="dxa"/>
            <w:vAlign w:val="center"/>
          </w:tcPr>
          <w:p>
            <w:pPr>
              <w:pStyle w:val="12"/>
            </w:pPr>
            <w:r>
              <w:t>1231.39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2010699</w:t>
            </w:r>
          </w:p>
        </w:tc>
        <w:tc>
          <w:tcPr>
            <w:tcW w:w="1559" w:type="dxa"/>
            <w:vAlign w:val="center"/>
          </w:tcPr>
          <w:p>
            <w:pPr>
              <w:pStyle w:val="13"/>
            </w:pPr>
            <w:r>
              <w:t>其他财政事务支出</w:t>
            </w:r>
          </w:p>
        </w:tc>
        <w:tc>
          <w:tcPr>
            <w:tcW w:w="1134" w:type="dxa"/>
            <w:vAlign w:val="center"/>
          </w:tcPr>
          <w:p>
            <w:pPr>
              <w:pStyle w:val="12"/>
            </w:pPr>
            <w:r>
              <w:t>0.89</w:t>
            </w:r>
          </w:p>
        </w:tc>
        <w:tc>
          <w:tcPr>
            <w:tcW w:w="1134" w:type="dxa"/>
            <w:vAlign w:val="center"/>
          </w:tcPr>
          <w:p>
            <w:pPr>
              <w:pStyle w:val="12"/>
            </w:pPr>
            <w:r>
              <w:t>0.89</w:t>
            </w:r>
          </w:p>
        </w:tc>
        <w:tc>
          <w:tcPr>
            <w:tcW w:w="1134" w:type="dxa"/>
            <w:vAlign w:val="center"/>
          </w:tcPr>
          <w:p>
            <w:pPr>
              <w:pStyle w:val="12"/>
            </w:pPr>
            <w:r>
              <w:t>0.89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169.04</w:t>
            </w:r>
          </w:p>
        </w:tc>
        <w:tc>
          <w:tcPr>
            <w:tcW w:w="1134" w:type="dxa"/>
            <w:vAlign w:val="center"/>
          </w:tcPr>
          <w:p>
            <w:pPr>
              <w:pStyle w:val="12"/>
            </w:pPr>
            <w:r>
              <w:t>169.04</w:t>
            </w:r>
          </w:p>
        </w:tc>
        <w:tc>
          <w:tcPr>
            <w:tcW w:w="1134" w:type="dxa"/>
            <w:vAlign w:val="center"/>
          </w:tcPr>
          <w:p>
            <w:pPr>
              <w:pStyle w:val="12"/>
            </w:pPr>
            <w:r>
              <w:t>169.04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161.07</w:t>
            </w:r>
          </w:p>
        </w:tc>
        <w:tc>
          <w:tcPr>
            <w:tcW w:w="1134" w:type="dxa"/>
            <w:vAlign w:val="center"/>
          </w:tcPr>
          <w:p>
            <w:pPr>
              <w:pStyle w:val="12"/>
            </w:pPr>
            <w:r>
              <w:t>161.07</w:t>
            </w:r>
          </w:p>
        </w:tc>
        <w:tc>
          <w:tcPr>
            <w:tcW w:w="1134" w:type="dxa"/>
            <w:vAlign w:val="center"/>
          </w:tcPr>
          <w:p>
            <w:pPr>
              <w:pStyle w:val="12"/>
            </w:pPr>
            <w:r>
              <w:t>161.07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152.55</w:t>
            </w:r>
          </w:p>
        </w:tc>
        <w:tc>
          <w:tcPr>
            <w:tcW w:w="1134" w:type="dxa"/>
            <w:vAlign w:val="center"/>
          </w:tcPr>
          <w:p>
            <w:pPr>
              <w:pStyle w:val="12"/>
            </w:pPr>
            <w:r>
              <w:t>152.55</w:t>
            </w:r>
          </w:p>
        </w:tc>
        <w:tc>
          <w:tcPr>
            <w:tcW w:w="1134" w:type="dxa"/>
            <w:vAlign w:val="center"/>
          </w:tcPr>
          <w:p>
            <w:pPr>
              <w:pStyle w:val="12"/>
            </w:pPr>
            <w:r>
              <w:t>152.55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8.52</w:t>
            </w:r>
          </w:p>
        </w:tc>
        <w:tc>
          <w:tcPr>
            <w:tcW w:w="1134" w:type="dxa"/>
            <w:vAlign w:val="center"/>
          </w:tcPr>
          <w:p>
            <w:pPr>
              <w:pStyle w:val="12"/>
            </w:pPr>
            <w:r>
              <w:t>8.52</w:t>
            </w:r>
          </w:p>
        </w:tc>
        <w:tc>
          <w:tcPr>
            <w:tcW w:w="1134" w:type="dxa"/>
            <w:vAlign w:val="center"/>
          </w:tcPr>
          <w:p>
            <w:pPr>
              <w:pStyle w:val="12"/>
            </w:pPr>
            <w:r>
              <w:t>8.52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7.97</w:t>
            </w:r>
          </w:p>
        </w:tc>
        <w:tc>
          <w:tcPr>
            <w:tcW w:w="1134" w:type="dxa"/>
            <w:vAlign w:val="center"/>
          </w:tcPr>
          <w:p>
            <w:pPr>
              <w:pStyle w:val="12"/>
            </w:pPr>
            <w:r>
              <w:t>7.97</w:t>
            </w:r>
          </w:p>
        </w:tc>
        <w:tc>
          <w:tcPr>
            <w:tcW w:w="1134" w:type="dxa"/>
            <w:vAlign w:val="center"/>
          </w:tcPr>
          <w:p>
            <w:pPr>
              <w:pStyle w:val="12"/>
            </w:pPr>
            <w:r>
              <w:t>7.97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4.36</w:t>
            </w:r>
          </w:p>
        </w:tc>
        <w:tc>
          <w:tcPr>
            <w:tcW w:w="1134" w:type="dxa"/>
            <w:vAlign w:val="center"/>
          </w:tcPr>
          <w:p>
            <w:pPr>
              <w:pStyle w:val="12"/>
            </w:pPr>
            <w:r>
              <w:t>4.36</w:t>
            </w:r>
          </w:p>
        </w:tc>
        <w:tc>
          <w:tcPr>
            <w:tcW w:w="1134" w:type="dxa"/>
            <w:vAlign w:val="center"/>
          </w:tcPr>
          <w:p>
            <w:pPr>
              <w:pStyle w:val="12"/>
            </w:pPr>
            <w:r>
              <w:t>4.36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3.61</w:t>
            </w:r>
          </w:p>
        </w:tc>
        <w:tc>
          <w:tcPr>
            <w:tcW w:w="1134" w:type="dxa"/>
            <w:vAlign w:val="center"/>
          </w:tcPr>
          <w:p>
            <w:pPr>
              <w:pStyle w:val="12"/>
            </w:pPr>
            <w:r>
              <w:t>3.61</w:t>
            </w:r>
          </w:p>
        </w:tc>
        <w:tc>
          <w:tcPr>
            <w:tcW w:w="1134" w:type="dxa"/>
            <w:vAlign w:val="center"/>
          </w:tcPr>
          <w:p>
            <w:pPr>
              <w:pStyle w:val="12"/>
            </w:pPr>
            <w:r>
              <w:t>3.61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79.27</w:t>
            </w:r>
          </w:p>
        </w:tc>
        <w:tc>
          <w:tcPr>
            <w:tcW w:w="1134" w:type="dxa"/>
            <w:vAlign w:val="center"/>
          </w:tcPr>
          <w:p>
            <w:pPr>
              <w:pStyle w:val="12"/>
            </w:pPr>
            <w:r>
              <w:t>79.27</w:t>
            </w:r>
          </w:p>
        </w:tc>
        <w:tc>
          <w:tcPr>
            <w:tcW w:w="1134" w:type="dxa"/>
            <w:vAlign w:val="center"/>
          </w:tcPr>
          <w:p>
            <w:pPr>
              <w:pStyle w:val="12"/>
            </w:pPr>
            <w:r>
              <w:t>79.27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79.27</w:t>
            </w:r>
          </w:p>
        </w:tc>
        <w:tc>
          <w:tcPr>
            <w:tcW w:w="1134" w:type="dxa"/>
            <w:vAlign w:val="center"/>
          </w:tcPr>
          <w:p>
            <w:pPr>
              <w:pStyle w:val="12"/>
            </w:pPr>
            <w:r>
              <w:t>79.27</w:t>
            </w:r>
          </w:p>
        </w:tc>
        <w:tc>
          <w:tcPr>
            <w:tcW w:w="1134" w:type="dxa"/>
            <w:vAlign w:val="center"/>
          </w:tcPr>
          <w:p>
            <w:pPr>
              <w:pStyle w:val="12"/>
            </w:pPr>
            <w:r>
              <w:t>79.27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10.96</w:t>
            </w:r>
          </w:p>
        </w:tc>
        <w:tc>
          <w:tcPr>
            <w:tcW w:w="1134" w:type="dxa"/>
            <w:vAlign w:val="center"/>
          </w:tcPr>
          <w:p>
            <w:pPr>
              <w:pStyle w:val="12"/>
            </w:pPr>
            <w:r>
              <w:t>10.96</w:t>
            </w:r>
          </w:p>
        </w:tc>
        <w:tc>
          <w:tcPr>
            <w:tcW w:w="1134" w:type="dxa"/>
            <w:vAlign w:val="center"/>
          </w:tcPr>
          <w:p>
            <w:pPr>
              <w:pStyle w:val="12"/>
            </w:pPr>
            <w:r>
              <w:t>10.96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68.31</w:t>
            </w:r>
          </w:p>
        </w:tc>
        <w:tc>
          <w:tcPr>
            <w:tcW w:w="1134" w:type="dxa"/>
            <w:vAlign w:val="center"/>
          </w:tcPr>
          <w:p>
            <w:pPr>
              <w:pStyle w:val="12"/>
            </w:pPr>
            <w:r>
              <w:t>68.31</w:t>
            </w:r>
          </w:p>
        </w:tc>
        <w:tc>
          <w:tcPr>
            <w:tcW w:w="1134" w:type="dxa"/>
            <w:vAlign w:val="center"/>
          </w:tcPr>
          <w:p>
            <w:pPr>
              <w:pStyle w:val="12"/>
            </w:pPr>
            <w:r>
              <w:t>68.31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3.06</w:t>
            </w:r>
          </w:p>
        </w:tc>
        <w:tc>
          <w:tcPr>
            <w:tcW w:w="1134" w:type="dxa"/>
            <w:vAlign w:val="center"/>
          </w:tcPr>
          <w:p>
            <w:pPr>
              <w:pStyle w:val="12"/>
            </w:pPr>
            <w:r>
              <w:t>3.06</w:t>
            </w:r>
          </w:p>
        </w:tc>
        <w:tc>
          <w:tcPr>
            <w:tcW w:w="1134" w:type="dxa"/>
            <w:vAlign w:val="center"/>
          </w:tcPr>
          <w:p>
            <w:pPr>
              <w:pStyle w:val="12"/>
            </w:pPr>
            <w:r>
              <w:t>3.06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3.06</w:t>
            </w:r>
          </w:p>
        </w:tc>
        <w:tc>
          <w:tcPr>
            <w:tcW w:w="1134" w:type="dxa"/>
            <w:vAlign w:val="center"/>
          </w:tcPr>
          <w:p>
            <w:pPr>
              <w:pStyle w:val="12"/>
            </w:pPr>
            <w:r>
              <w:t>3.06</w:t>
            </w:r>
          </w:p>
        </w:tc>
        <w:tc>
          <w:tcPr>
            <w:tcW w:w="1134" w:type="dxa"/>
            <w:vAlign w:val="center"/>
          </w:tcPr>
          <w:p>
            <w:pPr>
              <w:pStyle w:val="12"/>
            </w:pPr>
            <w:r>
              <w:t>3.06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2130199</w:t>
            </w:r>
          </w:p>
        </w:tc>
        <w:tc>
          <w:tcPr>
            <w:tcW w:w="1559" w:type="dxa"/>
            <w:vAlign w:val="center"/>
          </w:tcPr>
          <w:p>
            <w:pPr>
              <w:pStyle w:val="13"/>
            </w:pPr>
            <w:r>
              <w:t>其他农业农村支出</w:t>
            </w:r>
          </w:p>
        </w:tc>
        <w:tc>
          <w:tcPr>
            <w:tcW w:w="1134" w:type="dxa"/>
            <w:vAlign w:val="center"/>
          </w:tcPr>
          <w:p>
            <w:pPr>
              <w:pStyle w:val="12"/>
            </w:pPr>
            <w:r>
              <w:t>3.06</w:t>
            </w:r>
          </w:p>
        </w:tc>
        <w:tc>
          <w:tcPr>
            <w:tcW w:w="1134" w:type="dxa"/>
            <w:vAlign w:val="center"/>
          </w:tcPr>
          <w:p>
            <w:pPr>
              <w:pStyle w:val="12"/>
            </w:pPr>
            <w:r>
              <w:t>3.06</w:t>
            </w:r>
          </w:p>
        </w:tc>
        <w:tc>
          <w:tcPr>
            <w:tcW w:w="1134" w:type="dxa"/>
            <w:vAlign w:val="center"/>
          </w:tcPr>
          <w:p>
            <w:pPr>
              <w:pStyle w:val="12"/>
            </w:pPr>
            <w:r>
              <w:t>3.06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318石家庄市栾城区财政局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2894.62</w:t>
            </w:r>
          </w:p>
        </w:tc>
        <w:tc>
          <w:tcPr>
            <w:tcW w:w="1361" w:type="dxa"/>
            <w:vAlign w:val="center"/>
          </w:tcPr>
          <w:p>
            <w:pPr>
              <w:pStyle w:val="16"/>
            </w:pPr>
            <w:r>
              <w:t>1890.72</w:t>
            </w:r>
          </w:p>
        </w:tc>
        <w:tc>
          <w:tcPr>
            <w:tcW w:w="1361" w:type="dxa"/>
            <w:vAlign w:val="center"/>
          </w:tcPr>
          <w:p>
            <w:pPr>
              <w:pStyle w:val="16"/>
            </w:pPr>
            <w:r>
              <w:t>1003.90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2643.24</w:t>
            </w:r>
          </w:p>
        </w:tc>
        <w:tc>
          <w:tcPr>
            <w:tcW w:w="1361" w:type="dxa"/>
            <w:vAlign w:val="center"/>
          </w:tcPr>
          <w:p>
            <w:pPr>
              <w:pStyle w:val="12"/>
            </w:pPr>
            <w:r>
              <w:t>1642.40</w:t>
            </w:r>
          </w:p>
        </w:tc>
        <w:tc>
          <w:tcPr>
            <w:tcW w:w="1361" w:type="dxa"/>
            <w:vAlign w:val="center"/>
          </w:tcPr>
          <w:p>
            <w:pPr>
              <w:pStyle w:val="12"/>
            </w:pPr>
            <w:r>
              <w:t>1000.84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20106</w:t>
            </w:r>
          </w:p>
        </w:tc>
        <w:tc>
          <w:tcPr>
            <w:tcW w:w="4535" w:type="dxa"/>
            <w:vAlign w:val="center"/>
          </w:tcPr>
          <w:p>
            <w:pPr>
              <w:pStyle w:val="13"/>
            </w:pPr>
            <w:r>
              <w:t>财政事务</w:t>
            </w:r>
          </w:p>
        </w:tc>
        <w:tc>
          <w:tcPr>
            <w:tcW w:w="1361" w:type="dxa"/>
            <w:vAlign w:val="center"/>
          </w:tcPr>
          <w:p>
            <w:pPr>
              <w:pStyle w:val="12"/>
            </w:pPr>
            <w:r>
              <w:t>2643.24</w:t>
            </w:r>
          </w:p>
        </w:tc>
        <w:tc>
          <w:tcPr>
            <w:tcW w:w="1361" w:type="dxa"/>
            <w:vAlign w:val="center"/>
          </w:tcPr>
          <w:p>
            <w:pPr>
              <w:pStyle w:val="12"/>
            </w:pPr>
            <w:r>
              <w:t>1642.40</w:t>
            </w:r>
          </w:p>
        </w:tc>
        <w:tc>
          <w:tcPr>
            <w:tcW w:w="1361" w:type="dxa"/>
            <w:vAlign w:val="center"/>
          </w:tcPr>
          <w:p>
            <w:pPr>
              <w:pStyle w:val="12"/>
            </w:pPr>
            <w:r>
              <w:t>1000.84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2010601</w:t>
            </w:r>
          </w:p>
        </w:tc>
        <w:tc>
          <w:tcPr>
            <w:tcW w:w="4535" w:type="dxa"/>
            <w:vAlign w:val="center"/>
          </w:tcPr>
          <w:p>
            <w:pPr>
              <w:pStyle w:val="13"/>
            </w:pPr>
            <w:r>
              <w:t>行政运行</w:t>
            </w:r>
          </w:p>
        </w:tc>
        <w:tc>
          <w:tcPr>
            <w:tcW w:w="1361" w:type="dxa"/>
            <w:vAlign w:val="center"/>
          </w:tcPr>
          <w:p>
            <w:pPr>
              <w:pStyle w:val="12"/>
            </w:pPr>
            <w:r>
              <w:t>430.35</w:t>
            </w:r>
          </w:p>
        </w:tc>
        <w:tc>
          <w:tcPr>
            <w:tcW w:w="1361" w:type="dxa"/>
            <w:vAlign w:val="center"/>
          </w:tcPr>
          <w:p>
            <w:pPr>
              <w:pStyle w:val="12"/>
            </w:pPr>
            <w:r>
              <w:t>421.85</w:t>
            </w:r>
          </w:p>
        </w:tc>
        <w:tc>
          <w:tcPr>
            <w:tcW w:w="1361" w:type="dxa"/>
            <w:vAlign w:val="center"/>
          </w:tcPr>
          <w:p>
            <w:pPr>
              <w:pStyle w:val="12"/>
            </w:pPr>
            <w:r>
              <w:t>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2010602</w:t>
            </w:r>
          </w:p>
        </w:tc>
        <w:tc>
          <w:tcPr>
            <w:tcW w:w="4535" w:type="dxa"/>
            <w:vAlign w:val="center"/>
          </w:tcPr>
          <w:p>
            <w:pPr>
              <w:pStyle w:val="13"/>
            </w:pPr>
            <w:r>
              <w:t>一般行政管理事务</w:t>
            </w:r>
          </w:p>
        </w:tc>
        <w:tc>
          <w:tcPr>
            <w:tcW w:w="1361" w:type="dxa"/>
            <w:vAlign w:val="center"/>
          </w:tcPr>
          <w:p>
            <w:pPr>
              <w:pStyle w:val="12"/>
            </w:pPr>
            <w:r>
              <w:t>54.50</w:t>
            </w:r>
          </w:p>
        </w:tc>
        <w:tc>
          <w:tcPr>
            <w:tcW w:w="1361" w:type="dxa"/>
            <w:vAlign w:val="center"/>
          </w:tcPr>
          <w:p>
            <w:pPr>
              <w:pStyle w:val="12"/>
            </w:pPr>
          </w:p>
        </w:tc>
        <w:tc>
          <w:tcPr>
            <w:tcW w:w="1361" w:type="dxa"/>
            <w:vAlign w:val="center"/>
          </w:tcPr>
          <w:p>
            <w:pPr>
              <w:pStyle w:val="12"/>
            </w:pPr>
            <w:r>
              <w:t>54.50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2010604</w:t>
            </w:r>
          </w:p>
        </w:tc>
        <w:tc>
          <w:tcPr>
            <w:tcW w:w="4535" w:type="dxa"/>
            <w:vAlign w:val="center"/>
          </w:tcPr>
          <w:p>
            <w:pPr>
              <w:pStyle w:val="13"/>
            </w:pPr>
            <w:r>
              <w:t>预算改革业务</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2010607</w:t>
            </w:r>
          </w:p>
        </w:tc>
        <w:tc>
          <w:tcPr>
            <w:tcW w:w="4535" w:type="dxa"/>
            <w:vAlign w:val="center"/>
          </w:tcPr>
          <w:p>
            <w:pPr>
              <w:pStyle w:val="13"/>
            </w:pPr>
            <w:r>
              <w:t>信息化建设</w:t>
            </w:r>
          </w:p>
        </w:tc>
        <w:tc>
          <w:tcPr>
            <w:tcW w:w="1361" w:type="dxa"/>
            <w:vAlign w:val="center"/>
          </w:tcPr>
          <w:p>
            <w:pPr>
              <w:pStyle w:val="12"/>
            </w:pPr>
            <w:r>
              <w:t>70.12</w:t>
            </w:r>
          </w:p>
        </w:tc>
        <w:tc>
          <w:tcPr>
            <w:tcW w:w="1361" w:type="dxa"/>
            <w:vAlign w:val="center"/>
          </w:tcPr>
          <w:p>
            <w:pPr>
              <w:pStyle w:val="12"/>
            </w:pPr>
          </w:p>
        </w:tc>
        <w:tc>
          <w:tcPr>
            <w:tcW w:w="1361" w:type="dxa"/>
            <w:vAlign w:val="center"/>
          </w:tcPr>
          <w:p>
            <w:pPr>
              <w:pStyle w:val="12"/>
            </w:pPr>
            <w:r>
              <w:t>70.12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2010608</w:t>
            </w:r>
          </w:p>
        </w:tc>
        <w:tc>
          <w:tcPr>
            <w:tcW w:w="4535" w:type="dxa"/>
            <w:vAlign w:val="center"/>
          </w:tcPr>
          <w:p>
            <w:pPr>
              <w:pStyle w:val="13"/>
            </w:pPr>
            <w:r>
              <w:t>财政委托业务支出</w:t>
            </w:r>
          </w:p>
        </w:tc>
        <w:tc>
          <w:tcPr>
            <w:tcW w:w="1361" w:type="dxa"/>
            <w:vAlign w:val="center"/>
          </w:tcPr>
          <w:p>
            <w:pPr>
              <w:pStyle w:val="12"/>
            </w:pPr>
            <w:r>
              <w:t>854.00</w:t>
            </w:r>
          </w:p>
        </w:tc>
        <w:tc>
          <w:tcPr>
            <w:tcW w:w="1361" w:type="dxa"/>
            <w:vAlign w:val="center"/>
          </w:tcPr>
          <w:p>
            <w:pPr>
              <w:pStyle w:val="12"/>
            </w:pPr>
          </w:p>
        </w:tc>
        <w:tc>
          <w:tcPr>
            <w:tcW w:w="1361" w:type="dxa"/>
            <w:vAlign w:val="center"/>
          </w:tcPr>
          <w:p>
            <w:pPr>
              <w:pStyle w:val="12"/>
            </w:pPr>
            <w:r>
              <w:t>854.00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2010650</w:t>
            </w:r>
          </w:p>
        </w:tc>
        <w:tc>
          <w:tcPr>
            <w:tcW w:w="4535" w:type="dxa"/>
            <w:vAlign w:val="center"/>
          </w:tcPr>
          <w:p>
            <w:pPr>
              <w:pStyle w:val="13"/>
            </w:pPr>
            <w:r>
              <w:t>事业运行</w:t>
            </w:r>
          </w:p>
        </w:tc>
        <w:tc>
          <w:tcPr>
            <w:tcW w:w="1361" w:type="dxa"/>
            <w:vAlign w:val="center"/>
          </w:tcPr>
          <w:p>
            <w:pPr>
              <w:pStyle w:val="12"/>
            </w:pPr>
            <w:r>
              <w:t>1231.39</w:t>
            </w:r>
          </w:p>
        </w:tc>
        <w:tc>
          <w:tcPr>
            <w:tcW w:w="1361" w:type="dxa"/>
            <w:vAlign w:val="center"/>
          </w:tcPr>
          <w:p>
            <w:pPr>
              <w:pStyle w:val="12"/>
            </w:pPr>
            <w:r>
              <w:t>1220.56</w:t>
            </w:r>
          </w:p>
        </w:tc>
        <w:tc>
          <w:tcPr>
            <w:tcW w:w="1361" w:type="dxa"/>
            <w:vAlign w:val="center"/>
          </w:tcPr>
          <w:p>
            <w:pPr>
              <w:pStyle w:val="12"/>
            </w:pPr>
            <w:r>
              <w:t>10.84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2010699</w:t>
            </w:r>
          </w:p>
        </w:tc>
        <w:tc>
          <w:tcPr>
            <w:tcW w:w="4535" w:type="dxa"/>
            <w:vAlign w:val="center"/>
          </w:tcPr>
          <w:p>
            <w:pPr>
              <w:pStyle w:val="13"/>
            </w:pPr>
            <w:r>
              <w:t>其他财政事务支出</w:t>
            </w:r>
          </w:p>
        </w:tc>
        <w:tc>
          <w:tcPr>
            <w:tcW w:w="1361" w:type="dxa"/>
            <w:vAlign w:val="center"/>
          </w:tcPr>
          <w:p>
            <w:pPr>
              <w:pStyle w:val="12"/>
            </w:pPr>
            <w:r>
              <w:t>0.89</w:t>
            </w:r>
          </w:p>
        </w:tc>
        <w:tc>
          <w:tcPr>
            <w:tcW w:w="1361" w:type="dxa"/>
            <w:vAlign w:val="center"/>
          </w:tcPr>
          <w:p>
            <w:pPr>
              <w:pStyle w:val="12"/>
            </w:pPr>
          </w:p>
        </w:tc>
        <w:tc>
          <w:tcPr>
            <w:tcW w:w="1361" w:type="dxa"/>
            <w:vAlign w:val="center"/>
          </w:tcPr>
          <w:p>
            <w:pPr>
              <w:pStyle w:val="12"/>
            </w:pPr>
            <w:r>
              <w:t>0.89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169.04</w:t>
            </w:r>
          </w:p>
        </w:tc>
        <w:tc>
          <w:tcPr>
            <w:tcW w:w="1361" w:type="dxa"/>
            <w:vAlign w:val="center"/>
          </w:tcPr>
          <w:p>
            <w:pPr>
              <w:pStyle w:val="12"/>
            </w:pPr>
            <w:r>
              <w:t>169.04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161.07</w:t>
            </w:r>
          </w:p>
        </w:tc>
        <w:tc>
          <w:tcPr>
            <w:tcW w:w="1361" w:type="dxa"/>
            <w:vAlign w:val="center"/>
          </w:tcPr>
          <w:p>
            <w:pPr>
              <w:pStyle w:val="12"/>
            </w:pPr>
            <w:r>
              <w:t>161.07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152.55</w:t>
            </w:r>
          </w:p>
        </w:tc>
        <w:tc>
          <w:tcPr>
            <w:tcW w:w="1361" w:type="dxa"/>
            <w:vAlign w:val="center"/>
          </w:tcPr>
          <w:p>
            <w:pPr>
              <w:pStyle w:val="12"/>
            </w:pPr>
            <w:r>
              <w:t>152.55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8.52</w:t>
            </w:r>
          </w:p>
        </w:tc>
        <w:tc>
          <w:tcPr>
            <w:tcW w:w="1361" w:type="dxa"/>
            <w:vAlign w:val="center"/>
          </w:tcPr>
          <w:p>
            <w:pPr>
              <w:pStyle w:val="12"/>
            </w:pPr>
            <w:r>
              <w:t>8.52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7.97</w:t>
            </w:r>
          </w:p>
        </w:tc>
        <w:tc>
          <w:tcPr>
            <w:tcW w:w="1361" w:type="dxa"/>
            <w:vAlign w:val="center"/>
          </w:tcPr>
          <w:p>
            <w:pPr>
              <w:pStyle w:val="12"/>
            </w:pPr>
            <w:r>
              <w:t>7.97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4.36</w:t>
            </w:r>
          </w:p>
        </w:tc>
        <w:tc>
          <w:tcPr>
            <w:tcW w:w="1361" w:type="dxa"/>
            <w:vAlign w:val="center"/>
          </w:tcPr>
          <w:p>
            <w:pPr>
              <w:pStyle w:val="12"/>
            </w:pPr>
            <w:r>
              <w:t>4.36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3.61</w:t>
            </w:r>
          </w:p>
        </w:tc>
        <w:tc>
          <w:tcPr>
            <w:tcW w:w="1361" w:type="dxa"/>
            <w:vAlign w:val="center"/>
          </w:tcPr>
          <w:p>
            <w:pPr>
              <w:pStyle w:val="12"/>
            </w:pPr>
            <w:r>
              <w:t>3.61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79.27</w:t>
            </w:r>
          </w:p>
        </w:tc>
        <w:tc>
          <w:tcPr>
            <w:tcW w:w="1361" w:type="dxa"/>
            <w:vAlign w:val="center"/>
          </w:tcPr>
          <w:p>
            <w:pPr>
              <w:pStyle w:val="12"/>
            </w:pPr>
            <w:r>
              <w:t>79.27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79.27</w:t>
            </w:r>
          </w:p>
        </w:tc>
        <w:tc>
          <w:tcPr>
            <w:tcW w:w="1361" w:type="dxa"/>
            <w:vAlign w:val="center"/>
          </w:tcPr>
          <w:p>
            <w:pPr>
              <w:pStyle w:val="12"/>
            </w:pPr>
            <w:r>
              <w:t>79.27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10.96</w:t>
            </w:r>
          </w:p>
        </w:tc>
        <w:tc>
          <w:tcPr>
            <w:tcW w:w="1361" w:type="dxa"/>
            <w:vAlign w:val="center"/>
          </w:tcPr>
          <w:p>
            <w:pPr>
              <w:pStyle w:val="12"/>
            </w:pPr>
            <w:r>
              <w:t>10.96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68.31</w:t>
            </w:r>
          </w:p>
        </w:tc>
        <w:tc>
          <w:tcPr>
            <w:tcW w:w="1361" w:type="dxa"/>
            <w:vAlign w:val="center"/>
          </w:tcPr>
          <w:p>
            <w:pPr>
              <w:pStyle w:val="12"/>
            </w:pPr>
            <w:r>
              <w:t>68.31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3.06</w:t>
            </w:r>
          </w:p>
        </w:tc>
        <w:tc>
          <w:tcPr>
            <w:tcW w:w="1361" w:type="dxa"/>
            <w:vAlign w:val="center"/>
          </w:tcPr>
          <w:p>
            <w:pPr>
              <w:pStyle w:val="12"/>
            </w:pPr>
          </w:p>
        </w:tc>
        <w:tc>
          <w:tcPr>
            <w:tcW w:w="1361" w:type="dxa"/>
            <w:vAlign w:val="center"/>
          </w:tcPr>
          <w:p>
            <w:pPr>
              <w:pStyle w:val="12"/>
            </w:pPr>
            <w:r>
              <w:t>3.06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3.06</w:t>
            </w:r>
          </w:p>
        </w:tc>
        <w:tc>
          <w:tcPr>
            <w:tcW w:w="1361" w:type="dxa"/>
            <w:vAlign w:val="center"/>
          </w:tcPr>
          <w:p>
            <w:pPr>
              <w:pStyle w:val="12"/>
            </w:pPr>
          </w:p>
        </w:tc>
        <w:tc>
          <w:tcPr>
            <w:tcW w:w="1361" w:type="dxa"/>
            <w:vAlign w:val="center"/>
          </w:tcPr>
          <w:p>
            <w:pPr>
              <w:pStyle w:val="12"/>
            </w:pPr>
            <w:r>
              <w:t>3.06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2130199</w:t>
            </w:r>
          </w:p>
        </w:tc>
        <w:tc>
          <w:tcPr>
            <w:tcW w:w="4535" w:type="dxa"/>
            <w:vAlign w:val="center"/>
          </w:tcPr>
          <w:p>
            <w:pPr>
              <w:pStyle w:val="13"/>
            </w:pPr>
            <w:r>
              <w:t>其他农业农村支出</w:t>
            </w:r>
          </w:p>
        </w:tc>
        <w:tc>
          <w:tcPr>
            <w:tcW w:w="1361" w:type="dxa"/>
            <w:vAlign w:val="center"/>
          </w:tcPr>
          <w:p>
            <w:pPr>
              <w:pStyle w:val="12"/>
            </w:pPr>
            <w:r>
              <w:t>3.06</w:t>
            </w:r>
          </w:p>
        </w:tc>
        <w:tc>
          <w:tcPr>
            <w:tcW w:w="1361" w:type="dxa"/>
            <w:vAlign w:val="center"/>
          </w:tcPr>
          <w:p>
            <w:pPr>
              <w:pStyle w:val="12"/>
            </w:pPr>
          </w:p>
        </w:tc>
        <w:tc>
          <w:tcPr>
            <w:tcW w:w="1361" w:type="dxa"/>
            <w:vAlign w:val="center"/>
          </w:tcPr>
          <w:p>
            <w:pPr>
              <w:pStyle w:val="12"/>
            </w:pPr>
            <w:r>
              <w:t>3.06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318石家庄市栾城区财政局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2894.62</w:t>
            </w:r>
          </w:p>
        </w:tc>
        <w:tc>
          <w:tcPr>
            <w:tcW w:w="3402" w:type="dxa"/>
            <w:vAlign w:val="center"/>
          </w:tcPr>
          <w:p>
            <w:pPr>
              <w:pStyle w:val="13"/>
            </w:pPr>
            <w:r>
              <w:t>一、一般公共服务支出</w:t>
            </w:r>
          </w:p>
        </w:tc>
        <w:tc>
          <w:tcPr>
            <w:tcW w:w="1474" w:type="dxa"/>
            <w:vAlign w:val="center"/>
          </w:tcPr>
          <w:p>
            <w:pPr>
              <w:pStyle w:val="12"/>
            </w:pPr>
            <w:r>
              <w:t>2643.24</w:t>
            </w:r>
          </w:p>
        </w:tc>
        <w:tc>
          <w:tcPr>
            <w:tcW w:w="1474" w:type="dxa"/>
            <w:vAlign w:val="center"/>
          </w:tcPr>
          <w:p>
            <w:pPr>
              <w:pStyle w:val="12"/>
            </w:pPr>
            <w:r>
              <w:t>2643.24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169.04</w:t>
            </w:r>
          </w:p>
        </w:tc>
        <w:tc>
          <w:tcPr>
            <w:tcW w:w="1474" w:type="dxa"/>
            <w:vAlign w:val="center"/>
          </w:tcPr>
          <w:p>
            <w:pPr>
              <w:pStyle w:val="12"/>
            </w:pPr>
            <w:r>
              <w:t>169.04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79.27</w:t>
            </w:r>
          </w:p>
        </w:tc>
        <w:tc>
          <w:tcPr>
            <w:tcW w:w="1474" w:type="dxa"/>
            <w:vAlign w:val="center"/>
          </w:tcPr>
          <w:p>
            <w:pPr>
              <w:pStyle w:val="12"/>
            </w:pPr>
            <w:r>
              <w:t>79.27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3.06</w:t>
            </w:r>
          </w:p>
        </w:tc>
        <w:tc>
          <w:tcPr>
            <w:tcW w:w="1474" w:type="dxa"/>
            <w:vAlign w:val="center"/>
          </w:tcPr>
          <w:p>
            <w:pPr>
              <w:pStyle w:val="12"/>
            </w:pPr>
            <w:r>
              <w:t>3.06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2894.62</w:t>
            </w:r>
          </w:p>
        </w:tc>
        <w:tc>
          <w:tcPr>
            <w:tcW w:w="3402" w:type="dxa"/>
            <w:vAlign w:val="center"/>
          </w:tcPr>
          <w:p>
            <w:pPr>
              <w:pStyle w:val="15"/>
            </w:pPr>
            <w:r>
              <w:t>本年支出合计</w:t>
            </w:r>
          </w:p>
        </w:tc>
        <w:tc>
          <w:tcPr>
            <w:tcW w:w="1474" w:type="dxa"/>
            <w:vAlign w:val="center"/>
          </w:tcPr>
          <w:p>
            <w:pPr>
              <w:pStyle w:val="16"/>
            </w:pPr>
            <w:r>
              <w:t>2894.62</w:t>
            </w:r>
          </w:p>
        </w:tc>
        <w:tc>
          <w:tcPr>
            <w:tcW w:w="1474" w:type="dxa"/>
            <w:vAlign w:val="center"/>
          </w:tcPr>
          <w:p>
            <w:pPr>
              <w:pStyle w:val="16"/>
            </w:pPr>
            <w:r>
              <w:t>2894.62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2894.62</w:t>
            </w:r>
          </w:p>
        </w:tc>
        <w:tc>
          <w:tcPr>
            <w:tcW w:w="3402" w:type="dxa"/>
            <w:vAlign w:val="center"/>
          </w:tcPr>
          <w:p>
            <w:pPr>
              <w:pStyle w:val="15"/>
            </w:pPr>
            <w:r>
              <w:t>支出总计</w:t>
            </w:r>
          </w:p>
        </w:tc>
        <w:tc>
          <w:tcPr>
            <w:tcW w:w="1474" w:type="dxa"/>
            <w:vAlign w:val="center"/>
          </w:tcPr>
          <w:p>
            <w:pPr>
              <w:pStyle w:val="16"/>
            </w:pPr>
            <w:r>
              <w:t>2894.62</w:t>
            </w:r>
          </w:p>
        </w:tc>
        <w:tc>
          <w:tcPr>
            <w:tcW w:w="1474" w:type="dxa"/>
            <w:vAlign w:val="center"/>
          </w:tcPr>
          <w:p>
            <w:pPr>
              <w:pStyle w:val="16"/>
            </w:pPr>
            <w:r>
              <w:t>2894.62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318石家庄市栾城区财政局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2894.62</w:t>
            </w:r>
          </w:p>
        </w:tc>
        <w:tc>
          <w:tcPr>
            <w:tcW w:w="2551" w:type="dxa"/>
            <w:vAlign w:val="center"/>
          </w:tcPr>
          <w:p>
            <w:pPr>
              <w:pStyle w:val="16"/>
            </w:pPr>
            <w:r>
              <w:t>1890.72</w:t>
            </w:r>
          </w:p>
        </w:tc>
        <w:tc>
          <w:tcPr>
            <w:tcW w:w="2551" w:type="dxa"/>
            <w:vAlign w:val="center"/>
          </w:tcPr>
          <w:p>
            <w:pPr>
              <w:pStyle w:val="16"/>
            </w:pPr>
            <w:r>
              <w:t>1003.90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2643.24</w:t>
            </w:r>
          </w:p>
        </w:tc>
        <w:tc>
          <w:tcPr>
            <w:tcW w:w="2551" w:type="dxa"/>
            <w:vAlign w:val="center"/>
          </w:tcPr>
          <w:p>
            <w:pPr>
              <w:pStyle w:val="12"/>
            </w:pPr>
            <w:r>
              <w:t>1642.40</w:t>
            </w:r>
          </w:p>
        </w:tc>
        <w:tc>
          <w:tcPr>
            <w:tcW w:w="2551" w:type="dxa"/>
            <w:vAlign w:val="center"/>
          </w:tcPr>
          <w:p>
            <w:pPr>
              <w:pStyle w:val="12"/>
            </w:pPr>
            <w:r>
              <w:t>1000.84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20106</w:t>
            </w:r>
          </w:p>
        </w:tc>
        <w:tc>
          <w:tcPr>
            <w:tcW w:w="4535" w:type="dxa"/>
            <w:vAlign w:val="center"/>
          </w:tcPr>
          <w:p>
            <w:pPr>
              <w:pStyle w:val="13"/>
            </w:pPr>
            <w:r>
              <w:t>财政事务</w:t>
            </w:r>
          </w:p>
        </w:tc>
        <w:tc>
          <w:tcPr>
            <w:tcW w:w="2551" w:type="dxa"/>
            <w:vAlign w:val="center"/>
          </w:tcPr>
          <w:p>
            <w:pPr>
              <w:pStyle w:val="12"/>
            </w:pPr>
            <w:r>
              <w:t>2643.24</w:t>
            </w:r>
          </w:p>
        </w:tc>
        <w:tc>
          <w:tcPr>
            <w:tcW w:w="2551" w:type="dxa"/>
            <w:vAlign w:val="center"/>
          </w:tcPr>
          <w:p>
            <w:pPr>
              <w:pStyle w:val="12"/>
            </w:pPr>
            <w:r>
              <w:t>1642.40</w:t>
            </w:r>
          </w:p>
        </w:tc>
        <w:tc>
          <w:tcPr>
            <w:tcW w:w="2551" w:type="dxa"/>
            <w:vAlign w:val="center"/>
          </w:tcPr>
          <w:p>
            <w:pPr>
              <w:pStyle w:val="12"/>
            </w:pPr>
            <w:r>
              <w:t>1000.84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2010601</w:t>
            </w:r>
          </w:p>
        </w:tc>
        <w:tc>
          <w:tcPr>
            <w:tcW w:w="4535" w:type="dxa"/>
            <w:vAlign w:val="center"/>
          </w:tcPr>
          <w:p>
            <w:pPr>
              <w:pStyle w:val="13"/>
            </w:pPr>
            <w:r>
              <w:t>行政运行</w:t>
            </w:r>
          </w:p>
        </w:tc>
        <w:tc>
          <w:tcPr>
            <w:tcW w:w="2551" w:type="dxa"/>
            <w:vAlign w:val="center"/>
          </w:tcPr>
          <w:p>
            <w:pPr>
              <w:pStyle w:val="12"/>
            </w:pPr>
            <w:r>
              <w:t>430.35</w:t>
            </w:r>
          </w:p>
        </w:tc>
        <w:tc>
          <w:tcPr>
            <w:tcW w:w="2551" w:type="dxa"/>
            <w:vAlign w:val="center"/>
          </w:tcPr>
          <w:p>
            <w:pPr>
              <w:pStyle w:val="12"/>
            </w:pPr>
            <w:r>
              <w:t>421.85</w:t>
            </w:r>
          </w:p>
        </w:tc>
        <w:tc>
          <w:tcPr>
            <w:tcW w:w="2551" w:type="dxa"/>
            <w:vAlign w:val="center"/>
          </w:tcPr>
          <w:p>
            <w:pPr>
              <w:pStyle w:val="12"/>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2010602</w:t>
            </w:r>
          </w:p>
        </w:tc>
        <w:tc>
          <w:tcPr>
            <w:tcW w:w="4535" w:type="dxa"/>
            <w:vAlign w:val="center"/>
          </w:tcPr>
          <w:p>
            <w:pPr>
              <w:pStyle w:val="13"/>
            </w:pPr>
            <w:r>
              <w:t>一般行政管理事务</w:t>
            </w:r>
          </w:p>
        </w:tc>
        <w:tc>
          <w:tcPr>
            <w:tcW w:w="2551" w:type="dxa"/>
            <w:vAlign w:val="center"/>
          </w:tcPr>
          <w:p>
            <w:pPr>
              <w:pStyle w:val="12"/>
            </w:pPr>
            <w:r>
              <w:t>54.50</w:t>
            </w:r>
          </w:p>
        </w:tc>
        <w:tc>
          <w:tcPr>
            <w:tcW w:w="2551" w:type="dxa"/>
            <w:vAlign w:val="center"/>
          </w:tcPr>
          <w:p>
            <w:pPr>
              <w:pStyle w:val="12"/>
            </w:pPr>
          </w:p>
        </w:tc>
        <w:tc>
          <w:tcPr>
            <w:tcW w:w="2551" w:type="dxa"/>
            <w:vAlign w:val="center"/>
          </w:tcPr>
          <w:p>
            <w:pPr>
              <w:pStyle w:val="12"/>
            </w:pPr>
            <w:r>
              <w:t>54.50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2010604</w:t>
            </w:r>
          </w:p>
        </w:tc>
        <w:tc>
          <w:tcPr>
            <w:tcW w:w="4535" w:type="dxa"/>
            <w:vAlign w:val="center"/>
          </w:tcPr>
          <w:p>
            <w:pPr>
              <w:pStyle w:val="13"/>
            </w:pPr>
            <w:r>
              <w:t>预算改革业务</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2010607</w:t>
            </w:r>
          </w:p>
        </w:tc>
        <w:tc>
          <w:tcPr>
            <w:tcW w:w="4535" w:type="dxa"/>
            <w:vAlign w:val="center"/>
          </w:tcPr>
          <w:p>
            <w:pPr>
              <w:pStyle w:val="13"/>
            </w:pPr>
            <w:r>
              <w:t>信息化建设</w:t>
            </w:r>
          </w:p>
        </w:tc>
        <w:tc>
          <w:tcPr>
            <w:tcW w:w="2551" w:type="dxa"/>
            <w:vAlign w:val="center"/>
          </w:tcPr>
          <w:p>
            <w:pPr>
              <w:pStyle w:val="12"/>
            </w:pPr>
            <w:r>
              <w:t>70.12</w:t>
            </w:r>
          </w:p>
        </w:tc>
        <w:tc>
          <w:tcPr>
            <w:tcW w:w="2551" w:type="dxa"/>
            <w:vAlign w:val="center"/>
          </w:tcPr>
          <w:p>
            <w:pPr>
              <w:pStyle w:val="12"/>
            </w:pPr>
          </w:p>
        </w:tc>
        <w:tc>
          <w:tcPr>
            <w:tcW w:w="2551" w:type="dxa"/>
            <w:vAlign w:val="center"/>
          </w:tcPr>
          <w:p>
            <w:pPr>
              <w:pStyle w:val="12"/>
            </w:pPr>
            <w:r>
              <w:t>70.12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2010608</w:t>
            </w:r>
          </w:p>
        </w:tc>
        <w:tc>
          <w:tcPr>
            <w:tcW w:w="4535" w:type="dxa"/>
            <w:vAlign w:val="center"/>
          </w:tcPr>
          <w:p>
            <w:pPr>
              <w:pStyle w:val="13"/>
            </w:pPr>
            <w:r>
              <w:t>财政委托业务支出</w:t>
            </w:r>
          </w:p>
        </w:tc>
        <w:tc>
          <w:tcPr>
            <w:tcW w:w="2551" w:type="dxa"/>
            <w:vAlign w:val="center"/>
          </w:tcPr>
          <w:p>
            <w:pPr>
              <w:pStyle w:val="12"/>
            </w:pPr>
            <w:r>
              <w:t>854.00</w:t>
            </w:r>
          </w:p>
        </w:tc>
        <w:tc>
          <w:tcPr>
            <w:tcW w:w="2551" w:type="dxa"/>
            <w:vAlign w:val="center"/>
          </w:tcPr>
          <w:p>
            <w:pPr>
              <w:pStyle w:val="12"/>
            </w:pPr>
          </w:p>
        </w:tc>
        <w:tc>
          <w:tcPr>
            <w:tcW w:w="2551" w:type="dxa"/>
            <w:vAlign w:val="center"/>
          </w:tcPr>
          <w:p>
            <w:pPr>
              <w:pStyle w:val="12"/>
            </w:pPr>
            <w:r>
              <w:t>854.00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2010650</w:t>
            </w:r>
          </w:p>
        </w:tc>
        <w:tc>
          <w:tcPr>
            <w:tcW w:w="4535" w:type="dxa"/>
            <w:vAlign w:val="center"/>
          </w:tcPr>
          <w:p>
            <w:pPr>
              <w:pStyle w:val="13"/>
            </w:pPr>
            <w:r>
              <w:t>事业运行</w:t>
            </w:r>
          </w:p>
        </w:tc>
        <w:tc>
          <w:tcPr>
            <w:tcW w:w="2551" w:type="dxa"/>
            <w:vAlign w:val="center"/>
          </w:tcPr>
          <w:p>
            <w:pPr>
              <w:pStyle w:val="12"/>
            </w:pPr>
            <w:r>
              <w:t>1231.39</w:t>
            </w:r>
          </w:p>
        </w:tc>
        <w:tc>
          <w:tcPr>
            <w:tcW w:w="2551" w:type="dxa"/>
            <w:vAlign w:val="center"/>
          </w:tcPr>
          <w:p>
            <w:pPr>
              <w:pStyle w:val="12"/>
            </w:pPr>
            <w:r>
              <w:t>1220.56</w:t>
            </w:r>
          </w:p>
        </w:tc>
        <w:tc>
          <w:tcPr>
            <w:tcW w:w="2551" w:type="dxa"/>
            <w:vAlign w:val="center"/>
          </w:tcPr>
          <w:p>
            <w:pPr>
              <w:pStyle w:val="12"/>
            </w:pPr>
            <w:r>
              <w:t>10.84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2010699</w:t>
            </w:r>
          </w:p>
        </w:tc>
        <w:tc>
          <w:tcPr>
            <w:tcW w:w="4535" w:type="dxa"/>
            <w:vAlign w:val="center"/>
          </w:tcPr>
          <w:p>
            <w:pPr>
              <w:pStyle w:val="13"/>
            </w:pPr>
            <w:r>
              <w:t>其他财政事务支出</w:t>
            </w:r>
          </w:p>
        </w:tc>
        <w:tc>
          <w:tcPr>
            <w:tcW w:w="2551" w:type="dxa"/>
            <w:vAlign w:val="center"/>
          </w:tcPr>
          <w:p>
            <w:pPr>
              <w:pStyle w:val="12"/>
            </w:pPr>
            <w:r>
              <w:t>0.89</w:t>
            </w:r>
          </w:p>
        </w:tc>
        <w:tc>
          <w:tcPr>
            <w:tcW w:w="2551" w:type="dxa"/>
            <w:vAlign w:val="center"/>
          </w:tcPr>
          <w:p>
            <w:pPr>
              <w:pStyle w:val="12"/>
            </w:pPr>
          </w:p>
        </w:tc>
        <w:tc>
          <w:tcPr>
            <w:tcW w:w="2551" w:type="dxa"/>
            <w:vAlign w:val="center"/>
          </w:tcPr>
          <w:p>
            <w:pPr>
              <w:pStyle w:val="12"/>
            </w:pPr>
            <w:r>
              <w:t>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169.04</w:t>
            </w:r>
          </w:p>
        </w:tc>
        <w:tc>
          <w:tcPr>
            <w:tcW w:w="2551" w:type="dxa"/>
            <w:vAlign w:val="center"/>
          </w:tcPr>
          <w:p>
            <w:pPr>
              <w:pStyle w:val="12"/>
            </w:pPr>
            <w:r>
              <w:t>169.04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161.07</w:t>
            </w:r>
          </w:p>
        </w:tc>
        <w:tc>
          <w:tcPr>
            <w:tcW w:w="2551" w:type="dxa"/>
            <w:vAlign w:val="center"/>
          </w:tcPr>
          <w:p>
            <w:pPr>
              <w:pStyle w:val="12"/>
            </w:pPr>
            <w:r>
              <w:t>161.07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152.55</w:t>
            </w:r>
          </w:p>
        </w:tc>
        <w:tc>
          <w:tcPr>
            <w:tcW w:w="2551" w:type="dxa"/>
            <w:vAlign w:val="center"/>
          </w:tcPr>
          <w:p>
            <w:pPr>
              <w:pStyle w:val="12"/>
            </w:pPr>
            <w:r>
              <w:t>152.55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8.52</w:t>
            </w:r>
          </w:p>
        </w:tc>
        <w:tc>
          <w:tcPr>
            <w:tcW w:w="2551" w:type="dxa"/>
            <w:vAlign w:val="center"/>
          </w:tcPr>
          <w:p>
            <w:pPr>
              <w:pStyle w:val="12"/>
            </w:pPr>
            <w:r>
              <w:t>8.52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7.97</w:t>
            </w:r>
          </w:p>
        </w:tc>
        <w:tc>
          <w:tcPr>
            <w:tcW w:w="2551" w:type="dxa"/>
            <w:vAlign w:val="center"/>
          </w:tcPr>
          <w:p>
            <w:pPr>
              <w:pStyle w:val="12"/>
            </w:pPr>
            <w:r>
              <w:t>7.97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4.36</w:t>
            </w:r>
          </w:p>
        </w:tc>
        <w:tc>
          <w:tcPr>
            <w:tcW w:w="2551" w:type="dxa"/>
            <w:vAlign w:val="center"/>
          </w:tcPr>
          <w:p>
            <w:pPr>
              <w:pStyle w:val="12"/>
            </w:pPr>
            <w:r>
              <w:t>4.36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3.61</w:t>
            </w:r>
          </w:p>
        </w:tc>
        <w:tc>
          <w:tcPr>
            <w:tcW w:w="2551" w:type="dxa"/>
            <w:vAlign w:val="center"/>
          </w:tcPr>
          <w:p>
            <w:pPr>
              <w:pStyle w:val="12"/>
            </w:pPr>
            <w:r>
              <w:t>3.61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79.27</w:t>
            </w:r>
          </w:p>
        </w:tc>
        <w:tc>
          <w:tcPr>
            <w:tcW w:w="2551" w:type="dxa"/>
            <w:vAlign w:val="center"/>
          </w:tcPr>
          <w:p>
            <w:pPr>
              <w:pStyle w:val="12"/>
            </w:pPr>
            <w:r>
              <w:t>79.27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79.27</w:t>
            </w:r>
          </w:p>
        </w:tc>
        <w:tc>
          <w:tcPr>
            <w:tcW w:w="2551" w:type="dxa"/>
            <w:vAlign w:val="center"/>
          </w:tcPr>
          <w:p>
            <w:pPr>
              <w:pStyle w:val="12"/>
            </w:pPr>
            <w:r>
              <w:t>79.27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10.96</w:t>
            </w:r>
          </w:p>
        </w:tc>
        <w:tc>
          <w:tcPr>
            <w:tcW w:w="2551" w:type="dxa"/>
            <w:vAlign w:val="center"/>
          </w:tcPr>
          <w:p>
            <w:pPr>
              <w:pStyle w:val="12"/>
            </w:pPr>
            <w:r>
              <w:t>10.96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68.31</w:t>
            </w:r>
          </w:p>
        </w:tc>
        <w:tc>
          <w:tcPr>
            <w:tcW w:w="2551" w:type="dxa"/>
            <w:vAlign w:val="center"/>
          </w:tcPr>
          <w:p>
            <w:pPr>
              <w:pStyle w:val="12"/>
            </w:pPr>
            <w:r>
              <w:t>68.31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3.06</w:t>
            </w:r>
          </w:p>
        </w:tc>
        <w:tc>
          <w:tcPr>
            <w:tcW w:w="2551" w:type="dxa"/>
            <w:vAlign w:val="center"/>
          </w:tcPr>
          <w:p>
            <w:pPr>
              <w:pStyle w:val="12"/>
            </w:pPr>
          </w:p>
        </w:tc>
        <w:tc>
          <w:tcPr>
            <w:tcW w:w="2551" w:type="dxa"/>
            <w:vAlign w:val="center"/>
          </w:tcPr>
          <w:p>
            <w:pPr>
              <w:pStyle w:val="12"/>
            </w:pPr>
            <w: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3.06</w:t>
            </w:r>
          </w:p>
        </w:tc>
        <w:tc>
          <w:tcPr>
            <w:tcW w:w="2551" w:type="dxa"/>
            <w:vAlign w:val="center"/>
          </w:tcPr>
          <w:p>
            <w:pPr>
              <w:pStyle w:val="12"/>
            </w:pPr>
          </w:p>
        </w:tc>
        <w:tc>
          <w:tcPr>
            <w:tcW w:w="2551" w:type="dxa"/>
            <w:vAlign w:val="center"/>
          </w:tcPr>
          <w:p>
            <w:pPr>
              <w:pStyle w:val="12"/>
            </w:pPr>
            <w: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2130199</w:t>
            </w:r>
          </w:p>
        </w:tc>
        <w:tc>
          <w:tcPr>
            <w:tcW w:w="4535" w:type="dxa"/>
            <w:vAlign w:val="center"/>
          </w:tcPr>
          <w:p>
            <w:pPr>
              <w:pStyle w:val="13"/>
            </w:pPr>
            <w:r>
              <w:t>其他农业农村支出</w:t>
            </w:r>
          </w:p>
        </w:tc>
        <w:tc>
          <w:tcPr>
            <w:tcW w:w="2551" w:type="dxa"/>
            <w:vAlign w:val="center"/>
          </w:tcPr>
          <w:p>
            <w:pPr>
              <w:pStyle w:val="12"/>
            </w:pPr>
            <w:r>
              <w:t>3.06</w:t>
            </w:r>
          </w:p>
        </w:tc>
        <w:tc>
          <w:tcPr>
            <w:tcW w:w="2551" w:type="dxa"/>
            <w:vAlign w:val="center"/>
          </w:tcPr>
          <w:p>
            <w:pPr>
              <w:pStyle w:val="12"/>
            </w:pPr>
          </w:p>
        </w:tc>
        <w:tc>
          <w:tcPr>
            <w:tcW w:w="2551" w:type="dxa"/>
            <w:vAlign w:val="center"/>
          </w:tcPr>
          <w:p>
            <w:pPr>
              <w:pStyle w:val="12"/>
            </w:pPr>
            <w:r>
              <w:t>3.06</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318石家庄市栾城区财政局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1890.72</w:t>
            </w:r>
          </w:p>
        </w:tc>
        <w:tc>
          <w:tcPr>
            <w:tcW w:w="2551" w:type="dxa"/>
            <w:vAlign w:val="center"/>
          </w:tcPr>
          <w:p>
            <w:pPr>
              <w:pStyle w:val="16"/>
            </w:pPr>
            <w:r>
              <w:t>1793.45</w:t>
            </w:r>
          </w:p>
        </w:tc>
        <w:tc>
          <w:tcPr>
            <w:tcW w:w="2551" w:type="dxa"/>
            <w:vAlign w:val="center"/>
          </w:tcPr>
          <w:p>
            <w:pPr>
              <w:pStyle w:val="16"/>
            </w:pPr>
            <w:r>
              <w:t>97.27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1574.17</w:t>
            </w:r>
          </w:p>
        </w:tc>
        <w:tc>
          <w:tcPr>
            <w:tcW w:w="2551" w:type="dxa"/>
            <w:vAlign w:val="center"/>
          </w:tcPr>
          <w:p>
            <w:pPr>
              <w:pStyle w:val="12"/>
            </w:pPr>
            <w:r>
              <w:t>1574.17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447.24</w:t>
            </w:r>
          </w:p>
        </w:tc>
        <w:tc>
          <w:tcPr>
            <w:tcW w:w="2551" w:type="dxa"/>
            <w:vAlign w:val="center"/>
          </w:tcPr>
          <w:p>
            <w:pPr>
              <w:pStyle w:val="12"/>
            </w:pPr>
            <w:r>
              <w:t>447.24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118.50</w:t>
            </w:r>
          </w:p>
        </w:tc>
        <w:tc>
          <w:tcPr>
            <w:tcW w:w="2551" w:type="dxa"/>
            <w:vAlign w:val="center"/>
          </w:tcPr>
          <w:p>
            <w:pPr>
              <w:pStyle w:val="12"/>
            </w:pPr>
            <w:r>
              <w:t>118.50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55.71</w:t>
            </w:r>
          </w:p>
        </w:tc>
        <w:tc>
          <w:tcPr>
            <w:tcW w:w="2551" w:type="dxa"/>
            <w:vAlign w:val="center"/>
          </w:tcPr>
          <w:p>
            <w:pPr>
              <w:pStyle w:val="12"/>
            </w:pPr>
            <w:r>
              <w:t>55.71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569.52</w:t>
            </w:r>
          </w:p>
        </w:tc>
        <w:tc>
          <w:tcPr>
            <w:tcW w:w="2551" w:type="dxa"/>
            <w:vAlign w:val="center"/>
          </w:tcPr>
          <w:p>
            <w:pPr>
              <w:pStyle w:val="12"/>
            </w:pPr>
            <w:r>
              <w:t>569.52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152.55</w:t>
            </w:r>
          </w:p>
        </w:tc>
        <w:tc>
          <w:tcPr>
            <w:tcW w:w="2551" w:type="dxa"/>
            <w:vAlign w:val="center"/>
          </w:tcPr>
          <w:p>
            <w:pPr>
              <w:pStyle w:val="12"/>
            </w:pPr>
            <w:r>
              <w:t>152.55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8.52</w:t>
            </w:r>
          </w:p>
        </w:tc>
        <w:tc>
          <w:tcPr>
            <w:tcW w:w="2551" w:type="dxa"/>
            <w:vAlign w:val="center"/>
          </w:tcPr>
          <w:p>
            <w:pPr>
              <w:pStyle w:val="12"/>
            </w:pPr>
            <w:r>
              <w:t>8.52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75.58</w:t>
            </w:r>
          </w:p>
        </w:tc>
        <w:tc>
          <w:tcPr>
            <w:tcW w:w="2551" w:type="dxa"/>
            <w:vAlign w:val="center"/>
          </w:tcPr>
          <w:p>
            <w:pPr>
              <w:pStyle w:val="12"/>
            </w:pPr>
            <w:r>
              <w:t>75.58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3.69</w:t>
            </w:r>
          </w:p>
        </w:tc>
        <w:tc>
          <w:tcPr>
            <w:tcW w:w="2551" w:type="dxa"/>
            <w:vAlign w:val="center"/>
          </w:tcPr>
          <w:p>
            <w:pPr>
              <w:pStyle w:val="12"/>
            </w:pPr>
            <w:r>
              <w:t>3.69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7.97</w:t>
            </w:r>
          </w:p>
        </w:tc>
        <w:tc>
          <w:tcPr>
            <w:tcW w:w="2551" w:type="dxa"/>
            <w:vAlign w:val="center"/>
          </w:tcPr>
          <w:p>
            <w:pPr>
              <w:pStyle w:val="12"/>
            </w:pPr>
            <w:r>
              <w:t>7.97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134.89</w:t>
            </w:r>
          </w:p>
        </w:tc>
        <w:tc>
          <w:tcPr>
            <w:tcW w:w="2551" w:type="dxa"/>
            <w:vAlign w:val="center"/>
          </w:tcPr>
          <w:p>
            <w:pPr>
              <w:pStyle w:val="12"/>
            </w:pPr>
            <w:r>
              <w:t>134.89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97.27</w:t>
            </w:r>
          </w:p>
        </w:tc>
        <w:tc>
          <w:tcPr>
            <w:tcW w:w="2551" w:type="dxa"/>
            <w:vAlign w:val="center"/>
          </w:tcPr>
          <w:p>
            <w:pPr>
              <w:pStyle w:val="12"/>
            </w:pPr>
          </w:p>
        </w:tc>
        <w:tc>
          <w:tcPr>
            <w:tcW w:w="2551" w:type="dxa"/>
            <w:vAlign w:val="center"/>
          </w:tcPr>
          <w:p>
            <w:pPr>
              <w:pStyle w:val="12"/>
            </w:pPr>
            <w:r>
              <w:t>97.27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41.84</w:t>
            </w:r>
          </w:p>
        </w:tc>
        <w:tc>
          <w:tcPr>
            <w:tcW w:w="2551" w:type="dxa"/>
            <w:vAlign w:val="center"/>
          </w:tcPr>
          <w:p>
            <w:pPr>
              <w:pStyle w:val="12"/>
            </w:pPr>
          </w:p>
        </w:tc>
        <w:tc>
          <w:tcPr>
            <w:tcW w:w="2551" w:type="dxa"/>
            <w:vAlign w:val="center"/>
          </w:tcPr>
          <w:p>
            <w:pPr>
              <w:pStyle w:val="12"/>
            </w:pPr>
            <w:r>
              <w:t>41.84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7.32</w:t>
            </w:r>
          </w:p>
        </w:tc>
        <w:tc>
          <w:tcPr>
            <w:tcW w:w="2551" w:type="dxa"/>
            <w:vAlign w:val="center"/>
          </w:tcPr>
          <w:p>
            <w:pPr>
              <w:pStyle w:val="12"/>
            </w:pPr>
          </w:p>
        </w:tc>
        <w:tc>
          <w:tcPr>
            <w:tcW w:w="2551" w:type="dxa"/>
            <w:vAlign w:val="center"/>
          </w:tcPr>
          <w:p>
            <w:pPr>
              <w:pStyle w:val="12"/>
            </w:pPr>
            <w:r>
              <w:t>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7.86</w:t>
            </w:r>
          </w:p>
        </w:tc>
        <w:tc>
          <w:tcPr>
            <w:tcW w:w="2551" w:type="dxa"/>
            <w:vAlign w:val="center"/>
          </w:tcPr>
          <w:p>
            <w:pPr>
              <w:pStyle w:val="12"/>
            </w:pPr>
          </w:p>
        </w:tc>
        <w:tc>
          <w:tcPr>
            <w:tcW w:w="2551" w:type="dxa"/>
            <w:vAlign w:val="center"/>
          </w:tcPr>
          <w:p>
            <w:pPr>
              <w:pStyle w:val="12"/>
            </w:pPr>
            <w:r>
              <w:t>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3.52</w:t>
            </w:r>
          </w:p>
        </w:tc>
        <w:tc>
          <w:tcPr>
            <w:tcW w:w="2551" w:type="dxa"/>
            <w:vAlign w:val="center"/>
          </w:tcPr>
          <w:p>
            <w:pPr>
              <w:pStyle w:val="12"/>
            </w:pPr>
          </w:p>
        </w:tc>
        <w:tc>
          <w:tcPr>
            <w:tcW w:w="2551" w:type="dxa"/>
            <w:vAlign w:val="center"/>
          </w:tcPr>
          <w:p>
            <w:pPr>
              <w:pStyle w:val="12"/>
            </w:pPr>
            <w:r>
              <w:t>3.52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5.42</w:t>
            </w:r>
          </w:p>
        </w:tc>
        <w:tc>
          <w:tcPr>
            <w:tcW w:w="2551" w:type="dxa"/>
            <w:vAlign w:val="center"/>
          </w:tcPr>
          <w:p>
            <w:pPr>
              <w:pStyle w:val="12"/>
            </w:pPr>
          </w:p>
        </w:tc>
        <w:tc>
          <w:tcPr>
            <w:tcW w:w="2551" w:type="dxa"/>
            <w:vAlign w:val="center"/>
          </w:tcPr>
          <w:p>
            <w:pPr>
              <w:pStyle w:val="12"/>
            </w:pPr>
            <w:r>
              <w:t>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1.36</w:t>
            </w:r>
          </w:p>
        </w:tc>
        <w:tc>
          <w:tcPr>
            <w:tcW w:w="2551" w:type="dxa"/>
            <w:vAlign w:val="center"/>
          </w:tcPr>
          <w:p>
            <w:pPr>
              <w:pStyle w:val="12"/>
            </w:pPr>
          </w:p>
        </w:tc>
        <w:tc>
          <w:tcPr>
            <w:tcW w:w="2551" w:type="dxa"/>
            <w:vAlign w:val="center"/>
          </w:tcPr>
          <w:p>
            <w:pPr>
              <w:pStyle w:val="12"/>
            </w:pPr>
            <w:r>
              <w:t>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8.50</w:t>
            </w:r>
          </w:p>
        </w:tc>
        <w:tc>
          <w:tcPr>
            <w:tcW w:w="2551" w:type="dxa"/>
            <w:vAlign w:val="center"/>
          </w:tcPr>
          <w:p>
            <w:pPr>
              <w:pStyle w:val="12"/>
            </w:pPr>
          </w:p>
        </w:tc>
        <w:tc>
          <w:tcPr>
            <w:tcW w:w="2551" w:type="dxa"/>
            <w:vAlign w:val="center"/>
          </w:tcPr>
          <w:p>
            <w:pPr>
              <w:pStyle w:val="12"/>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2.33</w:t>
            </w:r>
          </w:p>
        </w:tc>
        <w:tc>
          <w:tcPr>
            <w:tcW w:w="2551" w:type="dxa"/>
            <w:vAlign w:val="center"/>
          </w:tcPr>
          <w:p>
            <w:pPr>
              <w:pStyle w:val="12"/>
            </w:pPr>
          </w:p>
        </w:tc>
        <w:tc>
          <w:tcPr>
            <w:tcW w:w="2551" w:type="dxa"/>
            <w:vAlign w:val="center"/>
          </w:tcPr>
          <w:p>
            <w:pPr>
              <w:pStyle w:val="12"/>
            </w:pPr>
            <w:r>
              <w:t>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9.78</w:t>
            </w:r>
          </w:p>
        </w:tc>
        <w:tc>
          <w:tcPr>
            <w:tcW w:w="2551" w:type="dxa"/>
            <w:vAlign w:val="center"/>
          </w:tcPr>
          <w:p>
            <w:pPr>
              <w:pStyle w:val="12"/>
            </w:pPr>
          </w:p>
        </w:tc>
        <w:tc>
          <w:tcPr>
            <w:tcW w:w="2551" w:type="dxa"/>
            <w:vAlign w:val="center"/>
          </w:tcPr>
          <w:p>
            <w:pPr>
              <w:pStyle w:val="12"/>
            </w:pPr>
            <w:r>
              <w:t>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9.35</w:t>
            </w:r>
          </w:p>
        </w:tc>
        <w:tc>
          <w:tcPr>
            <w:tcW w:w="2551" w:type="dxa"/>
            <w:vAlign w:val="center"/>
          </w:tcPr>
          <w:p>
            <w:pPr>
              <w:pStyle w:val="12"/>
            </w:pPr>
          </w:p>
        </w:tc>
        <w:tc>
          <w:tcPr>
            <w:tcW w:w="2551" w:type="dxa"/>
            <w:vAlign w:val="center"/>
          </w:tcPr>
          <w:p>
            <w:pPr>
              <w:pStyle w:val="12"/>
            </w:pPr>
            <w:r>
              <w:t>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219.28</w:t>
            </w:r>
          </w:p>
        </w:tc>
        <w:tc>
          <w:tcPr>
            <w:tcW w:w="2551" w:type="dxa"/>
            <w:vAlign w:val="center"/>
          </w:tcPr>
          <w:p>
            <w:pPr>
              <w:pStyle w:val="12"/>
            </w:pPr>
            <w:r>
              <w:t>219.28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216.11</w:t>
            </w:r>
          </w:p>
        </w:tc>
        <w:tc>
          <w:tcPr>
            <w:tcW w:w="2551" w:type="dxa"/>
            <w:vAlign w:val="center"/>
          </w:tcPr>
          <w:p>
            <w:pPr>
              <w:pStyle w:val="12"/>
            </w:pPr>
            <w:r>
              <w:t>216.11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3.17</w:t>
            </w:r>
          </w:p>
        </w:tc>
        <w:tc>
          <w:tcPr>
            <w:tcW w:w="2551" w:type="dxa"/>
            <w:vAlign w:val="center"/>
          </w:tcPr>
          <w:p>
            <w:pPr>
              <w:pStyle w:val="12"/>
            </w:pPr>
            <w:r>
              <w:t>3.17</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318石家庄市栾城区财政局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318石家庄市栾城区财政局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318石家庄市栾城区财政局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2"/>
              <w:ind w:firstLine="0" w:firstLineChars="0"/>
            </w:pPr>
            <w:r>
              <w:t>3.69</w:t>
            </w:r>
          </w:p>
        </w:tc>
        <w:tc>
          <w:tcPr>
            <w:tcW w:w="2381" w:type="dxa"/>
            <w:vAlign w:val="center"/>
          </w:tcPr>
          <w:p>
            <w:pPr>
              <w:pStyle w:val="12"/>
              <w:ind w:firstLine="0" w:firstLineChars="0"/>
            </w:pPr>
            <w:r>
              <w:t>3.69</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3.69</w:t>
            </w:r>
          </w:p>
        </w:tc>
        <w:tc>
          <w:tcPr>
            <w:tcW w:w="2381" w:type="dxa"/>
            <w:vAlign w:val="center"/>
          </w:tcPr>
          <w:p>
            <w:pPr>
              <w:pStyle w:val="12"/>
            </w:pPr>
            <w:r>
              <w:t>3.69</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二、公务用车购置及运维费</w:t>
            </w:r>
          </w:p>
        </w:tc>
        <w:tc>
          <w:tcPr>
            <w:tcW w:w="2381" w:type="dxa"/>
            <w:vAlign w:val="center"/>
          </w:tcPr>
          <w:p>
            <w:pPr>
              <w:pStyle w:val="12"/>
            </w:pPr>
            <w:r>
              <w:t>2.33</w:t>
            </w:r>
          </w:p>
        </w:tc>
        <w:tc>
          <w:tcPr>
            <w:tcW w:w="2381" w:type="dxa"/>
            <w:vAlign w:val="center"/>
          </w:tcPr>
          <w:p>
            <w:pPr>
              <w:pStyle w:val="12"/>
            </w:pPr>
            <w:r>
              <w:t>2.33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公务用车运行维护费</w:t>
            </w:r>
          </w:p>
        </w:tc>
        <w:tc>
          <w:tcPr>
            <w:tcW w:w="2381" w:type="dxa"/>
            <w:vAlign w:val="center"/>
          </w:tcPr>
          <w:p>
            <w:pPr>
              <w:pStyle w:val="12"/>
            </w:pPr>
            <w:r>
              <w:t>2.33</w:t>
            </w:r>
          </w:p>
        </w:tc>
        <w:tc>
          <w:tcPr>
            <w:tcW w:w="2381" w:type="dxa"/>
            <w:vAlign w:val="center"/>
          </w:tcPr>
          <w:p>
            <w:pPr>
              <w:pStyle w:val="12"/>
            </w:pPr>
            <w:r>
              <w:t>2.33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三、公务接待费</w:t>
            </w:r>
          </w:p>
        </w:tc>
        <w:tc>
          <w:tcPr>
            <w:tcW w:w="2381" w:type="dxa"/>
            <w:vAlign w:val="center"/>
          </w:tcPr>
          <w:p>
            <w:pPr>
              <w:pStyle w:val="12"/>
            </w:pPr>
            <w:r>
              <w:t>1.36</w:t>
            </w:r>
          </w:p>
        </w:tc>
        <w:tc>
          <w:tcPr>
            <w:tcW w:w="2381" w:type="dxa"/>
            <w:vAlign w:val="center"/>
          </w:tcPr>
          <w:p>
            <w:pPr>
              <w:pStyle w:val="12"/>
            </w:pPr>
            <w:r>
              <w:t>1.36</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石家庄市栾城区财政局2026年部门预算信息公开情况说明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石家庄市栾城区财政局2026年部门预算信息公开情况说明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按照《中华人民共和国预算法》、《地方预决算公开操作规程》和《关于进一步推进预算公开工作的实施意见》规定，现将石家庄市栾城区财政局2026年部门预算公开如下：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执行财税发展规划、政策和改革方案。分析预测宏观经济形势，参与制定各项宏观经济政策，提出运用财税政策实施宏观调控和综合平衡社会财力的建议；拟订区与乡（镇）、政府与企业的分配政策，完善鼓励公益事业发展的财税政策。</w:t>
      </w:r>
    </w:p>
    <w:p>
      <w:pPr>
        <w:pStyle w:val="18"/>
      </w:pPr>
      <w:r>
        <w:t>（二）贯彻执行财政、财务、会计管理的法律、法规、规章。</w:t>
      </w:r>
    </w:p>
    <w:p>
      <w:pPr>
        <w:pStyle w:val="18"/>
      </w:pPr>
      <w:r>
        <w:t>（三）负责管理区级各项财政收支。编制年度区级预决算草案并组织执行，汇编全区预决算草案。组织制定经费开支标准、定额，审核批复部门（单位）年度预决算。受区政府委托，向区人民代表大会及其常委会报告财政预算、执行和决算等情况。负责政府投资基金区级财政出资的资产管理。负责区级及指导乡级财政预决算公开。</w:t>
      </w:r>
    </w:p>
    <w:p>
      <w:pPr>
        <w:pStyle w:val="18"/>
      </w:pPr>
      <w:r>
        <w:t>（四）贯彻执行税收法规和规章、实施细则和税收政策调整方案。组织推进税收制度改革。 （五）按分工负责政府非税收入管理。负责政府性基金管理，按规定管理行政事业性收费。管理财政票据。贯彻实施彩票管理政策和有关办法，按规定管理彩票资金。</w:t>
      </w:r>
    </w:p>
    <w:p>
      <w:pPr>
        <w:pStyle w:val="18"/>
      </w:pPr>
      <w:r>
        <w:t>（六）研究制定国库管理制度、国库集中收付制度，按规定开展国库资金现金管理工作。组织实施政府财务报告编制工作。制定政府采购制度并监督管理。</w:t>
      </w:r>
    </w:p>
    <w:p>
      <w:pPr>
        <w:pStyle w:val="18"/>
      </w:pPr>
      <w:r>
        <w:t>（七）拟订政府债务管理制度和办法并组织实施。负责政府债务限额管理，按规定组织政府债券申报和还本付息等工作。执行国家外债管理政策，管理区政府国外债务。</w:t>
      </w:r>
    </w:p>
    <w:p>
      <w:pPr>
        <w:pStyle w:val="18"/>
      </w:pPr>
      <w:r>
        <w:t>（八）牵头编制国有资产管理情况报告。根据区政府授权，逐步履行区级国有金融资本出资人职责。执行国有金融资本管理规章制度。贯彻执行行政事业单位国有资产管理制度并组织实施，制定全区统一规定的开支标准和支出政策。</w:t>
      </w:r>
    </w:p>
    <w:p>
      <w:pPr>
        <w:pStyle w:val="18"/>
      </w:pPr>
      <w:r>
        <w:t>（九）负责审核并汇总编制全区国有资本经营预决算草案，组织实施国有资本经营预算制度，收取区属企业国有资本收益。组织实施企业财务制度。</w:t>
      </w:r>
    </w:p>
    <w:p>
      <w:pPr>
        <w:pStyle w:val="18"/>
      </w:pPr>
      <w:r>
        <w:t>（十）负责审核并汇总编制全区社会保险基金预决算草案，会同有关部门拟订有关资金（基金）财务管理制度并组织实施。承担社会保险基金财政监管工作。</w:t>
      </w:r>
    </w:p>
    <w:p>
      <w:pPr>
        <w:pStyle w:val="18"/>
      </w:pPr>
      <w:r>
        <w:t>（十一）负责办理和监督区级财政的经济发展支出、区级政府性投资项目的财政拨款，参与拟订区级建设投资的有关政策，贯彻执行上级制定的基建财务管理制度。负责财政评审管理。</w:t>
      </w:r>
    </w:p>
    <w:p>
      <w:pPr>
        <w:pStyle w:val="18"/>
      </w:pPr>
      <w:r>
        <w:t>（十二）负责管理全区会计工作，监督和规范会计行为，组织实施会计制度。</w:t>
      </w:r>
    </w:p>
    <w:p>
      <w:pPr>
        <w:pStyle w:val="18"/>
      </w:pPr>
      <w:r>
        <w:t>（十三）完成区委、区政府交办的其他任务。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石家庄市栾城区财政局本级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石家庄市栾城区非税收入中心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石家庄市栾城区会计委派中心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石家庄市栾城区财政资金支付中心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石家庄市栾城区控制社会集团购买力工作中心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石家庄市栾城区政府投融资中心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石家庄市栾城区财政土地储备理财中心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石家庄市栾城区预算绩效中心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河北石家庄装备制造产业园区（栾城）管理委员会财政所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石家庄市栾城区政府投资评审中心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石家庄市栾城区财源建设中心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按照预算管理有关规定，目前部门预算的编制实行综合预算管理，即全部收入和支出都反映在预算中。石家庄市栾城区财政局机关及所属事业单位的收支包含在部门预算中。</w:t>
      </w:r>
    </w:p>
    <w:p>
      <w:pPr>
        <w:pStyle w:val="19"/>
      </w:pPr>
      <w:r>
        <w:t>1、收入说明</w:t>
      </w:r>
    </w:p>
    <w:p>
      <w:pPr>
        <w:pStyle w:val="19"/>
      </w:pPr>
      <w:r>
        <w:t>反映本部门当年全部收入。2026年预算收入2894.62万元，其中：一般公共预算收入2894.62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栾城区财政局年度部门预算中支出预算的总体情况。2026年支出预算2894.62万元，其中基本支出1890.72万元，包括人员经费1793.45万元和日常公用经费97.27万元；项目支出1003.90万元，主要为资产评估服务费、智慧财税大数据分析服务费、信息网络租赁及运维服务费、预算绩效管理经费、项目评审费等；预计下年使用的单位资金结余0.00万元。委托业务费共计安排854.00万元，主要用于因技术原因确需对外委托的辅助性工作和确有必要对外委托开展咨询、评审、规划等工作。</w:t>
      </w:r>
    </w:p>
    <w:p>
      <w:pPr>
        <w:pStyle w:val="19"/>
      </w:pPr>
      <w:r>
        <w:t>3、比上年增减情况</w:t>
      </w:r>
    </w:p>
    <w:p>
      <w:pPr>
        <w:pStyle w:val="19"/>
      </w:pPr>
      <w:r>
        <w:t>2026年预算收支安排2894.62万元，较2025年预算减少326.30万元，其中：基本支出增加76.84万元，主要为主要是在职和退休人员增加，以及正常增资。项目支出减少403.14万元，主要为项目评审费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2026年，我部门机关运行经费共计安排97.27万元，主要用于日常维修、办公用房水电费、办公用房取暖费、办公用房物业管理费等日常运行支出。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3.69万元，其中因公出国（境）费0.00万元；公务用车购置及运维费2.33万元（其中：公务用车购置费为0.00万元，公务用车运维费2.33万元)；公务接待费1.36万元。与2025年相比</w:t>
      </w:r>
      <w:r>
        <w:rPr>
          <w:rFonts w:hint="eastAsia"/>
          <w:lang w:eastAsia="zh-CN"/>
        </w:rPr>
        <w:t>减少</w:t>
      </w:r>
      <w:r>
        <w:rPr>
          <w:rFonts w:hint="eastAsia"/>
          <w:lang w:val="en-US" w:eastAsia="zh-CN"/>
        </w:rPr>
        <w:t>0.11</w:t>
      </w:r>
      <w:r>
        <w:t>万元，增减变化的主要原因是</w:t>
      </w:r>
      <w:bookmarkStart w:id="20" w:name="_GoBack"/>
      <w:bookmarkEnd w:id="20"/>
      <w:r>
        <w:t>预算压减</w:t>
      </w:r>
      <w:r>
        <w:rPr>
          <w:rFonts w:hint="eastAsia"/>
          <w:lang w:val="en-US" w:eastAsia="zh-CN"/>
        </w:rPr>
        <w:t>3</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始终坚持以习近平新时代中国特色社会主义思想为指导，坚决贯彻习近平总书记重要讲话精神和党中央重大决策，以及习近平总书记视察河北、视察石家庄重要讲话和重要指示精神，全面落实省、市、区工作部署，坚持稳中求进工作总基调，完整准确全面贯彻新发展理念，加快构建新发展格局，扎实推动全区高质量发展。强化财政资源和预算统筹，加强财政科学管理，大力优化支出结构，防范化解债务风险，严肃财经纪律，在税收收入增长乏力、刚性支出持续增长等多重压力交织下，我们坚持问题导向，精准施策、综合发力，提高资金使用效益和政策效能，确保财政平稳运行。</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1、切实做好收支平衡，确保财政运行稳定。</w:t>
      </w:r>
    </w:p>
    <w:p>
      <w:pPr>
        <w:pStyle w:val="23"/>
      </w:pPr>
      <w:r>
        <w:t>绩效目标：坚持稳中求进工作总基调，密切关注新时代经济发展形势和国家宏观调控的重大举措，从严从紧加强收支管理，确保财政运行稳定。</w:t>
      </w:r>
    </w:p>
    <w:p>
      <w:pPr>
        <w:pStyle w:val="23"/>
      </w:pPr>
      <w:r>
        <w:t>绩效指标：全力支持创新驱动、转型发展项目建设、重大民生项目建设，继续严格落实各项减税降费政策，优化营商环境，盘活闲置资产，充分利用闲置资产价值，实现资产价值的提升和有效利用。坚持“以收定支”的原则,进一步优化财政支出结构，硬化预算约束。</w:t>
      </w:r>
    </w:p>
    <w:p>
      <w:pPr>
        <w:pStyle w:val="23"/>
      </w:pPr>
      <w:r>
        <w:t>2、做好 预算绩效评价管理</w:t>
      </w:r>
    </w:p>
    <w:p>
      <w:pPr>
        <w:pStyle w:val="23"/>
      </w:pPr>
      <w:r>
        <w:t>绩效目标：为规范区级预算绩效重点评价工作,提高重点政策和项目绩效管理水平,促进财政资金配置效率、使用效益和政府公共服务管理水平提升，根据《中华人民共和国预算法》《中共石家庄市栾城区委、栾城区人民政府关于全面落实预算绩效管理的实施意见》对区级重点政策和项目支出进行绩效评价。</w:t>
      </w:r>
    </w:p>
    <w:p>
      <w:pPr>
        <w:pStyle w:val="23"/>
      </w:pPr>
      <w:r>
        <w:t>相绩效指标：对全区所有预算单位预算绩效评价开展绩效监控工作，并关业务培训，提高财政资金使用效益。</w:t>
      </w:r>
    </w:p>
    <w:p>
      <w:pPr>
        <w:pStyle w:val="23"/>
      </w:pPr>
      <w:r>
        <w:t>3、积极贯彻落实财税政策。</w:t>
      </w:r>
    </w:p>
    <w:p>
      <w:pPr>
        <w:pStyle w:val="23"/>
      </w:pPr>
      <w:r>
        <w:t>绩效目标：严格落实退税减税降费、缓税缓费政策，依法依规扎实组织收入，强化财税部门联动，强化督导推进，深挖税源增长点，加强对重点税源、重点行业监控，优化收入结构，提高税收占比，提升非税收入质量。</w:t>
      </w:r>
    </w:p>
    <w:p>
      <w:pPr>
        <w:pStyle w:val="23"/>
      </w:pPr>
      <w:r>
        <w:t>绩效指标：加强全区土地增值税清算管理，引入第三方开展纳税剖析，协助税务部门进行土地增值税清算。重点对税负率偏低或审核中发现重大疑点的清算项目开展复核，确保项目清算质量。</w:t>
      </w:r>
    </w:p>
    <w:p>
      <w:pPr>
        <w:pStyle w:val="23"/>
      </w:pPr>
      <w:r>
        <w:t>4、稳步推进财政体制改革，财政管理水平新提升。</w:t>
      </w:r>
    </w:p>
    <w:p>
      <w:pPr>
        <w:pStyle w:val="23"/>
      </w:pPr>
      <w:r>
        <w:t>绩效目标：始终坚持和加强党对财政工作的全面领导不动摇,强化“财”服从服务于“政”的意识,自觉在预算编制、政策制定和大事要事攻坚中，始终做到“财随政走、政令财行”。</w:t>
      </w:r>
    </w:p>
    <w:p>
      <w:pPr>
        <w:pStyle w:val="23"/>
      </w:pPr>
      <w:r>
        <w:t>绩效指标：预算编制完整科学，预算执行规范高效，做好预决算和三公经费等政务信息全面公开，增强公开度、透明度，主动接受社会各界监督。推进预算绩效管理体制改革，切实提高资金使用效率。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加强组织领导。将项目评估、经费管理、运行监控、绩效评价等各项措施，有效融入预算管理的全过程，建立健全预算绩效管理的路径和制度体系。成立由主要领导任组长的预算绩效工作领导小组，建立统筹协调、分工协作、密切配合、合力推进的工作机制。围绕年度总体绩效目标和分类绩效目标，细化工作方案，明确责任主体、持续推进执行，确保预算如期完成。</w:t>
      </w:r>
    </w:p>
    <w:p>
      <w:pPr>
        <w:pStyle w:val="24"/>
      </w:pPr>
      <w:r>
        <w:t>（二）强化预算执行。强化预算执行的刚性约束，及时启动预算项目，加快履行采购程序，优化预算支出结构，创新经费支出思路，合理改进支出方式，确保按照时间节点完成支出任务。进一步规范经费使用和管理，强化内部控制制度建设，更好地发挥经费的使用效益。</w:t>
      </w:r>
    </w:p>
    <w:p>
      <w:pPr>
        <w:pStyle w:val="24"/>
      </w:pPr>
      <w:r>
        <w:t>（三）强化宣传引导。树立预算绩效管理理念，熟悉管理流程，掌握工作方法，提升管理能力。不断探索工作经验，及时总结预算绩效管理成效，提升预算绩效管理科学水平，营造良好的预算绩效管理氛围。</w:t>
      </w:r>
    </w:p>
    <w:p>
      <w:pPr>
        <w:pStyle w:val="24"/>
      </w:pPr>
      <w:r>
        <w:t>（四）完善制度建设。包括制定完善预算绩效管理制度、资金管理办法、工作保障制度，为全年预算绩效目标的实现奠定制度基础。</w:t>
      </w:r>
    </w:p>
    <w:p>
      <w:pPr>
        <w:pStyle w:val="24"/>
      </w:pPr>
      <w:r>
        <w:t>（五）加强支出管理。通过优化支出结构、编细编实预算、加快履行政府采购手续、尽快启动项目、及时支付资金，确保支出进度达标。</w:t>
      </w:r>
    </w:p>
    <w:p>
      <w:pPr>
        <w:pStyle w:val="24"/>
      </w:pPr>
      <w:r>
        <w:t>（六）加强绩效运行监控。按要求开展绩效运行监控，发现问题及时采取措施，确保绩效目标如期保质实现。</w:t>
      </w:r>
    </w:p>
    <w:p>
      <w:pPr>
        <w:pStyle w:val="24"/>
      </w:pPr>
      <w:r>
        <w:t>（七）做好绩效自评。按要求开展上年度部门预算绩效自评工作，对评价中发现的问题及时整改，调整优化支出结构，提高财政资金使用效益。</w:t>
      </w:r>
    </w:p>
    <w:p>
      <w:pPr>
        <w:pStyle w:val="24"/>
      </w:pPr>
      <w:r>
        <w:t>（八）规范财务资产管理。完善财务管理制度，严格审批程序，加强固定资产登记、使用和报废处置管理，做到支出合理，物尽其用。</w:t>
      </w:r>
    </w:p>
    <w:p>
      <w:pPr>
        <w:pStyle w:val="24"/>
        <w:sectPr>
          <w:pgSz w:w="16840" w:h="11900" w:orient="landscape"/>
          <w:pgMar w:top="1361" w:right="1020" w:bottom="1361" w:left="1020" w:header="720" w:footer="720" w:gutter="0"/>
        </w:sectPr>
      </w:pPr>
      <w:r>
        <w:t>（九）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rPr>
          <w:rFonts w:ascii="黑体" w:hAnsi="黑体" w:eastAsia="黑体" w:cs="黑体"/>
          <w:color w:val="000000"/>
          <w:sz w:val="32"/>
          <w:szCs w:val="24"/>
          <w:lang w:val="en-US" w:eastAsia="uk-UA" w:bidi="ar-SA"/>
        </w:rPr>
      </w:pPr>
    </w:p>
    <w:p>
      <w:pPr>
        <w:tabs>
          <w:tab w:val="left" w:pos="1593"/>
        </w:tabs>
        <w:jc w:val="left"/>
        <w:rPr>
          <w:rFonts w:hint="eastAsia" w:eastAsia="黑体"/>
          <w:lang w:val="en-US" w:eastAsia="zh-CN"/>
        </w:rPr>
        <w:sectPr>
          <w:pgSz w:w="16840" w:h="11900" w:orient="landscape"/>
          <w:pgMar w:top="1361" w:right="1020" w:bottom="1134" w:left="1020" w:header="720" w:footer="720" w:gutter="0"/>
        </w:sectPr>
      </w:pPr>
      <w:r>
        <w:rPr>
          <w:rFonts w:hint="eastAsia" w:ascii="黑体" w:hAnsi="黑体" w:eastAsia="黑体" w:cs="黑体"/>
          <w:color w:val="000000"/>
          <w:sz w:val="32"/>
          <w:szCs w:val="24"/>
          <w:lang w:val="en-US" w:eastAsia="zh-CN" w:bidi="ar-SA"/>
        </w:rPr>
        <w:tab/>
      </w:r>
      <w:r>
        <w:rPr>
          <w:rFonts w:hint="eastAsia" w:ascii="黑体" w:hAnsi="黑体" w:eastAsia="黑体" w:cs="黑体"/>
          <w:color w:val="000000"/>
          <w:sz w:val="32"/>
          <w:szCs w:val="24"/>
          <w:lang w:val="en-US" w:eastAsia="zh-CN" w:bidi="ar-SA"/>
        </w:rPr>
        <w:t>无</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1、机房运行维护费绩效目标表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13011126P00001310002M</w:t>
            </w:r>
          </w:p>
        </w:tc>
        <w:tc>
          <w:tcPr>
            <w:tcW w:w="2835" w:type="dxa"/>
            <w:vAlign w:val="center"/>
          </w:tcPr>
          <w:p>
            <w:pPr>
              <w:pStyle w:val="11"/>
            </w:pPr>
            <w:r>
              <w:t>项目名称</w:t>
            </w:r>
          </w:p>
        </w:tc>
        <w:tc>
          <w:tcPr>
            <w:tcW w:w="6095" w:type="dxa"/>
            <w:gridSpan w:val="3"/>
            <w:vAlign w:val="center"/>
          </w:tcPr>
          <w:p>
            <w:pPr>
              <w:pStyle w:val="13"/>
            </w:pPr>
            <w:r>
              <w:t>机房运行维护费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18.60</w:t>
            </w:r>
          </w:p>
        </w:tc>
        <w:tc>
          <w:tcPr>
            <w:tcW w:w="2835" w:type="dxa"/>
            <w:vAlign w:val="center"/>
          </w:tcPr>
          <w:p>
            <w:pPr>
              <w:pStyle w:val="11"/>
            </w:pPr>
            <w:r>
              <w:t>其中：财政    资金</w:t>
            </w:r>
          </w:p>
        </w:tc>
        <w:tc>
          <w:tcPr>
            <w:tcW w:w="2551" w:type="dxa"/>
            <w:vAlign w:val="center"/>
          </w:tcPr>
          <w:p>
            <w:pPr>
              <w:pStyle w:val="13"/>
            </w:pPr>
            <w:r>
              <w:t>18.60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确保机房设备及系统正常运行，保证机房正常运转，确保财政与银行间的数据交换。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18.60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1.2.对机房设备及系统实施运行维护</w:t>
            </w:r>
          </w:p>
          <w:p>
            <w:pPr>
              <w:pStyle w:val="13"/>
            </w:pPr>
            <w:r>
              <w:t>2.3.确保全区各预算单位网络运行稳定，保证财政与银行间的数据交换及时准确。</w:t>
            </w:r>
          </w:p>
          <w:p>
            <w:pPr>
              <w:pStyle w:val="13"/>
            </w:pPr>
            <w:r>
              <w:t>3.1.财政局整体网络运行维护。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维护机房数量</w:t>
            </w:r>
          </w:p>
        </w:tc>
        <w:tc>
          <w:tcPr>
            <w:tcW w:w="5386" w:type="dxa"/>
            <w:vAlign w:val="center"/>
          </w:tcPr>
          <w:p>
            <w:pPr>
              <w:pStyle w:val="13"/>
            </w:pPr>
            <w:r>
              <w:t>维护机房数量</w:t>
            </w:r>
          </w:p>
        </w:tc>
        <w:tc>
          <w:tcPr>
            <w:tcW w:w="2268" w:type="dxa"/>
            <w:vAlign w:val="center"/>
          </w:tcPr>
          <w:p>
            <w:pPr>
              <w:pStyle w:val="13"/>
            </w:pPr>
            <w:r>
              <w:t>1个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机房正常运转率正常运转</w:t>
            </w:r>
          </w:p>
        </w:tc>
        <w:tc>
          <w:tcPr>
            <w:tcW w:w="5386" w:type="dxa"/>
            <w:vAlign w:val="center"/>
          </w:tcPr>
          <w:p>
            <w:pPr>
              <w:pStyle w:val="13"/>
            </w:pPr>
            <w:r>
              <w:t>机房正常运转天数占总天数的比率</w:t>
            </w:r>
          </w:p>
        </w:tc>
        <w:tc>
          <w:tcPr>
            <w:tcW w:w="2268" w:type="dxa"/>
            <w:vAlign w:val="center"/>
          </w:tcPr>
          <w:p>
            <w:pPr>
              <w:pStyle w:val="13"/>
            </w:pPr>
            <w:r>
              <w:t>≥95%</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支付及时性</w:t>
            </w:r>
          </w:p>
        </w:tc>
        <w:tc>
          <w:tcPr>
            <w:tcW w:w="5386" w:type="dxa"/>
            <w:vAlign w:val="center"/>
          </w:tcPr>
          <w:p>
            <w:pPr>
              <w:pStyle w:val="13"/>
            </w:pPr>
            <w:r>
              <w:t>及时支付</w:t>
            </w:r>
          </w:p>
        </w:tc>
        <w:tc>
          <w:tcPr>
            <w:tcW w:w="2268" w:type="dxa"/>
            <w:vAlign w:val="center"/>
          </w:tcPr>
          <w:p>
            <w:pPr>
              <w:pStyle w:val="13"/>
            </w:pPr>
            <w:r>
              <w:t>及时支付</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成本控制不超预算</w:t>
            </w:r>
          </w:p>
        </w:tc>
        <w:tc>
          <w:tcPr>
            <w:tcW w:w="2268" w:type="dxa"/>
            <w:vAlign w:val="center"/>
          </w:tcPr>
          <w:p>
            <w:pPr>
              <w:pStyle w:val="13"/>
            </w:pPr>
            <w:r>
              <w:t>≤18.6万元</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保障工作顺利开展</w:t>
            </w:r>
          </w:p>
        </w:tc>
        <w:tc>
          <w:tcPr>
            <w:tcW w:w="5386" w:type="dxa"/>
            <w:vAlign w:val="center"/>
          </w:tcPr>
          <w:p>
            <w:pPr>
              <w:pStyle w:val="13"/>
            </w:pPr>
            <w:r>
              <w:t>保障工作正常开展</w:t>
            </w:r>
          </w:p>
        </w:tc>
        <w:tc>
          <w:tcPr>
            <w:tcW w:w="2268" w:type="dxa"/>
            <w:vAlign w:val="center"/>
          </w:tcPr>
          <w:p>
            <w:pPr>
              <w:pStyle w:val="13"/>
            </w:pPr>
            <w:r>
              <w:t>正常开展</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能够长期较好地满足工作需求。</w:t>
            </w:r>
          </w:p>
        </w:tc>
        <w:tc>
          <w:tcPr>
            <w:tcW w:w="2268" w:type="dxa"/>
            <w:vAlign w:val="center"/>
          </w:tcPr>
          <w:p>
            <w:pPr>
              <w:pStyle w:val="13"/>
            </w:pPr>
            <w:r>
              <w:t>长期使用</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2、信息网络租赁及运维服务费绩效目标表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13011126P000013100012</w:t>
            </w:r>
          </w:p>
        </w:tc>
        <w:tc>
          <w:tcPr>
            <w:tcW w:w="2835" w:type="dxa"/>
            <w:vAlign w:val="center"/>
          </w:tcPr>
          <w:p>
            <w:pPr>
              <w:pStyle w:val="11"/>
            </w:pPr>
            <w:r>
              <w:t>项目名称</w:t>
            </w:r>
          </w:p>
        </w:tc>
        <w:tc>
          <w:tcPr>
            <w:tcW w:w="6095" w:type="dxa"/>
            <w:gridSpan w:val="3"/>
            <w:vAlign w:val="center"/>
          </w:tcPr>
          <w:p>
            <w:pPr>
              <w:pStyle w:val="13"/>
            </w:pPr>
            <w:r>
              <w:t>信息网络租赁及运维服务费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50.30</w:t>
            </w:r>
          </w:p>
        </w:tc>
        <w:tc>
          <w:tcPr>
            <w:tcW w:w="2835" w:type="dxa"/>
            <w:vAlign w:val="center"/>
          </w:tcPr>
          <w:p>
            <w:pPr>
              <w:pStyle w:val="11"/>
            </w:pPr>
            <w:r>
              <w:t>其中：财政    资金</w:t>
            </w:r>
          </w:p>
        </w:tc>
        <w:tc>
          <w:tcPr>
            <w:tcW w:w="2551" w:type="dxa"/>
            <w:vAlign w:val="center"/>
          </w:tcPr>
          <w:p>
            <w:pPr>
              <w:pStyle w:val="13"/>
            </w:pPr>
            <w:r>
              <w:t>50.30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（1）全区预算单位财政专网36.6650万元；（2）电信宽带网1.2万元；（3）联通视频会议1.8万元;(4)评审系统专线2.8368万元；2.运维服务费7.8万元。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50.30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1.财政局整体网络正常运行</w:t>
            </w:r>
          </w:p>
          <w:p>
            <w:pPr>
              <w:pStyle w:val="13"/>
            </w:pPr>
            <w:r>
              <w:t>2.确保全区财政一体化平台正常使用</w:t>
            </w:r>
          </w:p>
          <w:p>
            <w:pPr>
              <w:pStyle w:val="13"/>
            </w:pPr>
            <w:r>
              <w:t>3.确保全区资产管理系统、决算系统等正常运行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租用线路数量</w:t>
            </w:r>
          </w:p>
        </w:tc>
        <w:tc>
          <w:tcPr>
            <w:tcW w:w="5386" w:type="dxa"/>
            <w:vAlign w:val="center"/>
          </w:tcPr>
          <w:p>
            <w:pPr>
              <w:pStyle w:val="13"/>
            </w:pPr>
            <w:r>
              <w:t>租用线路数量</w:t>
            </w:r>
          </w:p>
        </w:tc>
        <w:tc>
          <w:tcPr>
            <w:tcW w:w="2268" w:type="dxa"/>
            <w:vAlign w:val="center"/>
          </w:tcPr>
          <w:p>
            <w:pPr>
              <w:pStyle w:val="13"/>
            </w:pPr>
            <w:r>
              <w:t>≤128户</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办公自动化覆盖率（%）</w:t>
            </w:r>
          </w:p>
        </w:tc>
        <w:tc>
          <w:tcPr>
            <w:tcW w:w="5386" w:type="dxa"/>
            <w:vAlign w:val="center"/>
          </w:tcPr>
          <w:p>
            <w:pPr>
              <w:pStyle w:val="13"/>
            </w:pPr>
            <w:r>
              <w:t>办公自动化覆盖率（%）</w:t>
            </w:r>
          </w:p>
        </w:tc>
        <w:tc>
          <w:tcPr>
            <w:tcW w:w="2268" w:type="dxa"/>
            <w:vAlign w:val="center"/>
          </w:tcPr>
          <w:p>
            <w:pPr>
              <w:pStyle w:val="13"/>
            </w:pPr>
            <w:r>
              <w:t>≥95%</w:t>
            </w:r>
          </w:p>
        </w:tc>
        <w:tc>
          <w:tcPr>
            <w:tcW w:w="1276" w:type="dxa"/>
            <w:vAlign w:val="center"/>
          </w:tcPr>
          <w:p>
            <w:pPr>
              <w:pStyle w:val="13"/>
            </w:pPr>
            <w:r>
              <w:t>依据实际情况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支付及时性</w:t>
            </w:r>
          </w:p>
        </w:tc>
        <w:tc>
          <w:tcPr>
            <w:tcW w:w="5386" w:type="dxa"/>
            <w:vAlign w:val="center"/>
          </w:tcPr>
          <w:p>
            <w:pPr>
              <w:pStyle w:val="13"/>
            </w:pPr>
            <w:r>
              <w:t>支付及时</w:t>
            </w:r>
          </w:p>
        </w:tc>
        <w:tc>
          <w:tcPr>
            <w:tcW w:w="2268" w:type="dxa"/>
            <w:vAlign w:val="center"/>
          </w:tcPr>
          <w:p>
            <w:pPr>
              <w:pStyle w:val="13"/>
            </w:pPr>
            <w:r>
              <w:t>支付及时</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成本控制不超预算</w:t>
            </w:r>
          </w:p>
        </w:tc>
        <w:tc>
          <w:tcPr>
            <w:tcW w:w="2268" w:type="dxa"/>
            <w:vAlign w:val="center"/>
          </w:tcPr>
          <w:p>
            <w:pPr>
              <w:pStyle w:val="13"/>
            </w:pPr>
            <w:r>
              <w:t>≤50.3万元</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保障业务工作有序开展</w:t>
            </w:r>
          </w:p>
        </w:tc>
        <w:tc>
          <w:tcPr>
            <w:tcW w:w="5386" w:type="dxa"/>
            <w:vAlign w:val="center"/>
          </w:tcPr>
          <w:p>
            <w:pPr>
              <w:pStyle w:val="13"/>
            </w:pPr>
            <w:r>
              <w:t>保障业务工作有序开展</w:t>
            </w:r>
          </w:p>
        </w:tc>
        <w:tc>
          <w:tcPr>
            <w:tcW w:w="2268" w:type="dxa"/>
            <w:vAlign w:val="center"/>
          </w:tcPr>
          <w:p>
            <w:pPr>
              <w:pStyle w:val="13"/>
            </w:pPr>
            <w:r>
              <w:t>正常开展</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3、办公设备购置费绩效目标表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13011126P00000410864W</w:t>
            </w:r>
          </w:p>
        </w:tc>
        <w:tc>
          <w:tcPr>
            <w:tcW w:w="2835" w:type="dxa"/>
            <w:vAlign w:val="center"/>
          </w:tcPr>
          <w:p>
            <w:pPr>
              <w:pStyle w:val="11"/>
            </w:pPr>
            <w:r>
              <w:t>项目名称</w:t>
            </w:r>
          </w:p>
        </w:tc>
        <w:tc>
          <w:tcPr>
            <w:tcW w:w="6095" w:type="dxa"/>
            <w:gridSpan w:val="3"/>
            <w:vAlign w:val="center"/>
          </w:tcPr>
          <w:p>
            <w:pPr>
              <w:pStyle w:val="13"/>
            </w:pPr>
            <w:r>
              <w:t>办公设备购置费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11.72</w:t>
            </w:r>
          </w:p>
        </w:tc>
        <w:tc>
          <w:tcPr>
            <w:tcW w:w="2835" w:type="dxa"/>
            <w:vAlign w:val="center"/>
          </w:tcPr>
          <w:p>
            <w:pPr>
              <w:pStyle w:val="11"/>
            </w:pPr>
            <w:r>
              <w:t>其中：财政    资金</w:t>
            </w:r>
          </w:p>
        </w:tc>
        <w:tc>
          <w:tcPr>
            <w:tcW w:w="2551" w:type="dxa"/>
            <w:vAlign w:val="center"/>
          </w:tcPr>
          <w:p>
            <w:pPr>
              <w:pStyle w:val="13"/>
            </w:pPr>
            <w:r>
              <w:t>11.72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办公设备购置资金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11.72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1.因工作需要购置电脑、打印机、空调、会议桌椅等。</w:t>
            </w:r>
          </w:p>
          <w:p>
            <w:pPr>
              <w:pStyle w:val="13"/>
            </w:pPr>
            <w:r>
              <w:t>2.满足局内工作正常运转。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购置数量</w:t>
            </w:r>
          </w:p>
        </w:tc>
        <w:tc>
          <w:tcPr>
            <w:tcW w:w="5386" w:type="dxa"/>
            <w:vAlign w:val="center"/>
          </w:tcPr>
          <w:p>
            <w:pPr>
              <w:pStyle w:val="13"/>
            </w:pPr>
            <w:r>
              <w:t>购置数量</w:t>
            </w:r>
          </w:p>
        </w:tc>
        <w:tc>
          <w:tcPr>
            <w:tcW w:w="2268" w:type="dxa"/>
            <w:vAlign w:val="center"/>
          </w:tcPr>
          <w:p>
            <w:pPr>
              <w:pStyle w:val="13"/>
            </w:pPr>
            <w:r>
              <w:t>41个</w:t>
            </w:r>
          </w:p>
        </w:tc>
        <w:tc>
          <w:tcPr>
            <w:tcW w:w="1276" w:type="dxa"/>
            <w:vAlign w:val="center"/>
          </w:tcPr>
          <w:p>
            <w:pPr>
              <w:pStyle w:val="13"/>
            </w:pPr>
            <w:r>
              <w:t>按照工作计划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支付及时性</w:t>
            </w:r>
          </w:p>
        </w:tc>
        <w:tc>
          <w:tcPr>
            <w:tcW w:w="5386" w:type="dxa"/>
            <w:vAlign w:val="center"/>
          </w:tcPr>
          <w:p>
            <w:pPr>
              <w:pStyle w:val="13"/>
            </w:pPr>
            <w:r>
              <w:t>支付及时</w:t>
            </w:r>
          </w:p>
        </w:tc>
        <w:tc>
          <w:tcPr>
            <w:tcW w:w="2268" w:type="dxa"/>
            <w:vAlign w:val="center"/>
          </w:tcPr>
          <w:p>
            <w:pPr>
              <w:pStyle w:val="13"/>
            </w:pPr>
            <w:r>
              <w:t>支付及时</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控制成本</w:t>
            </w:r>
          </w:p>
        </w:tc>
        <w:tc>
          <w:tcPr>
            <w:tcW w:w="5386" w:type="dxa"/>
            <w:vAlign w:val="center"/>
          </w:tcPr>
          <w:p>
            <w:pPr>
              <w:pStyle w:val="13"/>
            </w:pPr>
            <w:r>
              <w:t>控制成本</w:t>
            </w:r>
          </w:p>
        </w:tc>
        <w:tc>
          <w:tcPr>
            <w:tcW w:w="2268" w:type="dxa"/>
            <w:vAlign w:val="center"/>
          </w:tcPr>
          <w:p>
            <w:pPr>
              <w:pStyle w:val="13"/>
            </w:pPr>
            <w:r>
              <w:t>≤11.72万元</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保障工作正常开展</w:t>
            </w:r>
          </w:p>
        </w:tc>
        <w:tc>
          <w:tcPr>
            <w:tcW w:w="5386" w:type="dxa"/>
            <w:vAlign w:val="center"/>
          </w:tcPr>
          <w:p>
            <w:pPr>
              <w:pStyle w:val="13"/>
            </w:pPr>
            <w:r>
              <w:t>保障工作正常开展</w:t>
            </w:r>
          </w:p>
        </w:tc>
        <w:tc>
          <w:tcPr>
            <w:tcW w:w="2268" w:type="dxa"/>
            <w:vAlign w:val="center"/>
          </w:tcPr>
          <w:p>
            <w:pPr>
              <w:pStyle w:val="13"/>
            </w:pPr>
            <w:r>
              <w:t>工作正常开展</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4、结转2025年农村财会人员培训费（石财农[2024]65号）绩效目标表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13011126P00000410056X</w:t>
            </w:r>
          </w:p>
        </w:tc>
        <w:tc>
          <w:tcPr>
            <w:tcW w:w="2835" w:type="dxa"/>
            <w:vAlign w:val="center"/>
          </w:tcPr>
          <w:p>
            <w:pPr>
              <w:pStyle w:val="11"/>
            </w:pPr>
            <w:r>
              <w:t>项目名称</w:t>
            </w:r>
          </w:p>
        </w:tc>
        <w:tc>
          <w:tcPr>
            <w:tcW w:w="6095" w:type="dxa"/>
            <w:gridSpan w:val="3"/>
            <w:vAlign w:val="center"/>
          </w:tcPr>
          <w:p>
            <w:pPr>
              <w:pStyle w:val="13"/>
            </w:pPr>
            <w:r>
              <w:t>结转2025年农村财会人员培训费（石财农[2024]65号）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3.06</w:t>
            </w:r>
          </w:p>
        </w:tc>
        <w:tc>
          <w:tcPr>
            <w:tcW w:w="2835" w:type="dxa"/>
            <w:vAlign w:val="center"/>
          </w:tcPr>
          <w:p>
            <w:pPr>
              <w:pStyle w:val="11"/>
            </w:pPr>
            <w:r>
              <w:t>其中：财政    资金</w:t>
            </w:r>
          </w:p>
        </w:tc>
        <w:tc>
          <w:tcPr>
            <w:tcW w:w="2551" w:type="dxa"/>
            <w:vAlign w:val="center"/>
          </w:tcPr>
          <w:p>
            <w:pPr>
              <w:pStyle w:val="13"/>
            </w:pPr>
            <w:r>
              <w:t>3.06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做好农村财会人员财政支农政策培训工作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3.06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1.农村财会人员培训173人</w:t>
            </w:r>
          </w:p>
          <w:p>
            <w:pPr>
              <w:pStyle w:val="13"/>
            </w:pPr>
            <w:r>
              <w:t>2.提高财会人员综合素质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培训人数</w:t>
            </w:r>
          </w:p>
        </w:tc>
        <w:tc>
          <w:tcPr>
            <w:tcW w:w="5386" w:type="dxa"/>
            <w:vAlign w:val="center"/>
          </w:tcPr>
          <w:p>
            <w:pPr>
              <w:pStyle w:val="13"/>
            </w:pPr>
            <w:r>
              <w:t>参加培训人数</w:t>
            </w:r>
          </w:p>
        </w:tc>
        <w:tc>
          <w:tcPr>
            <w:tcW w:w="2268" w:type="dxa"/>
            <w:vAlign w:val="center"/>
          </w:tcPr>
          <w:p>
            <w:pPr>
              <w:pStyle w:val="13"/>
            </w:pPr>
            <w:r>
              <w:t>≤173人</w:t>
            </w:r>
          </w:p>
        </w:tc>
        <w:tc>
          <w:tcPr>
            <w:tcW w:w="1276" w:type="dxa"/>
            <w:vAlign w:val="center"/>
          </w:tcPr>
          <w:p>
            <w:pPr>
              <w:pStyle w:val="13"/>
            </w:pPr>
            <w:r>
              <w:t>依据工作计划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财会人员财政支农政策培训</w:t>
            </w:r>
          </w:p>
        </w:tc>
        <w:tc>
          <w:tcPr>
            <w:tcW w:w="5386" w:type="dxa"/>
            <w:vAlign w:val="center"/>
          </w:tcPr>
          <w:p>
            <w:pPr>
              <w:pStyle w:val="13"/>
            </w:pPr>
            <w:r>
              <w:t>财会人员财政支农政策培训出勤率</w:t>
            </w:r>
          </w:p>
        </w:tc>
        <w:tc>
          <w:tcPr>
            <w:tcW w:w="2268" w:type="dxa"/>
            <w:vAlign w:val="center"/>
          </w:tcPr>
          <w:p>
            <w:pPr>
              <w:pStyle w:val="13"/>
            </w:pPr>
            <w:r>
              <w:t>≥90%</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培训及时性</w:t>
            </w:r>
          </w:p>
        </w:tc>
        <w:tc>
          <w:tcPr>
            <w:tcW w:w="5386" w:type="dxa"/>
            <w:vAlign w:val="center"/>
          </w:tcPr>
          <w:p>
            <w:pPr>
              <w:pStyle w:val="13"/>
            </w:pPr>
            <w:r>
              <w:t>培训按计划及时开展</w:t>
            </w:r>
          </w:p>
        </w:tc>
        <w:tc>
          <w:tcPr>
            <w:tcW w:w="2268" w:type="dxa"/>
            <w:vAlign w:val="center"/>
          </w:tcPr>
          <w:p>
            <w:pPr>
              <w:pStyle w:val="13"/>
            </w:pPr>
            <w:r>
              <w:t>培训按计划及时开展</w:t>
            </w:r>
          </w:p>
        </w:tc>
        <w:tc>
          <w:tcPr>
            <w:tcW w:w="1276" w:type="dxa"/>
            <w:vAlign w:val="center"/>
          </w:tcPr>
          <w:p>
            <w:pPr>
              <w:pStyle w:val="13"/>
            </w:pPr>
            <w:r>
              <w:t>依据工作计划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控制预算数</w:t>
            </w:r>
          </w:p>
        </w:tc>
        <w:tc>
          <w:tcPr>
            <w:tcW w:w="5386" w:type="dxa"/>
            <w:vAlign w:val="center"/>
          </w:tcPr>
          <w:p>
            <w:pPr>
              <w:pStyle w:val="13"/>
            </w:pPr>
            <w:r>
              <w:t>不超预算数</w:t>
            </w:r>
          </w:p>
        </w:tc>
        <w:tc>
          <w:tcPr>
            <w:tcW w:w="2268" w:type="dxa"/>
            <w:vAlign w:val="center"/>
          </w:tcPr>
          <w:p>
            <w:pPr>
              <w:pStyle w:val="13"/>
            </w:pPr>
            <w:r>
              <w:t>≤3.06万元</w:t>
            </w:r>
          </w:p>
        </w:tc>
        <w:tc>
          <w:tcPr>
            <w:tcW w:w="1276" w:type="dxa"/>
            <w:vAlign w:val="center"/>
          </w:tcPr>
          <w:p>
            <w:pPr>
              <w:pStyle w:val="13"/>
            </w:pPr>
            <w:r>
              <w:t>依据工作计划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提升财会人员专业素养</w:t>
            </w:r>
          </w:p>
        </w:tc>
        <w:tc>
          <w:tcPr>
            <w:tcW w:w="5386" w:type="dxa"/>
            <w:vAlign w:val="center"/>
          </w:tcPr>
          <w:p>
            <w:pPr>
              <w:pStyle w:val="13"/>
            </w:pPr>
            <w:r>
              <w:t>提升财会人员专业素养</w:t>
            </w:r>
          </w:p>
        </w:tc>
        <w:tc>
          <w:tcPr>
            <w:tcW w:w="2268" w:type="dxa"/>
            <w:vAlign w:val="center"/>
          </w:tcPr>
          <w:p>
            <w:pPr>
              <w:pStyle w:val="13"/>
            </w:pPr>
            <w:r>
              <w:t>提升财会人员专业素养</w:t>
            </w:r>
          </w:p>
        </w:tc>
        <w:tc>
          <w:tcPr>
            <w:tcW w:w="1276" w:type="dxa"/>
            <w:vAlign w:val="center"/>
          </w:tcPr>
          <w:p>
            <w:pPr>
              <w:pStyle w:val="13"/>
            </w:pPr>
            <w:r>
              <w:t>依据工作计划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培训人员满意度</w:t>
            </w:r>
          </w:p>
        </w:tc>
        <w:tc>
          <w:tcPr>
            <w:tcW w:w="5386" w:type="dxa"/>
            <w:vAlign w:val="center"/>
          </w:tcPr>
          <w:p>
            <w:pPr>
              <w:pStyle w:val="13"/>
            </w:pPr>
            <w:r>
              <w:t>培训人员满意度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5、劳务派遣人员经费1绩效目标表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13011126P000004109091</w:t>
            </w:r>
          </w:p>
        </w:tc>
        <w:tc>
          <w:tcPr>
            <w:tcW w:w="2835" w:type="dxa"/>
            <w:vAlign w:val="center"/>
          </w:tcPr>
          <w:p>
            <w:pPr>
              <w:pStyle w:val="11"/>
            </w:pPr>
            <w:r>
              <w:t>项目名称</w:t>
            </w:r>
          </w:p>
        </w:tc>
        <w:tc>
          <w:tcPr>
            <w:tcW w:w="6095" w:type="dxa"/>
            <w:gridSpan w:val="3"/>
            <w:vAlign w:val="center"/>
          </w:tcPr>
          <w:p>
            <w:pPr>
              <w:pStyle w:val="13"/>
            </w:pPr>
            <w:r>
              <w:t>劳务派遣人员经费1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5.86</w:t>
            </w:r>
          </w:p>
        </w:tc>
        <w:tc>
          <w:tcPr>
            <w:tcW w:w="2835" w:type="dxa"/>
            <w:vAlign w:val="center"/>
          </w:tcPr>
          <w:p>
            <w:pPr>
              <w:pStyle w:val="11"/>
            </w:pPr>
            <w:r>
              <w:t>其中：财政    资金</w:t>
            </w:r>
          </w:p>
        </w:tc>
        <w:tc>
          <w:tcPr>
            <w:tcW w:w="2551" w:type="dxa"/>
            <w:vAlign w:val="center"/>
          </w:tcPr>
          <w:p>
            <w:pPr>
              <w:pStyle w:val="13"/>
            </w:pPr>
            <w:r>
              <w:t>5.86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支付第三方派遣机构劳务派遣人员经费，确保单位正常运转。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5.86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1.满足工作正常开展需要</w:t>
            </w:r>
          </w:p>
          <w:p>
            <w:pPr>
              <w:pStyle w:val="13"/>
            </w:pPr>
            <w:r>
              <w:t>2.在工作中发挥了积极作用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劳动聘用人员人数</w:t>
            </w:r>
          </w:p>
        </w:tc>
        <w:tc>
          <w:tcPr>
            <w:tcW w:w="5386" w:type="dxa"/>
            <w:vAlign w:val="center"/>
          </w:tcPr>
          <w:p>
            <w:pPr>
              <w:pStyle w:val="13"/>
            </w:pPr>
            <w:r>
              <w:t>劳动聘用人员人数</w:t>
            </w:r>
          </w:p>
        </w:tc>
        <w:tc>
          <w:tcPr>
            <w:tcW w:w="2268" w:type="dxa"/>
            <w:vAlign w:val="center"/>
          </w:tcPr>
          <w:p>
            <w:pPr>
              <w:pStyle w:val="13"/>
            </w:pPr>
            <w:r>
              <w:t>7人</w:t>
            </w:r>
          </w:p>
          <w:p>
            <w:pPr>
              <w:pStyle w:val="13"/>
            </w:pPr>
          </w:p>
          <w:p>
            <w:pPr>
              <w:pStyle w:val="13"/>
            </w:pPr>
          </w:p>
        </w:tc>
        <w:tc>
          <w:tcPr>
            <w:tcW w:w="1276" w:type="dxa"/>
            <w:vAlign w:val="center"/>
          </w:tcPr>
          <w:p>
            <w:pPr>
              <w:pStyle w:val="13"/>
            </w:pPr>
            <w:r>
              <w:t>依据工作计划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人员经费发放率</w:t>
            </w:r>
          </w:p>
        </w:tc>
        <w:tc>
          <w:tcPr>
            <w:tcW w:w="5386" w:type="dxa"/>
            <w:vAlign w:val="center"/>
          </w:tcPr>
          <w:p>
            <w:pPr>
              <w:pStyle w:val="13"/>
            </w:pPr>
            <w:r>
              <w:t>实际发放人数占应发人数的比率</w:t>
            </w:r>
          </w:p>
        </w:tc>
        <w:tc>
          <w:tcPr>
            <w:tcW w:w="2268" w:type="dxa"/>
            <w:vAlign w:val="center"/>
          </w:tcPr>
          <w:p>
            <w:pPr>
              <w:pStyle w:val="13"/>
            </w:pPr>
            <w:r>
              <w:t>≥95%</w:t>
            </w:r>
          </w:p>
        </w:tc>
        <w:tc>
          <w:tcPr>
            <w:tcW w:w="1276" w:type="dxa"/>
            <w:vAlign w:val="center"/>
          </w:tcPr>
          <w:p>
            <w:pPr>
              <w:pStyle w:val="13"/>
            </w:pPr>
            <w:r>
              <w:t>依据工作计划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支付及时性</w:t>
            </w:r>
          </w:p>
        </w:tc>
        <w:tc>
          <w:tcPr>
            <w:tcW w:w="5386" w:type="dxa"/>
            <w:vAlign w:val="center"/>
          </w:tcPr>
          <w:p>
            <w:pPr>
              <w:pStyle w:val="13"/>
            </w:pPr>
            <w:r>
              <w:t>支付及时</w:t>
            </w:r>
          </w:p>
        </w:tc>
        <w:tc>
          <w:tcPr>
            <w:tcW w:w="2268" w:type="dxa"/>
            <w:vAlign w:val="center"/>
          </w:tcPr>
          <w:p>
            <w:pPr>
              <w:pStyle w:val="13"/>
            </w:pPr>
            <w:r>
              <w:t>支付及时</w:t>
            </w:r>
          </w:p>
        </w:tc>
        <w:tc>
          <w:tcPr>
            <w:tcW w:w="1276" w:type="dxa"/>
            <w:vAlign w:val="center"/>
          </w:tcPr>
          <w:p>
            <w:pPr>
              <w:pStyle w:val="13"/>
            </w:pPr>
            <w:r>
              <w:t>依据工作计划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成本控制不超预算</w:t>
            </w:r>
          </w:p>
        </w:tc>
        <w:tc>
          <w:tcPr>
            <w:tcW w:w="2268" w:type="dxa"/>
            <w:vAlign w:val="center"/>
          </w:tcPr>
          <w:p>
            <w:pPr>
              <w:pStyle w:val="13"/>
            </w:pPr>
            <w:r>
              <w:t>≤5.86万元</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保障工作顺利开展</w:t>
            </w:r>
          </w:p>
        </w:tc>
        <w:tc>
          <w:tcPr>
            <w:tcW w:w="5386" w:type="dxa"/>
            <w:vAlign w:val="center"/>
          </w:tcPr>
          <w:p>
            <w:pPr>
              <w:pStyle w:val="13"/>
            </w:pPr>
            <w:r>
              <w:t>保障工作顺利开展</w:t>
            </w:r>
          </w:p>
        </w:tc>
        <w:tc>
          <w:tcPr>
            <w:tcW w:w="2268" w:type="dxa"/>
            <w:vAlign w:val="center"/>
          </w:tcPr>
          <w:p>
            <w:pPr>
              <w:pStyle w:val="13"/>
            </w:pPr>
            <w:r>
              <w:t>正常开展工作</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6、劳务派遣人员经费2绩效目标表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13011126P00000410910C</w:t>
            </w:r>
          </w:p>
        </w:tc>
        <w:tc>
          <w:tcPr>
            <w:tcW w:w="2835" w:type="dxa"/>
            <w:vAlign w:val="center"/>
          </w:tcPr>
          <w:p>
            <w:pPr>
              <w:pStyle w:val="11"/>
            </w:pPr>
            <w:r>
              <w:t>项目名称</w:t>
            </w:r>
          </w:p>
        </w:tc>
        <w:tc>
          <w:tcPr>
            <w:tcW w:w="6095" w:type="dxa"/>
            <w:gridSpan w:val="3"/>
            <w:vAlign w:val="center"/>
          </w:tcPr>
          <w:p>
            <w:pPr>
              <w:pStyle w:val="13"/>
            </w:pPr>
            <w:r>
              <w:t>劳务派遣人员经费2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31.88</w:t>
            </w:r>
          </w:p>
        </w:tc>
        <w:tc>
          <w:tcPr>
            <w:tcW w:w="2835" w:type="dxa"/>
            <w:vAlign w:val="center"/>
          </w:tcPr>
          <w:p>
            <w:pPr>
              <w:pStyle w:val="11"/>
            </w:pPr>
            <w:r>
              <w:t>其中：财政    资金</w:t>
            </w:r>
          </w:p>
        </w:tc>
        <w:tc>
          <w:tcPr>
            <w:tcW w:w="2551" w:type="dxa"/>
            <w:vAlign w:val="center"/>
          </w:tcPr>
          <w:p>
            <w:pPr>
              <w:pStyle w:val="13"/>
            </w:pPr>
            <w:r>
              <w:t>31.88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支付第三方派遣机构劳务派遣人员经费，确保单位正常运转。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31.88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1.满足工作正常开展需要</w:t>
            </w:r>
          </w:p>
          <w:p>
            <w:pPr>
              <w:pStyle w:val="13"/>
            </w:pPr>
            <w:r>
              <w:t>2.在工作中发挥了积极作用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劳动聘用人员人数</w:t>
            </w:r>
          </w:p>
        </w:tc>
        <w:tc>
          <w:tcPr>
            <w:tcW w:w="5386" w:type="dxa"/>
            <w:vAlign w:val="center"/>
          </w:tcPr>
          <w:p>
            <w:pPr>
              <w:pStyle w:val="13"/>
            </w:pPr>
            <w:r>
              <w:t>劳动聘用人员人数</w:t>
            </w:r>
          </w:p>
        </w:tc>
        <w:tc>
          <w:tcPr>
            <w:tcW w:w="2268" w:type="dxa"/>
            <w:vAlign w:val="center"/>
          </w:tcPr>
          <w:p>
            <w:pPr>
              <w:pStyle w:val="13"/>
            </w:pPr>
            <w:r>
              <w:t>7人</w:t>
            </w:r>
          </w:p>
          <w:p>
            <w:pPr>
              <w:pStyle w:val="13"/>
            </w:pPr>
          </w:p>
          <w:p>
            <w:pPr>
              <w:pStyle w:val="13"/>
            </w:pPr>
          </w:p>
        </w:tc>
        <w:tc>
          <w:tcPr>
            <w:tcW w:w="1276" w:type="dxa"/>
            <w:vAlign w:val="center"/>
          </w:tcPr>
          <w:p>
            <w:pPr>
              <w:pStyle w:val="13"/>
            </w:pPr>
            <w:r>
              <w:t>依据工作计划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人员经费发放率</w:t>
            </w:r>
          </w:p>
        </w:tc>
        <w:tc>
          <w:tcPr>
            <w:tcW w:w="5386" w:type="dxa"/>
            <w:vAlign w:val="center"/>
          </w:tcPr>
          <w:p>
            <w:pPr>
              <w:pStyle w:val="13"/>
            </w:pPr>
            <w:r>
              <w:t>实际发放人数占应发人数的比率</w:t>
            </w:r>
          </w:p>
        </w:tc>
        <w:tc>
          <w:tcPr>
            <w:tcW w:w="2268" w:type="dxa"/>
            <w:vAlign w:val="center"/>
          </w:tcPr>
          <w:p>
            <w:pPr>
              <w:pStyle w:val="13"/>
            </w:pPr>
            <w:r>
              <w:t>≥95%</w:t>
            </w:r>
          </w:p>
        </w:tc>
        <w:tc>
          <w:tcPr>
            <w:tcW w:w="1276" w:type="dxa"/>
            <w:vAlign w:val="center"/>
          </w:tcPr>
          <w:p>
            <w:pPr>
              <w:pStyle w:val="13"/>
            </w:pPr>
            <w:r>
              <w:t>依据工作计划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支付及时性</w:t>
            </w:r>
          </w:p>
        </w:tc>
        <w:tc>
          <w:tcPr>
            <w:tcW w:w="5386" w:type="dxa"/>
            <w:vAlign w:val="center"/>
          </w:tcPr>
          <w:p>
            <w:pPr>
              <w:pStyle w:val="13"/>
            </w:pPr>
            <w:r>
              <w:t>支付及时</w:t>
            </w:r>
          </w:p>
        </w:tc>
        <w:tc>
          <w:tcPr>
            <w:tcW w:w="2268" w:type="dxa"/>
            <w:vAlign w:val="center"/>
          </w:tcPr>
          <w:p>
            <w:pPr>
              <w:pStyle w:val="13"/>
            </w:pPr>
            <w:r>
              <w:t>支付及时</w:t>
            </w:r>
          </w:p>
        </w:tc>
        <w:tc>
          <w:tcPr>
            <w:tcW w:w="1276" w:type="dxa"/>
            <w:vAlign w:val="center"/>
          </w:tcPr>
          <w:p>
            <w:pPr>
              <w:pStyle w:val="13"/>
            </w:pPr>
            <w:r>
              <w:t>依据工作计划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成本控制不超预算</w:t>
            </w:r>
          </w:p>
        </w:tc>
        <w:tc>
          <w:tcPr>
            <w:tcW w:w="2268" w:type="dxa"/>
            <w:vAlign w:val="center"/>
          </w:tcPr>
          <w:p>
            <w:pPr>
              <w:pStyle w:val="13"/>
            </w:pPr>
            <w:r>
              <w:t>≤31.88万元</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保障工作顺利开展</w:t>
            </w:r>
          </w:p>
        </w:tc>
        <w:tc>
          <w:tcPr>
            <w:tcW w:w="5386" w:type="dxa"/>
            <w:vAlign w:val="center"/>
          </w:tcPr>
          <w:p>
            <w:pPr>
              <w:pStyle w:val="13"/>
            </w:pPr>
            <w:r>
              <w:t>保障工作顺利开展</w:t>
            </w:r>
          </w:p>
        </w:tc>
        <w:tc>
          <w:tcPr>
            <w:tcW w:w="2268" w:type="dxa"/>
            <w:vAlign w:val="center"/>
          </w:tcPr>
          <w:p>
            <w:pPr>
              <w:pStyle w:val="13"/>
            </w:pPr>
            <w:r>
              <w:t>正常开展工作</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13011126P000004108787</w:t>
            </w:r>
          </w:p>
        </w:tc>
        <w:tc>
          <w:tcPr>
            <w:tcW w:w="2835" w:type="dxa"/>
            <w:vAlign w:val="center"/>
          </w:tcPr>
          <w:p>
            <w:pPr>
              <w:pStyle w:val="11"/>
            </w:pPr>
            <w:r>
              <w:t>项目名称</w:t>
            </w:r>
          </w:p>
        </w:tc>
        <w:tc>
          <w:tcPr>
            <w:tcW w:w="6095" w:type="dxa"/>
            <w:gridSpan w:val="3"/>
            <w:vAlign w:val="center"/>
          </w:tcPr>
          <w:p>
            <w:pPr>
              <w:pStyle w:val="13"/>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1.92</w:t>
            </w:r>
          </w:p>
        </w:tc>
        <w:tc>
          <w:tcPr>
            <w:tcW w:w="2835" w:type="dxa"/>
            <w:vAlign w:val="center"/>
          </w:tcPr>
          <w:p>
            <w:pPr>
              <w:pStyle w:val="11"/>
            </w:pPr>
            <w:r>
              <w:t>其中：财政    资金</w:t>
            </w:r>
          </w:p>
        </w:tc>
        <w:tc>
          <w:tcPr>
            <w:tcW w:w="2551" w:type="dxa"/>
            <w:vAlign w:val="center"/>
          </w:tcPr>
          <w:p>
            <w:pPr>
              <w:pStyle w:val="13"/>
            </w:pPr>
            <w:r>
              <w:t>1.92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离退休人员统筹外工资待遇发放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1.92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1.退休人员待遇及时发放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退休人员数量</w:t>
            </w:r>
          </w:p>
        </w:tc>
        <w:tc>
          <w:tcPr>
            <w:tcW w:w="5386" w:type="dxa"/>
            <w:vAlign w:val="center"/>
          </w:tcPr>
          <w:p>
            <w:pPr>
              <w:pStyle w:val="13"/>
            </w:pPr>
            <w:r>
              <w:t>当年实际退休人员数量</w:t>
            </w:r>
          </w:p>
        </w:tc>
        <w:tc>
          <w:tcPr>
            <w:tcW w:w="2268" w:type="dxa"/>
            <w:vAlign w:val="center"/>
          </w:tcPr>
          <w:p>
            <w:pPr>
              <w:pStyle w:val="13"/>
            </w:pPr>
            <w:r>
              <w:t>27人</w:t>
            </w:r>
          </w:p>
        </w:tc>
        <w:tc>
          <w:tcPr>
            <w:tcW w:w="1276" w:type="dxa"/>
            <w:vAlign w:val="center"/>
          </w:tcPr>
          <w:p>
            <w:pPr>
              <w:pStyle w:val="13"/>
            </w:pPr>
            <w:r>
              <w:t>依据实际人数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人员经费发放率</w:t>
            </w:r>
          </w:p>
        </w:tc>
        <w:tc>
          <w:tcPr>
            <w:tcW w:w="5386" w:type="dxa"/>
            <w:vAlign w:val="center"/>
          </w:tcPr>
          <w:p>
            <w:pPr>
              <w:pStyle w:val="13"/>
            </w:pPr>
            <w:r>
              <w:t>实际发放人数占应发人数的比率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支出及时性</w:t>
            </w:r>
          </w:p>
        </w:tc>
        <w:tc>
          <w:tcPr>
            <w:tcW w:w="5386" w:type="dxa"/>
            <w:vAlign w:val="center"/>
          </w:tcPr>
          <w:p>
            <w:pPr>
              <w:pStyle w:val="13"/>
            </w:pPr>
            <w:r>
              <w:t>支出及时</w:t>
            </w:r>
          </w:p>
        </w:tc>
        <w:tc>
          <w:tcPr>
            <w:tcW w:w="2268" w:type="dxa"/>
            <w:vAlign w:val="center"/>
          </w:tcPr>
          <w:p>
            <w:pPr>
              <w:pStyle w:val="13"/>
            </w:pPr>
            <w:r>
              <w:t>及时支出</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成本控制不超预算</w:t>
            </w:r>
          </w:p>
        </w:tc>
        <w:tc>
          <w:tcPr>
            <w:tcW w:w="2268" w:type="dxa"/>
            <w:vAlign w:val="center"/>
          </w:tcPr>
          <w:p>
            <w:pPr>
              <w:pStyle w:val="13"/>
            </w:pPr>
            <w:r>
              <w:t>≤1.92万元</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保障工作顺利开展</w:t>
            </w:r>
          </w:p>
        </w:tc>
        <w:tc>
          <w:tcPr>
            <w:tcW w:w="5386" w:type="dxa"/>
            <w:vAlign w:val="center"/>
          </w:tcPr>
          <w:p>
            <w:pPr>
              <w:pStyle w:val="13"/>
            </w:pPr>
            <w:r>
              <w:t>保障工作顺利开展</w:t>
            </w:r>
          </w:p>
        </w:tc>
        <w:tc>
          <w:tcPr>
            <w:tcW w:w="2268" w:type="dxa"/>
            <w:vAlign w:val="center"/>
          </w:tcPr>
          <w:p>
            <w:pPr>
              <w:pStyle w:val="13"/>
            </w:pPr>
            <w:r>
              <w:t>顺利开展</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8、律师咨询费绩效目标表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13011126P00000410862M</w:t>
            </w:r>
          </w:p>
        </w:tc>
        <w:tc>
          <w:tcPr>
            <w:tcW w:w="2835" w:type="dxa"/>
            <w:vAlign w:val="center"/>
          </w:tcPr>
          <w:p>
            <w:pPr>
              <w:pStyle w:val="11"/>
            </w:pPr>
            <w:r>
              <w:t>项目名称</w:t>
            </w:r>
          </w:p>
        </w:tc>
        <w:tc>
          <w:tcPr>
            <w:tcW w:w="6095" w:type="dxa"/>
            <w:gridSpan w:val="3"/>
            <w:vAlign w:val="center"/>
          </w:tcPr>
          <w:p>
            <w:pPr>
              <w:pStyle w:val="13"/>
            </w:pPr>
            <w:r>
              <w:t>律师咨询费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牢固树立法制观念，坚持在宪法和法律的范围内活动，不断提升依法执政、依法行政的能力和水平，防范行政法律风险，促进科学决策、依法决策，营造党员干部学法用法的氛围，多次咨询律师并对我局有关工作提供法律意见。涉及法律专业方面的问题，体现严谨性，避免因疏忽导致工作不顺畅，需要聘请专业的律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1.解决工作中遇到的法律相关问题</w:t>
            </w:r>
          </w:p>
          <w:p>
            <w:pPr>
              <w:pStyle w:val="13"/>
            </w:pPr>
            <w:r>
              <w:t>2.确保工作依法严谨展开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聘请律师人数</w:t>
            </w:r>
          </w:p>
        </w:tc>
        <w:tc>
          <w:tcPr>
            <w:tcW w:w="5386" w:type="dxa"/>
            <w:vAlign w:val="center"/>
          </w:tcPr>
          <w:p>
            <w:pPr>
              <w:pStyle w:val="13"/>
            </w:pPr>
            <w:r>
              <w:t>聘请律师人数</w:t>
            </w:r>
          </w:p>
        </w:tc>
        <w:tc>
          <w:tcPr>
            <w:tcW w:w="2268" w:type="dxa"/>
            <w:vAlign w:val="center"/>
          </w:tcPr>
          <w:p>
            <w:pPr>
              <w:pStyle w:val="13"/>
            </w:pPr>
            <w:r>
              <w:t>2人</w:t>
            </w:r>
          </w:p>
        </w:tc>
        <w:tc>
          <w:tcPr>
            <w:tcW w:w="1276" w:type="dxa"/>
            <w:vAlign w:val="center"/>
          </w:tcPr>
          <w:p>
            <w:pPr>
              <w:pStyle w:val="13"/>
            </w:pPr>
            <w:r>
              <w:t>依据合同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保障业务质量</w:t>
            </w:r>
          </w:p>
        </w:tc>
        <w:tc>
          <w:tcPr>
            <w:tcW w:w="5386" w:type="dxa"/>
            <w:vAlign w:val="center"/>
          </w:tcPr>
          <w:p>
            <w:pPr>
              <w:pStyle w:val="13"/>
            </w:pPr>
            <w:r>
              <w:t>保障业务质量</w:t>
            </w:r>
          </w:p>
        </w:tc>
        <w:tc>
          <w:tcPr>
            <w:tcW w:w="2268" w:type="dxa"/>
            <w:vAlign w:val="center"/>
          </w:tcPr>
          <w:p>
            <w:pPr>
              <w:pStyle w:val="13"/>
            </w:pPr>
            <w:r>
              <w:t>保障业务质量</w:t>
            </w:r>
          </w:p>
        </w:tc>
        <w:tc>
          <w:tcPr>
            <w:tcW w:w="1276" w:type="dxa"/>
            <w:vAlign w:val="center"/>
          </w:tcPr>
          <w:p>
            <w:pPr>
              <w:pStyle w:val="13"/>
            </w:pPr>
            <w:r>
              <w:t>依据合同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支付及时性</w:t>
            </w:r>
          </w:p>
        </w:tc>
        <w:tc>
          <w:tcPr>
            <w:tcW w:w="5386" w:type="dxa"/>
            <w:vAlign w:val="center"/>
          </w:tcPr>
          <w:p>
            <w:pPr>
              <w:pStyle w:val="13"/>
            </w:pPr>
            <w:r>
              <w:t>支付及时</w:t>
            </w:r>
          </w:p>
        </w:tc>
        <w:tc>
          <w:tcPr>
            <w:tcW w:w="2268" w:type="dxa"/>
            <w:vAlign w:val="center"/>
          </w:tcPr>
          <w:p>
            <w:pPr>
              <w:pStyle w:val="13"/>
            </w:pPr>
            <w:r>
              <w:t>支付及时</w:t>
            </w:r>
          </w:p>
        </w:tc>
        <w:tc>
          <w:tcPr>
            <w:tcW w:w="1276" w:type="dxa"/>
            <w:vAlign w:val="center"/>
          </w:tcPr>
          <w:p>
            <w:pPr>
              <w:pStyle w:val="13"/>
            </w:pPr>
            <w:r>
              <w:t>依据合同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成本控制不超预算</w:t>
            </w:r>
          </w:p>
        </w:tc>
        <w:tc>
          <w:tcPr>
            <w:tcW w:w="2268" w:type="dxa"/>
            <w:vAlign w:val="center"/>
          </w:tcPr>
          <w:p>
            <w:pPr>
              <w:pStyle w:val="13"/>
            </w:pPr>
            <w:r>
              <w:t>≤5万元</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各项工作顺利开展</w:t>
            </w:r>
          </w:p>
        </w:tc>
        <w:tc>
          <w:tcPr>
            <w:tcW w:w="5386" w:type="dxa"/>
            <w:vAlign w:val="center"/>
          </w:tcPr>
          <w:p>
            <w:pPr>
              <w:pStyle w:val="13"/>
            </w:pPr>
            <w:r>
              <w:t>规避法律风险，保障各项工作顺利开展</w:t>
            </w:r>
          </w:p>
        </w:tc>
        <w:tc>
          <w:tcPr>
            <w:tcW w:w="2268" w:type="dxa"/>
            <w:vAlign w:val="center"/>
          </w:tcPr>
          <w:p>
            <w:pPr>
              <w:pStyle w:val="13"/>
            </w:pPr>
            <w:r>
              <w:t>工作顺利开展</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9、评审软件升级改造费绩效目标表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13011126P00000410995D</w:t>
            </w:r>
          </w:p>
        </w:tc>
        <w:tc>
          <w:tcPr>
            <w:tcW w:w="2835" w:type="dxa"/>
            <w:vAlign w:val="center"/>
          </w:tcPr>
          <w:p>
            <w:pPr>
              <w:pStyle w:val="11"/>
            </w:pPr>
            <w:r>
              <w:t>项目名称</w:t>
            </w:r>
          </w:p>
        </w:tc>
        <w:tc>
          <w:tcPr>
            <w:tcW w:w="6095" w:type="dxa"/>
            <w:gridSpan w:val="3"/>
            <w:vAlign w:val="center"/>
          </w:tcPr>
          <w:p>
            <w:pPr>
              <w:pStyle w:val="13"/>
            </w:pPr>
            <w:r>
              <w:t>评审软件升级改造费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1.22</w:t>
            </w:r>
          </w:p>
        </w:tc>
        <w:tc>
          <w:tcPr>
            <w:tcW w:w="2835" w:type="dxa"/>
            <w:vAlign w:val="center"/>
          </w:tcPr>
          <w:p>
            <w:pPr>
              <w:pStyle w:val="11"/>
            </w:pPr>
            <w:r>
              <w:t>其中：财政    资金</w:t>
            </w:r>
          </w:p>
        </w:tc>
        <w:tc>
          <w:tcPr>
            <w:tcW w:w="2551" w:type="dxa"/>
            <w:vAlign w:val="center"/>
          </w:tcPr>
          <w:p>
            <w:pPr>
              <w:pStyle w:val="13"/>
            </w:pPr>
            <w:r>
              <w:t>1.22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为全力服务政府投资建设项目，更加有效地规范我区财政投资评审行为，加强财政支出管理，优化资金使用效益，评审中心对财政投资评审管理系统增加项目状态模块、查重模块等多项功能。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1.加强财政支出管理，优化资金使用效益。</w:t>
            </w:r>
          </w:p>
          <w:p>
            <w:pPr>
              <w:pStyle w:val="13"/>
            </w:pPr>
            <w:r>
              <w:t>2.更加有效地规范我区财政投资评审行为。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系统升级改造数量</w:t>
            </w:r>
          </w:p>
        </w:tc>
        <w:tc>
          <w:tcPr>
            <w:tcW w:w="5386" w:type="dxa"/>
            <w:vAlign w:val="center"/>
          </w:tcPr>
          <w:p>
            <w:pPr>
              <w:pStyle w:val="13"/>
            </w:pPr>
            <w:r>
              <w:t>系统升级改造数量</w:t>
            </w:r>
          </w:p>
        </w:tc>
        <w:tc>
          <w:tcPr>
            <w:tcW w:w="2268" w:type="dxa"/>
            <w:vAlign w:val="center"/>
          </w:tcPr>
          <w:p>
            <w:pPr>
              <w:pStyle w:val="13"/>
            </w:pPr>
            <w:r>
              <w:t>1个</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升级改造完成率</w:t>
            </w:r>
          </w:p>
        </w:tc>
        <w:tc>
          <w:tcPr>
            <w:tcW w:w="5386" w:type="dxa"/>
            <w:vAlign w:val="center"/>
          </w:tcPr>
          <w:p>
            <w:pPr>
              <w:pStyle w:val="13"/>
            </w:pPr>
            <w:r>
              <w:t>升级改造完成率</w:t>
            </w:r>
          </w:p>
        </w:tc>
        <w:tc>
          <w:tcPr>
            <w:tcW w:w="2268" w:type="dxa"/>
            <w:vAlign w:val="center"/>
          </w:tcPr>
          <w:p>
            <w:pPr>
              <w:pStyle w:val="13"/>
            </w:pPr>
            <w:r>
              <w:t>≥95%</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支付及时性</w:t>
            </w:r>
          </w:p>
        </w:tc>
        <w:tc>
          <w:tcPr>
            <w:tcW w:w="5386" w:type="dxa"/>
            <w:vAlign w:val="center"/>
          </w:tcPr>
          <w:p>
            <w:pPr>
              <w:pStyle w:val="13"/>
            </w:pPr>
            <w:r>
              <w:t>及时支付</w:t>
            </w:r>
          </w:p>
        </w:tc>
        <w:tc>
          <w:tcPr>
            <w:tcW w:w="2268" w:type="dxa"/>
            <w:vAlign w:val="center"/>
          </w:tcPr>
          <w:p>
            <w:pPr>
              <w:pStyle w:val="13"/>
            </w:pPr>
            <w:r>
              <w:t>及时支付</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成本控制不超预算</w:t>
            </w:r>
          </w:p>
        </w:tc>
        <w:tc>
          <w:tcPr>
            <w:tcW w:w="2268" w:type="dxa"/>
            <w:vAlign w:val="center"/>
          </w:tcPr>
          <w:p>
            <w:pPr>
              <w:pStyle w:val="13"/>
            </w:pPr>
            <w:r>
              <w:t>≤1.22万元</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加强财政支出管理</w:t>
            </w:r>
          </w:p>
        </w:tc>
        <w:tc>
          <w:tcPr>
            <w:tcW w:w="5386" w:type="dxa"/>
            <w:vAlign w:val="center"/>
          </w:tcPr>
          <w:p>
            <w:pPr>
              <w:pStyle w:val="13"/>
            </w:pPr>
            <w:r>
              <w:t>加强财政支出管理</w:t>
            </w:r>
          </w:p>
        </w:tc>
        <w:tc>
          <w:tcPr>
            <w:tcW w:w="2268" w:type="dxa"/>
            <w:vAlign w:val="center"/>
          </w:tcPr>
          <w:p>
            <w:pPr>
              <w:pStyle w:val="13"/>
            </w:pPr>
            <w:r>
              <w:t>加强财政支出管理</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面对面访谈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13011126P000004109698</w:t>
            </w:r>
          </w:p>
        </w:tc>
        <w:tc>
          <w:tcPr>
            <w:tcW w:w="2835" w:type="dxa"/>
            <w:vAlign w:val="center"/>
          </w:tcPr>
          <w:p>
            <w:pPr>
              <w:pStyle w:val="11"/>
            </w:pPr>
            <w:r>
              <w:t>项目名称</w:t>
            </w:r>
          </w:p>
        </w:tc>
        <w:tc>
          <w:tcPr>
            <w:tcW w:w="6095" w:type="dxa"/>
            <w:gridSpan w:val="3"/>
            <w:vAlign w:val="center"/>
          </w:tcPr>
          <w:p>
            <w:pPr>
              <w:pStyle w:val="13"/>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8.50</w:t>
            </w:r>
          </w:p>
        </w:tc>
        <w:tc>
          <w:tcPr>
            <w:tcW w:w="2835" w:type="dxa"/>
            <w:vAlign w:val="center"/>
          </w:tcPr>
          <w:p>
            <w:pPr>
              <w:pStyle w:val="11"/>
            </w:pPr>
            <w:r>
              <w:t>其中：财政    资金</w:t>
            </w:r>
          </w:p>
        </w:tc>
        <w:tc>
          <w:tcPr>
            <w:tcW w:w="2551" w:type="dxa"/>
            <w:vAlign w:val="center"/>
          </w:tcPr>
          <w:p>
            <w:pPr>
              <w:pStyle w:val="13"/>
            </w:pPr>
            <w:r>
              <w:t>8.50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8.50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1.行政事业单位应缴残保金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应缴残保金单位</w:t>
            </w:r>
          </w:p>
        </w:tc>
        <w:tc>
          <w:tcPr>
            <w:tcW w:w="5386" w:type="dxa"/>
            <w:vAlign w:val="center"/>
          </w:tcPr>
          <w:p>
            <w:pPr>
              <w:pStyle w:val="13"/>
            </w:pPr>
            <w:r>
              <w:t>应缴残保金单位</w:t>
            </w:r>
          </w:p>
        </w:tc>
        <w:tc>
          <w:tcPr>
            <w:tcW w:w="2268" w:type="dxa"/>
            <w:vAlign w:val="center"/>
          </w:tcPr>
          <w:p>
            <w:pPr>
              <w:pStyle w:val="13"/>
            </w:pPr>
            <w:r>
              <w:t>1个</w:t>
            </w:r>
          </w:p>
        </w:tc>
        <w:tc>
          <w:tcPr>
            <w:tcW w:w="1276" w:type="dxa"/>
            <w:vAlign w:val="center"/>
          </w:tcPr>
          <w:p>
            <w:pPr>
              <w:pStyle w:val="13"/>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加强税收征管</w:t>
            </w:r>
          </w:p>
        </w:tc>
        <w:tc>
          <w:tcPr>
            <w:tcW w:w="5386" w:type="dxa"/>
            <w:vAlign w:val="center"/>
          </w:tcPr>
          <w:p>
            <w:pPr>
              <w:pStyle w:val="13"/>
            </w:pPr>
            <w:r>
              <w:t>加强税收征管</w:t>
            </w:r>
          </w:p>
        </w:tc>
        <w:tc>
          <w:tcPr>
            <w:tcW w:w="2268" w:type="dxa"/>
            <w:vAlign w:val="center"/>
          </w:tcPr>
          <w:p>
            <w:pPr>
              <w:pStyle w:val="13"/>
            </w:pPr>
            <w:r>
              <w:t>加强税收征管</w:t>
            </w:r>
          </w:p>
        </w:tc>
        <w:tc>
          <w:tcPr>
            <w:tcW w:w="1276" w:type="dxa"/>
            <w:vAlign w:val="center"/>
          </w:tcPr>
          <w:p>
            <w:pPr>
              <w:pStyle w:val="13"/>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支付及时性</w:t>
            </w:r>
          </w:p>
        </w:tc>
        <w:tc>
          <w:tcPr>
            <w:tcW w:w="5386" w:type="dxa"/>
            <w:vAlign w:val="center"/>
          </w:tcPr>
          <w:p>
            <w:pPr>
              <w:pStyle w:val="13"/>
            </w:pPr>
            <w:r>
              <w:t>支付及时</w:t>
            </w:r>
          </w:p>
        </w:tc>
        <w:tc>
          <w:tcPr>
            <w:tcW w:w="2268" w:type="dxa"/>
            <w:vAlign w:val="center"/>
          </w:tcPr>
          <w:p>
            <w:pPr>
              <w:pStyle w:val="13"/>
            </w:pPr>
            <w:r>
              <w:t>支付及时</w:t>
            </w:r>
          </w:p>
        </w:tc>
        <w:tc>
          <w:tcPr>
            <w:tcW w:w="1276" w:type="dxa"/>
            <w:vAlign w:val="center"/>
          </w:tcPr>
          <w:p>
            <w:pPr>
              <w:pStyle w:val="13"/>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成本控制不超预算</w:t>
            </w:r>
          </w:p>
        </w:tc>
        <w:tc>
          <w:tcPr>
            <w:tcW w:w="2268" w:type="dxa"/>
            <w:vAlign w:val="center"/>
          </w:tcPr>
          <w:p>
            <w:pPr>
              <w:pStyle w:val="13"/>
            </w:pPr>
            <w:r>
              <w:t>≤8.5万元</w:t>
            </w:r>
          </w:p>
        </w:tc>
        <w:tc>
          <w:tcPr>
            <w:tcW w:w="1276" w:type="dxa"/>
            <w:vAlign w:val="center"/>
          </w:tcPr>
          <w:p>
            <w:pPr>
              <w:pStyle w:val="13"/>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保障工作顺利开展</w:t>
            </w:r>
          </w:p>
        </w:tc>
        <w:tc>
          <w:tcPr>
            <w:tcW w:w="5386" w:type="dxa"/>
            <w:vAlign w:val="center"/>
          </w:tcPr>
          <w:p>
            <w:pPr>
              <w:pStyle w:val="13"/>
            </w:pPr>
            <w:r>
              <w:t>保障工作顺利开展</w:t>
            </w:r>
          </w:p>
        </w:tc>
        <w:tc>
          <w:tcPr>
            <w:tcW w:w="2268" w:type="dxa"/>
            <w:vAlign w:val="center"/>
          </w:tcPr>
          <w:p>
            <w:pPr>
              <w:pStyle w:val="13"/>
            </w:pPr>
            <w:r>
              <w:t>顺利开展</w:t>
            </w:r>
          </w:p>
        </w:tc>
        <w:tc>
          <w:tcPr>
            <w:tcW w:w="1276" w:type="dxa"/>
            <w:vAlign w:val="center"/>
          </w:tcPr>
          <w:p>
            <w:pPr>
              <w:pStyle w:val="13"/>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11、预决算编审经费绩效目标表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13011126P00000410860E</w:t>
            </w:r>
          </w:p>
        </w:tc>
        <w:tc>
          <w:tcPr>
            <w:tcW w:w="2835" w:type="dxa"/>
            <w:vAlign w:val="center"/>
          </w:tcPr>
          <w:p>
            <w:pPr>
              <w:pStyle w:val="11"/>
            </w:pPr>
            <w:r>
              <w:t>项目名称</w:t>
            </w:r>
          </w:p>
        </w:tc>
        <w:tc>
          <w:tcPr>
            <w:tcW w:w="6095" w:type="dxa"/>
            <w:gridSpan w:val="3"/>
            <w:vAlign w:val="center"/>
          </w:tcPr>
          <w:p>
            <w:pPr>
              <w:pStyle w:val="13"/>
            </w:pPr>
            <w:r>
              <w:t>预决算编审经费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组织编制部门决算和政府决算；印制预决算编制所需文件、报表及培训资料；组织全区预算单位开展绩效预算改革和决算编审业务培训，提高部门预决算编审水平。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1.保证全区财政工作顺利开展。</w:t>
            </w:r>
          </w:p>
          <w:p>
            <w:pPr>
              <w:pStyle w:val="13"/>
            </w:pPr>
            <w:r>
              <w:t>2.全面推行绩效预算改革，按时完成预决算编制上报工作。</w:t>
            </w:r>
          </w:p>
          <w:p>
            <w:pPr>
              <w:pStyle w:val="13"/>
            </w:pPr>
            <w:r>
              <w:t>3.组织开展预决算业务培训，提升预决算编制水平。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会议数量</w:t>
            </w:r>
          </w:p>
        </w:tc>
        <w:tc>
          <w:tcPr>
            <w:tcW w:w="5386" w:type="dxa"/>
            <w:vAlign w:val="center"/>
          </w:tcPr>
          <w:p>
            <w:pPr>
              <w:pStyle w:val="13"/>
            </w:pPr>
            <w:r>
              <w:t>会议数量</w:t>
            </w:r>
          </w:p>
        </w:tc>
        <w:tc>
          <w:tcPr>
            <w:tcW w:w="2268" w:type="dxa"/>
            <w:vAlign w:val="center"/>
          </w:tcPr>
          <w:p>
            <w:pPr>
              <w:pStyle w:val="13"/>
            </w:pPr>
            <w:r>
              <w:t>1个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业务工作正常完成</w:t>
            </w:r>
          </w:p>
        </w:tc>
        <w:tc>
          <w:tcPr>
            <w:tcW w:w="5386" w:type="dxa"/>
            <w:vAlign w:val="center"/>
          </w:tcPr>
          <w:p>
            <w:pPr>
              <w:pStyle w:val="13"/>
            </w:pPr>
            <w:r>
              <w:t>区级预决算公开完整性</w:t>
            </w:r>
          </w:p>
        </w:tc>
        <w:tc>
          <w:tcPr>
            <w:tcW w:w="2268" w:type="dxa"/>
            <w:vAlign w:val="center"/>
          </w:tcPr>
          <w:p>
            <w:pPr>
              <w:pStyle w:val="13"/>
            </w:pPr>
            <w:r>
              <w:t>公开完整性</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各项任务完成及时性</w:t>
            </w:r>
          </w:p>
        </w:tc>
        <w:tc>
          <w:tcPr>
            <w:tcW w:w="5386" w:type="dxa"/>
            <w:vAlign w:val="center"/>
          </w:tcPr>
          <w:p>
            <w:pPr>
              <w:pStyle w:val="13"/>
            </w:pPr>
            <w:r>
              <w:t>完成及时性</w:t>
            </w:r>
          </w:p>
        </w:tc>
        <w:tc>
          <w:tcPr>
            <w:tcW w:w="2268" w:type="dxa"/>
            <w:vAlign w:val="center"/>
          </w:tcPr>
          <w:p>
            <w:pPr>
              <w:pStyle w:val="13"/>
            </w:pPr>
            <w:r>
              <w:t>完成及时</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成本指标</w:t>
            </w:r>
          </w:p>
        </w:tc>
        <w:tc>
          <w:tcPr>
            <w:tcW w:w="5386" w:type="dxa"/>
            <w:vAlign w:val="center"/>
          </w:tcPr>
          <w:p>
            <w:pPr>
              <w:pStyle w:val="13"/>
            </w:pPr>
            <w:r>
              <w:t>成本控制不超预算</w:t>
            </w:r>
          </w:p>
        </w:tc>
        <w:tc>
          <w:tcPr>
            <w:tcW w:w="2268" w:type="dxa"/>
            <w:vAlign w:val="center"/>
          </w:tcPr>
          <w:p>
            <w:pPr>
              <w:pStyle w:val="13"/>
            </w:pPr>
            <w:r>
              <w:t>≤2万元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全区财政工作顺利开展</w:t>
            </w:r>
          </w:p>
        </w:tc>
        <w:tc>
          <w:tcPr>
            <w:tcW w:w="5386" w:type="dxa"/>
            <w:vAlign w:val="center"/>
          </w:tcPr>
          <w:p>
            <w:pPr>
              <w:pStyle w:val="13"/>
            </w:pPr>
            <w:r>
              <w:t>能够较好地满足财政工作需求。</w:t>
            </w:r>
          </w:p>
        </w:tc>
        <w:tc>
          <w:tcPr>
            <w:tcW w:w="2268" w:type="dxa"/>
            <w:vAlign w:val="center"/>
          </w:tcPr>
          <w:p>
            <w:pPr>
              <w:pStyle w:val="13"/>
            </w:pPr>
            <w:r>
              <w:t>满足工作需求</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12、资产评估服务费绩效目标表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13011126P00000410867P</w:t>
            </w:r>
          </w:p>
        </w:tc>
        <w:tc>
          <w:tcPr>
            <w:tcW w:w="2835" w:type="dxa"/>
            <w:vAlign w:val="center"/>
          </w:tcPr>
          <w:p>
            <w:pPr>
              <w:pStyle w:val="11"/>
            </w:pPr>
            <w:r>
              <w:t>项目名称</w:t>
            </w:r>
          </w:p>
        </w:tc>
        <w:tc>
          <w:tcPr>
            <w:tcW w:w="6095" w:type="dxa"/>
            <w:gridSpan w:val="3"/>
            <w:vAlign w:val="center"/>
          </w:tcPr>
          <w:p>
            <w:pPr>
              <w:pStyle w:val="13"/>
            </w:pPr>
            <w:r>
              <w:t>资产评估服务费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确定资产价值，保障国有资产。</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1.确定资产价值，保障国有资产。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完成集中评估项目数量</w:t>
            </w:r>
          </w:p>
        </w:tc>
        <w:tc>
          <w:tcPr>
            <w:tcW w:w="5386" w:type="dxa"/>
            <w:vAlign w:val="center"/>
          </w:tcPr>
          <w:p>
            <w:pPr>
              <w:pStyle w:val="13"/>
            </w:pPr>
            <w:r>
              <w:t>完成集中评估项目数量</w:t>
            </w:r>
          </w:p>
        </w:tc>
        <w:tc>
          <w:tcPr>
            <w:tcW w:w="2268" w:type="dxa"/>
            <w:vAlign w:val="center"/>
          </w:tcPr>
          <w:p>
            <w:pPr>
              <w:pStyle w:val="13"/>
            </w:pPr>
            <w:r>
              <w:t>≥2个</w:t>
            </w:r>
          </w:p>
        </w:tc>
        <w:tc>
          <w:tcPr>
            <w:tcW w:w="1276" w:type="dxa"/>
            <w:vAlign w:val="center"/>
          </w:tcPr>
          <w:p>
            <w:pPr>
              <w:pStyle w:val="13"/>
            </w:pPr>
            <w:r>
              <w:t>依据工作计划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保障评估工作正常开展</w:t>
            </w:r>
          </w:p>
        </w:tc>
        <w:tc>
          <w:tcPr>
            <w:tcW w:w="5386" w:type="dxa"/>
            <w:vAlign w:val="center"/>
          </w:tcPr>
          <w:p>
            <w:pPr>
              <w:pStyle w:val="13"/>
            </w:pPr>
            <w:r>
              <w:t>保障评估工作正常开展</w:t>
            </w:r>
          </w:p>
        </w:tc>
        <w:tc>
          <w:tcPr>
            <w:tcW w:w="2268" w:type="dxa"/>
            <w:vAlign w:val="center"/>
          </w:tcPr>
          <w:p>
            <w:pPr>
              <w:pStyle w:val="13"/>
            </w:pPr>
            <w:r>
              <w:t>正常开展</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w:t>
            </w:r>
          </w:p>
        </w:tc>
        <w:tc>
          <w:tcPr>
            <w:tcW w:w="5386" w:type="dxa"/>
            <w:vAlign w:val="center"/>
          </w:tcPr>
          <w:p>
            <w:pPr>
              <w:pStyle w:val="13"/>
            </w:pPr>
            <w:r>
              <w:t>工作按时完成</w:t>
            </w:r>
          </w:p>
        </w:tc>
        <w:tc>
          <w:tcPr>
            <w:tcW w:w="2268" w:type="dxa"/>
            <w:vAlign w:val="center"/>
          </w:tcPr>
          <w:p>
            <w:pPr>
              <w:pStyle w:val="13"/>
            </w:pPr>
            <w:r>
              <w:t>及时完成</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成本控制不超预算</w:t>
            </w:r>
          </w:p>
        </w:tc>
        <w:tc>
          <w:tcPr>
            <w:tcW w:w="2268" w:type="dxa"/>
            <w:vAlign w:val="center"/>
          </w:tcPr>
          <w:p>
            <w:pPr>
              <w:pStyle w:val="13"/>
            </w:pPr>
            <w:r>
              <w:t>≤100万元</w:t>
            </w:r>
          </w:p>
        </w:tc>
        <w:tc>
          <w:tcPr>
            <w:tcW w:w="1276" w:type="dxa"/>
            <w:vAlign w:val="center"/>
          </w:tcPr>
          <w:p>
            <w:pPr>
              <w:pStyle w:val="13"/>
            </w:pPr>
            <w:r>
              <w:t>依据合同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确定资产价值</w:t>
            </w:r>
          </w:p>
        </w:tc>
        <w:tc>
          <w:tcPr>
            <w:tcW w:w="5386" w:type="dxa"/>
            <w:vAlign w:val="center"/>
          </w:tcPr>
          <w:p>
            <w:pPr>
              <w:pStyle w:val="13"/>
            </w:pPr>
            <w:r>
              <w:t>确定资产价值</w:t>
            </w:r>
          </w:p>
        </w:tc>
        <w:tc>
          <w:tcPr>
            <w:tcW w:w="2268" w:type="dxa"/>
            <w:vAlign w:val="center"/>
          </w:tcPr>
          <w:p>
            <w:pPr>
              <w:pStyle w:val="13"/>
            </w:pPr>
            <w:r>
              <w:t>资产价值</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面对面访谈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13、财政票据工本费绩效目标表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13011126P00000410868B</w:t>
            </w:r>
          </w:p>
        </w:tc>
        <w:tc>
          <w:tcPr>
            <w:tcW w:w="2835" w:type="dxa"/>
            <w:vAlign w:val="center"/>
          </w:tcPr>
          <w:p>
            <w:pPr>
              <w:pStyle w:val="11"/>
            </w:pPr>
            <w:r>
              <w:t>项目名称</w:t>
            </w:r>
          </w:p>
        </w:tc>
        <w:tc>
          <w:tcPr>
            <w:tcW w:w="6095" w:type="dxa"/>
            <w:gridSpan w:val="3"/>
            <w:vAlign w:val="center"/>
          </w:tcPr>
          <w:p>
            <w:pPr>
              <w:pStyle w:val="13"/>
            </w:pPr>
            <w:r>
              <w:t>财政票据工本费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0.89</w:t>
            </w:r>
          </w:p>
        </w:tc>
        <w:tc>
          <w:tcPr>
            <w:tcW w:w="2835" w:type="dxa"/>
            <w:vAlign w:val="center"/>
          </w:tcPr>
          <w:p>
            <w:pPr>
              <w:pStyle w:val="11"/>
            </w:pPr>
            <w:r>
              <w:t>其中：财政    资金</w:t>
            </w:r>
          </w:p>
        </w:tc>
        <w:tc>
          <w:tcPr>
            <w:tcW w:w="2551" w:type="dxa"/>
            <w:vAlign w:val="center"/>
          </w:tcPr>
          <w:p>
            <w:pPr>
              <w:pStyle w:val="13"/>
            </w:pPr>
            <w:r>
              <w:t>0.89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财政票据印刷费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0.89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1.保证栾城区医院工作正常运转</w:t>
            </w:r>
          </w:p>
          <w:p>
            <w:pPr>
              <w:pStyle w:val="13"/>
            </w:pPr>
            <w:r>
              <w:t>2.为栾城区医院提供专用的非税票据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购买数量</w:t>
            </w:r>
          </w:p>
        </w:tc>
        <w:tc>
          <w:tcPr>
            <w:tcW w:w="5386" w:type="dxa"/>
            <w:vAlign w:val="center"/>
          </w:tcPr>
          <w:p>
            <w:pPr>
              <w:pStyle w:val="13"/>
            </w:pPr>
            <w:r>
              <w:t>购买数量</w:t>
            </w:r>
          </w:p>
        </w:tc>
        <w:tc>
          <w:tcPr>
            <w:tcW w:w="2268" w:type="dxa"/>
            <w:vAlign w:val="center"/>
          </w:tcPr>
          <w:p>
            <w:pPr>
              <w:pStyle w:val="13"/>
            </w:pPr>
            <w:r>
              <w:t>≤18箱</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票据验收合格率（%）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支付及时性</w:t>
            </w:r>
          </w:p>
        </w:tc>
        <w:tc>
          <w:tcPr>
            <w:tcW w:w="5386" w:type="dxa"/>
            <w:vAlign w:val="center"/>
          </w:tcPr>
          <w:p>
            <w:pPr>
              <w:pStyle w:val="13"/>
            </w:pPr>
            <w:r>
              <w:t>及时支付</w:t>
            </w:r>
          </w:p>
        </w:tc>
        <w:tc>
          <w:tcPr>
            <w:tcW w:w="2268" w:type="dxa"/>
            <w:vAlign w:val="center"/>
          </w:tcPr>
          <w:p>
            <w:pPr>
              <w:pStyle w:val="13"/>
            </w:pPr>
            <w:r>
              <w:t>工作按时完成</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在预算范围内合理安排支出</w:t>
            </w:r>
          </w:p>
        </w:tc>
        <w:tc>
          <w:tcPr>
            <w:tcW w:w="2268" w:type="dxa"/>
            <w:vAlign w:val="center"/>
          </w:tcPr>
          <w:p>
            <w:pPr>
              <w:pStyle w:val="13"/>
            </w:pPr>
            <w:r>
              <w:t>≤0.89万元</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保证工作正常运转</w:t>
            </w:r>
          </w:p>
        </w:tc>
        <w:tc>
          <w:tcPr>
            <w:tcW w:w="5386" w:type="dxa"/>
            <w:vAlign w:val="center"/>
          </w:tcPr>
          <w:p>
            <w:pPr>
              <w:pStyle w:val="13"/>
            </w:pPr>
            <w:r>
              <w:t>保证工作正常运转</w:t>
            </w:r>
          </w:p>
        </w:tc>
        <w:tc>
          <w:tcPr>
            <w:tcW w:w="2268" w:type="dxa"/>
            <w:vAlign w:val="center"/>
          </w:tcPr>
          <w:p>
            <w:pPr>
              <w:pStyle w:val="13"/>
            </w:pPr>
            <w:r>
              <w:t>工作顺利开展</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13011126P00000410881R</w:t>
            </w:r>
          </w:p>
        </w:tc>
        <w:tc>
          <w:tcPr>
            <w:tcW w:w="2835" w:type="dxa"/>
            <w:vAlign w:val="center"/>
          </w:tcPr>
          <w:p>
            <w:pPr>
              <w:pStyle w:val="11"/>
            </w:pPr>
            <w:r>
              <w:t>项目名称</w:t>
            </w:r>
          </w:p>
        </w:tc>
        <w:tc>
          <w:tcPr>
            <w:tcW w:w="6095" w:type="dxa"/>
            <w:gridSpan w:val="3"/>
            <w:vAlign w:val="center"/>
          </w:tcPr>
          <w:p>
            <w:pPr>
              <w:pStyle w:val="13"/>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0.36</w:t>
            </w:r>
          </w:p>
        </w:tc>
        <w:tc>
          <w:tcPr>
            <w:tcW w:w="2835" w:type="dxa"/>
            <w:vAlign w:val="center"/>
          </w:tcPr>
          <w:p>
            <w:pPr>
              <w:pStyle w:val="11"/>
            </w:pPr>
            <w:r>
              <w:t>其中：财政    资金</w:t>
            </w:r>
          </w:p>
        </w:tc>
        <w:tc>
          <w:tcPr>
            <w:tcW w:w="2551" w:type="dxa"/>
            <w:vAlign w:val="center"/>
          </w:tcPr>
          <w:p>
            <w:pPr>
              <w:pStyle w:val="13"/>
            </w:pPr>
            <w:r>
              <w:t>0.36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离退休人员统筹外工资待遇发放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0.36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1.退休人员待遇及时发放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退休人员数量</w:t>
            </w:r>
          </w:p>
        </w:tc>
        <w:tc>
          <w:tcPr>
            <w:tcW w:w="5386" w:type="dxa"/>
            <w:vAlign w:val="center"/>
          </w:tcPr>
          <w:p>
            <w:pPr>
              <w:pStyle w:val="13"/>
            </w:pPr>
            <w:r>
              <w:t>当年实际退休人员数量</w:t>
            </w:r>
          </w:p>
        </w:tc>
        <w:tc>
          <w:tcPr>
            <w:tcW w:w="2268" w:type="dxa"/>
            <w:vAlign w:val="center"/>
          </w:tcPr>
          <w:p>
            <w:pPr>
              <w:pStyle w:val="13"/>
            </w:pPr>
            <w:r>
              <w:t>5人</w:t>
            </w:r>
          </w:p>
        </w:tc>
        <w:tc>
          <w:tcPr>
            <w:tcW w:w="1276" w:type="dxa"/>
            <w:vAlign w:val="center"/>
          </w:tcPr>
          <w:p>
            <w:pPr>
              <w:pStyle w:val="13"/>
            </w:pPr>
            <w:r>
              <w:t>依据实际人数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人员经费发放率</w:t>
            </w:r>
          </w:p>
        </w:tc>
        <w:tc>
          <w:tcPr>
            <w:tcW w:w="5386" w:type="dxa"/>
            <w:vAlign w:val="center"/>
          </w:tcPr>
          <w:p>
            <w:pPr>
              <w:pStyle w:val="13"/>
            </w:pPr>
            <w:r>
              <w:t>实际发放人数占应发人数的比率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支出及时性</w:t>
            </w:r>
          </w:p>
        </w:tc>
        <w:tc>
          <w:tcPr>
            <w:tcW w:w="5386" w:type="dxa"/>
            <w:vAlign w:val="center"/>
          </w:tcPr>
          <w:p>
            <w:pPr>
              <w:pStyle w:val="13"/>
            </w:pPr>
            <w:r>
              <w:t>支出及时</w:t>
            </w:r>
          </w:p>
        </w:tc>
        <w:tc>
          <w:tcPr>
            <w:tcW w:w="2268" w:type="dxa"/>
            <w:vAlign w:val="center"/>
          </w:tcPr>
          <w:p>
            <w:pPr>
              <w:pStyle w:val="13"/>
            </w:pPr>
            <w:r>
              <w:t>支付及时</w:t>
            </w:r>
          </w:p>
        </w:tc>
        <w:tc>
          <w:tcPr>
            <w:tcW w:w="1276" w:type="dxa"/>
            <w:vAlign w:val="center"/>
          </w:tcPr>
          <w:p>
            <w:pPr>
              <w:pStyle w:val="13"/>
            </w:pPr>
            <w:r>
              <w:t>历史经验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成本控制不超预算</w:t>
            </w:r>
          </w:p>
        </w:tc>
        <w:tc>
          <w:tcPr>
            <w:tcW w:w="2268" w:type="dxa"/>
            <w:vAlign w:val="center"/>
          </w:tcPr>
          <w:p>
            <w:pPr>
              <w:pStyle w:val="13"/>
            </w:pPr>
            <w:r>
              <w:t>≤0.36万元</w:t>
            </w:r>
          </w:p>
        </w:tc>
        <w:tc>
          <w:tcPr>
            <w:tcW w:w="1276" w:type="dxa"/>
            <w:vAlign w:val="center"/>
          </w:tcPr>
          <w:p>
            <w:pPr>
              <w:pStyle w:val="13"/>
            </w:pPr>
            <w:r>
              <w:t>历史经验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保障工作顺利开展</w:t>
            </w:r>
          </w:p>
        </w:tc>
        <w:tc>
          <w:tcPr>
            <w:tcW w:w="5386" w:type="dxa"/>
            <w:vAlign w:val="center"/>
          </w:tcPr>
          <w:p>
            <w:pPr>
              <w:pStyle w:val="13"/>
            </w:pPr>
            <w:r>
              <w:t>保障工作顺利开展</w:t>
            </w:r>
          </w:p>
        </w:tc>
        <w:tc>
          <w:tcPr>
            <w:tcW w:w="2268" w:type="dxa"/>
            <w:vAlign w:val="center"/>
          </w:tcPr>
          <w:p>
            <w:pPr>
              <w:pStyle w:val="13"/>
            </w:pPr>
            <w:r>
              <w:t>顺利开展</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13011126P00000410970K</w:t>
            </w:r>
          </w:p>
        </w:tc>
        <w:tc>
          <w:tcPr>
            <w:tcW w:w="2835" w:type="dxa"/>
            <w:vAlign w:val="center"/>
          </w:tcPr>
          <w:p>
            <w:pPr>
              <w:pStyle w:val="11"/>
            </w:pPr>
            <w:r>
              <w:t>项目名称</w:t>
            </w:r>
          </w:p>
        </w:tc>
        <w:tc>
          <w:tcPr>
            <w:tcW w:w="6095" w:type="dxa"/>
            <w:gridSpan w:val="3"/>
            <w:vAlign w:val="center"/>
          </w:tcPr>
          <w:p>
            <w:pPr>
              <w:pStyle w:val="13"/>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0.81</w:t>
            </w:r>
          </w:p>
        </w:tc>
        <w:tc>
          <w:tcPr>
            <w:tcW w:w="2835" w:type="dxa"/>
            <w:vAlign w:val="center"/>
          </w:tcPr>
          <w:p>
            <w:pPr>
              <w:pStyle w:val="11"/>
            </w:pPr>
            <w:r>
              <w:t>其中：财政    资金</w:t>
            </w:r>
          </w:p>
        </w:tc>
        <w:tc>
          <w:tcPr>
            <w:tcW w:w="2551" w:type="dxa"/>
            <w:vAlign w:val="center"/>
          </w:tcPr>
          <w:p>
            <w:pPr>
              <w:pStyle w:val="13"/>
            </w:pPr>
            <w:r>
              <w:t>0.81</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行政事业单位应缴残保金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0.81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1.318-石家庄市栾城区财政局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应缴残保金单位</w:t>
            </w:r>
          </w:p>
        </w:tc>
        <w:tc>
          <w:tcPr>
            <w:tcW w:w="5386" w:type="dxa"/>
            <w:vAlign w:val="center"/>
          </w:tcPr>
          <w:p>
            <w:pPr>
              <w:pStyle w:val="13"/>
            </w:pPr>
            <w:r>
              <w:t>应缴残保金单位</w:t>
            </w:r>
          </w:p>
        </w:tc>
        <w:tc>
          <w:tcPr>
            <w:tcW w:w="2268" w:type="dxa"/>
            <w:vAlign w:val="center"/>
          </w:tcPr>
          <w:p>
            <w:pPr>
              <w:pStyle w:val="13"/>
            </w:pPr>
            <w:r>
              <w:t>1个</w:t>
            </w:r>
          </w:p>
        </w:tc>
        <w:tc>
          <w:tcPr>
            <w:tcW w:w="1276" w:type="dxa"/>
            <w:vAlign w:val="center"/>
          </w:tcPr>
          <w:p>
            <w:pPr>
              <w:pStyle w:val="13"/>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加强税收征管</w:t>
            </w:r>
          </w:p>
        </w:tc>
        <w:tc>
          <w:tcPr>
            <w:tcW w:w="5386" w:type="dxa"/>
            <w:vAlign w:val="center"/>
          </w:tcPr>
          <w:p>
            <w:pPr>
              <w:pStyle w:val="13"/>
            </w:pPr>
            <w:r>
              <w:t>加强税收征管</w:t>
            </w:r>
          </w:p>
        </w:tc>
        <w:tc>
          <w:tcPr>
            <w:tcW w:w="2268" w:type="dxa"/>
            <w:vAlign w:val="center"/>
          </w:tcPr>
          <w:p>
            <w:pPr>
              <w:pStyle w:val="13"/>
            </w:pPr>
            <w:r>
              <w:t>加强税收征管</w:t>
            </w:r>
          </w:p>
        </w:tc>
        <w:tc>
          <w:tcPr>
            <w:tcW w:w="1276" w:type="dxa"/>
            <w:vAlign w:val="center"/>
          </w:tcPr>
          <w:p>
            <w:pPr>
              <w:pStyle w:val="13"/>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支付及时性</w:t>
            </w:r>
          </w:p>
        </w:tc>
        <w:tc>
          <w:tcPr>
            <w:tcW w:w="5386" w:type="dxa"/>
            <w:vAlign w:val="center"/>
          </w:tcPr>
          <w:p>
            <w:pPr>
              <w:pStyle w:val="13"/>
            </w:pPr>
            <w:r>
              <w:t>支付及时</w:t>
            </w:r>
          </w:p>
        </w:tc>
        <w:tc>
          <w:tcPr>
            <w:tcW w:w="2268" w:type="dxa"/>
            <w:vAlign w:val="center"/>
          </w:tcPr>
          <w:p>
            <w:pPr>
              <w:pStyle w:val="13"/>
            </w:pPr>
            <w:r>
              <w:t>支付及时</w:t>
            </w:r>
          </w:p>
        </w:tc>
        <w:tc>
          <w:tcPr>
            <w:tcW w:w="1276" w:type="dxa"/>
            <w:vAlign w:val="center"/>
          </w:tcPr>
          <w:p>
            <w:pPr>
              <w:pStyle w:val="13"/>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成本控制不超预算</w:t>
            </w:r>
          </w:p>
        </w:tc>
        <w:tc>
          <w:tcPr>
            <w:tcW w:w="2268" w:type="dxa"/>
            <w:vAlign w:val="center"/>
          </w:tcPr>
          <w:p>
            <w:pPr>
              <w:pStyle w:val="13"/>
            </w:pPr>
            <w:r>
              <w:t>≤0.81万元</w:t>
            </w:r>
          </w:p>
        </w:tc>
        <w:tc>
          <w:tcPr>
            <w:tcW w:w="1276" w:type="dxa"/>
            <w:vAlign w:val="center"/>
          </w:tcPr>
          <w:p>
            <w:pPr>
              <w:pStyle w:val="13"/>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保障工作顺利开展</w:t>
            </w:r>
          </w:p>
        </w:tc>
        <w:tc>
          <w:tcPr>
            <w:tcW w:w="5386" w:type="dxa"/>
            <w:vAlign w:val="center"/>
          </w:tcPr>
          <w:p>
            <w:pPr>
              <w:pStyle w:val="13"/>
            </w:pPr>
            <w:r>
              <w:t>保障工作顺利开展</w:t>
            </w:r>
          </w:p>
        </w:tc>
        <w:tc>
          <w:tcPr>
            <w:tcW w:w="2268" w:type="dxa"/>
            <w:vAlign w:val="center"/>
          </w:tcPr>
          <w:p>
            <w:pPr>
              <w:pStyle w:val="13"/>
            </w:pPr>
            <w:r>
              <w:t>顺利开展</w:t>
            </w:r>
          </w:p>
        </w:tc>
        <w:tc>
          <w:tcPr>
            <w:tcW w:w="1276" w:type="dxa"/>
            <w:vAlign w:val="center"/>
          </w:tcPr>
          <w:p>
            <w:pPr>
              <w:pStyle w:val="13"/>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13011126P000004109717</w:t>
            </w:r>
          </w:p>
        </w:tc>
        <w:tc>
          <w:tcPr>
            <w:tcW w:w="2835" w:type="dxa"/>
            <w:vAlign w:val="center"/>
          </w:tcPr>
          <w:p>
            <w:pPr>
              <w:pStyle w:val="11"/>
            </w:pPr>
            <w:r>
              <w:t>项目名称</w:t>
            </w:r>
          </w:p>
        </w:tc>
        <w:tc>
          <w:tcPr>
            <w:tcW w:w="6095" w:type="dxa"/>
            <w:gridSpan w:val="3"/>
            <w:vAlign w:val="center"/>
          </w:tcPr>
          <w:p>
            <w:pPr>
              <w:pStyle w:val="13"/>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2.43</w:t>
            </w:r>
          </w:p>
        </w:tc>
        <w:tc>
          <w:tcPr>
            <w:tcW w:w="2835" w:type="dxa"/>
            <w:vAlign w:val="center"/>
          </w:tcPr>
          <w:p>
            <w:pPr>
              <w:pStyle w:val="11"/>
            </w:pPr>
            <w:r>
              <w:t>其中：财政    资金</w:t>
            </w:r>
          </w:p>
        </w:tc>
        <w:tc>
          <w:tcPr>
            <w:tcW w:w="2551" w:type="dxa"/>
            <w:vAlign w:val="center"/>
          </w:tcPr>
          <w:p>
            <w:pPr>
              <w:pStyle w:val="13"/>
            </w:pPr>
            <w:r>
              <w:t>2.43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2.43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1.行政事业单位应缴残保金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应缴残保金单位</w:t>
            </w:r>
          </w:p>
        </w:tc>
        <w:tc>
          <w:tcPr>
            <w:tcW w:w="5386" w:type="dxa"/>
            <w:vAlign w:val="center"/>
          </w:tcPr>
          <w:p>
            <w:pPr>
              <w:pStyle w:val="13"/>
            </w:pPr>
            <w:r>
              <w:t>应缴残保金单位</w:t>
            </w:r>
          </w:p>
        </w:tc>
        <w:tc>
          <w:tcPr>
            <w:tcW w:w="2268" w:type="dxa"/>
            <w:vAlign w:val="center"/>
          </w:tcPr>
          <w:p>
            <w:pPr>
              <w:pStyle w:val="13"/>
            </w:pPr>
            <w:r>
              <w:t>1个</w:t>
            </w:r>
          </w:p>
        </w:tc>
        <w:tc>
          <w:tcPr>
            <w:tcW w:w="1276" w:type="dxa"/>
            <w:vAlign w:val="center"/>
          </w:tcPr>
          <w:p>
            <w:pPr>
              <w:pStyle w:val="13"/>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加强税收征管</w:t>
            </w:r>
          </w:p>
        </w:tc>
        <w:tc>
          <w:tcPr>
            <w:tcW w:w="5386" w:type="dxa"/>
            <w:vAlign w:val="center"/>
          </w:tcPr>
          <w:p>
            <w:pPr>
              <w:pStyle w:val="13"/>
            </w:pPr>
            <w:r>
              <w:t>加强税收征管</w:t>
            </w:r>
          </w:p>
        </w:tc>
        <w:tc>
          <w:tcPr>
            <w:tcW w:w="2268" w:type="dxa"/>
            <w:vAlign w:val="center"/>
          </w:tcPr>
          <w:p>
            <w:pPr>
              <w:pStyle w:val="13"/>
            </w:pPr>
            <w:r>
              <w:t>加强税收征管</w:t>
            </w:r>
          </w:p>
        </w:tc>
        <w:tc>
          <w:tcPr>
            <w:tcW w:w="1276" w:type="dxa"/>
            <w:vAlign w:val="center"/>
          </w:tcPr>
          <w:p>
            <w:pPr>
              <w:pStyle w:val="13"/>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支付及时性</w:t>
            </w:r>
          </w:p>
        </w:tc>
        <w:tc>
          <w:tcPr>
            <w:tcW w:w="5386" w:type="dxa"/>
            <w:vAlign w:val="center"/>
          </w:tcPr>
          <w:p>
            <w:pPr>
              <w:pStyle w:val="13"/>
            </w:pPr>
            <w:r>
              <w:t>支付及时</w:t>
            </w:r>
          </w:p>
        </w:tc>
        <w:tc>
          <w:tcPr>
            <w:tcW w:w="2268" w:type="dxa"/>
            <w:vAlign w:val="center"/>
          </w:tcPr>
          <w:p>
            <w:pPr>
              <w:pStyle w:val="13"/>
            </w:pPr>
            <w:r>
              <w:t>支付及时</w:t>
            </w:r>
          </w:p>
        </w:tc>
        <w:tc>
          <w:tcPr>
            <w:tcW w:w="1276" w:type="dxa"/>
            <w:vAlign w:val="center"/>
          </w:tcPr>
          <w:p>
            <w:pPr>
              <w:pStyle w:val="13"/>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成本控制不超预算</w:t>
            </w:r>
          </w:p>
        </w:tc>
        <w:tc>
          <w:tcPr>
            <w:tcW w:w="2268" w:type="dxa"/>
            <w:vAlign w:val="center"/>
          </w:tcPr>
          <w:p>
            <w:pPr>
              <w:pStyle w:val="13"/>
            </w:pPr>
            <w:r>
              <w:t>≤2.43万元</w:t>
            </w:r>
          </w:p>
        </w:tc>
        <w:tc>
          <w:tcPr>
            <w:tcW w:w="1276" w:type="dxa"/>
            <w:vAlign w:val="center"/>
          </w:tcPr>
          <w:p>
            <w:pPr>
              <w:pStyle w:val="13"/>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保障工作顺利开展</w:t>
            </w:r>
          </w:p>
        </w:tc>
        <w:tc>
          <w:tcPr>
            <w:tcW w:w="5386" w:type="dxa"/>
            <w:vAlign w:val="center"/>
          </w:tcPr>
          <w:p>
            <w:pPr>
              <w:pStyle w:val="13"/>
            </w:pPr>
            <w:r>
              <w:t>保障工作顺利开展</w:t>
            </w:r>
          </w:p>
        </w:tc>
        <w:tc>
          <w:tcPr>
            <w:tcW w:w="2268" w:type="dxa"/>
            <w:vAlign w:val="center"/>
          </w:tcPr>
          <w:p>
            <w:pPr>
              <w:pStyle w:val="13"/>
            </w:pPr>
            <w:r>
              <w:t>顺利开展</w:t>
            </w:r>
          </w:p>
        </w:tc>
        <w:tc>
          <w:tcPr>
            <w:tcW w:w="1276" w:type="dxa"/>
            <w:vAlign w:val="center"/>
          </w:tcPr>
          <w:p>
            <w:pPr>
              <w:pStyle w:val="13"/>
            </w:pPr>
            <w: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13011126P00000410882D</w:t>
            </w:r>
          </w:p>
        </w:tc>
        <w:tc>
          <w:tcPr>
            <w:tcW w:w="2835" w:type="dxa"/>
            <w:vAlign w:val="center"/>
          </w:tcPr>
          <w:p>
            <w:pPr>
              <w:pStyle w:val="11"/>
            </w:pPr>
            <w:r>
              <w:t>项目名称</w:t>
            </w:r>
          </w:p>
        </w:tc>
        <w:tc>
          <w:tcPr>
            <w:tcW w:w="6095" w:type="dxa"/>
            <w:gridSpan w:val="3"/>
            <w:vAlign w:val="center"/>
          </w:tcPr>
          <w:p>
            <w:pPr>
              <w:pStyle w:val="13"/>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0.14</w:t>
            </w:r>
          </w:p>
        </w:tc>
        <w:tc>
          <w:tcPr>
            <w:tcW w:w="2835" w:type="dxa"/>
            <w:vAlign w:val="center"/>
          </w:tcPr>
          <w:p>
            <w:pPr>
              <w:pStyle w:val="11"/>
            </w:pPr>
            <w:r>
              <w:t>其中：财政    资金</w:t>
            </w:r>
          </w:p>
        </w:tc>
        <w:tc>
          <w:tcPr>
            <w:tcW w:w="2551" w:type="dxa"/>
            <w:vAlign w:val="center"/>
          </w:tcPr>
          <w:p>
            <w:pPr>
              <w:pStyle w:val="13"/>
            </w:pPr>
            <w:r>
              <w:t>0.14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离退休人员统筹外工资待遇发放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0.14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1.退休人员待遇及时发放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退休人员数量</w:t>
            </w:r>
          </w:p>
        </w:tc>
        <w:tc>
          <w:tcPr>
            <w:tcW w:w="5386" w:type="dxa"/>
            <w:vAlign w:val="center"/>
          </w:tcPr>
          <w:p>
            <w:pPr>
              <w:pStyle w:val="13"/>
            </w:pPr>
            <w:r>
              <w:t>当年实际退休人员数量</w:t>
            </w:r>
          </w:p>
        </w:tc>
        <w:tc>
          <w:tcPr>
            <w:tcW w:w="2268" w:type="dxa"/>
            <w:vAlign w:val="center"/>
          </w:tcPr>
          <w:p>
            <w:pPr>
              <w:pStyle w:val="13"/>
            </w:pPr>
            <w:r>
              <w:t>2人</w:t>
            </w:r>
          </w:p>
        </w:tc>
        <w:tc>
          <w:tcPr>
            <w:tcW w:w="1276" w:type="dxa"/>
            <w:vAlign w:val="center"/>
          </w:tcPr>
          <w:p>
            <w:pPr>
              <w:pStyle w:val="13"/>
            </w:pPr>
            <w:r>
              <w:t>依据实际人数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人员经费发放率</w:t>
            </w:r>
          </w:p>
        </w:tc>
        <w:tc>
          <w:tcPr>
            <w:tcW w:w="5386" w:type="dxa"/>
            <w:vAlign w:val="center"/>
          </w:tcPr>
          <w:p>
            <w:pPr>
              <w:pStyle w:val="13"/>
            </w:pPr>
            <w:r>
              <w:t>实际发放人数占应发人数的比率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支出及时性</w:t>
            </w:r>
          </w:p>
        </w:tc>
        <w:tc>
          <w:tcPr>
            <w:tcW w:w="5386" w:type="dxa"/>
            <w:vAlign w:val="center"/>
          </w:tcPr>
          <w:p>
            <w:pPr>
              <w:pStyle w:val="13"/>
            </w:pPr>
            <w:r>
              <w:t>支出及时</w:t>
            </w:r>
          </w:p>
        </w:tc>
        <w:tc>
          <w:tcPr>
            <w:tcW w:w="2268" w:type="dxa"/>
            <w:vAlign w:val="center"/>
          </w:tcPr>
          <w:p>
            <w:pPr>
              <w:pStyle w:val="13"/>
            </w:pPr>
            <w:r>
              <w:t>及时支出</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成本控制不超预算</w:t>
            </w:r>
          </w:p>
        </w:tc>
        <w:tc>
          <w:tcPr>
            <w:tcW w:w="2268" w:type="dxa"/>
            <w:vAlign w:val="center"/>
          </w:tcPr>
          <w:p>
            <w:pPr>
              <w:pStyle w:val="13"/>
            </w:pPr>
            <w:r>
              <w:t>≤0.15万元</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保障工作顺利开展</w:t>
            </w:r>
          </w:p>
        </w:tc>
        <w:tc>
          <w:tcPr>
            <w:tcW w:w="5386" w:type="dxa"/>
            <w:vAlign w:val="center"/>
          </w:tcPr>
          <w:p>
            <w:pPr>
              <w:pStyle w:val="13"/>
            </w:pPr>
            <w:r>
              <w:t>保障工作顺利开展</w:t>
            </w:r>
          </w:p>
        </w:tc>
        <w:tc>
          <w:tcPr>
            <w:tcW w:w="2268" w:type="dxa"/>
            <w:vAlign w:val="center"/>
          </w:tcPr>
          <w:p>
            <w:pPr>
              <w:pStyle w:val="13"/>
            </w:pPr>
            <w:r>
              <w:t>顺利开展</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13011126P000004108831</w:t>
            </w:r>
          </w:p>
        </w:tc>
        <w:tc>
          <w:tcPr>
            <w:tcW w:w="2835" w:type="dxa"/>
            <w:vAlign w:val="center"/>
          </w:tcPr>
          <w:p>
            <w:pPr>
              <w:pStyle w:val="11"/>
            </w:pPr>
            <w:r>
              <w:t>项目名称</w:t>
            </w:r>
          </w:p>
        </w:tc>
        <w:tc>
          <w:tcPr>
            <w:tcW w:w="6095" w:type="dxa"/>
            <w:gridSpan w:val="3"/>
            <w:vAlign w:val="center"/>
          </w:tcPr>
          <w:p>
            <w:pPr>
              <w:pStyle w:val="13"/>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7.10</w:t>
            </w:r>
          </w:p>
        </w:tc>
        <w:tc>
          <w:tcPr>
            <w:tcW w:w="2835" w:type="dxa"/>
            <w:vAlign w:val="center"/>
          </w:tcPr>
          <w:p>
            <w:pPr>
              <w:pStyle w:val="11"/>
            </w:pPr>
            <w:r>
              <w:t>其中：财政    资金</w:t>
            </w:r>
          </w:p>
        </w:tc>
        <w:tc>
          <w:tcPr>
            <w:tcW w:w="2551" w:type="dxa"/>
            <w:vAlign w:val="center"/>
          </w:tcPr>
          <w:p>
            <w:pPr>
              <w:pStyle w:val="13"/>
            </w:pPr>
            <w:r>
              <w:t>7.10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离退休人员统筹外工资待遇发放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7.10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1.退休人员待遇及时发放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退休人员数量</w:t>
            </w:r>
          </w:p>
        </w:tc>
        <w:tc>
          <w:tcPr>
            <w:tcW w:w="5386" w:type="dxa"/>
            <w:vAlign w:val="center"/>
          </w:tcPr>
          <w:p>
            <w:pPr>
              <w:pStyle w:val="13"/>
            </w:pPr>
            <w:r>
              <w:t>当年实际退休人员数量</w:t>
            </w:r>
          </w:p>
        </w:tc>
        <w:tc>
          <w:tcPr>
            <w:tcW w:w="2268" w:type="dxa"/>
            <w:vAlign w:val="center"/>
          </w:tcPr>
          <w:p>
            <w:pPr>
              <w:pStyle w:val="13"/>
            </w:pPr>
            <w:r>
              <w:t>3人</w:t>
            </w:r>
          </w:p>
        </w:tc>
        <w:tc>
          <w:tcPr>
            <w:tcW w:w="1276" w:type="dxa"/>
            <w:vAlign w:val="center"/>
          </w:tcPr>
          <w:p>
            <w:pPr>
              <w:pStyle w:val="13"/>
            </w:pPr>
            <w:r>
              <w:t>依据实际人数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人员经费发放率</w:t>
            </w:r>
          </w:p>
        </w:tc>
        <w:tc>
          <w:tcPr>
            <w:tcW w:w="5386" w:type="dxa"/>
            <w:vAlign w:val="center"/>
          </w:tcPr>
          <w:p>
            <w:pPr>
              <w:pStyle w:val="13"/>
            </w:pPr>
            <w:r>
              <w:t>实际发放人数占应发人数的比率</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支出及时性</w:t>
            </w:r>
          </w:p>
        </w:tc>
        <w:tc>
          <w:tcPr>
            <w:tcW w:w="5386" w:type="dxa"/>
            <w:vAlign w:val="center"/>
          </w:tcPr>
          <w:p>
            <w:pPr>
              <w:pStyle w:val="13"/>
            </w:pPr>
            <w:r>
              <w:t>支出及时</w:t>
            </w:r>
          </w:p>
        </w:tc>
        <w:tc>
          <w:tcPr>
            <w:tcW w:w="2268" w:type="dxa"/>
            <w:vAlign w:val="center"/>
          </w:tcPr>
          <w:p>
            <w:pPr>
              <w:pStyle w:val="13"/>
            </w:pPr>
            <w:r>
              <w:t>支出及时</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成本控制不超预算</w:t>
            </w:r>
          </w:p>
        </w:tc>
        <w:tc>
          <w:tcPr>
            <w:tcW w:w="2268" w:type="dxa"/>
            <w:vAlign w:val="center"/>
          </w:tcPr>
          <w:p>
            <w:pPr>
              <w:pStyle w:val="13"/>
            </w:pPr>
            <w:r>
              <w:t>≤7.1万元</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保障工作顺利开展</w:t>
            </w:r>
          </w:p>
        </w:tc>
        <w:tc>
          <w:tcPr>
            <w:tcW w:w="5386" w:type="dxa"/>
            <w:vAlign w:val="center"/>
          </w:tcPr>
          <w:p>
            <w:pPr>
              <w:pStyle w:val="13"/>
            </w:pPr>
            <w:r>
              <w:t>保障工作顺利开展</w:t>
            </w:r>
          </w:p>
        </w:tc>
        <w:tc>
          <w:tcPr>
            <w:tcW w:w="2268" w:type="dxa"/>
            <w:vAlign w:val="center"/>
          </w:tcPr>
          <w:p>
            <w:pPr>
              <w:pStyle w:val="13"/>
            </w:pPr>
            <w:r>
              <w:t>正常开展</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19、预算绩效管理经费绩效目标表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13011126P00000410869Y</w:t>
            </w:r>
          </w:p>
        </w:tc>
        <w:tc>
          <w:tcPr>
            <w:tcW w:w="2835" w:type="dxa"/>
            <w:vAlign w:val="center"/>
          </w:tcPr>
          <w:p>
            <w:pPr>
              <w:pStyle w:val="11"/>
            </w:pPr>
            <w:r>
              <w:t>项目名称</w:t>
            </w:r>
          </w:p>
        </w:tc>
        <w:tc>
          <w:tcPr>
            <w:tcW w:w="6095" w:type="dxa"/>
            <w:gridSpan w:val="3"/>
            <w:vAlign w:val="center"/>
          </w:tcPr>
          <w:p>
            <w:pPr>
              <w:pStyle w:val="13"/>
            </w:pPr>
            <w:r>
              <w:t>预算绩效管理经费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27.00</w:t>
            </w:r>
          </w:p>
        </w:tc>
        <w:tc>
          <w:tcPr>
            <w:tcW w:w="2835" w:type="dxa"/>
            <w:vAlign w:val="center"/>
          </w:tcPr>
          <w:p>
            <w:pPr>
              <w:pStyle w:val="11"/>
            </w:pPr>
            <w:r>
              <w:t>其中：财政    资金</w:t>
            </w:r>
          </w:p>
        </w:tc>
        <w:tc>
          <w:tcPr>
            <w:tcW w:w="2551" w:type="dxa"/>
            <w:vAlign w:val="center"/>
          </w:tcPr>
          <w:p>
            <w:pPr>
              <w:pStyle w:val="13"/>
            </w:pPr>
            <w:r>
              <w:t>27.00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根据《中华人民共和国预算法》《中共石家庄市栾城区委、栾城区人民政府关于全面落实预算绩效管理的实施意见》对区级重点政策和项目支出进行绩效评价。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27.00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1.提高重点政策和项目绩效管理水平,促进财政资金配置效率、使用效益.</w:t>
            </w:r>
          </w:p>
          <w:p>
            <w:pPr>
              <w:pStyle w:val="13"/>
            </w:pPr>
            <w:r>
              <w:t>2.高质量完成全区预算绩效管理工作</w:t>
            </w:r>
          </w:p>
          <w:p>
            <w:pPr>
              <w:pStyle w:val="13"/>
            </w:pPr>
            <w:r>
              <w:t>3.确保财政工作顺利开展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绩效评价报告</w:t>
            </w:r>
          </w:p>
        </w:tc>
        <w:tc>
          <w:tcPr>
            <w:tcW w:w="5386" w:type="dxa"/>
            <w:vAlign w:val="center"/>
          </w:tcPr>
          <w:p>
            <w:pPr>
              <w:pStyle w:val="13"/>
            </w:pPr>
            <w:r>
              <w:t>绩效评价报告</w:t>
            </w:r>
          </w:p>
        </w:tc>
        <w:tc>
          <w:tcPr>
            <w:tcW w:w="2268" w:type="dxa"/>
            <w:vAlign w:val="center"/>
          </w:tcPr>
          <w:p>
            <w:pPr>
              <w:pStyle w:val="13"/>
            </w:pPr>
            <w:r>
              <w:t>≥7个</w:t>
            </w:r>
          </w:p>
        </w:tc>
        <w:tc>
          <w:tcPr>
            <w:tcW w:w="1276" w:type="dxa"/>
            <w:vAlign w:val="center"/>
          </w:tcPr>
          <w:p>
            <w:pPr>
              <w:pStyle w:val="13"/>
            </w:pPr>
            <w:r>
              <w:t xml:space="preserve">依据合同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提高绩效管理水平</w:t>
            </w:r>
          </w:p>
        </w:tc>
        <w:tc>
          <w:tcPr>
            <w:tcW w:w="5386" w:type="dxa"/>
            <w:vAlign w:val="center"/>
          </w:tcPr>
          <w:p>
            <w:pPr>
              <w:pStyle w:val="13"/>
            </w:pPr>
            <w:r>
              <w:t>提高绩效管理水平</w:t>
            </w:r>
          </w:p>
        </w:tc>
        <w:tc>
          <w:tcPr>
            <w:tcW w:w="2268" w:type="dxa"/>
            <w:vAlign w:val="center"/>
          </w:tcPr>
          <w:p>
            <w:pPr>
              <w:pStyle w:val="13"/>
            </w:pPr>
            <w:r>
              <w:t>绩效水平提高</w:t>
            </w:r>
          </w:p>
        </w:tc>
        <w:tc>
          <w:tcPr>
            <w:tcW w:w="1276" w:type="dxa"/>
            <w:vAlign w:val="center"/>
          </w:tcPr>
          <w:p>
            <w:pPr>
              <w:pStyle w:val="13"/>
            </w:pPr>
            <w:r>
              <w:t xml:space="preserve">依据合同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工作完成及时性</w:t>
            </w:r>
          </w:p>
        </w:tc>
        <w:tc>
          <w:tcPr>
            <w:tcW w:w="5386" w:type="dxa"/>
            <w:vAlign w:val="center"/>
          </w:tcPr>
          <w:p>
            <w:pPr>
              <w:pStyle w:val="13"/>
            </w:pPr>
            <w:r>
              <w:t>工作按时完成</w:t>
            </w:r>
          </w:p>
        </w:tc>
        <w:tc>
          <w:tcPr>
            <w:tcW w:w="2268" w:type="dxa"/>
            <w:vAlign w:val="center"/>
          </w:tcPr>
          <w:p>
            <w:pPr>
              <w:pStyle w:val="13"/>
            </w:pPr>
            <w:r>
              <w:t>工作按时完成</w:t>
            </w:r>
          </w:p>
        </w:tc>
        <w:tc>
          <w:tcPr>
            <w:tcW w:w="1276" w:type="dxa"/>
            <w:vAlign w:val="center"/>
          </w:tcPr>
          <w:p>
            <w:pPr>
              <w:pStyle w:val="13"/>
            </w:pPr>
            <w:r>
              <w:t xml:space="preserve">依据合同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成本控制不超预算</w:t>
            </w:r>
          </w:p>
        </w:tc>
        <w:tc>
          <w:tcPr>
            <w:tcW w:w="2268" w:type="dxa"/>
            <w:vAlign w:val="center"/>
          </w:tcPr>
          <w:p>
            <w:pPr>
              <w:pStyle w:val="13"/>
            </w:pPr>
            <w:r>
              <w:t>≤27万元</w:t>
            </w:r>
          </w:p>
        </w:tc>
        <w:tc>
          <w:tcPr>
            <w:tcW w:w="1276" w:type="dxa"/>
            <w:vAlign w:val="center"/>
          </w:tcPr>
          <w:p>
            <w:pPr>
              <w:pStyle w:val="13"/>
            </w:pPr>
            <w:r>
              <w:t xml:space="preserve">依据合同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高质量完成全县预算绩效管理工作</w:t>
            </w:r>
          </w:p>
        </w:tc>
        <w:tc>
          <w:tcPr>
            <w:tcW w:w="5386" w:type="dxa"/>
            <w:vAlign w:val="center"/>
          </w:tcPr>
          <w:p>
            <w:pPr>
              <w:pStyle w:val="13"/>
            </w:pPr>
            <w:r>
              <w:t>高质量完成全县预算绩效管理工作</w:t>
            </w:r>
          </w:p>
        </w:tc>
        <w:tc>
          <w:tcPr>
            <w:tcW w:w="2268" w:type="dxa"/>
            <w:vAlign w:val="center"/>
          </w:tcPr>
          <w:p>
            <w:pPr>
              <w:pStyle w:val="13"/>
            </w:pPr>
            <w:r>
              <w:t>工作顺利开展</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服务对象满意程度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20、项目评审费绩效目标表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13011126P00000410886U</w:t>
            </w:r>
          </w:p>
        </w:tc>
        <w:tc>
          <w:tcPr>
            <w:tcW w:w="2835" w:type="dxa"/>
            <w:vAlign w:val="center"/>
          </w:tcPr>
          <w:p>
            <w:pPr>
              <w:pStyle w:val="11"/>
            </w:pPr>
            <w:r>
              <w:t>项目名称</w:t>
            </w:r>
          </w:p>
        </w:tc>
        <w:tc>
          <w:tcPr>
            <w:tcW w:w="6095" w:type="dxa"/>
            <w:gridSpan w:val="3"/>
            <w:vAlign w:val="center"/>
          </w:tcPr>
          <w:p>
            <w:pPr>
              <w:pStyle w:val="13"/>
            </w:pPr>
            <w:r>
              <w:t>项目评审费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600.00</w:t>
            </w:r>
          </w:p>
        </w:tc>
        <w:tc>
          <w:tcPr>
            <w:tcW w:w="2835" w:type="dxa"/>
            <w:vAlign w:val="center"/>
          </w:tcPr>
          <w:p>
            <w:pPr>
              <w:pStyle w:val="11"/>
            </w:pPr>
            <w:r>
              <w:t>其中：财政    资金</w:t>
            </w:r>
          </w:p>
        </w:tc>
        <w:tc>
          <w:tcPr>
            <w:tcW w:w="2551" w:type="dxa"/>
            <w:vAlign w:val="center"/>
          </w:tcPr>
          <w:p>
            <w:pPr>
              <w:pStyle w:val="13"/>
            </w:pPr>
            <w:r>
              <w:t>600.00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对财政性投融资建设项目的预算、招标标底、工程价款的结算进行评价审查。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600.00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1.对财政性投融资建设项目的预算、招标标底、工程价款的结算进行评价审查。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评审项目数</w:t>
            </w:r>
          </w:p>
        </w:tc>
        <w:tc>
          <w:tcPr>
            <w:tcW w:w="5386" w:type="dxa"/>
            <w:vAlign w:val="center"/>
          </w:tcPr>
          <w:p>
            <w:pPr>
              <w:pStyle w:val="13"/>
            </w:pPr>
            <w:r>
              <w:t>完成评审项目数量</w:t>
            </w:r>
          </w:p>
        </w:tc>
        <w:tc>
          <w:tcPr>
            <w:tcW w:w="2268" w:type="dxa"/>
            <w:vAlign w:val="center"/>
          </w:tcPr>
          <w:p>
            <w:pPr>
              <w:pStyle w:val="13"/>
            </w:pPr>
            <w:r>
              <w:t>≥500个</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保障业务工作有序开展</w:t>
            </w:r>
          </w:p>
        </w:tc>
        <w:tc>
          <w:tcPr>
            <w:tcW w:w="5386" w:type="dxa"/>
            <w:vAlign w:val="center"/>
          </w:tcPr>
          <w:p>
            <w:pPr>
              <w:pStyle w:val="13"/>
            </w:pPr>
            <w:r>
              <w:t>保障业务工作有序开展</w:t>
            </w:r>
          </w:p>
        </w:tc>
        <w:tc>
          <w:tcPr>
            <w:tcW w:w="2268" w:type="dxa"/>
            <w:vAlign w:val="center"/>
          </w:tcPr>
          <w:p>
            <w:pPr>
              <w:pStyle w:val="13"/>
            </w:pPr>
            <w:r>
              <w:t>正常开展</w:t>
            </w:r>
          </w:p>
          <w:p>
            <w:pPr>
              <w:pStyle w:val="13"/>
            </w:pP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支出及时性</w:t>
            </w:r>
          </w:p>
        </w:tc>
        <w:tc>
          <w:tcPr>
            <w:tcW w:w="5386" w:type="dxa"/>
            <w:vAlign w:val="center"/>
          </w:tcPr>
          <w:p>
            <w:pPr>
              <w:pStyle w:val="13"/>
            </w:pPr>
            <w:r>
              <w:t>支出及时</w:t>
            </w:r>
          </w:p>
        </w:tc>
        <w:tc>
          <w:tcPr>
            <w:tcW w:w="2268" w:type="dxa"/>
            <w:vAlign w:val="center"/>
          </w:tcPr>
          <w:p>
            <w:pPr>
              <w:pStyle w:val="13"/>
            </w:pPr>
            <w:r>
              <w:t>支出及时</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成本控制不超预算</w:t>
            </w:r>
          </w:p>
        </w:tc>
        <w:tc>
          <w:tcPr>
            <w:tcW w:w="2268" w:type="dxa"/>
            <w:vAlign w:val="center"/>
          </w:tcPr>
          <w:p>
            <w:pPr>
              <w:pStyle w:val="13"/>
            </w:pPr>
            <w:r>
              <w:t>≤600万元</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提高财政资金使用效益</w:t>
            </w:r>
          </w:p>
        </w:tc>
        <w:tc>
          <w:tcPr>
            <w:tcW w:w="5386" w:type="dxa"/>
            <w:vAlign w:val="center"/>
          </w:tcPr>
          <w:p>
            <w:pPr>
              <w:pStyle w:val="13"/>
            </w:pPr>
            <w:r>
              <w:t>提高财政资金使用效益</w:t>
            </w:r>
          </w:p>
        </w:tc>
        <w:tc>
          <w:tcPr>
            <w:tcW w:w="2268" w:type="dxa"/>
            <w:vAlign w:val="center"/>
          </w:tcPr>
          <w:p>
            <w:pPr>
              <w:pStyle w:val="13"/>
            </w:pPr>
            <w:r>
              <w:t>提高财政资金使用效益</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21、财源建设经费绩效目标表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13011126P00000410871X</w:t>
            </w:r>
          </w:p>
        </w:tc>
        <w:tc>
          <w:tcPr>
            <w:tcW w:w="2835" w:type="dxa"/>
            <w:vAlign w:val="center"/>
          </w:tcPr>
          <w:p>
            <w:pPr>
              <w:pStyle w:val="11"/>
            </w:pPr>
            <w:r>
              <w:t>项目名称</w:t>
            </w:r>
          </w:p>
        </w:tc>
        <w:tc>
          <w:tcPr>
            <w:tcW w:w="6095" w:type="dxa"/>
            <w:gridSpan w:val="3"/>
            <w:vAlign w:val="center"/>
          </w:tcPr>
          <w:p>
            <w:pPr>
              <w:pStyle w:val="13"/>
            </w:pPr>
            <w:r>
              <w:t>财源建设经费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29.00</w:t>
            </w:r>
          </w:p>
        </w:tc>
        <w:tc>
          <w:tcPr>
            <w:tcW w:w="2835" w:type="dxa"/>
            <w:vAlign w:val="center"/>
          </w:tcPr>
          <w:p>
            <w:pPr>
              <w:pStyle w:val="11"/>
            </w:pPr>
            <w:r>
              <w:t>其中：财政    资金</w:t>
            </w:r>
          </w:p>
        </w:tc>
        <w:tc>
          <w:tcPr>
            <w:tcW w:w="2551" w:type="dxa"/>
            <w:vAlign w:val="center"/>
          </w:tcPr>
          <w:p>
            <w:pPr>
              <w:pStyle w:val="13"/>
            </w:pPr>
            <w:r>
              <w:t>29.00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由财政出资，聘请第三方中介机构协助税务部门进行土地增值税核查清算。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29.00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1.1.聘请第三方中介机构协助税务部门进行税收核查清算。</w:t>
            </w:r>
          </w:p>
          <w:p>
            <w:pPr>
              <w:pStyle w:val="13"/>
            </w:pPr>
            <w:r>
              <w:t>2.对税负率偏低或审核中发现重大疑点的清算项目开展复核，确保项目清算质量。</w:t>
            </w:r>
          </w:p>
          <w:p>
            <w:pPr>
              <w:pStyle w:val="13"/>
            </w:pPr>
            <w:r>
              <w:t>3.确保税款不流失。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被审计单位数量</w:t>
            </w:r>
          </w:p>
        </w:tc>
        <w:tc>
          <w:tcPr>
            <w:tcW w:w="5386" w:type="dxa"/>
            <w:vAlign w:val="center"/>
          </w:tcPr>
          <w:p>
            <w:pPr>
              <w:pStyle w:val="13"/>
            </w:pPr>
            <w:r>
              <w:t>被审计项目数量</w:t>
            </w:r>
          </w:p>
        </w:tc>
        <w:tc>
          <w:tcPr>
            <w:tcW w:w="2268" w:type="dxa"/>
            <w:vAlign w:val="center"/>
          </w:tcPr>
          <w:p>
            <w:pPr>
              <w:pStyle w:val="13"/>
            </w:pPr>
            <w:r>
              <w:t>≥3个</w:t>
            </w:r>
          </w:p>
        </w:tc>
        <w:tc>
          <w:tcPr>
            <w:tcW w:w="1276" w:type="dxa"/>
            <w:vAlign w:val="center"/>
          </w:tcPr>
          <w:p>
            <w:pPr>
              <w:pStyle w:val="13"/>
            </w:pPr>
            <w:r>
              <w:t>按工作计划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加强税收征管</w:t>
            </w:r>
          </w:p>
        </w:tc>
        <w:tc>
          <w:tcPr>
            <w:tcW w:w="5386" w:type="dxa"/>
            <w:vAlign w:val="center"/>
          </w:tcPr>
          <w:p>
            <w:pPr>
              <w:pStyle w:val="13"/>
            </w:pPr>
            <w:r>
              <w:t>充分利用财政专项资金，高效完成核查清算工作</w:t>
            </w:r>
          </w:p>
        </w:tc>
        <w:tc>
          <w:tcPr>
            <w:tcW w:w="2268" w:type="dxa"/>
            <w:vAlign w:val="center"/>
          </w:tcPr>
          <w:p>
            <w:pPr>
              <w:pStyle w:val="13"/>
            </w:pPr>
            <w:r>
              <w:t>充分利用财政专项资金，高效完成核查清算工作</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支出及时性</w:t>
            </w:r>
          </w:p>
        </w:tc>
        <w:tc>
          <w:tcPr>
            <w:tcW w:w="5386" w:type="dxa"/>
            <w:vAlign w:val="center"/>
          </w:tcPr>
          <w:p>
            <w:pPr>
              <w:pStyle w:val="13"/>
            </w:pPr>
            <w:r>
              <w:t>支出及时</w:t>
            </w:r>
          </w:p>
        </w:tc>
        <w:tc>
          <w:tcPr>
            <w:tcW w:w="2268" w:type="dxa"/>
            <w:vAlign w:val="center"/>
          </w:tcPr>
          <w:p>
            <w:pPr>
              <w:pStyle w:val="13"/>
            </w:pPr>
            <w:r>
              <w:t>支出及时</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成本控制不超预算</w:t>
            </w:r>
          </w:p>
        </w:tc>
        <w:tc>
          <w:tcPr>
            <w:tcW w:w="2268" w:type="dxa"/>
            <w:vAlign w:val="center"/>
          </w:tcPr>
          <w:p>
            <w:pPr>
              <w:pStyle w:val="13"/>
            </w:pPr>
            <w:r>
              <w:t>≤29成本控制不超预算</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保障业务工作有序开展</w:t>
            </w:r>
          </w:p>
        </w:tc>
        <w:tc>
          <w:tcPr>
            <w:tcW w:w="5386" w:type="dxa"/>
            <w:vAlign w:val="center"/>
          </w:tcPr>
          <w:p>
            <w:pPr>
              <w:pStyle w:val="13"/>
            </w:pPr>
            <w:r>
              <w:t>保障业务工作有序开展</w:t>
            </w:r>
          </w:p>
        </w:tc>
        <w:tc>
          <w:tcPr>
            <w:tcW w:w="2268" w:type="dxa"/>
            <w:vAlign w:val="center"/>
          </w:tcPr>
          <w:p>
            <w:pPr>
              <w:pStyle w:val="13"/>
            </w:pPr>
            <w:r>
              <w:t>保障业务工作有序开展</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22、智慧财税大数据分析服务费绩效目标表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13011126P00000410872H</w:t>
            </w:r>
          </w:p>
        </w:tc>
        <w:tc>
          <w:tcPr>
            <w:tcW w:w="2835" w:type="dxa"/>
            <w:vAlign w:val="center"/>
          </w:tcPr>
          <w:p>
            <w:pPr>
              <w:pStyle w:val="11"/>
            </w:pPr>
            <w:r>
              <w:t>项目名称</w:t>
            </w:r>
          </w:p>
        </w:tc>
        <w:tc>
          <w:tcPr>
            <w:tcW w:w="6095" w:type="dxa"/>
            <w:gridSpan w:val="3"/>
            <w:vAlign w:val="center"/>
          </w:tcPr>
          <w:p>
            <w:pPr>
              <w:pStyle w:val="13"/>
            </w:pPr>
            <w:r>
              <w:t>智慧财税大数据分析服务费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98.00</w:t>
            </w:r>
          </w:p>
        </w:tc>
        <w:tc>
          <w:tcPr>
            <w:tcW w:w="2835" w:type="dxa"/>
            <w:vAlign w:val="center"/>
          </w:tcPr>
          <w:p>
            <w:pPr>
              <w:pStyle w:val="11"/>
            </w:pPr>
            <w:r>
              <w:t>其中：财政    资金</w:t>
            </w:r>
          </w:p>
        </w:tc>
        <w:tc>
          <w:tcPr>
            <w:tcW w:w="2551" w:type="dxa"/>
            <w:vAlign w:val="center"/>
          </w:tcPr>
          <w:p>
            <w:pPr>
              <w:pStyle w:val="13"/>
            </w:pPr>
            <w:r>
              <w:t>98.00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运用大数据信息分析技术，建设多维度税收分析等核心业务对政府财政信息进行综合管理。采集各部门的涉税信息，通过分析利用，使其转化为税源管理控的有效信息，进而有针对性地加强税收征管，达到增加财政收入的目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98.00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1.最大限度杜绝税收征管中的跑冒滴漏现象</w:t>
            </w:r>
          </w:p>
          <w:p>
            <w:pPr>
              <w:pStyle w:val="13"/>
            </w:pPr>
            <w:r>
              <w:t>2.实现多维度财税分析，为政府决策提供数据支撑。</w:t>
            </w:r>
          </w:p>
          <w:p>
            <w:pPr>
              <w:pStyle w:val="13"/>
            </w:pPr>
            <w:r>
              <w:t>3.实现各职能部门间涉税数据的信息利用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信息采集部门数量</w:t>
            </w:r>
          </w:p>
        </w:tc>
        <w:tc>
          <w:tcPr>
            <w:tcW w:w="5386" w:type="dxa"/>
            <w:vAlign w:val="center"/>
          </w:tcPr>
          <w:p>
            <w:pPr>
              <w:pStyle w:val="13"/>
            </w:pPr>
            <w:r>
              <w:t>信息采集部门数量</w:t>
            </w:r>
          </w:p>
          <w:p>
            <w:pPr>
              <w:pStyle w:val="13"/>
            </w:pPr>
          </w:p>
        </w:tc>
        <w:tc>
          <w:tcPr>
            <w:tcW w:w="2268" w:type="dxa"/>
            <w:vAlign w:val="center"/>
          </w:tcPr>
          <w:p>
            <w:pPr>
              <w:pStyle w:val="13"/>
            </w:pPr>
            <w:r>
              <w:t>≥7个</w:t>
            </w:r>
          </w:p>
        </w:tc>
        <w:tc>
          <w:tcPr>
            <w:tcW w:w="1276" w:type="dxa"/>
            <w:vAlign w:val="center"/>
          </w:tcPr>
          <w:p>
            <w:pPr>
              <w:pStyle w:val="13"/>
            </w:pPr>
            <w:r>
              <w:t>依据实际工作需要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加强税收征管</w:t>
            </w:r>
          </w:p>
        </w:tc>
        <w:tc>
          <w:tcPr>
            <w:tcW w:w="5386" w:type="dxa"/>
            <w:vAlign w:val="center"/>
          </w:tcPr>
          <w:p>
            <w:pPr>
              <w:pStyle w:val="13"/>
            </w:pPr>
            <w:r>
              <w:t>增加财政收入</w:t>
            </w:r>
          </w:p>
        </w:tc>
        <w:tc>
          <w:tcPr>
            <w:tcW w:w="2268" w:type="dxa"/>
            <w:vAlign w:val="center"/>
          </w:tcPr>
          <w:p>
            <w:pPr>
              <w:pStyle w:val="13"/>
            </w:pPr>
            <w:r>
              <w:t>增加财政收入</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支出及时性</w:t>
            </w:r>
          </w:p>
        </w:tc>
        <w:tc>
          <w:tcPr>
            <w:tcW w:w="5386" w:type="dxa"/>
            <w:vAlign w:val="center"/>
          </w:tcPr>
          <w:p>
            <w:pPr>
              <w:pStyle w:val="13"/>
            </w:pPr>
            <w:r>
              <w:t>支出及时</w:t>
            </w:r>
          </w:p>
        </w:tc>
        <w:tc>
          <w:tcPr>
            <w:tcW w:w="2268" w:type="dxa"/>
            <w:vAlign w:val="center"/>
          </w:tcPr>
          <w:p>
            <w:pPr>
              <w:pStyle w:val="13"/>
            </w:pPr>
            <w:r>
              <w:t>支出及时</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成本控制不超预算</w:t>
            </w:r>
          </w:p>
        </w:tc>
        <w:tc>
          <w:tcPr>
            <w:tcW w:w="2268" w:type="dxa"/>
            <w:vAlign w:val="center"/>
          </w:tcPr>
          <w:p>
            <w:pPr>
              <w:pStyle w:val="13"/>
            </w:pPr>
            <w:r>
              <w:t>≤98万元</w:t>
            </w:r>
          </w:p>
        </w:tc>
        <w:tc>
          <w:tcPr>
            <w:tcW w:w="1276" w:type="dxa"/>
            <w:vAlign w:val="center"/>
          </w:tcPr>
          <w:p>
            <w:pPr>
              <w:pStyle w:val="13"/>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保障业务工作有序开展</w:t>
            </w:r>
          </w:p>
        </w:tc>
        <w:tc>
          <w:tcPr>
            <w:tcW w:w="5386" w:type="dxa"/>
            <w:vAlign w:val="center"/>
          </w:tcPr>
          <w:p>
            <w:pPr>
              <w:pStyle w:val="13"/>
            </w:pPr>
            <w:r>
              <w:t>保障业务工作有序开展</w:t>
            </w:r>
          </w:p>
        </w:tc>
        <w:tc>
          <w:tcPr>
            <w:tcW w:w="2268" w:type="dxa"/>
            <w:vAlign w:val="center"/>
          </w:tcPr>
          <w:p>
            <w:pPr>
              <w:pStyle w:val="13"/>
            </w:pPr>
            <w:r>
              <w:t>工作有序开展</w:t>
            </w:r>
          </w:p>
        </w:tc>
        <w:tc>
          <w:tcPr>
            <w:tcW w:w="1276" w:type="dxa"/>
            <w:vAlign w:val="center"/>
          </w:tcPr>
          <w:p>
            <w:pPr>
              <w:pStyle w:val="13"/>
            </w:pPr>
            <w:r>
              <w:t>依据实际工作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面对面访谈</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318石家庄市栾城区财政局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844.44</w:t>
            </w:r>
          </w:p>
        </w:tc>
        <w:tc>
          <w:tcPr>
            <w:tcW w:w="964" w:type="dxa"/>
            <w:vAlign w:val="center"/>
          </w:tcPr>
          <w:p>
            <w:pPr>
              <w:pStyle w:val="16"/>
            </w:pPr>
            <w:r>
              <w:t>844.44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844.44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石家庄市栾城区财政局本级小计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146.44</w:t>
            </w:r>
          </w:p>
        </w:tc>
        <w:tc>
          <w:tcPr>
            <w:tcW w:w="964" w:type="dxa"/>
            <w:vAlign w:val="center"/>
          </w:tcPr>
          <w:p>
            <w:pPr>
              <w:pStyle w:val="16"/>
            </w:pPr>
            <w:r>
              <w:t>146.44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146.44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54.46</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422</w:t>
            </w:r>
          </w:p>
        </w:tc>
        <w:tc>
          <w:tcPr>
            <w:tcW w:w="850" w:type="dxa"/>
            <w:vAlign w:val="center"/>
          </w:tcPr>
          <w:p>
            <w:pPr>
              <w:pStyle w:val="12"/>
            </w:pPr>
            <w:r>
              <w:t>0.00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54.46</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12</w:t>
            </w:r>
          </w:p>
        </w:tc>
        <w:tc>
          <w:tcPr>
            <w:tcW w:w="850" w:type="dxa"/>
            <w:vAlign w:val="center"/>
          </w:tcPr>
          <w:p>
            <w:pPr>
              <w:pStyle w:val="12"/>
            </w:pPr>
            <w:r>
              <w:t>0.00</w:t>
            </w:r>
          </w:p>
        </w:tc>
        <w:tc>
          <w:tcPr>
            <w:tcW w:w="964" w:type="dxa"/>
            <w:vAlign w:val="center"/>
          </w:tcPr>
          <w:p>
            <w:pPr>
              <w:pStyle w:val="12"/>
            </w:pPr>
            <w:r>
              <w:t>0.06</w:t>
            </w:r>
          </w:p>
        </w:tc>
        <w:tc>
          <w:tcPr>
            <w:tcW w:w="964" w:type="dxa"/>
            <w:vAlign w:val="center"/>
          </w:tcPr>
          <w:p>
            <w:pPr>
              <w:pStyle w:val="12"/>
            </w:pPr>
            <w:r>
              <w:t>0.06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信息网络租赁及运维服务费</w:t>
            </w:r>
          </w:p>
        </w:tc>
        <w:tc>
          <w:tcPr>
            <w:tcW w:w="964" w:type="dxa"/>
            <w:vAlign w:val="center"/>
          </w:tcPr>
          <w:p>
            <w:pPr>
              <w:pStyle w:val="12"/>
            </w:pPr>
            <w:r>
              <w:t>50.30</w:t>
            </w:r>
          </w:p>
        </w:tc>
        <w:tc>
          <w:tcPr>
            <w:tcW w:w="1134" w:type="dxa"/>
            <w:vAlign w:val="center"/>
          </w:tcPr>
          <w:p>
            <w:pPr>
              <w:pStyle w:val="13"/>
            </w:pPr>
            <w:r>
              <w:t>基础电信服务</w:t>
            </w:r>
          </w:p>
        </w:tc>
        <w:tc>
          <w:tcPr>
            <w:tcW w:w="1134" w:type="dxa"/>
            <w:vAlign w:val="center"/>
          </w:tcPr>
          <w:p>
            <w:pPr>
              <w:pStyle w:val="13"/>
            </w:pPr>
            <w:r>
              <w:t>C17010100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36.67</w:t>
            </w:r>
          </w:p>
        </w:tc>
        <w:tc>
          <w:tcPr>
            <w:tcW w:w="964" w:type="dxa"/>
            <w:vAlign w:val="center"/>
          </w:tcPr>
          <w:p>
            <w:pPr>
              <w:pStyle w:val="12"/>
            </w:pPr>
            <w:r>
              <w:t>36.67</w:t>
            </w:r>
          </w:p>
        </w:tc>
        <w:tc>
          <w:tcPr>
            <w:tcW w:w="964" w:type="dxa"/>
            <w:vAlign w:val="center"/>
          </w:tcPr>
          <w:p>
            <w:pPr>
              <w:pStyle w:val="12"/>
            </w:pPr>
            <w:r>
              <w:t>36.67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办公设备购置费</w:t>
            </w:r>
          </w:p>
        </w:tc>
        <w:tc>
          <w:tcPr>
            <w:tcW w:w="964" w:type="dxa"/>
            <w:vAlign w:val="center"/>
          </w:tcPr>
          <w:p>
            <w:pPr>
              <w:pStyle w:val="12"/>
            </w:pPr>
            <w:r>
              <w:t>11.72</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9</w:t>
            </w:r>
          </w:p>
        </w:tc>
        <w:tc>
          <w:tcPr>
            <w:tcW w:w="850" w:type="dxa"/>
            <w:vAlign w:val="center"/>
          </w:tcPr>
          <w:p>
            <w:pPr>
              <w:pStyle w:val="12"/>
            </w:pPr>
            <w:r>
              <w:t>0.50</w:t>
            </w:r>
          </w:p>
        </w:tc>
        <w:tc>
          <w:tcPr>
            <w:tcW w:w="964" w:type="dxa"/>
            <w:vAlign w:val="center"/>
          </w:tcPr>
          <w:p>
            <w:pPr>
              <w:pStyle w:val="12"/>
            </w:pPr>
            <w:r>
              <w:t>4.50</w:t>
            </w:r>
          </w:p>
        </w:tc>
        <w:tc>
          <w:tcPr>
            <w:tcW w:w="964" w:type="dxa"/>
            <w:vAlign w:val="center"/>
          </w:tcPr>
          <w:p>
            <w:pPr>
              <w:pStyle w:val="12"/>
            </w:pPr>
            <w:r>
              <w:t>4.50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办公设备购置费</w:t>
            </w:r>
          </w:p>
        </w:tc>
        <w:tc>
          <w:tcPr>
            <w:tcW w:w="964" w:type="dxa"/>
            <w:vAlign w:val="center"/>
          </w:tcPr>
          <w:p>
            <w:pPr>
              <w:pStyle w:val="12"/>
            </w:pPr>
            <w:r>
              <w:t>11.72</w:t>
            </w:r>
          </w:p>
        </w:tc>
        <w:tc>
          <w:tcPr>
            <w:tcW w:w="1134" w:type="dxa"/>
            <w:vAlign w:val="center"/>
          </w:tcPr>
          <w:p>
            <w:pPr>
              <w:pStyle w:val="13"/>
            </w:pPr>
            <w:r>
              <w:t>便携式计算机</w:t>
            </w:r>
          </w:p>
        </w:tc>
        <w:tc>
          <w:tcPr>
            <w:tcW w:w="1134" w:type="dxa"/>
            <w:vAlign w:val="center"/>
          </w:tcPr>
          <w:p>
            <w:pPr>
              <w:pStyle w:val="13"/>
            </w:pPr>
            <w:r>
              <w:t>A02010108</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0.60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办公设备购置费</w:t>
            </w:r>
          </w:p>
        </w:tc>
        <w:tc>
          <w:tcPr>
            <w:tcW w:w="964" w:type="dxa"/>
            <w:vAlign w:val="center"/>
          </w:tcPr>
          <w:p>
            <w:pPr>
              <w:pStyle w:val="12"/>
            </w:pPr>
            <w:r>
              <w:t>11.72</w:t>
            </w:r>
          </w:p>
        </w:tc>
        <w:tc>
          <w:tcPr>
            <w:tcW w:w="1134" w:type="dxa"/>
            <w:vAlign w:val="center"/>
          </w:tcPr>
          <w:p>
            <w:pPr>
              <w:pStyle w:val="13"/>
            </w:pPr>
            <w:r>
              <w:t>A3 黑白打印机</w:t>
            </w:r>
          </w:p>
        </w:tc>
        <w:tc>
          <w:tcPr>
            <w:tcW w:w="1134" w:type="dxa"/>
            <w:vAlign w:val="center"/>
          </w:tcPr>
          <w:p>
            <w:pPr>
              <w:pStyle w:val="13"/>
            </w:pPr>
            <w:r>
              <w:t>A02021001</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办公设备购置费</w:t>
            </w:r>
          </w:p>
        </w:tc>
        <w:tc>
          <w:tcPr>
            <w:tcW w:w="964" w:type="dxa"/>
            <w:vAlign w:val="center"/>
          </w:tcPr>
          <w:p>
            <w:pPr>
              <w:pStyle w:val="12"/>
            </w:pPr>
            <w:r>
              <w:t>11.72</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7</w:t>
            </w:r>
          </w:p>
        </w:tc>
        <w:tc>
          <w:tcPr>
            <w:tcW w:w="850" w:type="dxa"/>
            <w:vAlign w:val="center"/>
          </w:tcPr>
          <w:p>
            <w:pPr>
              <w:pStyle w:val="12"/>
            </w:pPr>
            <w:r>
              <w:t>0.15</w:t>
            </w:r>
          </w:p>
        </w:tc>
        <w:tc>
          <w:tcPr>
            <w:tcW w:w="964" w:type="dxa"/>
            <w:vAlign w:val="center"/>
          </w:tcPr>
          <w:p>
            <w:pPr>
              <w:pStyle w:val="12"/>
            </w:pPr>
            <w:r>
              <w:t>1.05</w:t>
            </w:r>
          </w:p>
        </w:tc>
        <w:tc>
          <w:tcPr>
            <w:tcW w:w="964" w:type="dxa"/>
            <w:vAlign w:val="center"/>
          </w:tcPr>
          <w:p>
            <w:pPr>
              <w:pStyle w:val="12"/>
            </w:pPr>
            <w:r>
              <w:t>1.05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办公设备购置费</w:t>
            </w:r>
          </w:p>
        </w:tc>
        <w:tc>
          <w:tcPr>
            <w:tcW w:w="964" w:type="dxa"/>
            <w:vAlign w:val="center"/>
          </w:tcPr>
          <w:p>
            <w:pPr>
              <w:pStyle w:val="12"/>
            </w:pPr>
            <w:r>
              <w:t>11.72</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办公设备购置费</w:t>
            </w:r>
          </w:p>
        </w:tc>
        <w:tc>
          <w:tcPr>
            <w:tcW w:w="964" w:type="dxa"/>
            <w:vAlign w:val="center"/>
          </w:tcPr>
          <w:p>
            <w:pPr>
              <w:pStyle w:val="12"/>
            </w:pPr>
            <w:r>
              <w:t>11.72</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张</w:t>
            </w:r>
          </w:p>
        </w:tc>
        <w:tc>
          <w:tcPr>
            <w:tcW w:w="850" w:type="dxa"/>
            <w:vAlign w:val="center"/>
          </w:tcPr>
          <w:p>
            <w:pPr>
              <w:pStyle w:val="12"/>
            </w:pPr>
            <w:r>
              <w:t>7</w:t>
            </w:r>
          </w:p>
        </w:tc>
        <w:tc>
          <w:tcPr>
            <w:tcW w:w="850" w:type="dxa"/>
            <w:vAlign w:val="center"/>
          </w:tcPr>
          <w:p>
            <w:pPr>
              <w:pStyle w:val="12"/>
            </w:pPr>
            <w:r>
              <w:t>0.15</w:t>
            </w:r>
          </w:p>
        </w:tc>
        <w:tc>
          <w:tcPr>
            <w:tcW w:w="964" w:type="dxa"/>
            <w:vAlign w:val="center"/>
          </w:tcPr>
          <w:p>
            <w:pPr>
              <w:pStyle w:val="12"/>
            </w:pPr>
            <w:r>
              <w:t>1.05</w:t>
            </w:r>
          </w:p>
        </w:tc>
        <w:tc>
          <w:tcPr>
            <w:tcW w:w="964" w:type="dxa"/>
            <w:vAlign w:val="center"/>
          </w:tcPr>
          <w:p>
            <w:pPr>
              <w:pStyle w:val="12"/>
            </w:pPr>
            <w:r>
              <w:t>1.05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办公设备购置费</w:t>
            </w:r>
          </w:p>
        </w:tc>
        <w:tc>
          <w:tcPr>
            <w:tcW w:w="964" w:type="dxa"/>
            <w:vAlign w:val="center"/>
          </w:tcPr>
          <w:p>
            <w:pPr>
              <w:pStyle w:val="12"/>
            </w:pPr>
            <w:r>
              <w:t>11.72</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张</w:t>
            </w:r>
          </w:p>
        </w:tc>
        <w:tc>
          <w:tcPr>
            <w:tcW w:w="850" w:type="dxa"/>
            <w:vAlign w:val="center"/>
          </w:tcPr>
          <w:p>
            <w:pPr>
              <w:pStyle w:val="12"/>
            </w:pPr>
            <w:r>
              <w:t>7</w:t>
            </w:r>
          </w:p>
        </w:tc>
        <w:tc>
          <w:tcPr>
            <w:tcW w:w="850" w:type="dxa"/>
            <w:vAlign w:val="center"/>
          </w:tcPr>
          <w:p>
            <w:pPr>
              <w:pStyle w:val="12"/>
            </w:pPr>
            <w:r>
              <w:t>0.03</w:t>
            </w:r>
          </w:p>
        </w:tc>
        <w:tc>
          <w:tcPr>
            <w:tcW w:w="964" w:type="dxa"/>
            <w:vAlign w:val="center"/>
          </w:tcPr>
          <w:p>
            <w:pPr>
              <w:pStyle w:val="12"/>
            </w:pPr>
            <w:r>
              <w:t>0.21</w:t>
            </w:r>
          </w:p>
        </w:tc>
        <w:tc>
          <w:tcPr>
            <w:tcW w:w="964" w:type="dxa"/>
            <w:vAlign w:val="center"/>
          </w:tcPr>
          <w:p>
            <w:pPr>
              <w:pStyle w:val="12"/>
            </w:pPr>
            <w:r>
              <w:t>0.21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办公设备购置费</w:t>
            </w:r>
          </w:p>
        </w:tc>
        <w:tc>
          <w:tcPr>
            <w:tcW w:w="964" w:type="dxa"/>
            <w:vAlign w:val="center"/>
          </w:tcPr>
          <w:p>
            <w:pPr>
              <w:pStyle w:val="12"/>
            </w:pPr>
            <w:r>
              <w:t>11.72</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个</w:t>
            </w:r>
          </w:p>
        </w:tc>
        <w:tc>
          <w:tcPr>
            <w:tcW w:w="850" w:type="dxa"/>
            <w:vAlign w:val="center"/>
          </w:tcPr>
          <w:p>
            <w:pPr>
              <w:pStyle w:val="12"/>
            </w:pPr>
            <w:r>
              <w:t>7</w:t>
            </w:r>
          </w:p>
        </w:tc>
        <w:tc>
          <w:tcPr>
            <w:tcW w:w="850" w:type="dxa"/>
            <w:vAlign w:val="center"/>
          </w:tcPr>
          <w:p>
            <w:pPr>
              <w:pStyle w:val="12"/>
            </w:pPr>
            <w:r>
              <w:t>0.08</w:t>
            </w:r>
          </w:p>
        </w:tc>
        <w:tc>
          <w:tcPr>
            <w:tcW w:w="964" w:type="dxa"/>
            <w:vAlign w:val="center"/>
          </w:tcPr>
          <w:p>
            <w:pPr>
              <w:pStyle w:val="12"/>
            </w:pPr>
            <w:r>
              <w:t>0.56</w:t>
            </w:r>
          </w:p>
        </w:tc>
        <w:tc>
          <w:tcPr>
            <w:tcW w:w="964" w:type="dxa"/>
            <w:vAlign w:val="center"/>
          </w:tcPr>
          <w:p>
            <w:pPr>
              <w:pStyle w:val="12"/>
            </w:pPr>
            <w:r>
              <w:t>0.56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资产评估服务费</w:t>
            </w:r>
          </w:p>
        </w:tc>
        <w:tc>
          <w:tcPr>
            <w:tcW w:w="964" w:type="dxa"/>
            <w:vAlign w:val="center"/>
          </w:tcPr>
          <w:p>
            <w:pPr>
              <w:pStyle w:val="12"/>
            </w:pPr>
            <w:r>
              <w:t>100.00</w:t>
            </w:r>
          </w:p>
        </w:tc>
        <w:tc>
          <w:tcPr>
            <w:tcW w:w="1134" w:type="dxa"/>
            <w:vAlign w:val="center"/>
          </w:tcPr>
          <w:p>
            <w:pPr>
              <w:pStyle w:val="13"/>
            </w:pPr>
            <w:r>
              <w:t>资产评估服务</w:t>
            </w:r>
          </w:p>
        </w:tc>
        <w:tc>
          <w:tcPr>
            <w:tcW w:w="1134" w:type="dxa"/>
            <w:vAlign w:val="center"/>
          </w:tcPr>
          <w:p>
            <w:pPr>
              <w:pStyle w:val="13"/>
            </w:pPr>
            <w:r>
              <w:t>C20020700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100.00</w:t>
            </w:r>
          </w:p>
        </w:tc>
        <w:tc>
          <w:tcPr>
            <w:tcW w:w="964" w:type="dxa"/>
            <w:vAlign w:val="center"/>
          </w:tcPr>
          <w:p>
            <w:pPr>
              <w:pStyle w:val="12"/>
            </w:pPr>
            <w:r>
              <w:t>100.00</w:t>
            </w:r>
          </w:p>
        </w:tc>
        <w:tc>
          <w:tcPr>
            <w:tcW w:w="964" w:type="dxa"/>
            <w:vAlign w:val="center"/>
          </w:tcPr>
          <w:p>
            <w:pPr>
              <w:pStyle w:val="12"/>
            </w:pPr>
            <w:r>
              <w:t>100.00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石家庄市栾城区政府投资评审中心小计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600.00</w:t>
            </w:r>
          </w:p>
        </w:tc>
        <w:tc>
          <w:tcPr>
            <w:tcW w:w="964" w:type="dxa"/>
            <w:vAlign w:val="center"/>
          </w:tcPr>
          <w:p>
            <w:pPr>
              <w:pStyle w:val="16"/>
            </w:pPr>
            <w:r>
              <w:t>600.00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项目评审费</w:t>
            </w:r>
          </w:p>
        </w:tc>
        <w:tc>
          <w:tcPr>
            <w:tcW w:w="964" w:type="dxa"/>
            <w:vAlign w:val="center"/>
          </w:tcPr>
          <w:p>
            <w:pPr>
              <w:pStyle w:val="12"/>
            </w:pPr>
            <w:r>
              <w:t>600.00</w:t>
            </w:r>
          </w:p>
        </w:tc>
        <w:tc>
          <w:tcPr>
            <w:tcW w:w="1134" w:type="dxa"/>
            <w:vAlign w:val="center"/>
          </w:tcPr>
          <w:p>
            <w:pPr>
              <w:pStyle w:val="13"/>
            </w:pPr>
            <w:r>
              <w:t>工程造价鉴定服务</w:t>
            </w:r>
          </w:p>
        </w:tc>
        <w:tc>
          <w:tcPr>
            <w:tcW w:w="1134" w:type="dxa"/>
            <w:vAlign w:val="center"/>
          </w:tcPr>
          <w:p>
            <w:pPr>
              <w:pStyle w:val="13"/>
            </w:pPr>
            <w:r>
              <w:t>C20020500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548.00</w:t>
            </w:r>
          </w:p>
        </w:tc>
        <w:tc>
          <w:tcPr>
            <w:tcW w:w="964" w:type="dxa"/>
            <w:vAlign w:val="center"/>
          </w:tcPr>
          <w:p>
            <w:pPr>
              <w:pStyle w:val="12"/>
            </w:pPr>
            <w:r>
              <w:t>548.00</w:t>
            </w:r>
          </w:p>
        </w:tc>
        <w:tc>
          <w:tcPr>
            <w:tcW w:w="964" w:type="dxa"/>
            <w:vAlign w:val="center"/>
          </w:tcPr>
          <w:p>
            <w:pPr>
              <w:pStyle w:val="12"/>
            </w:pPr>
            <w:r>
              <w:t>548.00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项目评审费</w:t>
            </w:r>
          </w:p>
        </w:tc>
        <w:tc>
          <w:tcPr>
            <w:tcW w:w="964" w:type="dxa"/>
            <w:vAlign w:val="center"/>
          </w:tcPr>
          <w:p>
            <w:pPr>
              <w:pStyle w:val="12"/>
            </w:pPr>
            <w:r>
              <w:t>600.00</w:t>
            </w:r>
          </w:p>
        </w:tc>
        <w:tc>
          <w:tcPr>
            <w:tcW w:w="1134" w:type="dxa"/>
            <w:vAlign w:val="center"/>
          </w:tcPr>
          <w:p>
            <w:pPr>
              <w:pStyle w:val="13"/>
            </w:pPr>
            <w:r>
              <w:t>资产评估服务</w:t>
            </w:r>
          </w:p>
        </w:tc>
        <w:tc>
          <w:tcPr>
            <w:tcW w:w="1134" w:type="dxa"/>
            <w:vAlign w:val="center"/>
          </w:tcPr>
          <w:p>
            <w:pPr>
              <w:pStyle w:val="13"/>
            </w:pPr>
            <w:r>
              <w:t>C20020700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52.00</w:t>
            </w:r>
          </w:p>
        </w:tc>
        <w:tc>
          <w:tcPr>
            <w:tcW w:w="964" w:type="dxa"/>
            <w:vAlign w:val="center"/>
          </w:tcPr>
          <w:p>
            <w:pPr>
              <w:pStyle w:val="12"/>
            </w:pPr>
            <w:r>
              <w:t>52.00</w:t>
            </w:r>
          </w:p>
        </w:tc>
        <w:tc>
          <w:tcPr>
            <w:tcW w:w="964" w:type="dxa"/>
            <w:vAlign w:val="center"/>
          </w:tcPr>
          <w:p>
            <w:pPr>
              <w:pStyle w:val="12"/>
            </w:pPr>
            <w:r>
              <w:t>52.00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石家庄市栾城区财源建设中心小计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98.00</w:t>
            </w:r>
          </w:p>
        </w:tc>
        <w:tc>
          <w:tcPr>
            <w:tcW w:w="964" w:type="dxa"/>
            <w:vAlign w:val="center"/>
          </w:tcPr>
          <w:p>
            <w:pPr>
              <w:pStyle w:val="16"/>
            </w:pPr>
            <w:r>
              <w:t>98.00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智慧财税大数据分析服务费</w:t>
            </w:r>
          </w:p>
        </w:tc>
        <w:tc>
          <w:tcPr>
            <w:tcW w:w="964" w:type="dxa"/>
            <w:vAlign w:val="center"/>
          </w:tcPr>
          <w:p>
            <w:pPr>
              <w:pStyle w:val="12"/>
            </w:pPr>
            <w:r>
              <w:t>98.00</w:t>
            </w:r>
          </w:p>
        </w:tc>
        <w:tc>
          <w:tcPr>
            <w:tcW w:w="1134" w:type="dxa"/>
            <w:vAlign w:val="center"/>
          </w:tcPr>
          <w:p>
            <w:pPr>
              <w:pStyle w:val="13"/>
            </w:pPr>
            <w:r>
              <w:t>其他数据处理服务</w:t>
            </w:r>
          </w:p>
        </w:tc>
        <w:tc>
          <w:tcPr>
            <w:tcW w:w="1134" w:type="dxa"/>
            <w:vAlign w:val="center"/>
          </w:tcPr>
          <w:p>
            <w:pPr>
              <w:pStyle w:val="13"/>
            </w:pPr>
            <w:r>
              <w:t>C16039900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98.00</w:t>
            </w:r>
          </w:p>
        </w:tc>
        <w:tc>
          <w:tcPr>
            <w:tcW w:w="964" w:type="dxa"/>
            <w:vAlign w:val="center"/>
          </w:tcPr>
          <w:p>
            <w:pPr>
              <w:pStyle w:val="12"/>
            </w:pPr>
            <w:r>
              <w:t>98.00</w:t>
            </w:r>
          </w:p>
        </w:tc>
        <w:tc>
          <w:tcPr>
            <w:tcW w:w="964" w:type="dxa"/>
            <w:vAlign w:val="center"/>
          </w:tcPr>
          <w:p>
            <w:pPr>
              <w:pStyle w:val="12"/>
            </w:pPr>
            <w:r>
              <w:t>98.00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98.00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石家庄市栾城区财政局（含所属单位）上年末固定资产金额为767.23万元（详见下表）。本年度拟购置固定资产总额为11.72万元，已按要求列入政府采购预算，详见政府采购预算表。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318石家庄市栾城区财政局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767.23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3725</w:t>
            </w:r>
          </w:p>
        </w:tc>
        <w:tc>
          <w:tcPr>
            <w:tcW w:w="2835" w:type="dxa"/>
            <w:vAlign w:val="center"/>
          </w:tcPr>
          <w:p>
            <w:pPr>
              <w:pStyle w:val="12"/>
            </w:pPr>
            <w:r>
              <w:t>247.37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2875</w:t>
            </w:r>
          </w:p>
        </w:tc>
        <w:tc>
          <w:tcPr>
            <w:tcW w:w="2835" w:type="dxa"/>
            <w:vAlign w:val="center"/>
          </w:tcPr>
          <w:p>
            <w:pPr>
              <w:pStyle w:val="12"/>
            </w:pPr>
            <w:r>
              <w:t>177.50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889</w:t>
            </w:r>
          </w:p>
        </w:tc>
        <w:tc>
          <w:tcPr>
            <w:tcW w:w="2835" w:type="dxa"/>
            <w:vAlign w:val="center"/>
          </w:tcPr>
          <w:p>
            <w:pPr>
              <w:pStyle w:val="12"/>
            </w:pPr>
            <w:r>
              <w:t>507.86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7557952"/>
    <w:rsid w:val="21304010"/>
    <w:rsid w:val="32705653"/>
    <w:rsid w:val="3D366CC6"/>
    <w:rsid w:val="510562E6"/>
    <w:rsid w:val="6DBB403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52</Pages>
  <TotalTime>3</TotalTime>
  <ScaleCrop>false</ScaleCrop>
  <LinksUpToDate>false</LinksUpToDate>
  <Application>WPS Office_10.1.0.7698_F1E327BC-269C-435d-A152-05C5408002CA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2026-03-09T10:28:00Z</dcterms:created>
  <dc:creator>Administrator</dc:creator>
  <cp:lastModifiedBy>Lenovo</cp:lastModifiedBy>
  <dcterms:modified xsi:type="dcterms:W3CDTF">2026-02-19T12:51:32Z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ies>
</file>