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51</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4019.96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2629.81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3855.23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2629.81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6649.77</w:t>
            </w:r>
          </w:p>
        </w:tc>
        <w:tc>
          <w:tcPr>
            <w:tcW w:w="4535" w:type="dxa"/>
            <w:vAlign w:val="center"/>
          </w:tcPr>
          <w:p>
            <w:pPr>
              <w:pStyle w:val="14"/>
            </w:pPr>
            <w:r>
              <w:t>本年支出合计</w:t>
            </w:r>
          </w:p>
        </w:tc>
        <w:tc>
          <w:tcPr>
            <w:tcW w:w="2126" w:type="dxa"/>
            <w:vAlign w:val="center"/>
          </w:tcPr>
          <w:p>
            <w:pPr>
              <w:pStyle w:val="15"/>
            </w:pPr>
            <w:r>
              <w:t>6666.77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17.00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6666.77</w:t>
            </w:r>
          </w:p>
        </w:tc>
        <w:tc>
          <w:tcPr>
            <w:tcW w:w="4535" w:type="dxa"/>
            <w:vAlign w:val="center"/>
          </w:tcPr>
          <w:p>
            <w:pPr>
              <w:pStyle w:val="14"/>
            </w:pPr>
            <w:r>
              <w:t>支出总计</w:t>
            </w:r>
          </w:p>
        </w:tc>
        <w:tc>
          <w:tcPr>
            <w:tcW w:w="2126" w:type="dxa"/>
            <w:vAlign w:val="center"/>
          </w:tcPr>
          <w:p>
            <w:pPr>
              <w:pStyle w:val="15"/>
            </w:pPr>
            <w:r>
              <w:t>6666.77</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6666.77</w:t>
            </w:r>
          </w:p>
        </w:tc>
        <w:tc>
          <w:tcPr>
            <w:tcW w:w="1134" w:type="dxa"/>
            <w:vAlign w:val="center"/>
          </w:tcPr>
          <w:p>
            <w:pPr>
              <w:pStyle w:val="15"/>
            </w:pPr>
            <w:r>
              <w:t>6649.77</w:t>
            </w:r>
          </w:p>
        </w:tc>
        <w:tc>
          <w:tcPr>
            <w:tcW w:w="1134" w:type="dxa"/>
            <w:vAlign w:val="center"/>
          </w:tcPr>
          <w:p>
            <w:pPr>
              <w:pStyle w:val="15"/>
            </w:pPr>
            <w:r>
              <w:t>6649.77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120.60</w:t>
            </w:r>
          </w:p>
        </w:tc>
        <w:tc>
          <w:tcPr>
            <w:tcW w:w="1134" w:type="dxa"/>
            <w:vAlign w:val="center"/>
          </w:tcPr>
          <w:p>
            <w:pPr>
              <w:pStyle w:val="11"/>
            </w:pPr>
            <w:r>
              <w:t>120.60</w:t>
            </w:r>
          </w:p>
        </w:tc>
        <w:tc>
          <w:tcPr>
            <w:tcW w:w="1134" w:type="dxa"/>
            <w:vAlign w:val="center"/>
          </w:tcPr>
          <w:p>
            <w:pPr>
              <w:pStyle w:val="11"/>
            </w:pPr>
            <w:r>
              <w:t>120.60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114.43</w:t>
            </w:r>
          </w:p>
        </w:tc>
        <w:tc>
          <w:tcPr>
            <w:tcW w:w="1134" w:type="dxa"/>
            <w:vAlign w:val="center"/>
          </w:tcPr>
          <w:p>
            <w:pPr>
              <w:pStyle w:val="11"/>
            </w:pPr>
            <w:r>
              <w:t>114.43</w:t>
            </w:r>
          </w:p>
        </w:tc>
        <w:tc>
          <w:tcPr>
            <w:tcW w:w="1134" w:type="dxa"/>
            <w:vAlign w:val="center"/>
          </w:tcPr>
          <w:p>
            <w:pPr>
              <w:pStyle w:val="11"/>
            </w:pPr>
            <w:r>
              <w:t>114.43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114.43</w:t>
            </w:r>
          </w:p>
        </w:tc>
        <w:tc>
          <w:tcPr>
            <w:tcW w:w="1134" w:type="dxa"/>
            <w:vAlign w:val="center"/>
          </w:tcPr>
          <w:p>
            <w:pPr>
              <w:pStyle w:val="11"/>
            </w:pPr>
            <w:r>
              <w:t>114.43</w:t>
            </w:r>
          </w:p>
        </w:tc>
        <w:tc>
          <w:tcPr>
            <w:tcW w:w="1134" w:type="dxa"/>
            <w:vAlign w:val="center"/>
          </w:tcPr>
          <w:p>
            <w:pPr>
              <w:pStyle w:val="11"/>
            </w:pPr>
            <w:r>
              <w:t>114.43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6.17</w:t>
            </w:r>
          </w:p>
        </w:tc>
        <w:tc>
          <w:tcPr>
            <w:tcW w:w="1134" w:type="dxa"/>
            <w:vAlign w:val="center"/>
          </w:tcPr>
          <w:p>
            <w:pPr>
              <w:pStyle w:val="11"/>
            </w:pPr>
            <w:r>
              <w:t>6.17</w:t>
            </w:r>
          </w:p>
        </w:tc>
        <w:tc>
          <w:tcPr>
            <w:tcW w:w="1134" w:type="dxa"/>
            <w:vAlign w:val="center"/>
          </w:tcPr>
          <w:p>
            <w:pPr>
              <w:pStyle w:val="11"/>
            </w:pPr>
            <w:r>
              <w:t>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61.13</w:t>
            </w:r>
          </w:p>
        </w:tc>
        <w:tc>
          <w:tcPr>
            <w:tcW w:w="1134" w:type="dxa"/>
            <w:vAlign w:val="center"/>
          </w:tcPr>
          <w:p>
            <w:pPr>
              <w:pStyle w:val="11"/>
            </w:pPr>
            <w:r>
              <w:t>61.13</w:t>
            </w:r>
          </w:p>
        </w:tc>
        <w:tc>
          <w:tcPr>
            <w:tcW w:w="1134" w:type="dxa"/>
            <w:vAlign w:val="center"/>
          </w:tcPr>
          <w:p>
            <w:pPr>
              <w:pStyle w:val="11"/>
            </w:pPr>
            <w:r>
              <w:t>61.13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61.13</w:t>
            </w:r>
          </w:p>
        </w:tc>
        <w:tc>
          <w:tcPr>
            <w:tcW w:w="1134" w:type="dxa"/>
            <w:vAlign w:val="center"/>
          </w:tcPr>
          <w:p>
            <w:pPr>
              <w:pStyle w:val="11"/>
            </w:pPr>
            <w:r>
              <w:t>61.13</w:t>
            </w:r>
          </w:p>
        </w:tc>
        <w:tc>
          <w:tcPr>
            <w:tcW w:w="1134" w:type="dxa"/>
            <w:vAlign w:val="center"/>
          </w:tcPr>
          <w:p>
            <w:pPr>
              <w:pStyle w:val="11"/>
            </w:pPr>
            <w:r>
              <w:t>61.13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3.44</w:t>
            </w:r>
          </w:p>
        </w:tc>
        <w:tc>
          <w:tcPr>
            <w:tcW w:w="1134" w:type="dxa"/>
            <w:vAlign w:val="center"/>
          </w:tcPr>
          <w:p>
            <w:pPr>
              <w:pStyle w:val="11"/>
            </w:pPr>
            <w:r>
              <w:t>3.44</w:t>
            </w:r>
          </w:p>
        </w:tc>
        <w:tc>
          <w:tcPr>
            <w:tcW w:w="1134" w:type="dxa"/>
            <w:vAlign w:val="center"/>
          </w:tcPr>
          <w:p>
            <w:pPr>
              <w:pStyle w:val="11"/>
            </w:pPr>
            <w:r>
              <w:t>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57.69</w:t>
            </w:r>
          </w:p>
        </w:tc>
        <w:tc>
          <w:tcPr>
            <w:tcW w:w="1134" w:type="dxa"/>
            <w:vAlign w:val="center"/>
          </w:tcPr>
          <w:p>
            <w:pPr>
              <w:pStyle w:val="11"/>
            </w:pPr>
            <w:r>
              <w:t>57.69</w:t>
            </w:r>
          </w:p>
        </w:tc>
        <w:tc>
          <w:tcPr>
            <w:tcW w:w="1134" w:type="dxa"/>
            <w:vAlign w:val="center"/>
          </w:tcPr>
          <w:p>
            <w:pPr>
              <w:pStyle w:val="11"/>
            </w:pPr>
            <w:r>
              <w:t>57.69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3855.23</w:t>
            </w:r>
          </w:p>
        </w:tc>
        <w:tc>
          <w:tcPr>
            <w:tcW w:w="1134" w:type="dxa"/>
            <w:vAlign w:val="center"/>
          </w:tcPr>
          <w:p>
            <w:pPr>
              <w:pStyle w:val="11"/>
            </w:pPr>
            <w:r>
              <w:t>3838.23</w:t>
            </w:r>
          </w:p>
        </w:tc>
        <w:tc>
          <w:tcPr>
            <w:tcW w:w="1134" w:type="dxa"/>
            <w:vAlign w:val="center"/>
          </w:tcPr>
          <w:p>
            <w:pPr>
              <w:pStyle w:val="11"/>
            </w:pPr>
            <w:r>
              <w:t>3838.23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3573.29</w:t>
            </w:r>
          </w:p>
        </w:tc>
        <w:tc>
          <w:tcPr>
            <w:tcW w:w="1134" w:type="dxa"/>
            <w:vAlign w:val="center"/>
          </w:tcPr>
          <w:p>
            <w:pPr>
              <w:pStyle w:val="11"/>
            </w:pPr>
            <w:r>
              <w:t>3573.29</w:t>
            </w:r>
          </w:p>
        </w:tc>
        <w:tc>
          <w:tcPr>
            <w:tcW w:w="1134" w:type="dxa"/>
            <w:vAlign w:val="center"/>
          </w:tcPr>
          <w:p>
            <w:pPr>
              <w:pStyle w:val="11"/>
            </w:pPr>
            <w:r>
              <w:t>3573.29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74.24</w:t>
            </w:r>
          </w:p>
        </w:tc>
        <w:tc>
          <w:tcPr>
            <w:tcW w:w="1134" w:type="dxa"/>
            <w:vAlign w:val="center"/>
          </w:tcPr>
          <w:p>
            <w:pPr>
              <w:pStyle w:val="11"/>
            </w:pPr>
            <w:r>
              <w:t>74.24</w:t>
            </w:r>
          </w:p>
        </w:tc>
        <w:tc>
          <w:tcPr>
            <w:tcW w:w="1134" w:type="dxa"/>
            <w:vAlign w:val="center"/>
          </w:tcPr>
          <w:p>
            <w:pPr>
              <w:pStyle w:val="11"/>
            </w:pPr>
            <w:r>
              <w:t>74.24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3499.06</w:t>
            </w:r>
          </w:p>
        </w:tc>
        <w:tc>
          <w:tcPr>
            <w:tcW w:w="1134" w:type="dxa"/>
            <w:vAlign w:val="center"/>
          </w:tcPr>
          <w:p>
            <w:pPr>
              <w:pStyle w:val="11"/>
            </w:pPr>
            <w:r>
              <w:t>3499.06</w:t>
            </w:r>
          </w:p>
        </w:tc>
        <w:tc>
          <w:tcPr>
            <w:tcW w:w="1134" w:type="dxa"/>
            <w:vAlign w:val="center"/>
          </w:tcPr>
          <w:p>
            <w:pPr>
              <w:pStyle w:val="11"/>
            </w:pPr>
            <w:r>
              <w:t>3499.06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254.94</w:t>
            </w:r>
          </w:p>
        </w:tc>
        <w:tc>
          <w:tcPr>
            <w:tcW w:w="1134" w:type="dxa"/>
            <w:vAlign w:val="center"/>
          </w:tcPr>
          <w:p>
            <w:pPr>
              <w:pStyle w:val="11"/>
            </w:pPr>
            <w:r>
              <w:t>254.94</w:t>
            </w:r>
          </w:p>
        </w:tc>
        <w:tc>
          <w:tcPr>
            <w:tcW w:w="1134" w:type="dxa"/>
            <w:vAlign w:val="center"/>
          </w:tcPr>
          <w:p>
            <w:pPr>
              <w:pStyle w:val="11"/>
            </w:pPr>
            <w:r>
              <w:t>254.94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254.94</w:t>
            </w:r>
          </w:p>
        </w:tc>
        <w:tc>
          <w:tcPr>
            <w:tcW w:w="1134" w:type="dxa"/>
            <w:vAlign w:val="center"/>
          </w:tcPr>
          <w:p>
            <w:pPr>
              <w:pStyle w:val="11"/>
            </w:pPr>
            <w:r>
              <w:t>254.94</w:t>
            </w:r>
          </w:p>
        </w:tc>
        <w:tc>
          <w:tcPr>
            <w:tcW w:w="1134" w:type="dxa"/>
            <w:vAlign w:val="center"/>
          </w:tcPr>
          <w:p>
            <w:pPr>
              <w:pStyle w:val="11"/>
            </w:pPr>
            <w:r>
              <w:t>254.94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2629.81</w:t>
            </w:r>
          </w:p>
        </w:tc>
        <w:tc>
          <w:tcPr>
            <w:tcW w:w="1134" w:type="dxa"/>
            <w:vAlign w:val="center"/>
          </w:tcPr>
          <w:p>
            <w:pPr>
              <w:pStyle w:val="11"/>
            </w:pPr>
            <w:r>
              <w:t>2629.81</w:t>
            </w:r>
          </w:p>
        </w:tc>
        <w:tc>
          <w:tcPr>
            <w:tcW w:w="1134" w:type="dxa"/>
            <w:vAlign w:val="center"/>
          </w:tcPr>
          <w:p>
            <w:pPr>
              <w:pStyle w:val="11"/>
            </w:pPr>
            <w:r>
              <w:t>2629.81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2629.81</w:t>
            </w:r>
          </w:p>
        </w:tc>
        <w:tc>
          <w:tcPr>
            <w:tcW w:w="1134" w:type="dxa"/>
            <w:vAlign w:val="center"/>
          </w:tcPr>
          <w:p>
            <w:pPr>
              <w:pStyle w:val="11"/>
            </w:pPr>
            <w:r>
              <w:t>2629.81</w:t>
            </w:r>
          </w:p>
        </w:tc>
        <w:tc>
          <w:tcPr>
            <w:tcW w:w="1134" w:type="dxa"/>
            <w:vAlign w:val="center"/>
          </w:tcPr>
          <w:p>
            <w:pPr>
              <w:pStyle w:val="11"/>
            </w:pPr>
            <w:r>
              <w:t>2629.81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2629.81</w:t>
            </w:r>
          </w:p>
        </w:tc>
        <w:tc>
          <w:tcPr>
            <w:tcW w:w="1134" w:type="dxa"/>
            <w:vAlign w:val="center"/>
          </w:tcPr>
          <w:p>
            <w:pPr>
              <w:pStyle w:val="11"/>
            </w:pPr>
            <w:r>
              <w:t>2629.81</w:t>
            </w:r>
          </w:p>
        </w:tc>
        <w:tc>
          <w:tcPr>
            <w:tcW w:w="1134" w:type="dxa"/>
            <w:vAlign w:val="center"/>
          </w:tcPr>
          <w:p>
            <w:pPr>
              <w:pStyle w:val="11"/>
            </w:pPr>
            <w:r>
              <w:t>2629.81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6666.77</w:t>
            </w:r>
          </w:p>
        </w:tc>
        <w:tc>
          <w:tcPr>
            <w:tcW w:w="1361" w:type="dxa"/>
            <w:vAlign w:val="center"/>
          </w:tcPr>
          <w:p>
            <w:pPr>
              <w:pStyle w:val="15"/>
            </w:pPr>
            <w:r>
              <w:t>1362.90</w:t>
            </w:r>
          </w:p>
        </w:tc>
        <w:tc>
          <w:tcPr>
            <w:tcW w:w="1361" w:type="dxa"/>
            <w:vAlign w:val="center"/>
          </w:tcPr>
          <w:p>
            <w:pPr>
              <w:pStyle w:val="15"/>
            </w:pPr>
            <w:r>
              <w:t>5303.87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120.60</w:t>
            </w:r>
          </w:p>
        </w:tc>
        <w:tc>
          <w:tcPr>
            <w:tcW w:w="1361" w:type="dxa"/>
            <w:vAlign w:val="center"/>
          </w:tcPr>
          <w:p>
            <w:pPr>
              <w:pStyle w:val="11"/>
            </w:pPr>
            <w:r>
              <w:t>120.60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114.43</w:t>
            </w:r>
          </w:p>
        </w:tc>
        <w:tc>
          <w:tcPr>
            <w:tcW w:w="1361" w:type="dxa"/>
            <w:vAlign w:val="center"/>
          </w:tcPr>
          <w:p>
            <w:pPr>
              <w:pStyle w:val="11"/>
            </w:pPr>
            <w:r>
              <w:t>114.43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114.43</w:t>
            </w:r>
          </w:p>
        </w:tc>
        <w:tc>
          <w:tcPr>
            <w:tcW w:w="1361" w:type="dxa"/>
            <w:vAlign w:val="center"/>
          </w:tcPr>
          <w:p>
            <w:pPr>
              <w:pStyle w:val="11"/>
            </w:pPr>
            <w:r>
              <w:t>114.43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6.17</w:t>
            </w:r>
          </w:p>
        </w:tc>
        <w:tc>
          <w:tcPr>
            <w:tcW w:w="1361" w:type="dxa"/>
            <w:vAlign w:val="center"/>
          </w:tcPr>
          <w:p>
            <w:pPr>
              <w:pStyle w:val="11"/>
            </w:pPr>
            <w:r>
              <w:t>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2.66</w:t>
            </w:r>
          </w:p>
        </w:tc>
        <w:tc>
          <w:tcPr>
            <w:tcW w:w="1361" w:type="dxa"/>
            <w:vAlign w:val="center"/>
          </w:tcPr>
          <w:p>
            <w:pPr>
              <w:pStyle w:val="11"/>
            </w:pPr>
            <w:r>
              <w:t>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61.13</w:t>
            </w:r>
          </w:p>
        </w:tc>
        <w:tc>
          <w:tcPr>
            <w:tcW w:w="1361" w:type="dxa"/>
            <w:vAlign w:val="center"/>
          </w:tcPr>
          <w:p>
            <w:pPr>
              <w:pStyle w:val="11"/>
            </w:pPr>
            <w:r>
              <w:t>61.13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61.13</w:t>
            </w:r>
          </w:p>
        </w:tc>
        <w:tc>
          <w:tcPr>
            <w:tcW w:w="1361" w:type="dxa"/>
            <w:vAlign w:val="center"/>
          </w:tcPr>
          <w:p>
            <w:pPr>
              <w:pStyle w:val="11"/>
            </w:pPr>
            <w:r>
              <w:t>61.13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3.44</w:t>
            </w:r>
          </w:p>
        </w:tc>
        <w:tc>
          <w:tcPr>
            <w:tcW w:w="1361" w:type="dxa"/>
            <w:vAlign w:val="center"/>
          </w:tcPr>
          <w:p>
            <w:pPr>
              <w:pStyle w:val="11"/>
            </w:pPr>
            <w:r>
              <w:t>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57.69</w:t>
            </w:r>
          </w:p>
        </w:tc>
        <w:tc>
          <w:tcPr>
            <w:tcW w:w="1361" w:type="dxa"/>
            <w:vAlign w:val="center"/>
          </w:tcPr>
          <w:p>
            <w:pPr>
              <w:pStyle w:val="11"/>
            </w:pPr>
            <w:r>
              <w:t>57.69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3855.23</w:t>
            </w:r>
          </w:p>
        </w:tc>
        <w:tc>
          <w:tcPr>
            <w:tcW w:w="1361" w:type="dxa"/>
            <w:vAlign w:val="center"/>
          </w:tcPr>
          <w:p>
            <w:pPr>
              <w:pStyle w:val="11"/>
            </w:pPr>
            <w:r>
              <w:t>1181.18</w:t>
            </w:r>
          </w:p>
        </w:tc>
        <w:tc>
          <w:tcPr>
            <w:tcW w:w="1361" w:type="dxa"/>
            <w:vAlign w:val="center"/>
          </w:tcPr>
          <w:p>
            <w:pPr>
              <w:pStyle w:val="11"/>
            </w:pPr>
            <w:r>
              <w:t>2674.06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3573.29</w:t>
            </w:r>
          </w:p>
        </w:tc>
        <w:tc>
          <w:tcPr>
            <w:tcW w:w="1361" w:type="dxa"/>
            <w:vAlign w:val="center"/>
          </w:tcPr>
          <w:p>
            <w:pPr>
              <w:pStyle w:val="11"/>
            </w:pPr>
            <w:r>
              <w:t>1181.18</w:t>
            </w:r>
          </w:p>
        </w:tc>
        <w:tc>
          <w:tcPr>
            <w:tcW w:w="1361" w:type="dxa"/>
            <w:vAlign w:val="center"/>
          </w:tcPr>
          <w:p>
            <w:pPr>
              <w:pStyle w:val="11"/>
            </w:pPr>
            <w:r>
              <w:t>2392.12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74.24</w:t>
            </w:r>
          </w:p>
        </w:tc>
        <w:tc>
          <w:tcPr>
            <w:tcW w:w="1361" w:type="dxa"/>
            <w:vAlign w:val="center"/>
          </w:tcPr>
          <w:p>
            <w:pPr>
              <w:pStyle w:val="11"/>
            </w:pPr>
            <w:r>
              <w:t>72.48</w:t>
            </w:r>
          </w:p>
        </w:tc>
        <w:tc>
          <w:tcPr>
            <w:tcW w:w="1361" w:type="dxa"/>
            <w:vAlign w:val="center"/>
          </w:tcPr>
          <w:p>
            <w:pPr>
              <w:pStyle w:val="11"/>
            </w:pPr>
            <w:r>
              <w:t>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3499.06</w:t>
            </w:r>
          </w:p>
        </w:tc>
        <w:tc>
          <w:tcPr>
            <w:tcW w:w="1361" w:type="dxa"/>
            <w:vAlign w:val="center"/>
          </w:tcPr>
          <w:p>
            <w:pPr>
              <w:pStyle w:val="11"/>
            </w:pPr>
            <w:r>
              <w:t>1108.70</w:t>
            </w:r>
          </w:p>
        </w:tc>
        <w:tc>
          <w:tcPr>
            <w:tcW w:w="1361" w:type="dxa"/>
            <w:vAlign w:val="center"/>
          </w:tcPr>
          <w:p>
            <w:pPr>
              <w:pStyle w:val="11"/>
            </w:pPr>
            <w:r>
              <w:t>2390.36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254.94</w:t>
            </w:r>
          </w:p>
        </w:tc>
        <w:tc>
          <w:tcPr>
            <w:tcW w:w="1361" w:type="dxa"/>
            <w:vAlign w:val="center"/>
          </w:tcPr>
          <w:p>
            <w:pPr>
              <w:pStyle w:val="11"/>
            </w:pPr>
          </w:p>
        </w:tc>
        <w:tc>
          <w:tcPr>
            <w:tcW w:w="1361" w:type="dxa"/>
            <w:vAlign w:val="center"/>
          </w:tcPr>
          <w:p>
            <w:pPr>
              <w:pStyle w:val="11"/>
            </w:pPr>
            <w:r>
              <w:t>254.94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254.94</w:t>
            </w:r>
          </w:p>
        </w:tc>
        <w:tc>
          <w:tcPr>
            <w:tcW w:w="1361" w:type="dxa"/>
            <w:vAlign w:val="center"/>
          </w:tcPr>
          <w:p>
            <w:pPr>
              <w:pStyle w:val="11"/>
            </w:pPr>
          </w:p>
        </w:tc>
        <w:tc>
          <w:tcPr>
            <w:tcW w:w="1361" w:type="dxa"/>
            <w:vAlign w:val="center"/>
          </w:tcPr>
          <w:p>
            <w:pPr>
              <w:pStyle w:val="11"/>
            </w:pPr>
            <w:r>
              <w:t>254.94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2629.81</w:t>
            </w:r>
          </w:p>
        </w:tc>
        <w:tc>
          <w:tcPr>
            <w:tcW w:w="1361" w:type="dxa"/>
            <w:vAlign w:val="center"/>
          </w:tcPr>
          <w:p>
            <w:pPr>
              <w:pStyle w:val="11"/>
            </w:pPr>
          </w:p>
        </w:tc>
        <w:tc>
          <w:tcPr>
            <w:tcW w:w="1361" w:type="dxa"/>
            <w:vAlign w:val="center"/>
          </w:tcPr>
          <w:p>
            <w:pPr>
              <w:pStyle w:val="11"/>
            </w:pPr>
            <w:r>
              <w:t>2629.81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2629.81</w:t>
            </w:r>
          </w:p>
        </w:tc>
        <w:tc>
          <w:tcPr>
            <w:tcW w:w="1361" w:type="dxa"/>
            <w:vAlign w:val="center"/>
          </w:tcPr>
          <w:p>
            <w:pPr>
              <w:pStyle w:val="11"/>
            </w:pPr>
          </w:p>
        </w:tc>
        <w:tc>
          <w:tcPr>
            <w:tcW w:w="1361" w:type="dxa"/>
            <w:vAlign w:val="center"/>
          </w:tcPr>
          <w:p>
            <w:pPr>
              <w:pStyle w:val="11"/>
            </w:pPr>
            <w:r>
              <w:t>2629.81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2629.81</w:t>
            </w:r>
          </w:p>
        </w:tc>
        <w:tc>
          <w:tcPr>
            <w:tcW w:w="1361" w:type="dxa"/>
            <w:vAlign w:val="center"/>
          </w:tcPr>
          <w:p>
            <w:pPr>
              <w:pStyle w:val="11"/>
            </w:pPr>
          </w:p>
        </w:tc>
        <w:tc>
          <w:tcPr>
            <w:tcW w:w="1361" w:type="dxa"/>
            <w:vAlign w:val="center"/>
          </w:tcPr>
          <w:p>
            <w:pPr>
              <w:pStyle w:val="11"/>
            </w:pPr>
            <w:r>
              <w:t>2629.81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4019.96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2629.81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120.60</w:t>
            </w:r>
          </w:p>
        </w:tc>
        <w:tc>
          <w:tcPr>
            <w:tcW w:w="1474" w:type="dxa"/>
            <w:vAlign w:val="center"/>
          </w:tcPr>
          <w:p>
            <w:pPr>
              <w:pStyle w:val="11"/>
            </w:pPr>
            <w:r>
              <w:t>120.60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61.13</w:t>
            </w:r>
          </w:p>
        </w:tc>
        <w:tc>
          <w:tcPr>
            <w:tcW w:w="1474" w:type="dxa"/>
            <w:vAlign w:val="center"/>
          </w:tcPr>
          <w:p>
            <w:pPr>
              <w:pStyle w:val="11"/>
            </w:pPr>
            <w:r>
              <w:t>61.13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3855.23</w:t>
            </w:r>
          </w:p>
        </w:tc>
        <w:tc>
          <w:tcPr>
            <w:tcW w:w="1474" w:type="dxa"/>
            <w:vAlign w:val="center"/>
          </w:tcPr>
          <w:p>
            <w:pPr>
              <w:pStyle w:val="11"/>
            </w:pPr>
            <w:r>
              <w:t>3838.23</w:t>
            </w:r>
          </w:p>
        </w:tc>
        <w:tc>
          <w:tcPr>
            <w:tcW w:w="1474" w:type="dxa"/>
            <w:vAlign w:val="center"/>
          </w:tcPr>
          <w:p>
            <w:pPr>
              <w:pStyle w:val="11"/>
            </w:pPr>
            <w:r>
              <w:t>17.00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2629.81</w:t>
            </w:r>
          </w:p>
        </w:tc>
        <w:tc>
          <w:tcPr>
            <w:tcW w:w="1474" w:type="dxa"/>
            <w:vAlign w:val="center"/>
          </w:tcPr>
          <w:p>
            <w:pPr>
              <w:pStyle w:val="11"/>
            </w:pPr>
          </w:p>
        </w:tc>
        <w:tc>
          <w:tcPr>
            <w:tcW w:w="1474" w:type="dxa"/>
            <w:vAlign w:val="center"/>
          </w:tcPr>
          <w:p>
            <w:pPr>
              <w:pStyle w:val="11"/>
            </w:pPr>
            <w:r>
              <w:t>2629.81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6649.77</w:t>
            </w:r>
          </w:p>
        </w:tc>
        <w:tc>
          <w:tcPr>
            <w:tcW w:w="3402" w:type="dxa"/>
            <w:vAlign w:val="center"/>
          </w:tcPr>
          <w:p>
            <w:pPr>
              <w:pStyle w:val="14"/>
            </w:pPr>
            <w:r>
              <w:t>本年支出合计</w:t>
            </w:r>
          </w:p>
        </w:tc>
        <w:tc>
          <w:tcPr>
            <w:tcW w:w="1474" w:type="dxa"/>
            <w:vAlign w:val="center"/>
          </w:tcPr>
          <w:p>
            <w:pPr>
              <w:pStyle w:val="15"/>
            </w:pPr>
            <w:r>
              <w:t>6666.77</w:t>
            </w:r>
          </w:p>
        </w:tc>
        <w:tc>
          <w:tcPr>
            <w:tcW w:w="1474" w:type="dxa"/>
            <w:vAlign w:val="center"/>
          </w:tcPr>
          <w:p>
            <w:pPr>
              <w:pStyle w:val="15"/>
            </w:pPr>
            <w:r>
              <w:t>4019.96</w:t>
            </w:r>
          </w:p>
        </w:tc>
        <w:tc>
          <w:tcPr>
            <w:tcW w:w="1474" w:type="dxa"/>
            <w:vAlign w:val="center"/>
          </w:tcPr>
          <w:p>
            <w:pPr>
              <w:pStyle w:val="15"/>
            </w:pPr>
            <w:r>
              <w:t>2646.81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17.00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17.00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6666.77</w:t>
            </w:r>
          </w:p>
        </w:tc>
        <w:tc>
          <w:tcPr>
            <w:tcW w:w="3402" w:type="dxa"/>
            <w:vAlign w:val="center"/>
          </w:tcPr>
          <w:p>
            <w:pPr>
              <w:pStyle w:val="14"/>
            </w:pPr>
            <w:r>
              <w:t>支出总计</w:t>
            </w:r>
          </w:p>
        </w:tc>
        <w:tc>
          <w:tcPr>
            <w:tcW w:w="1474" w:type="dxa"/>
            <w:vAlign w:val="center"/>
          </w:tcPr>
          <w:p>
            <w:pPr>
              <w:pStyle w:val="15"/>
            </w:pPr>
            <w:r>
              <w:t>6666.77</w:t>
            </w:r>
          </w:p>
        </w:tc>
        <w:tc>
          <w:tcPr>
            <w:tcW w:w="1474" w:type="dxa"/>
            <w:vAlign w:val="center"/>
          </w:tcPr>
          <w:p>
            <w:pPr>
              <w:pStyle w:val="15"/>
            </w:pPr>
            <w:r>
              <w:t>4019.96</w:t>
            </w:r>
          </w:p>
        </w:tc>
        <w:tc>
          <w:tcPr>
            <w:tcW w:w="1474" w:type="dxa"/>
            <w:vAlign w:val="center"/>
          </w:tcPr>
          <w:p>
            <w:pPr>
              <w:pStyle w:val="15"/>
            </w:pPr>
            <w:r>
              <w:t>2646.81</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4019.96</w:t>
            </w:r>
          </w:p>
        </w:tc>
        <w:tc>
          <w:tcPr>
            <w:tcW w:w="2551" w:type="dxa"/>
            <w:vAlign w:val="center"/>
          </w:tcPr>
          <w:p>
            <w:pPr>
              <w:pStyle w:val="15"/>
            </w:pPr>
            <w:r>
              <w:t>1362.90</w:t>
            </w:r>
          </w:p>
        </w:tc>
        <w:tc>
          <w:tcPr>
            <w:tcW w:w="2551" w:type="dxa"/>
            <w:vAlign w:val="center"/>
          </w:tcPr>
          <w:p>
            <w:pPr>
              <w:pStyle w:val="15"/>
            </w:pPr>
            <w:r>
              <w:t>2657.06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120.60</w:t>
            </w:r>
          </w:p>
        </w:tc>
        <w:tc>
          <w:tcPr>
            <w:tcW w:w="2551" w:type="dxa"/>
            <w:vAlign w:val="center"/>
          </w:tcPr>
          <w:p>
            <w:pPr>
              <w:pStyle w:val="11"/>
            </w:pPr>
            <w:r>
              <w:t>120.60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114.43</w:t>
            </w:r>
          </w:p>
        </w:tc>
        <w:tc>
          <w:tcPr>
            <w:tcW w:w="2551" w:type="dxa"/>
            <w:vAlign w:val="center"/>
          </w:tcPr>
          <w:p>
            <w:pPr>
              <w:pStyle w:val="11"/>
            </w:pPr>
            <w:r>
              <w:t>114.43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114.43</w:t>
            </w:r>
          </w:p>
        </w:tc>
        <w:tc>
          <w:tcPr>
            <w:tcW w:w="2551" w:type="dxa"/>
            <w:vAlign w:val="center"/>
          </w:tcPr>
          <w:p>
            <w:pPr>
              <w:pStyle w:val="11"/>
            </w:pPr>
            <w:r>
              <w:t>114.43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6.17</w:t>
            </w:r>
          </w:p>
        </w:tc>
        <w:tc>
          <w:tcPr>
            <w:tcW w:w="2551" w:type="dxa"/>
            <w:vAlign w:val="center"/>
          </w:tcPr>
          <w:p>
            <w:pPr>
              <w:pStyle w:val="11"/>
            </w:pPr>
            <w:r>
              <w:t>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61.13</w:t>
            </w:r>
          </w:p>
        </w:tc>
        <w:tc>
          <w:tcPr>
            <w:tcW w:w="2551" w:type="dxa"/>
            <w:vAlign w:val="center"/>
          </w:tcPr>
          <w:p>
            <w:pPr>
              <w:pStyle w:val="11"/>
            </w:pPr>
            <w:r>
              <w:t>61.13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61.13</w:t>
            </w:r>
          </w:p>
        </w:tc>
        <w:tc>
          <w:tcPr>
            <w:tcW w:w="2551" w:type="dxa"/>
            <w:vAlign w:val="center"/>
          </w:tcPr>
          <w:p>
            <w:pPr>
              <w:pStyle w:val="11"/>
            </w:pPr>
            <w:r>
              <w:t>61.13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3.44</w:t>
            </w:r>
          </w:p>
        </w:tc>
        <w:tc>
          <w:tcPr>
            <w:tcW w:w="2551" w:type="dxa"/>
            <w:vAlign w:val="center"/>
          </w:tcPr>
          <w:p>
            <w:pPr>
              <w:pStyle w:val="11"/>
            </w:pPr>
            <w:r>
              <w:t>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57.69</w:t>
            </w:r>
          </w:p>
        </w:tc>
        <w:tc>
          <w:tcPr>
            <w:tcW w:w="2551" w:type="dxa"/>
            <w:vAlign w:val="center"/>
          </w:tcPr>
          <w:p>
            <w:pPr>
              <w:pStyle w:val="11"/>
            </w:pPr>
            <w:r>
              <w:t>57.69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3838.23</w:t>
            </w:r>
          </w:p>
        </w:tc>
        <w:tc>
          <w:tcPr>
            <w:tcW w:w="2551" w:type="dxa"/>
            <w:vAlign w:val="center"/>
          </w:tcPr>
          <w:p>
            <w:pPr>
              <w:pStyle w:val="11"/>
            </w:pPr>
            <w:r>
              <w:t>1181.18</w:t>
            </w:r>
          </w:p>
        </w:tc>
        <w:tc>
          <w:tcPr>
            <w:tcW w:w="2551" w:type="dxa"/>
            <w:vAlign w:val="center"/>
          </w:tcPr>
          <w:p>
            <w:pPr>
              <w:pStyle w:val="11"/>
            </w:pPr>
            <w:r>
              <w:t>2657.06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3573.29</w:t>
            </w:r>
          </w:p>
        </w:tc>
        <w:tc>
          <w:tcPr>
            <w:tcW w:w="2551" w:type="dxa"/>
            <w:vAlign w:val="center"/>
          </w:tcPr>
          <w:p>
            <w:pPr>
              <w:pStyle w:val="11"/>
            </w:pPr>
            <w:r>
              <w:t>1181.18</w:t>
            </w:r>
          </w:p>
        </w:tc>
        <w:tc>
          <w:tcPr>
            <w:tcW w:w="2551" w:type="dxa"/>
            <w:vAlign w:val="center"/>
          </w:tcPr>
          <w:p>
            <w:pPr>
              <w:pStyle w:val="11"/>
            </w:pPr>
            <w:r>
              <w:t>2392.12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74.24</w:t>
            </w:r>
          </w:p>
        </w:tc>
        <w:tc>
          <w:tcPr>
            <w:tcW w:w="2551" w:type="dxa"/>
            <w:vAlign w:val="center"/>
          </w:tcPr>
          <w:p>
            <w:pPr>
              <w:pStyle w:val="11"/>
            </w:pPr>
            <w:r>
              <w:t>72.48</w:t>
            </w:r>
          </w:p>
        </w:tc>
        <w:tc>
          <w:tcPr>
            <w:tcW w:w="2551" w:type="dxa"/>
            <w:vAlign w:val="center"/>
          </w:tcPr>
          <w:p>
            <w:pPr>
              <w:pStyle w:val="11"/>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3499.06</w:t>
            </w:r>
          </w:p>
        </w:tc>
        <w:tc>
          <w:tcPr>
            <w:tcW w:w="2551" w:type="dxa"/>
            <w:vAlign w:val="center"/>
          </w:tcPr>
          <w:p>
            <w:pPr>
              <w:pStyle w:val="11"/>
            </w:pPr>
            <w:r>
              <w:t>1108.70</w:t>
            </w:r>
          </w:p>
        </w:tc>
        <w:tc>
          <w:tcPr>
            <w:tcW w:w="2551" w:type="dxa"/>
            <w:vAlign w:val="center"/>
          </w:tcPr>
          <w:p>
            <w:pPr>
              <w:pStyle w:val="11"/>
            </w:pPr>
            <w:r>
              <w:t>2390.36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254.94</w:t>
            </w:r>
          </w:p>
        </w:tc>
        <w:tc>
          <w:tcPr>
            <w:tcW w:w="2551" w:type="dxa"/>
            <w:vAlign w:val="center"/>
          </w:tcPr>
          <w:p>
            <w:pPr>
              <w:pStyle w:val="11"/>
            </w:pPr>
          </w:p>
        </w:tc>
        <w:tc>
          <w:tcPr>
            <w:tcW w:w="2551" w:type="dxa"/>
            <w:vAlign w:val="center"/>
          </w:tcPr>
          <w:p>
            <w:pPr>
              <w:pStyle w:val="11"/>
            </w:pPr>
            <w:r>
              <w:t>254.94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254.94</w:t>
            </w:r>
          </w:p>
        </w:tc>
        <w:tc>
          <w:tcPr>
            <w:tcW w:w="2551" w:type="dxa"/>
            <w:vAlign w:val="center"/>
          </w:tcPr>
          <w:p>
            <w:pPr>
              <w:pStyle w:val="11"/>
            </w:pPr>
          </w:p>
        </w:tc>
        <w:tc>
          <w:tcPr>
            <w:tcW w:w="2551" w:type="dxa"/>
            <w:vAlign w:val="center"/>
          </w:tcPr>
          <w:p>
            <w:pPr>
              <w:pStyle w:val="11"/>
            </w:pPr>
            <w:r>
              <w:t>254.94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1362.90</w:t>
            </w:r>
          </w:p>
        </w:tc>
        <w:tc>
          <w:tcPr>
            <w:tcW w:w="2551" w:type="dxa"/>
            <w:vAlign w:val="center"/>
          </w:tcPr>
          <w:p>
            <w:pPr>
              <w:pStyle w:val="15"/>
            </w:pPr>
            <w:r>
              <w:t>1272.28</w:t>
            </w:r>
          </w:p>
        </w:tc>
        <w:tc>
          <w:tcPr>
            <w:tcW w:w="2551" w:type="dxa"/>
            <w:vAlign w:val="center"/>
          </w:tcPr>
          <w:p>
            <w:pPr>
              <w:pStyle w:val="15"/>
            </w:pPr>
            <w:r>
              <w:t>90.62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1194.12</w:t>
            </w:r>
          </w:p>
        </w:tc>
        <w:tc>
          <w:tcPr>
            <w:tcW w:w="2551" w:type="dxa"/>
            <w:vAlign w:val="center"/>
          </w:tcPr>
          <w:p>
            <w:pPr>
              <w:pStyle w:val="11"/>
            </w:pPr>
            <w:r>
              <w:t>1194.12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336.10</w:t>
            </w:r>
          </w:p>
        </w:tc>
        <w:tc>
          <w:tcPr>
            <w:tcW w:w="2551" w:type="dxa"/>
            <w:vAlign w:val="center"/>
          </w:tcPr>
          <w:p>
            <w:pPr>
              <w:pStyle w:val="11"/>
            </w:pPr>
            <w:r>
              <w:t>336.10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73.44</w:t>
            </w:r>
          </w:p>
        </w:tc>
        <w:tc>
          <w:tcPr>
            <w:tcW w:w="2551" w:type="dxa"/>
            <w:vAlign w:val="center"/>
          </w:tcPr>
          <w:p>
            <w:pPr>
              <w:pStyle w:val="11"/>
            </w:pPr>
            <w:r>
              <w:t>73.44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21.62</w:t>
            </w:r>
          </w:p>
        </w:tc>
        <w:tc>
          <w:tcPr>
            <w:tcW w:w="2551" w:type="dxa"/>
            <w:vAlign w:val="center"/>
          </w:tcPr>
          <w:p>
            <w:pPr>
              <w:pStyle w:val="11"/>
            </w:pPr>
            <w:r>
              <w:t>21.62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479.97</w:t>
            </w:r>
          </w:p>
        </w:tc>
        <w:tc>
          <w:tcPr>
            <w:tcW w:w="2551" w:type="dxa"/>
            <w:vAlign w:val="center"/>
          </w:tcPr>
          <w:p>
            <w:pPr>
              <w:pStyle w:val="11"/>
            </w:pPr>
            <w:r>
              <w:t>479.97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114.43</w:t>
            </w:r>
          </w:p>
        </w:tc>
        <w:tc>
          <w:tcPr>
            <w:tcW w:w="2551" w:type="dxa"/>
            <w:vAlign w:val="center"/>
          </w:tcPr>
          <w:p>
            <w:pPr>
              <w:pStyle w:val="11"/>
            </w:pPr>
            <w:r>
              <w:t>114.43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59.72</w:t>
            </w:r>
          </w:p>
        </w:tc>
        <w:tc>
          <w:tcPr>
            <w:tcW w:w="2551" w:type="dxa"/>
            <w:vAlign w:val="center"/>
          </w:tcPr>
          <w:p>
            <w:pPr>
              <w:pStyle w:val="11"/>
            </w:pPr>
            <w:r>
              <w:t>59.72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1.41</w:t>
            </w:r>
          </w:p>
        </w:tc>
        <w:tc>
          <w:tcPr>
            <w:tcW w:w="2551" w:type="dxa"/>
            <w:vAlign w:val="center"/>
          </w:tcPr>
          <w:p>
            <w:pPr>
              <w:pStyle w:val="11"/>
            </w:pPr>
            <w:r>
              <w:t>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6.17</w:t>
            </w:r>
          </w:p>
        </w:tc>
        <w:tc>
          <w:tcPr>
            <w:tcW w:w="2551" w:type="dxa"/>
            <w:vAlign w:val="center"/>
          </w:tcPr>
          <w:p>
            <w:pPr>
              <w:pStyle w:val="11"/>
            </w:pPr>
            <w:r>
              <w:t>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101.27</w:t>
            </w:r>
          </w:p>
        </w:tc>
        <w:tc>
          <w:tcPr>
            <w:tcW w:w="2551" w:type="dxa"/>
            <w:vAlign w:val="center"/>
          </w:tcPr>
          <w:p>
            <w:pPr>
              <w:pStyle w:val="11"/>
            </w:pPr>
            <w:r>
              <w:t>101.27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90.62</w:t>
            </w:r>
          </w:p>
        </w:tc>
        <w:tc>
          <w:tcPr>
            <w:tcW w:w="2551" w:type="dxa"/>
            <w:vAlign w:val="center"/>
          </w:tcPr>
          <w:p>
            <w:pPr>
              <w:pStyle w:val="11"/>
            </w:pPr>
          </w:p>
        </w:tc>
        <w:tc>
          <w:tcPr>
            <w:tcW w:w="2551" w:type="dxa"/>
            <w:vAlign w:val="center"/>
          </w:tcPr>
          <w:p>
            <w:pPr>
              <w:pStyle w:val="11"/>
            </w:pPr>
            <w:r>
              <w:t>90.62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35.42</w:t>
            </w:r>
          </w:p>
        </w:tc>
        <w:tc>
          <w:tcPr>
            <w:tcW w:w="2551" w:type="dxa"/>
            <w:vAlign w:val="center"/>
          </w:tcPr>
          <w:p>
            <w:pPr>
              <w:pStyle w:val="11"/>
            </w:pPr>
          </w:p>
        </w:tc>
        <w:tc>
          <w:tcPr>
            <w:tcW w:w="2551" w:type="dxa"/>
            <w:vAlign w:val="center"/>
          </w:tcPr>
          <w:p>
            <w:pPr>
              <w:pStyle w:val="11"/>
            </w:pPr>
            <w:r>
              <w:t>35.42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2.82</w:t>
            </w:r>
          </w:p>
        </w:tc>
        <w:tc>
          <w:tcPr>
            <w:tcW w:w="2551" w:type="dxa"/>
            <w:vAlign w:val="center"/>
          </w:tcPr>
          <w:p>
            <w:pPr>
              <w:pStyle w:val="11"/>
            </w:pPr>
          </w:p>
        </w:tc>
        <w:tc>
          <w:tcPr>
            <w:tcW w:w="2551" w:type="dxa"/>
            <w:vAlign w:val="center"/>
          </w:tcPr>
          <w:p>
            <w:pPr>
              <w:pStyle w:val="11"/>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6.41</w:t>
            </w:r>
          </w:p>
        </w:tc>
        <w:tc>
          <w:tcPr>
            <w:tcW w:w="2551" w:type="dxa"/>
            <w:vAlign w:val="center"/>
          </w:tcPr>
          <w:p>
            <w:pPr>
              <w:pStyle w:val="11"/>
            </w:pPr>
          </w:p>
        </w:tc>
        <w:tc>
          <w:tcPr>
            <w:tcW w:w="2551" w:type="dxa"/>
            <w:vAlign w:val="center"/>
          </w:tcPr>
          <w:p>
            <w:pPr>
              <w:pStyle w:val="11"/>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2.72</w:t>
            </w:r>
          </w:p>
        </w:tc>
        <w:tc>
          <w:tcPr>
            <w:tcW w:w="2551" w:type="dxa"/>
            <w:vAlign w:val="center"/>
          </w:tcPr>
          <w:p>
            <w:pPr>
              <w:pStyle w:val="11"/>
            </w:pPr>
          </w:p>
        </w:tc>
        <w:tc>
          <w:tcPr>
            <w:tcW w:w="2551" w:type="dxa"/>
            <w:vAlign w:val="center"/>
          </w:tcPr>
          <w:p>
            <w:pPr>
              <w:pStyle w:val="11"/>
            </w:pPr>
            <w:r>
              <w:t>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6.40</w:t>
            </w:r>
          </w:p>
        </w:tc>
        <w:tc>
          <w:tcPr>
            <w:tcW w:w="2551" w:type="dxa"/>
            <w:vAlign w:val="center"/>
          </w:tcPr>
          <w:p>
            <w:pPr>
              <w:pStyle w:val="11"/>
            </w:pPr>
          </w:p>
        </w:tc>
        <w:tc>
          <w:tcPr>
            <w:tcW w:w="2551" w:type="dxa"/>
            <w:vAlign w:val="center"/>
          </w:tcPr>
          <w:p>
            <w:pPr>
              <w:pStyle w:val="11"/>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23.28</w:t>
            </w:r>
          </w:p>
        </w:tc>
        <w:tc>
          <w:tcPr>
            <w:tcW w:w="2551" w:type="dxa"/>
            <w:vAlign w:val="center"/>
          </w:tcPr>
          <w:p>
            <w:pPr>
              <w:pStyle w:val="11"/>
            </w:pPr>
          </w:p>
        </w:tc>
        <w:tc>
          <w:tcPr>
            <w:tcW w:w="2551" w:type="dxa"/>
            <w:vAlign w:val="center"/>
          </w:tcPr>
          <w:p>
            <w:pPr>
              <w:pStyle w:val="11"/>
            </w:pPr>
            <w:r>
              <w:t>23.28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5.94</w:t>
            </w:r>
          </w:p>
        </w:tc>
        <w:tc>
          <w:tcPr>
            <w:tcW w:w="2551" w:type="dxa"/>
            <w:vAlign w:val="center"/>
          </w:tcPr>
          <w:p>
            <w:pPr>
              <w:pStyle w:val="11"/>
            </w:pPr>
          </w:p>
        </w:tc>
        <w:tc>
          <w:tcPr>
            <w:tcW w:w="2551" w:type="dxa"/>
            <w:vAlign w:val="center"/>
          </w:tcPr>
          <w:p>
            <w:pPr>
              <w:pStyle w:val="11"/>
            </w:pPr>
            <w:r>
              <w:t>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3.75</w:t>
            </w:r>
          </w:p>
        </w:tc>
        <w:tc>
          <w:tcPr>
            <w:tcW w:w="2551" w:type="dxa"/>
            <w:vAlign w:val="center"/>
          </w:tcPr>
          <w:p>
            <w:pPr>
              <w:pStyle w:val="11"/>
            </w:pPr>
          </w:p>
        </w:tc>
        <w:tc>
          <w:tcPr>
            <w:tcW w:w="2551" w:type="dxa"/>
            <w:vAlign w:val="center"/>
          </w:tcPr>
          <w:p>
            <w:pPr>
              <w:pStyle w:val="11"/>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78.16</w:t>
            </w:r>
          </w:p>
        </w:tc>
        <w:tc>
          <w:tcPr>
            <w:tcW w:w="2551" w:type="dxa"/>
            <w:vAlign w:val="center"/>
          </w:tcPr>
          <w:p>
            <w:pPr>
              <w:pStyle w:val="11"/>
            </w:pPr>
            <w:r>
              <w:t>78.16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78.16</w:t>
            </w:r>
          </w:p>
        </w:tc>
        <w:tc>
          <w:tcPr>
            <w:tcW w:w="2551" w:type="dxa"/>
            <w:vAlign w:val="center"/>
          </w:tcPr>
          <w:p>
            <w:pPr>
              <w:pStyle w:val="11"/>
            </w:pPr>
            <w:r>
              <w:t>78.16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2646.81</w:t>
            </w:r>
          </w:p>
        </w:tc>
        <w:tc>
          <w:tcPr>
            <w:tcW w:w="2551" w:type="dxa"/>
            <w:vAlign w:val="center"/>
          </w:tcPr>
          <w:p>
            <w:pPr>
              <w:pStyle w:val="15"/>
            </w:pPr>
          </w:p>
        </w:tc>
        <w:tc>
          <w:tcPr>
            <w:tcW w:w="2551" w:type="dxa"/>
            <w:vAlign w:val="center"/>
          </w:tcPr>
          <w:p>
            <w:pPr>
              <w:pStyle w:val="15"/>
            </w:pPr>
            <w:r>
              <w:t>2646.81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2629.81</w:t>
            </w:r>
          </w:p>
        </w:tc>
        <w:tc>
          <w:tcPr>
            <w:tcW w:w="2551" w:type="dxa"/>
            <w:vAlign w:val="center"/>
          </w:tcPr>
          <w:p>
            <w:pPr>
              <w:pStyle w:val="11"/>
            </w:pPr>
          </w:p>
        </w:tc>
        <w:tc>
          <w:tcPr>
            <w:tcW w:w="2551" w:type="dxa"/>
            <w:vAlign w:val="center"/>
          </w:tcPr>
          <w:p>
            <w:pPr>
              <w:pStyle w:val="11"/>
            </w:pPr>
            <w:r>
              <w:t>2629.81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2629.81</w:t>
            </w:r>
          </w:p>
        </w:tc>
        <w:tc>
          <w:tcPr>
            <w:tcW w:w="2551" w:type="dxa"/>
            <w:vAlign w:val="center"/>
          </w:tcPr>
          <w:p>
            <w:pPr>
              <w:pStyle w:val="11"/>
            </w:pPr>
          </w:p>
        </w:tc>
        <w:tc>
          <w:tcPr>
            <w:tcW w:w="2551" w:type="dxa"/>
            <w:vAlign w:val="center"/>
          </w:tcPr>
          <w:p>
            <w:pPr>
              <w:pStyle w:val="11"/>
            </w:pPr>
            <w:r>
              <w:t>2629.81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2629.81</w:t>
            </w:r>
          </w:p>
        </w:tc>
        <w:tc>
          <w:tcPr>
            <w:tcW w:w="2551" w:type="dxa"/>
            <w:vAlign w:val="center"/>
          </w:tcPr>
          <w:p>
            <w:pPr>
              <w:pStyle w:val="11"/>
            </w:pPr>
          </w:p>
        </w:tc>
        <w:tc>
          <w:tcPr>
            <w:tcW w:w="2551" w:type="dxa"/>
            <w:vAlign w:val="center"/>
          </w:tcPr>
          <w:p>
            <w:pPr>
              <w:pStyle w:val="11"/>
            </w:pPr>
            <w:r>
              <w:t>2629.81</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23.28</w:t>
            </w:r>
          </w:p>
        </w:tc>
        <w:tc>
          <w:tcPr>
            <w:tcW w:w="2381" w:type="dxa"/>
            <w:vAlign w:val="center"/>
          </w:tcPr>
          <w:p>
            <w:pPr>
              <w:pStyle w:val="15"/>
            </w:pPr>
            <w:r>
              <w:t>23.28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23.28</w:t>
            </w:r>
          </w:p>
        </w:tc>
        <w:tc>
          <w:tcPr>
            <w:tcW w:w="2381" w:type="dxa"/>
            <w:vAlign w:val="center"/>
          </w:tcPr>
          <w:p>
            <w:pPr>
              <w:pStyle w:val="11"/>
            </w:pPr>
            <w:r>
              <w:t>23.28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23.28</w:t>
            </w:r>
          </w:p>
        </w:tc>
        <w:tc>
          <w:tcPr>
            <w:tcW w:w="2381" w:type="dxa"/>
            <w:vAlign w:val="center"/>
          </w:tcPr>
          <w:p>
            <w:pPr>
              <w:pStyle w:val="11"/>
            </w:pPr>
            <w:r>
              <w:t>23.28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石家庄市栾城区城市管理综合行政执法局2026年部门预算信息公开情况说明</w:t>
      </w:r>
    </w:p>
    <w:p>
      <w:pPr>
        <w:jc w:val="center"/>
      </w:pPr>
      <w:r>
        <w:rPr>
          <w:rFonts w:ascii="方正小标宋_GBK" w:hAnsi="方正小标宋_GBK" w:eastAsia="方正小标宋_GBK" w:cs="方正小标宋_GBK"/>
          <w:color w:val="000000"/>
          <w:sz w:val="44"/>
        </w:rPr>
        <w:t>石家庄市栾城区城市管理综合行政执法局2026年部门预算信息公开情况说明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按照《中华人民共和国预算法》、《地方预决算公开操作规程》和《关于进一步推进预算公开工作的实施意见》规定，现将石家庄市栾城区城市管理综合行政执法局2026年部门预算公开如下：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负责编制道路、桥梁、排水，照明设施的改造；整修计划，并组织实施。</w:t>
      </w:r>
    </w:p>
    <w:p>
      <w:pPr>
        <w:pStyle w:val="17"/>
      </w:pPr>
      <w:r>
        <w:t>负责制定城市市政基础设施的日常管护作业和市容环境卫生质量标准。</w:t>
      </w:r>
    </w:p>
    <w:p>
      <w:pPr>
        <w:pStyle w:val="17"/>
      </w:pPr>
      <w:r>
        <w:t>负责城区市政设施维修，市容环境卫生管理和城市管理综合执法工作。</w:t>
      </w:r>
    </w:p>
    <w:p>
      <w:pPr>
        <w:pStyle w:val="17"/>
      </w:pPr>
      <w:r>
        <w:t>负责城区防汛工作。</w:t>
      </w:r>
    </w:p>
    <w:p>
      <w:pPr>
        <w:pStyle w:val="17"/>
      </w:pPr>
      <w:r>
        <w:t>负责城区沿街建筑物，构筑物，立面及门面的改造装修装饰。</w:t>
      </w:r>
    </w:p>
    <w:p>
      <w:pPr>
        <w:pStyle w:val="17"/>
      </w:pPr>
      <w:r>
        <w:t>负责协调监督城区生活垃圾，建筑垃圾，餐厨垃圾无害化处理工作。</w:t>
      </w:r>
    </w:p>
    <w:p>
      <w:pPr>
        <w:pStyle w:val="17"/>
      </w:pPr>
      <w:r>
        <w:t>负责指导城区城市便道非机动车停放工作。</w:t>
      </w:r>
    </w:p>
    <w:p>
      <w:pPr>
        <w:pStyle w:val="17"/>
      </w:pPr>
      <w:r>
        <w:t>负责机关和所属单位的安全生产综合监督管理工作。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石家庄市栾城区城市管理综合行政执法局本级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石家庄市栾城区城市管理综合执法大队</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石家庄市栾城区数字城管指挥中心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石家庄市栾城区设施维护管理所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其他</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按照预算管理有关规定，目前部门预算的编制实行综合预算管理，即全部收入和支出都反映在预算中。石家庄市栾城区城市管理综合行政执法局机关及所属事业单位的收支包含在部门预算中。</w:t>
      </w:r>
    </w:p>
    <w:p>
      <w:pPr>
        <w:pStyle w:val="18"/>
      </w:pPr>
      <w:r>
        <w:t>1、收入说明</w:t>
      </w:r>
    </w:p>
    <w:p>
      <w:pPr>
        <w:pStyle w:val="18"/>
      </w:pPr>
      <w:r>
        <w:t>反映本部门当年全部收入。2026年预算收入6666.77万元，其中：一般公共预算收入4019.96万元，基金预算收入2629.81万元，国有资本经营预算收入0.00万元，财政专户核拨收入0.00万元，单位资金收入0.00万元，上年结转结余17.00万元。</w:t>
      </w:r>
    </w:p>
    <w:p>
      <w:pPr>
        <w:pStyle w:val="18"/>
      </w:pPr>
      <w:r>
        <w:t>2、支出说明</w:t>
      </w:r>
    </w:p>
    <w:p>
      <w:pPr>
        <w:pStyle w:val="18"/>
      </w:pPr>
      <w:r>
        <w:t>收支预算总表支出栏、基本支出表、项目支出表按经济分类和支出功能分类科目编制，反映石家庄市栾城区城市管理综合行政执法局年度部门预算中支出预算的总体情况。2026年支出预算6666.77万元，其中基本支出1362.90万元，包括人员经费1272.28万元和日常公用经费90.62万元；项目支出5303.87万元，主要为生活垃圾转运分拣站及附属设施项目195.850107万元，环卫运营费254.941123万元，劳务派遣人员经费1357.260840万元，（结转）栾城城区污水管网提升改造及配套设施项目1179.148224万元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6666.77万元，较2025年预算减少2555.42万元，其中：基本支出增加90.83万元，主要为新聘用人员增加项目支出减少2646.25万元，主要为农村环卫运营费减少，垃圾处置费未列入预算，市政维修费减少。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2026年，我部门机关运行经费共计安排90.62万元，主要用于日常维修、办公用房水电费、办公用房取暖费、办公用房物业管理费等日常运行支出。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rFonts w:eastAsiaTheme="minorEastAsia"/>
          <w:lang w:eastAsia="zh-CN"/>
        </w:rPr>
      </w:pPr>
      <w:r>
        <w:t>2026年，我部门财政拨款“三公”经费预算安排23.28万元，其中因公出国（境）费0.00万元；公务用车购置及运维费23.28万元（其中：公务用车购置费为0.00万元，公务用车运维费23.28万元)；公务接待费0.00万元。</w:t>
      </w:r>
      <w:bookmarkStart w:id="13" w:name="_Toc_3_3_0000000014"/>
      <w:r>
        <w:t>与2025年相比</w:t>
      </w:r>
      <w:r>
        <w:rPr>
          <w:rFonts w:hint="eastAsia" w:eastAsiaTheme="minorEastAsia"/>
          <w:lang w:eastAsia="zh-CN"/>
        </w:rPr>
        <w:t>减少了0.72</w:t>
      </w:r>
      <w:r>
        <w:t>万元，增减变化的主要原因是</w:t>
      </w:r>
      <w:r>
        <w:rPr>
          <w:rFonts w:hint="eastAsia"/>
          <w:lang w:val="en-US" w:eastAsia="zh-CN"/>
        </w:rPr>
        <w:t>压减开支</w:t>
      </w:r>
      <w:r>
        <w:rPr>
          <w:rFonts w:hint="eastAsia" w:eastAsiaTheme="minorEastAsia"/>
          <w:lang w:eastAsia="zh-CN"/>
        </w:rPr>
        <w:t>。</w:t>
      </w:r>
    </w:p>
    <w:p>
      <w:pPr>
        <w:pStyle w:val="20"/>
      </w:pPr>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为维护城区环境卫生提供管理保障。城区环境卫生监督，环境卫生设施运营与维护。负责市容环卫管理、市政公用设施管理。负责城市管理信息的整理、分析。</w:t>
      </w:r>
    </w:p>
    <w:p>
      <w:pPr>
        <w:pStyle w:val="21"/>
      </w:pPr>
      <w:r>
        <w:t>石家庄市栾城区城市管理综合行政执法局绩效目标包含：劳务派遣人员经费；市政维护所经费；执法业务培训经费；垃圾分类经费；数字城管运行费；环卫车辆运行费；城区垃圾处置费；城管综合执法费用；路灯电费及维修费用；市政基础设施维护费用；环卫市场运营化费用等。</w:t>
      </w:r>
    </w:p>
    <w:p>
      <w:pPr>
        <w:spacing w:line="500" w:lineRule="exact"/>
        <w:ind w:firstLine="560"/>
      </w:pPr>
      <w:r>
        <w:rPr>
          <w:rFonts w:eastAsia="方正仿宋_GBK"/>
          <w:color w:val="000000"/>
          <w:sz w:val="28"/>
        </w:rPr>
        <w:t>（二）分项绩效目标</w:t>
      </w:r>
    </w:p>
    <w:p>
      <w:pPr>
        <w:pStyle w:val="22"/>
      </w:pPr>
      <w:r>
        <w:t>1.城管综合执法</w:t>
      </w:r>
    </w:p>
    <w:p>
      <w:pPr>
        <w:pStyle w:val="22"/>
      </w:pPr>
      <w:r>
        <w:t>绩效目标：认真做好群众身边的每一个案件，不断增强人民群众获得感幸福感安全感。</w:t>
      </w:r>
    </w:p>
    <w:p>
      <w:pPr>
        <w:pStyle w:val="22"/>
      </w:pPr>
      <w:r>
        <w:t>绩效指标：做好普法宣传工作，严格执法，美化街道，美化栾城。</w:t>
      </w:r>
    </w:p>
    <w:p>
      <w:pPr>
        <w:pStyle w:val="22"/>
      </w:pPr>
      <w:r>
        <w:t>2.垃圾分类</w:t>
      </w:r>
    </w:p>
    <w:p>
      <w:pPr>
        <w:pStyle w:val="22"/>
      </w:pPr>
      <w:r>
        <w:t>绩效目标：我区77个公共机构（党政机关、大中小学校）和126个居民生活小区全部开展了生活垃圾分类工作。</w:t>
      </w:r>
    </w:p>
    <w:p>
      <w:pPr>
        <w:pStyle w:val="22"/>
      </w:pPr>
      <w:r>
        <w:t>绩效指标：根据上级要求和我区实际情况，增加及维护、更换各类垃圾收集设施设备；做好宣传活动，生活垃圾分类工作市里每季度考核。</w:t>
      </w:r>
    </w:p>
    <w:p>
      <w:pPr>
        <w:pStyle w:val="22"/>
      </w:pPr>
      <w:r>
        <w:t>3.市政建设</w:t>
      </w:r>
    </w:p>
    <w:p>
      <w:pPr>
        <w:pStyle w:val="22"/>
      </w:pPr>
      <w:r>
        <w:t>绩效目标：城管局负责的市政基础设施管理维护范围不断加大，张举路、李冶街、宏达路、兴安街等多条道路的路面、便道和管网等逐步进入问题频发阶段。为解决这些问题，提高人民生活质量。</w:t>
      </w:r>
    </w:p>
    <w:p>
      <w:pPr>
        <w:pStyle w:val="22"/>
      </w:pPr>
      <w:r>
        <w:t>绩效指标：按照区领导现场指定的硬化任务，维护维修范围，同时，担负着城区防汛任务，按需要开展管道疏浚管护和井盖、井篦更新工作。</w:t>
      </w:r>
    </w:p>
    <w:p>
      <w:pPr>
        <w:pStyle w:val="22"/>
      </w:pPr>
      <w:r>
        <w:t>4.数字指挥中心经费</w:t>
      </w:r>
    </w:p>
    <w:p>
      <w:pPr>
        <w:pStyle w:val="22"/>
      </w:pPr>
      <w:r>
        <w:t>绩效目标：区数字城管指挥中心担负着城市管理协调指挥的重要职责，保障数字平台正常运行，服务于民，造福于民。</w:t>
      </w:r>
    </w:p>
    <w:p>
      <w:pPr>
        <w:pStyle w:val="22"/>
      </w:pPr>
      <w:r>
        <w:t>绩效指标：根据要求维修维护，保障正常运行。</w:t>
      </w:r>
    </w:p>
    <w:p>
      <w:pPr>
        <w:pStyle w:val="22"/>
      </w:pPr>
      <w:r>
        <w:t>5.路灯电费和维修费</w:t>
      </w:r>
    </w:p>
    <w:p>
      <w:pPr>
        <w:pStyle w:val="22"/>
      </w:pPr>
      <w:r>
        <w:t>绩效目标：为保障全城区的亮化和亮化效果，保障人民生活正常运行，提高人民生活幸福指数，服务于民，造福于民。</w:t>
      </w:r>
    </w:p>
    <w:p>
      <w:pPr>
        <w:pStyle w:val="22"/>
      </w:pPr>
      <w:r>
        <w:t>绩效指标：确实保障保证亮化效果。</w:t>
      </w:r>
    </w:p>
    <w:p>
      <w:pPr>
        <w:pStyle w:val="22"/>
      </w:pPr>
      <w:r>
        <w:t>6.环卫市场运营化</w:t>
      </w:r>
    </w:p>
    <w:p>
      <w:pPr>
        <w:pStyle w:val="22"/>
      </w:pPr>
      <w:r>
        <w:t>绩效目标：为全面提升我区城乡容貌环境，进一步提高标准加快推进政府购买服务，引进有资质的环卫企业。</w:t>
      </w:r>
    </w:p>
    <w:p>
      <w:pPr>
        <w:spacing w:line="500" w:lineRule="exact"/>
        <w:ind w:firstLine="560"/>
      </w:pPr>
      <w:r>
        <w:rPr>
          <w:rFonts w:eastAsia="方正仿宋_GBK"/>
          <w:color w:val="000000"/>
          <w:sz w:val="28"/>
        </w:rPr>
        <w:t>（三）工作保障措施</w:t>
      </w:r>
    </w:p>
    <w:p>
      <w:pPr>
        <w:pStyle w:val="23"/>
      </w:pPr>
      <w:r>
        <w:t>1.完善制度建设</w:t>
      </w:r>
    </w:p>
    <w:p>
      <w:pPr>
        <w:pStyle w:val="23"/>
      </w:pPr>
      <w:r>
        <w:t>制定完善绩效项目管理制度、专项资金管理办法、工作保障制度等，以保证全年绩效目标顺利完成。</w:t>
      </w:r>
    </w:p>
    <w:p>
      <w:pPr>
        <w:pStyle w:val="23"/>
      </w:pPr>
      <w:r>
        <w:t xml:space="preserve">2.加强支出管理 加强对项目资金支付管理，优化预算项目用款计划，严格按照财务支付制度审核相关续。对于符合条件的尽快启动支付程序，及时支付资金。在3月，6月，9月等时间节点分析资金支付进度情况，对于进度落后的及时与相关人员沟通，保障支付进度达标。 </w:t>
      </w:r>
    </w:p>
    <w:p>
      <w:pPr>
        <w:pStyle w:val="23"/>
      </w:pPr>
      <w:r>
        <w:t>3.加强绩效运行监控</w:t>
      </w:r>
    </w:p>
    <w:p>
      <w:pPr>
        <w:pStyle w:val="23"/>
      </w:pPr>
      <w:r>
        <w:t>按要求开展绩效运行监控，从预算项目完成进度，完成数量，验收数量，验收合格率等指标进行分析，对于未达到进度要求的积极分析原因，及时采取措施，确保绩效目标如期保质实现。</w:t>
      </w:r>
    </w:p>
    <w:p>
      <w:pPr>
        <w:pStyle w:val="23"/>
      </w:pPr>
      <w:r>
        <w:t>4.做好绩效自评</w:t>
      </w:r>
    </w:p>
    <w:p>
      <w:pPr>
        <w:pStyle w:val="23"/>
      </w:pPr>
      <w:r>
        <w:t>加强对本</w:t>
      </w:r>
      <w:r>
        <w:rPr>
          <w:rFonts w:hint="eastAsia" w:eastAsiaTheme="minorEastAsia"/>
          <w:lang w:eastAsia="zh-CN"/>
        </w:rPr>
        <w:t>部门</w:t>
      </w:r>
      <w:r>
        <w:t>绩效项目自评的组织管理，在主要时间节点上组织绩效项目归口单位进行预算项目评价，在自评中发现的问题，要逐条分析，研究改进措施，并尽快落实。</w:t>
      </w:r>
    </w:p>
    <w:p>
      <w:pPr>
        <w:pStyle w:val="23"/>
      </w:pPr>
      <w:r>
        <w:t>5.规范财务资产管理</w:t>
      </w:r>
    </w:p>
    <w:p>
      <w:pPr>
        <w:pStyle w:val="23"/>
      </w:pPr>
      <w:r>
        <w:t>完善财务管理制度，严格执行审批程序，确保资金支出更加规范，提高资金使用效率。加强对固定资产登记、使用、维修和报废处置的管理，规范其购进程序，提高资产使用效率。</w:t>
      </w:r>
    </w:p>
    <w:p>
      <w:pPr>
        <w:pStyle w:val="23"/>
      </w:pPr>
      <w:r>
        <w:t>6.加强内部监督</w:t>
      </w:r>
    </w:p>
    <w:p>
      <w:pPr>
        <w:pStyle w:val="23"/>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7.加强宣传培训调研</w:t>
      </w:r>
    </w:p>
    <w:p>
      <w:pPr>
        <w:pStyle w:val="23"/>
        <w:sectPr>
          <w:pgSz w:w="16840" w:h="11900" w:orient="landscape"/>
          <w:pgMar w:top="1361" w:right="1020" w:bottom="1361" w:left="1020" w:header="720" w:footer="720" w:gutter="0"/>
          <w:cols w:space="720" w:num="1"/>
        </w:sectPr>
      </w:pPr>
      <w:r>
        <w:t>定期加强对本</w:t>
      </w:r>
      <w:r>
        <w:rPr>
          <w:rFonts w:hint="eastAsia" w:eastAsiaTheme="minorEastAsia"/>
          <w:lang w:eastAsia="zh-CN"/>
        </w:rPr>
        <w:t>部门</w:t>
      </w:r>
      <w:r>
        <w:t>财务人员进行业务培训，对其他部门人员进行财务相关要求培训，确保资金使用更加安全、规范；加强调研，提出优化财政资金配置、提高资金使用效益的意见，并积极与相关部门沟通落实；加大宣传力度，强化预算绩效管理意识，促进预算绩效管理水平进一步提升。</w:t>
      </w: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outlineLvl w:val="9"/>
        <w:rPr>
          <w:rFonts w:ascii="黑体" w:hAnsi="黑体" w:eastAsia="黑体" w:cs="黑体"/>
          <w:color w:val="000000"/>
          <w:sz w:val="32"/>
          <w:lang w:eastAsia="zh-CN"/>
        </w:rPr>
      </w:pPr>
      <w:bookmarkStart w:id="20" w:name="_GoBack"/>
    </w:p>
    <w:p>
      <w:pPr>
        <w:spacing w:before="10" w:after="10" w:line="360" w:lineRule="auto"/>
        <w:ind w:firstLine="640" w:firstLineChars="200"/>
        <w:outlineLvl w:val="9"/>
        <w:rPr>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bookmarkEnd w:id="20"/>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1、(结转2024年专项债券）栾城区生活垃圾转运分拣站及附属设施项目绩效目标表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13011126P000024100107</w:t>
            </w:r>
          </w:p>
        </w:tc>
        <w:tc>
          <w:tcPr>
            <w:tcW w:w="2835" w:type="dxa"/>
            <w:vAlign w:val="center"/>
          </w:tcPr>
          <w:p>
            <w:pPr>
              <w:pStyle w:val="10"/>
            </w:pPr>
            <w:r>
              <w:t>项目名称</w:t>
            </w:r>
          </w:p>
        </w:tc>
        <w:tc>
          <w:tcPr>
            <w:tcW w:w="6095" w:type="dxa"/>
            <w:gridSpan w:val="3"/>
            <w:vAlign w:val="center"/>
          </w:tcPr>
          <w:p>
            <w:pPr>
              <w:pStyle w:val="12"/>
            </w:pPr>
            <w:r>
              <w:t>(结转2024年专项债券）栾城区生活垃圾转运分拣站及附属设施项目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195.85</w:t>
            </w:r>
          </w:p>
        </w:tc>
        <w:tc>
          <w:tcPr>
            <w:tcW w:w="2835" w:type="dxa"/>
            <w:vAlign w:val="center"/>
          </w:tcPr>
          <w:p>
            <w:pPr>
              <w:pStyle w:val="10"/>
            </w:pPr>
            <w:r>
              <w:t>其中：财政    资金</w:t>
            </w:r>
          </w:p>
        </w:tc>
        <w:tc>
          <w:tcPr>
            <w:tcW w:w="2551" w:type="dxa"/>
            <w:vAlign w:val="center"/>
          </w:tcPr>
          <w:p>
            <w:pPr>
              <w:pStyle w:val="12"/>
            </w:pPr>
            <w:r>
              <w:t>195.85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栾城区生活垃圾转运分拣站及附属设施项目 城区垃圾日益增多 需要建设垃圾转运站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48.96</w:t>
            </w:r>
          </w:p>
        </w:tc>
        <w:tc>
          <w:tcPr>
            <w:tcW w:w="2835" w:type="dxa"/>
            <w:vAlign w:val="center"/>
          </w:tcPr>
          <w:p>
            <w:pPr>
              <w:pStyle w:val="13"/>
            </w:pPr>
            <w:r>
              <w:t>97.93</w:t>
            </w:r>
          </w:p>
        </w:tc>
        <w:tc>
          <w:tcPr>
            <w:tcW w:w="2551" w:type="dxa"/>
            <w:vAlign w:val="center"/>
          </w:tcPr>
          <w:p>
            <w:pPr>
              <w:pStyle w:val="13"/>
            </w:pPr>
            <w:r>
              <w:t>146.89</w:t>
            </w:r>
          </w:p>
        </w:tc>
        <w:tc>
          <w:tcPr>
            <w:tcW w:w="3544" w:type="dxa"/>
            <w:gridSpan w:val="2"/>
            <w:vAlign w:val="center"/>
          </w:tcPr>
          <w:p>
            <w:pPr>
              <w:pStyle w:val="13"/>
            </w:pPr>
            <w:r>
              <w:t>195.85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1.栾城区生活垃圾转运分拣站及附属设施项目 城区垃圾日益增多 需要建设垃圾转运站</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建立座数</w:t>
            </w:r>
          </w:p>
        </w:tc>
        <w:tc>
          <w:tcPr>
            <w:tcW w:w="5386" w:type="dxa"/>
            <w:vAlign w:val="center"/>
          </w:tcPr>
          <w:p>
            <w:pPr>
              <w:pStyle w:val="12"/>
            </w:pPr>
            <w:r>
              <w:t>1座</w:t>
            </w:r>
          </w:p>
        </w:tc>
        <w:tc>
          <w:tcPr>
            <w:tcW w:w="2268" w:type="dxa"/>
            <w:vAlign w:val="center"/>
          </w:tcPr>
          <w:p>
            <w:pPr>
              <w:pStyle w:val="12"/>
            </w:pPr>
            <w:r>
              <w:t>建设一座垃圾转运站</w:t>
            </w:r>
          </w:p>
        </w:tc>
        <w:tc>
          <w:tcPr>
            <w:tcW w:w="1276" w:type="dxa"/>
            <w:vAlign w:val="center"/>
          </w:tcPr>
          <w:p>
            <w:pPr>
              <w:pStyle w:val="12"/>
            </w:pPr>
            <w:r>
              <w:t>栾城区生活垃圾转运分拣站及附属设施项目 城区垃圾日益增多 需要建设垃圾转运站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建设质量</w:t>
            </w:r>
          </w:p>
        </w:tc>
        <w:tc>
          <w:tcPr>
            <w:tcW w:w="5386" w:type="dxa"/>
            <w:vAlign w:val="center"/>
          </w:tcPr>
          <w:p>
            <w:pPr>
              <w:pStyle w:val="12"/>
            </w:pPr>
            <w:r>
              <w:t>质量达标</w:t>
            </w:r>
          </w:p>
        </w:tc>
        <w:tc>
          <w:tcPr>
            <w:tcW w:w="2268" w:type="dxa"/>
            <w:vAlign w:val="center"/>
          </w:tcPr>
          <w:p>
            <w:pPr>
              <w:pStyle w:val="12"/>
            </w:pPr>
            <w:r>
              <w:t>质量达标</w:t>
            </w:r>
          </w:p>
        </w:tc>
        <w:tc>
          <w:tcPr>
            <w:tcW w:w="1276" w:type="dxa"/>
            <w:vAlign w:val="center"/>
          </w:tcPr>
          <w:p>
            <w:pPr>
              <w:pStyle w:val="12"/>
            </w:pPr>
            <w:r>
              <w:t>监理出具证明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2024年完成</w:t>
            </w:r>
          </w:p>
        </w:tc>
        <w:tc>
          <w:tcPr>
            <w:tcW w:w="1276" w:type="dxa"/>
            <w:vAlign w:val="center"/>
          </w:tcPr>
          <w:p>
            <w:pPr>
              <w:pStyle w:val="12"/>
            </w:pPr>
            <w: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w:t>
            </w:r>
          </w:p>
        </w:tc>
        <w:tc>
          <w:tcPr>
            <w:tcW w:w="2268" w:type="dxa"/>
            <w:vAlign w:val="center"/>
          </w:tcPr>
          <w:p>
            <w:pPr>
              <w:pStyle w:val="12"/>
            </w:pPr>
            <w:r>
              <w:t>控制成本</w:t>
            </w:r>
          </w:p>
        </w:tc>
        <w:tc>
          <w:tcPr>
            <w:tcW w:w="1276" w:type="dxa"/>
            <w:vAlign w:val="center"/>
          </w:tcPr>
          <w:p>
            <w:pPr>
              <w:pStyle w:val="12"/>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改善环境</w:t>
            </w:r>
          </w:p>
        </w:tc>
        <w:tc>
          <w:tcPr>
            <w:tcW w:w="5386" w:type="dxa"/>
            <w:vAlign w:val="center"/>
          </w:tcPr>
          <w:p>
            <w:pPr>
              <w:pStyle w:val="12"/>
            </w:pPr>
            <w:r>
              <w:t>改善环境</w:t>
            </w:r>
          </w:p>
        </w:tc>
        <w:tc>
          <w:tcPr>
            <w:tcW w:w="2268" w:type="dxa"/>
            <w:vAlign w:val="center"/>
          </w:tcPr>
          <w:p>
            <w:pPr>
              <w:pStyle w:val="12"/>
            </w:pPr>
            <w:r>
              <w:t>改善环境</w:t>
            </w:r>
          </w:p>
        </w:tc>
        <w:tc>
          <w:tcPr>
            <w:tcW w:w="1276" w:type="dxa"/>
            <w:vAlign w:val="center"/>
          </w:tcPr>
          <w:p>
            <w:pPr>
              <w:pStyle w:val="12"/>
            </w:pPr>
            <w:r>
              <w:t>改善环境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满意度</w:t>
            </w:r>
          </w:p>
        </w:tc>
        <w:tc>
          <w:tcPr>
            <w:tcW w:w="1276" w:type="dxa"/>
            <w:vAlign w:val="center"/>
          </w:tcPr>
          <w:p>
            <w:pPr>
              <w:pStyle w:val="12"/>
            </w:pPr>
            <w:r>
              <w:t>满意度</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2、（结转2023年专项债券）栾城区生活垃圾转运站及附属设施项目绩效目标表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13011126P00002410009U</w:t>
            </w:r>
          </w:p>
        </w:tc>
        <w:tc>
          <w:tcPr>
            <w:tcW w:w="2835" w:type="dxa"/>
            <w:vAlign w:val="center"/>
          </w:tcPr>
          <w:p>
            <w:pPr>
              <w:pStyle w:val="10"/>
            </w:pPr>
            <w:r>
              <w:t>项目名称</w:t>
            </w:r>
          </w:p>
        </w:tc>
        <w:tc>
          <w:tcPr>
            <w:tcW w:w="6095" w:type="dxa"/>
            <w:gridSpan w:val="3"/>
            <w:vAlign w:val="center"/>
          </w:tcPr>
          <w:p>
            <w:pPr>
              <w:pStyle w:val="12"/>
            </w:pPr>
            <w:r>
              <w:t>（结转2023年专项债券）栾城区生活垃圾转运站及附属设施项目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1254.81</w:t>
            </w:r>
          </w:p>
        </w:tc>
        <w:tc>
          <w:tcPr>
            <w:tcW w:w="2835" w:type="dxa"/>
            <w:vAlign w:val="center"/>
          </w:tcPr>
          <w:p>
            <w:pPr>
              <w:pStyle w:val="10"/>
            </w:pPr>
            <w:r>
              <w:t>其中：财政    资金</w:t>
            </w:r>
          </w:p>
        </w:tc>
        <w:tc>
          <w:tcPr>
            <w:tcW w:w="2551" w:type="dxa"/>
            <w:vAlign w:val="center"/>
          </w:tcPr>
          <w:p>
            <w:pPr>
              <w:pStyle w:val="12"/>
            </w:pPr>
            <w:r>
              <w:t>1254.81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栾城区生活垃圾转运分拣站及附属设施项目 城区垃圾日益增多 需要建设垃圾转运站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313.70</w:t>
            </w:r>
          </w:p>
        </w:tc>
        <w:tc>
          <w:tcPr>
            <w:tcW w:w="2835" w:type="dxa"/>
            <w:vAlign w:val="center"/>
          </w:tcPr>
          <w:p>
            <w:pPr>
              <w:pStyle w:val="13"/>
            </w:pPr>
            <w:r>
              <w:t>627.41</w:t>
            </w:r>
          </w:p>
        </w:tc>
        <w:tc>
          <w:tcPr>
            <w:tcW w:w="2551" w:type="dxa"/>
            <w:vAlign w:val="center"/>
          </w:tcPr>
          <w:p>
            <w:pPr>
              <w:pStyle w:val="13"/>
            </w:pPr>
            <w:r>
              <w:t>941.11</w:t>
            </w:r>
          </w:p>
        </w:tc>
        <w:tc>
          <w:tcPr>
            <w:tcW w:w="3544" w:type="dxa"/>
            <w:gridSpan w:val="2"/>
            <w:vAlign w:val="center"/>
          </w:tcPr>
          <w:p>
            <w:pPr>
              <w:pStyle w:val="13"/>
            </w:pPr>
            <w:r>
              <w:t>1254.81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1.栾城区生活垃圾转运分拣站及附属设施项目 城区垃圾日益增多 需要建设垃圾转运站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建立座数</w:t>
            </w:r>
          </w:p>
        </w:tc>
        <w:tc>
          <w:tcPr>
            <w:tcW w:w="5386" w:type="dxa"/>
            <w:vAlign w:val="center"/>
          </w:tcPr>
          <w:p>
            <w:pPr>
              <w:pStyle w:val="12"/>
            </w:pPr>
            <w:r>
              <w:t>1座</w:t>
            </w:r>
          </w:p>
        </w:tc>
        <w:tc>
          <w:tcPr>
            <w:tcW w:w="2268" w:type="dxa"/>
            <w:vAlign w:val="center"/>
          </w:tcPr>
          <w:p>
            <w:pPr>
              <w:pStyle w:val="12"/>
            </w:pPr>
            <w:r>
              <w:t>建设一座垃圾转运站</w:t>
            </w:r>
          </w:p>
        </w:tc>
        <w:tc>
          <w:tcPr>
            <w:tcW w:w="1276" w:type="dxa"/>
            <w:vAlign w:val="center"/>
          </w:tcPr>
          <w:p>
            <w:pPr>
              <w:pStyle w:val="12"/>
            </w:pPr>
            <w:r>
              <w:t>栾城区生活垃圾转运分拣站及附属设施项目 城区垃圾日益增多 需要建设垃圾转运站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建设质量</w:t>
            </w:r>
          </w:p>
        </w:tc>
        <w:tc>
          <w:tcPr>
            <w:tcW w:w="5386" w:type="dxa"/>
            <w:vAlign w:val="center"/>
          </w:tcPr>
          <w:p>
            <w:pPr>
              <w:pStyle w:val="12"/>
            </w:pPr>
            <w:r>
              <w:t>质量达标</w:t>
            </w:r>
          </w:p>
        </w:tc>
        <w:tc>
          <w:tcPr>
            <w:tcW w:w="2268" w:type="dxa"/>
            <w:vAlign w:val="center"/>
          </w:tcPr>
          <w:p>
            <w:pPr>
              <w:pStyle w:val="12"/>
            </w:pPr>
            <w:r>
              <w:t>质量达标</w:t>
            </w:r>
          </w:p>
        </w:tc>
        <w:tc>
          <w:tcPr>
            <w:tcW w:w="1276" w:type="dxa"/>
            <w:vAlign w:val="center"/>
          </w:tcPr>
          <w:p>
            <w:pPr>
              <w:pStyle w:val="12"/>
            </w:pPr>
            <w:r>
              <w:t>监理出具证明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2024年完成</w:t>
            </w:r>
          </w:p>
        </w:tc>
        <w:tc>
          <w:tcPr>
            <w:tcW w:w="1276" w:type="dxa"/>
            <w:vAlign w:val="center"/>
          </w:tcPr>
          <w:p>
            <w:pPr>
              <w:pStyle w:val="12"/>
            </w:pPr>
            <w: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w:t>
            </w:r>
          </w:p>
        </w:tc>
        <w:tc>
          <w:tcPr>
            <w:tcW w:w="2268" w:type="dxa"/>
            <w:vAlign w:val="center"/>
          </w:tcPr>
          <w:p>
            <w:pPr>
              <w:pStyle w:val="12"/>
            </w:pPr>
            <w:r>
              <w:t>控制成本</w:t>
            </w:r>
          </w:p>
        </w:tc>
        <w:tc>
          <w:tcPr>
            <w:tcW w:w="1276" w:type="dxa"/>
            <w:vAlign w:val="center"/>
          </w:tcPr>
          <w:p>
            <w:pPr>
              <w:pStyle w:val="12"/>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改善环境</w:t>
            </w:r>
          </w:p>
        </w:tc>
        <w:tc>
          <w:tcPr>
            <w:tcW w:w="5386" w:type="dxa"/>
            <w:vAlign w:val="center"/>
          </w:tcPr>
          <w:p>
            <w:pPr>
              <w:pStyle w:val="12"/>
            </w:pPr>
            <w:r>
              <w:t>改善环境</w:t>
            </w:r>
          </w:p>
        </w:tc>
        <w:tc>
          <w:tcPr>
            <w:tcW w:w="2268" w:type="dxa"/>
            <w:vAlign w:val="center"/>
          </w:tcPr>
          <w:p>
            <w:pPr>
              <w:pStyle w:val="12"/>
            </w:pPr>
            <w:r>
              <w:t>改善环境</w:t>
            </w:r>
          </w:p>
        </w:tc>
        <w:tc>
          <w:tcPr>
            <w:tcW w:w="1276" w:type="dxa"/>
            <w:vAlign w:val="center"/>
          </w:tcPr>
          <w:p>
            <w:pPr>
              <w:pStyle w:val="12"/>
            </w:pPr>
            <w:r>
              <w:t>改善环境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满意度</w:t>
            </w:r>
          </w:p>
        </w:tc>
        <w:tc>
          <w:tcPr>
            <w:tcW w:w="1276"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3、（结转2024年专项债券）栾城城区污水管网提升改造及配套设施项目绩效目标表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13011126P00002410011T</w:t>
            </w:r>
          </w:p>
        </w:tc>
        <w:tc>
          <w:tcPr>
            <w:tcW w:w="2835" w:type="dxa"/>
            <w:vAlign w:val="center"/>
          </w:tcPr>
          <w:p>
            <w:pPr>
              <w:pStyle w:val="10"/>
            </w:pPr>
            <w:r>
              <w:t>项目名称</w:t>
            </w:r>
          </w:p>
        </w:tc>
        <w:tc>
          <w:tcPr>
            <w:tcW w:w="6095" w:type="dxa"/>
            <w:gridSpan w:val="3"/>
            <w:vAlign w:val="center"/>
          </w:tcPr>
          <w:p>
            <w:pPr>
              <w:pStyle w:val="12"/>
            </w:pPr>
            <w:r>
              <w:t>（结转2024年专项债券）栾城城区污水管网提升改造及配套设施项目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1179.15</w:t>
            </w:r>
          </w:p>
        </w:tc>
        <w:tc>
          <w:tcPr>
            <w:tcW w:w="2835" w:type="dxa"/>
            <w:vAlign w:val="center"/>
          </w:tcPr>
          <w:p>
            <w:pPr>
              <w:pStyle w:val="10"/>
            </w:pPr>
            <w:r>
              <w:t>其中：财政    资金</w:t>
            </w:r>
          </w:p>
        </w:tc>
        <w:tc>
          <w:tcPr>
            <w:tcW w:w="2551" w:type="dxa"/>
            <w:vAlign w:val="center"/>
          </w:tcPr>
          <w:p>
            <w:pPr>
              <w:pStyle w:val="12"/>
            </w:pPr>
            <w:r>
              <w:t>1179.15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栾城城区污水管网提升改造及配套设施项目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294.79</w:t>
            </w:r>
          </w:p>
        </w:tc>
        <w:tc>
          <w:tcPr>
            <w:tcW w:w="2835" w:type="dxa"/>
            <w:vAlign w:val="center"/>
          </w:tcPr>
          <w:p>
            <w:pPr>
              <w:pStyle w:val="13"/>
            </w:pPr>
            <w:r>
              <w:t>589.57</w:t>
            </w:r>
          </w:p>
        </w:tc>
        <w:tc>
          <w:tcPr>
            <w:tcW w:w="2551" w:type="dxa"/>
            <w:vAlign w:val="center"/>
          </w:tcPr>
          <w:p>
            <w:pPr>
              <w:pStyle w:val="13"/>
            </w:pPr>
            <w:r>
              <w:t>884.36</w:t>
            </w:r>
          </w:p>
        </w:tc>
        <w:tc>
          <w:tcPr>
            <w:tcW w:w="3544" w:type="dxa"/>
            <w:gridSpan w:val="2"/>
            <w:vAlign w:val="center"/>
          </w:tcPr>
          <w:p>
            <w:pPr>
              <w:pStyle w:val="13"/>
            </w:pPr>
            <w:r>
              <w:t>1179.15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1.栾城城区污水管网提升改造及配套设施项目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执行公开率(%)</w:t>
            </w:r>
          </w:p>
        </w:tc>
        <w:tc>
          <w:tcPr>
            <w:tcW w:w="2268" w:type="dxa"/>
            <w:vAlign w:val="center"/>
          </w:tcPr>
          <w:p>
            <w:pPr>
              <w:pStyle w:val="12"/>
            </w:pPr>
            <w:r>
              <w:t>执行公开率(%)</w:t>
            </w:r>
          </w:p>
        </w:tc>
        <w:tc>
          <w:tcPr>
            <w:tcW w:w="1276"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工程质量</w:t>
            </w:r>
          </w:p>
        </w:tc>
        <w:tc>
          <w:tcPr>
            <w:tcW w:w="1276" w:type="dxa"/>
            <w:vAlign w:val="center"/>
          </w:tcPr>
          <w:p>
            <w:pPr>
              <w:pStyle w:val="12"/>
            </w:pPr>
            <w:r>
              <w:t>按规定完成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pPr>
            <w:r>
              <w:t>按时完成</w:t>
            </w:r>
          </w:p>
        </w:tc>
        <w:tc>
          <w:tcPr>
            <w:tcW w:w="1276"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控制成本</w:t>
            </w:r>
          </w:p>
        </w:tc>
        <w:tc>
          <w:tcPr>
            <w:tcW w:w="1276" w:type="dxa"/>
            <w:vAlign w:val="center"/>
          </w:tcPr>
          <w:p>
            <w:pPr>
              <w:pStyle w:val="12"/>
            </w:pPr>
            <w:r>
              <w:t>按规定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项目工程完成情况</w:t>
            </w:r>
          </w:p>
        </w:tc>
        <w:tc>
          <w:tcPr>
            <w:tcW w:w="1276" w:type="dxa"/>
            <w:vAlign w:val="center"/>
          </w:tcPr>
          <w:p>
            <w:pPr>
              <w:pStyle w:val="12"/>
            </w:pPr>
            <w:r>
              <w:t>按要求完成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服务对象满意度</w:t>
            </w:r>
          </w:p>
        </w:tc>
        <w:tc>
          <w:tcPr>
            <w:tcW w:w="1276" w:type="dxa"/>
            <w:vAlign w:val="center"/>
          </w:tcPr>
          <w:p>
            <w:pPr>
              <w:pStyle w:val="12"/>
            </w:pPr>
            <w:r>
              <w:t>100</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4、环卫运营费（2026年1月份人员工资）绩效目标表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13011126P00000411021B</w:t>
            </w:r>
          </w:p>
        </w:tc>
        <w:tc>
          <w:tcPr>
            <w:tcW w:w="2835" w:type="dxa"/>
            <w:vAlign w:val="center"/>
          </w:tcPr>
          <w:p>
            <w:pPr>
              <w:pStyle w:val="10"/>
            </w:pPr>
            <w:r>
              <w:t>项目名称</w:t>
            </w:r>
          </w:p>
        </w:tc>
        <w:tc>
          <w:tcPr>
            <w:tcW w:w="6095" w:type="dxa"/>
            <w:gridSpan w:val="3"/>
            <w:vAlign w:val="center"/>
          </w:tcPr>
          <w:p>
            <w:pPr>
              <w:pStyle w:val="12"/>
            </w:pPr>
            <w:r>
              <w:t>环卫运营费（2026年1月份人员工资）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254.94</w:t>
            </w:r>
          </w:p>
        </w:tc>
        <w:tc>
          <w:tcPr>
            <w:tcW w:w="2835" w:type="dxa"/>
            <w:vAlign w:val="center"/>
          </w:tcPr>
          <w:p>
            <w:pPr>
              <w:pStyle w:val="10"/>
            </w:pPr>
            <w:r>
              <w:t>其中：财政    资金</w:t>
            </w:r>
          </w:p>
        </w:tc>
        <w:tc>
          <w:tcPr>
            <w:tcW w:w="2551" w:type="dxa"/>
            <w:vAlign w:val="center"/>
          </w:tcPr>
          <w:p>
            <w:pPr>
              <w:pStyle w:val="12"/>
            </w:pPr>
            <w:r>
              <w:t>254.94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全面提升我区城乡容貌环境，进一步提高标准加快推进政府购买服务，引进有资质的环卫企业，经过招投标，我单位分别与人和环境（城区环卫市场）、中节能（农村环卫市场）签订环卫市场运营合同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63.74</w:t>
            </w:r>
          </w:p>
        </w:tc>
        <w:tc>
          <w:tcPr>
            <w:tcW w:w="2835" w:type="dxa"/>
            <w:vAlign w:val="center"/>
          </w:tcPr>
          <w:p>
            <w:pPr>
              <w:pStyle w:val="13"/>
            </w:pPr>
            <w:r>
              <w:t>127.47</w:t>
            </w:r>
          </w:p>
        </w:tc>
        <w:tc>
          <w:tcPr>
            <w:tcW w:w="2551" w:type="dxa"/>
            <w:vAlign w:val="center"/>
          </w:tcPr>
          <w:p>
            <w:pPr>
              <w:pStyle w:val="13"/>
            </w:pPr>
            <w:r>
              <w:t>191.21</w:t>
            </w:r>
          </w:p>
        </w:tc>
        <w:tc>
          <w:tcPr>
            <w:tcW w:w="3544" w:type="dxa"/>
            <w:gridSpan w:val="2"/>
            <w:vAlign w:val="center"/>
          </w:tcPr>
          <w:p>
            <w:pPr>
              <w:pStyle w:val="13"/>
            </w:pPr>
            <w:r>
              <w:t>254.94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1.全面提升我区城乡容貌环境，进一步提高标准加快推进政府购买服务，引进有资质的环卫企业，经过招投标，我单位分别与人和环境（城区环卫市场）、中节能（农村环卫市场）签订环卫市场运营合同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执行公开率(%)</w:t>
            </w:r>
          </w:p>
        </w:tc>
        <w:tc>
          <w:tcPr>
            <w:tcW w:w="2268" w:type="dxa"/>
            <w:vAlign w:val="center"/>
          </w:tcPr>
          <w:p>
            <w:pPr>
              <w:pStyle w:val="12"/>
            </w:pPr>
            <w:r>
              <w:t>执行公开率(%)</w:t>
            </w:r>
          </w:p>
        </w:tc>
        <w:tc>
          <w:tcPr>
            <w:tcW w:w="1276" w:type="dxa"/>
            <w:vAlign w:val="center"/>
          </w:tcPr>
          <w:p>
            <w:pPr>
              <w:pStyle w:val="12"/>
            </w:pPr>
            <w:r>
              <w:t>执行公开率(%)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业务工作完成率（%）</w:t>
            </w:r>
          </w:p>
        </w:tc>
        <w:tc>
          <w:tcPr>
            <w:tcW w:w="1276" w:type="dxa"/>
            <w:vAlign w:val="center"/>
          </w:tcPr>
          <w:p>
            <w:pPr>
              <w:pStyle w:val="12"/>
            </w:pPr>
            <w:r>
              <w:t>业务工作完成率（%）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按时完成率</w:t>
            </w:r>
          </w:p>
        </w:tc>
        <w:tc>
          <w:tcPr>
            <w:tcW w:w="1276" w:type="dxa"/>
            <w:vAlign w:val="center"/>
          </w:tcPr>
          <w:p>
            <w:pPr>
              <w:pStyle w:val="12"/>
            </w:pPr>
            <w:r>
              <w:t>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项目总成本</w:t>
            </w:r>
          </w:p>
        </w:tc>
        <w:tc>
          <w:tcPr>
            <w:tcW w:w="1276" w:type="dxa"/>
            <w:vAlign w:val="center"/>
          </w:tcPr>
          <w:p>
            <w:pPr>
              <w:pStyle w:val="12"/>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环境改善</w:t>
            </w:r>
          </w:p>
        </w:tc>
        <w:tc>
          <w:tcPr>
            <w:tcW w:w="5386" w:type="dxa"/>
            <w:vAlign w:val="center"/>
          </w:tcPr>
          <w:p>
            <w:pPr>
              <w:pStyle w:val="12"/>
            </w:pPr>
            <w:r>
              <w:t>环境改善</w:t>
            </w:r>
          </w:p>
        </w:tc>
        <w:tc>
          <w:tcPr>
            <w:tcW w:w="2268" w:type="dxa"/>
            <w:vAlign w:val="center"/>
          </w:tcPr>
          <w:p>
            <w:pPr>
              <w:pStyle w:val="12"/>
            </w:pPr>
            <w:r>
              <w:t>环境改善</w:t>
            </w:r>
          </w:p>
        </w:tc>
        <w:tc>
          <w:tcPr>
            <w:tcW w:w="1276" w:type="dxa"/>
            <w:vAlign w:val="center"/>
          </w:tcPr>
          <w:p>
            <w:pPr>
              <w:pStyle w:val="12"/>
            </w:pPr>
            <w:r>
              <w:t>环境改善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服务对象的满意度</w:t>
            </w:r>
          </w:p>
        </w:tc>
        <w:tc>
          <w:tcPr>
            <w:tcW w:w="1276"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5、劳务派遣经费绩效目标表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13011126P00000410900G</w:t>
            </w:r>
          </w:p>
        </w:tc>
        <w:tc>
          <w:tcPr>
            <w:tcW w:w="2835" w:type="dxa"/>
            <w:vAlign w:val="center"/>
          </w:tcPr>
          <w:p>
            <w:pPr>
              <w:pStyle w:val="10"/>
            </w:pPr>
            <w:r>
              <w:t>项目名称</w:t>
            </w:r>
          </w:p>
        </w:tc>
        <w:tc>
          <w:tcPr>
            <w:tcW w:w="6095" w:type="dxa"/>
            <w:gridSpan w:val="3"/>
            <w:vAlign w:val="center"/>
          </w:tcPr>
          <w:p>
            <w:pPr>
              <w:pStyle w:val="12"/>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21.12</w:t>
            </w:r>
          </w:p>
        </w:tc>
        <w:tc>
          <w:tcPr>
            <w:tcW w:w="2835" w:type="dxa"/>
            <w:vAlign w:val="center"/>
          </w:tcPr>
          <w:p>
            <w:pPr>
              <w:pStyle w:val="10"/>
            </w:pPr>
            <w:r>
              <w:t>其中：财政    资金</w:t>
            </w:r>
          </w:p>
        </w:tc>
        <w:tc>
          <w:tcPr>
            <w:tcW w:w="2551" w:type="dxa"/>
            <w:vAlign w:val="center"/>
          </w:tcPr>
          <w:p>
            <w:pPr>
              <w:pStyle w:val="12"/>
            </w:pPr>
            <w:r>
              <w:t>21.12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现有2015-2016年上岗劳动聘用人员39名,2017-2018年10月份上岗劳动聘用人员79名，2019年11月份上岗劳动聘用人员38名，2021年3月份上岗劳动聘用人员5名，2021年6月份上岗劳动聘用人员23人，2021年九月份上岗劳动聘用人员23人，2021年十一月份上岗劳动聘用人员3人，2022年上岗7月份上岗21人共计231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5.28</w:t>
            </w:r>
          </w:p>
        </w:tc>
        <w:tc>
          <w:tcPr>
            <w:tcW w:w="2835" w:type="dxa"/>
            <w:vAlign w:val="center"/>
          </w:tcPr>
          <w:p>
            <w:pPr>
              <w:pStyle w:val="13"/>
            </w:pPr>
            <w:r>
              <w:t>10.56</w:t>
            </w:r>
          </w:p>
        </w:tc>
        <w:tc>
          <w:tcPr>
            <w:tcW w:w="2551" w:type="dxa"/>
            <w:vAlign w:val="center"/>
          </w:tcPr>
          <w:p>
            <w:pPr>
              <w:pStyle w:val="13"/>
            </w:pPr>
            <w:r>
              <w:t>15.84</w:t>
            </w:r>
          </w:p>
        </w:tc>
        <w:tc>
          <w:tcPr>
            <w:tcW w:w="3544" w:type="dxa"/>
            <w:gridSpan w:val="2"/>
            <w:vAlign w:val="center"/>
          </w:tcPr>
          <w:p>
            <w:pPr>
              <w:pStyle w:val="13"/>
            </w:pPr>
            <w:r>
              <w:t>21.12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现有2015-2016年上岗劳动聘用人员39名,2017-2018年10月份上岗劳动聘用人员79名，2019年11月份上岗劳动聘用人员38名，2021年3月份上岗劳动聘用人员5名，2021年6月份上岗劳动聘用人员23人，2021年九月份上岗劳动聘用人员23人，2021年十一月份上岗劳动聘用人员3人，2022年上岗7月份上岗21人共计231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保障聘用人员工资、奖、保险等费用</w:t>
            </w:r>
          </w:p>
        </w:tc>
        <w:tc>
          <w:tcPr>
            <w:tcW w:w="2268" w:type="dxa"/>
            <w:vAlign w:val="center"/>
          </w:tcPr>
          <w:p>
            <w:pPr>
              <w:pStyle w:val="12"/>
            </w:pPr>
            <w:r>
              <w:t>231人</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足额保障率</w:t>
            </w:r>
          </w:p>
        </w:tc>
        <w:tc>
          <w:tcPr>
            <w:tcW w:w="5386" w:type="dxa"/>
            <w:vAlign w:val="center"/>
          </w:tcPr>
          <w:p>
            <w:pPr>
              <w:pStyle w:val="12"/>
            </w:pPr>
            <w:r>
              <w:t>足额保障聘用人员工资等费用</w:t>
            </w:r>
          </w:p>
        </w:tc>
        <w:tc>
          <w:tcPr>
            <w:tcW w:w="2268" w:type="dxa"/>
            <w:vAlign w:val="center"/>
          </w:tcPr>
          <w:p>
            <w:pPr>
              <w:pStyle w:val="12"/>
            </w:pPr>
            <w:r>
              <w:t>100</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发放及时率</w:t>
            </w:r>
          </w:p>
        </w:tc>
        <w:tc>
          <w:tcPr>
            <w:tcW w:w="2268" w:type="dxa"/>
            <w:vAlign w:val="center"/>
          </w:tcPr>
          <w:p>
            <w:pPr>
              <w:pStyle w:val="12"/>
            </w:pPr>
            <w:r>
              <w:t>100完成及时率</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人员总成本</w:t>
            </w:r>
          </w:p>
        </w:tc>
        <w:tc>
          <w:tcPr>
            <w:tcW w:w="5386" w:type="dxa"/>
            <w:vAlign w:val="center"/>
          </w:tcPr>
          <w:p>
            <w:pPr>
              <w:pStyle w:val="12"/>
            </w:pPr>
            <w:r>
              <w:t>人员工资等总成本</w:t>
            </w:r>
          </w:p>
        </w:tc>
        <w:tc>
          <w:tcPr>
            <w:tcW w:w="2268" w:type="dxa"/>
            <w:vAlign w:val="center"/>
          </w:tcPr>
          <w:p>
            <w:pPr>
              <w:pStyle w:val="12"/>
            </w:pPr>
            <w:r>
              <w:t>≤1404.53</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管理综合执法局正常运转</w:t>
            </w:r>
          </w:p>
        </w:tc>
        <w:tc>
          <w:tcPr>
            <w:tcW w:w="5386" w:type="dxa"/>
            <w:vAlign w:val="center"/>
          </w:tcPr>
          <w:p>
            <w:pPr>
              <w:pStyle w:val="12"/>
            </w:pPr>
            <w:r>
              <w:t>保障管理综合执法局正常运转、发挥执法监督职能</w:t>
            </w:r>
          </w:p>
        </w:tc>
        <w:tc>
          <w:tcPr>
            <w:tcW w:w="2268" w:type="dxa"/>
            <w:vAlign w:val="center"/>
          </w:tcPr>
          <w:p>
            <w:pPr>
              <w:pStyle w:val="12"/>
            </w:pPr>
            <w:r>
              <w:t>正常运转</w:t>
            </w:r>
          </w:p>
        </w:tc>
        <w:tc>
          <w:tcPr>
            <w:tcW w:w="1276" w:type="dxa"/>
            <w:vAlign w:val="center"/>
          </w:tcPr>
          <w:p>
            <w:pPr>
              <w:pStyle w:val="12"/>
            </w:pPr>
            <w:r>
              <w:t>工作计划、部门职责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发挥长期执法监督效果</w:t>
            </w:r>
          </w:p>
        </w:tc>
        <w:tc>
          <w:tcPr>
            <w:tcW w:w="5386" w:type="dxa"/>
            <w:vAlign w:val="center"/>
          </w:tcPr>
          <w:p>
            <w:pPr>
              <w:pStyle w:val="12"/>
            </w:pPr>
            <w:r>
              <w:t>发挥并纠正城市管理种的问题，提高城市管理能力，创建文明城市</w:t>
            </w:r>
          </w:p>
        </w:tc>
        <w:tc>
          <w:tcPr>
            <w:tcW w:w="2268" w:type="dxa"/>
            <w:vAlign w:val="center"/>
          </w:tcPr>
          <w:p>
            <w:pPr>
              <w:pStyle w:val="12"/>
            </w:pPr>
            <w:r>
              <w:t>长期执法监督</w:t>
            </w:r>
          </w:p>
        </w:tc>
        <w:tc>
          <w:tcPr>
            <w:tcW w:w="1276" w:type="dxa"/>
            <w:vAlign w:val="center"/>
          </w:tcPr>
          <w:p>
            <w:pPr>
              <w:pStyle w:val="12"/>
            </w:pPr>
            <w:r>
              <w:t>工作计划、部门职责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工作职责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13011126P000004105860</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1357.26</w:t>
            </w:r>
          </w:p>
        </w:tc>
        <w:tc>
          <w:tcPr>
            <w:tcW w:w="2835" w:type="dxa"/>
            <w:vAlign w:val="center"/>
          </w:tcPr>
          <w:p>
            <w:pPr>
              <w:pStyle w:val="10"/>
            </w:pPr>
            <w:r>
              <w:t>其中：财政    资金</w:t>
            </w:r>
          </w:p>
        </w:tc>
        <w:tc>
          <w:tcPr>
            <w:tcW w:w="2551" w:type="dxa"/>
            <w:vAlign w:val="center"/>
          </w:tcPr>
          <w:p>
            <w:pPr>
              <w:pStyle w:val="12"/>
            </w:pPr>
            <w:r>
              <w:t>1357.26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城市管理局劳务派遣人员经费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339.32</w:t>
            </w:r>
          </w:p>
        </w:tc>
        <w:tc>
          <w:tcPr>
            <w:tcW w:w="2835" w:type="dxa"/>
            <w:vAlign w:val="center"/>
          </w:tcPr>
          <w:p>
            <w:pPr>
              <w:pStyle w:val="13"/>
            </w:pPr>
            <w:r>
              <w:t>678.63</w:t>
            </w:r>
          </w:p>
        </w:tc>
        <w:tc>
          <w:tcPr>
            <w:tcW w:w="2551" w:type="dxa"/>
            <w:vAlign w:val="center"/>
          </w:tcPr>
          <w:p>
            <w:pPr>
              <w:pStyle w:val="13"/>
            </w:pPr>
            <w:r>
              <w:t>1017.95</w:t>
            </w:r>
          </w:p>
        </w:tc>
        <w:tc>
          <w:tcPr>
            <w:tcW w:w="3544" w:type="dxa"/>
            <w:gridSpan w:val="2"/>
            <w:vAlign w:val="center"/>
          </w:tcPr>
          <w:p>
            <w:pPr>
              <w:pStyle w:val="13"/>
            </w:pPr>
            <w:r>
              <w:t>1357.26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w:t>
            </w:r>
            <w:r>
              <w:rPr>
                <w:rFonts w:hint="eastAsia" w:eastAsiaTheme="minorEastAsia"/>
                <w:lang w:eastAsia="zh-CN"/>
              </w:rPr>
              <w:t>部门</w:t>
            </w:r>
            <w:r>
              <w:t>现有2015-2016年上岗劳动聘用人员39名,2017-2018年10月份上岗劳动聘用人员79名，2019年11月份上岗劳动聘用人员38名，2021年3月份上岗劳动聘用人员5名，2021年6月份上岗劳动聘用人员23人，2021年九月份上岗劳动聘用人员23人，2021年十一月份上岗劳动聘用人员3人，2022年上岗7月份上岗21人共计231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保障聘用人员工资、奖、保险等费用</w:t>
            </w:r>
          </w:p>
        </w:tc>
        <w:tc>
          <w:tcPr>
            <w:tcW w:w="2268" w:type="dxa"/>
            <w:vAlign w:val="center"/>
          </w:tcPr>
          <w:p>
            <w:pPr>
              <w:pStyle w:val="12"/>
            </w:pPr>
            <w:r>
              <w:t>根据河北省人力资源和社会保障厅发布《关于调整最低工资标准的通知》</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足额保障率</w:t>
            </w:r>
          </w:p>
        </w:tc>
        <w:tc>
          <w:tcPr>
            <w:tcW w:w="5386" w:type="dxa"/>
            <w:vAlign w:val="center"/>
          </w:tcPr>
          <w:p>
            <w:pPr>
              <w:pStyle w:val="12"/>
            </w:pPr>
            <w:r>
              <w:t>足额保障聘用人员工资等费用</w:t>
            </w:r>
          </w:p>
        </w:tc>
        <w:tc>
          <w:tcPr>
            <w:tcW w:w="2268" w:type="dxa"/>
            <w:vAlign w:val="center"/>
          </w:tcPr>
          <w:p>
            <w:pPr>
              <w:pStyle w:val="12"/>
            </w:pPr>
            <w:r>
              <w:t>根据河北省人力资源和社会保障厅发布《关于调整最低工资标准的通知》</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发放及时率</w:t>
            </w:r>
          </w:p>
        </w:tc>
        <w:tc>
          <w:tcPr>
            <w:tcW w:w="2268" w:type="dxa"/>
            <w:vAlign w:val="center"/>
          </w:tcPr>
          <w:p>
            <w:pPr>
              <w:pStyle w:val="12"/>
            </w:pPr>
            <w:r>
              <w:t>根据河北省人力资源和社会保障厅发布《关于调整最低工资标准的通知》</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人员总成本</w:t>
            </w:r>
          </w:p>
        </w:tc>
        <w:tc>
          <w:tcPr>
            <w:tcW w:w="5386" w:type="dxa"/>
            <w:vAlign w:val="center"/>
          </w:tcPr>
          <w:p>
            <w:pPr>
              <w:pStyle w:val="12"/>
            </w:pPr>
            <w:r>
              <w:t>人员工资等总成本</w:t>
            </w:r>
          </w:p>
        </w:tc>
        <w:tc>
          <w:tcPr>
            <w:tcW w:w="2268" w:type="dxa"/>
            <w:vAlign w:val="center"/>
          </w:tcPr>
          <w:p>
            <w:pPr>
              <w:pStyle w:val="12"/>
            </w:pPr>
            <w:r>
              <w:t>根据河北省人力资源和社会保障厅发布《关于调整最低工资标准的通知》</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管理综合执法局正常运转</w:t>
            </w:r>
          </w:p>
        </w:tc>
        <w:tc>
          <w:tcPr>
            <w:tcW w:w="5386" w:type="dxa"/>
            <w:vAlign w:val="center"/>
          </w:tcPr>
          <w:p>
            <w:pPr>
              <w:pStyle w:val="12"/>
            </w:pPr>
            <w:r>
              <w:t>保障管理综合执法局正常运转、发挥执法监督职能</w:t>
            </w:r>
          </w:p>
        </w:tc>
        <w:tc>
          <w:tcPr>
            <w:tcW w:w="2268" w:type="dxa"/>
            <w:vAlign w:val="center"/>
          </w:tcPr>
          <w:p>
            <w:pPr>
              <w:pStyle w:val="12"/>
            </w:pPr>
            <w:r>
              <w:t>根据河北省人力资源和社会保障厅发布《关于调整最低工资标准的通知》</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发挥长期执法监督效果</w:t>
            </w:r>
          </w:p>
        </w:tc>
        <w:tc>
          <w:tcPr>
            <w:tcW w:w="5386" w:type="dxa"/>
            <w:vAlign w:val="center"/>
          </w:tcPr>
          <w:p>
            <w:pPr>
              <w:pStyle w:val="12"/>
            </w:pPr>
            <w:r>
              <w:t>发挥并纠正城市管理种的问题，提高城市管理能力，创建文明城市</w:t>
            </w:r>
          </w:p>
        </w:tc>
        <w:tc>
          <w:tcPr>
            <w:tcW w:w="2268" w:type="dxa"/>
            <w:vAlign w:val="center"/>
          </w:tcPr>
          <w:p>
            <w:pPr>
              <w:pStyle w:val="12"/>
            </w:pPr>
            <w:r>
              <w:t>根据河北省人力资源和社会保障厅发布《关于调整最低工资标准的通知》</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管理综合执法局正常运转</w:t>
            </w:r>
          </w:p>
        </w:tc>
        <w:tc>
          <w:tcPr>
            <w:tcW w:w="5386" w:type="dxa"/>
            <w:vAlign w:val="center"/>
          </w:tcPr>
          <w:p>
            <w:pPr>
              <w:pStyle w:val="12"/>
            </w:pPr>
            <w:r>
              <w:t>保障管理综合执法局正常运转、发挥执法监督职能</w:t>
            </w:r>
          </w:p>
        </w:tc>
        <w:tc>
          <w:tcPr>
            <w:tcW w:w="2268" w:type="dxa"/>
            <w:vAlign w:val="center"/>
          </w:tcPr>
          <w:p>
            <w:pPr>
              <w:pStyle w:val="12"/>
            </w:pPr>
            <w:r>
              <w:t>根据河北省人力资源和社会保障厅发布《关于调整最低工资标准的通知》</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发挥长期执法监督效果</w:t>
            </w:r>
          </w:p>
        </w:tc>
        <w:tc>
          <w:tcPr>
            <w:tcW w:w="5386" w:type="dxa"/>
            <w:vAlign w:val="center"/>
          </w:tcPr>
          <w:p>
            <w:pPr>
              <w:pStyle w:val="12"/>
            </w:pPr>
            <w:r>
              <w:t>发挥并纠正城市管理种的问题，提高城市管理能力，创建文明城市</w:t>
            </w:r>
          </w:p>
        </w:tc>
        <w:tc>
          <w:tcPr>
            <w:tcW w:w="2268" w:type="dxa"/>
            <w:vAlign w:val="center"/>
          </w:tcPr>
          <w:p>
            <w:pPr>
              <w:pStyle w:val="12"/>
            </w:pPr>
            <w:r>
              <w:t>根据河北省人力资源和社会保障厅发布《关于调整最低工资标准的通知》</w:t>
            </w:r>
          </w:p>
        </w:tc>
        <w:tc>
          <w:tcPr>
            <w:tcW w:w="1276" w:type="dxa"/>
            <w:vAlign w:val="center"/>
          </w:tcPr>
          <w:p>
            <w:pPr>
              <w:pStyle w:val="12"/>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根据河北省人力资源和社会保障厅发布《关于调整最低工资标准的通知》</w:t>
            </w:r>
          </w:p>
        </w:tc>
        <w:tc>
          <w:tcPr>
            <w:tcW w:w="1276" w:type="dxa"/>
            <w:vAlign w:val="center"/>
          </w:tcPr>
          <w:p>
            <w:pPr>
              <w:pStyle w:val="12"/>
            </w:pPr>
            <w:r>
              <w:t>根据河北省人力资源和社会保障厅发布《关于调整最低工资标准的通知》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13011126P000004105931</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0.22</w:t>
            </w:r>
          </w:p>
        </w:tc>
        <w:tc>
          <w:tcPr>
            <w:tcW w:w="2835" w:type="dxa"/>
            <w:vAlign w:val="center"/>
          </w:tcPr>
          <w:p>
            <w:pPr>
              <w:pStyle w:val="10"/>
            </w:pPr>
            <w:r>
              <w:t>其中：财政    资金</w:t>
            </w:r>
          </w:p>
        </w:tc>
        <w:tc>
          <w:tcPr>
            <w:tcW w:w="2551" w:type="dxa"/>
            <w:vAlign w:val="center"/>
          </w:tcPr>
          <w:p>
            <w:pPr>
              <w:pStyle w:val="12"/>
            </w:pPr>
            <w:r>
              <w:t>0.22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0.05</w:t>
            </w:r>
          </w:p>
        </w:tc>
        <w:tc>
          <w:tcPr>
            <w:tcW w:w="2835" w:type="dxa"/>
            <w:vAlign w:val="center"/>
          </w:tcPr>
          <w:p>
            <w:pPr>
              <w:pStyle w:val="13"/>
            </w:pPr>
            <w:r>
              <w:t>0.11</w:t>
            </w:r>
          </w:p>
        </w:tc>
        <w:tc>
          <w:tcPr>
            <w:tcW w:w="2551" w:type="dxa"/>
            <w:vAlign w:val="center"/>
          </w:tcPr>
          <w:p>
            <w:pPr>
              <w:pStyle w:val="13"/>
            </w:pPr>
            <w:r>
              <w:t>0.16</w:t>
            </w:r>
          </w:p>
        </w:tc>
        <w:tc>
          <w:tcPr>
            <w:tcW w:w="3544" w:type="dxa"/>
            <w:gridSpan w:val="2"/>
            <w:vAlign w:val="center"/>
          </w:tcPr>
          <w:p>
            <w:pPr>
              <w:pStyle w:val="13"/>
            </w:pPr>
            <w:r>
              <w:t>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保障退休人员统筹外工资</w:t>
            </w:r>
          </w:p>
        </w:tc>
        <w:tc>
          <w:tcPr>
            <w:tcW w:w="2268" w:type="dxa"/>
            <w:vAlign w:val="center"/>
          </w:tcPr>
          <w:p>
            <w:pPr>
              <w:pStyle w:val="12"/>
            </w:pPr>
            <w:r>
              <w:t>根据测算</w:t>
            </w:r>
          </w:p>
        </w:tc>
        <w:tc>
          <w:tcPr>
            <w:tcW w:w="1276" w:type="dxa"/>
            <w:vAlign w:val="center"/>
          </w:tcPr>
          <w:p>
            <w:pPr>
              <w:pStyle w:val="12"/>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足额保障率</w:t>
            </w:r>
          </w:p>
        </w:tc>
        <w:tc>
          <w:tcPr>
            <w:tcW w:w="5386" w:type="dxa"/>
            <w:vAlign w:val="center"/>
          </w:tcPr>
          <w:p>
            <w:pPr>
              <w:pStyle w:val="12"/>
            </w:pPr>
            <w:r>
              <w:t>保障退休人员统筹外工资</w:t>
            </w:r>
          </w:p>
        </w:tc>
        <w:tc>
          <w:tcPr>
            <w:tcW w:w="2268" w:type="dxa"/>
            <w:vAlign w:val="center"/>
          </w:tcPr>
          <w:p>
            <w:pPr>
              <w:pStyle w:val="12"/>
            </w:pPr>
            <w:r>
              <w:t>根据测算</w:t>
            </w:r>
          </w:p>
        </w:tc>
        <w:tc>
          <w:tcPr>
            <w:tcW w:w="1276" w:type="dxa"/>
            <w:vAlign w:val="center"/>
          </w:tcPr>
          <w:p>
            <w:pPr>
              <w:pStyle w:val="12"/>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发放及时率</w:t>
            </w:r>
          </w:p>
        </w:tc>
        <w:tc>
          <w:tcPr>
            <w:tcW w:w="2268" w:type="dxa"/>
            <w:vAlign w:val="center"/>
          </w:tcPr>
          <w:p>
            <w:pPr>
              <w:pStyle w:val="12"/>
            </w:pPr>
            <w:r>
              <w:t>根据测算</w:t>
            </w:r>
          </w:p>
        </w:tc>
        <w:tc>
          <w:tcPr>
            <w:tcW w:w="1276" w:type="dxa"/>
            <w:vAlign w:val="center"/>
          </w:tcPr>
          <w:p>
            <w:pPr>
              <w:pStyle w:val="12"/>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人员总成本</w:t>
            </w:r>
          </w:p>
        </w:tc>
        <w:tc>
          <w:tcPr>
            <w:tcW w:w="5386" w:type="dxa"/>
            <w:vAlign w:val="center"/>
          </w:tcPr>
          <w:p>
            <w:pPr>
              <w:pStyle w:val="12"/>
            </w:pPr>
            <w:r>
              <w:t>人员工资等总成本</w:t>
            </w:r>
          </w:p>
        </w:tc>
        <w:tc>
          <w:tcPr>
            <w:tcW w:w="2268" w:type="dxa"/>
            <w:vAlign w:val="center"/>
          </w:tcPr>
          <w:p>
            <w:pPr>
              <w:pStyle w:val="12"/>
            </w:pPr>
            <w:r>
              <w:t>预算批复</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保障退休人员待遇</w:t>
            </w:r>
          </w:p>
        </w:tc>
        <w:tc>
          <w:tcPr>
            <w:tcW w:w="5386" w:type="dxa"/>
            <w:vAlign w:val="center"/>
          </w:tcPr>
          <w:p>
            <w:pPr>
              <w:pStyle w:val="12"/>
            </w:pPr>
            <w:r>
              <w:t>保障退休人员待遇</w:t>
            </w:r>
          </w:p>
        </w:tc>
        <w:tc>
          <w:tcPr>
            <w:tcW w:w="2268" w:type="dxa"/>
            <w:vAlign w:val="center"/>
          </w:tcPr>
          <w:p>
            <w:pPr>
              <w:pStyle w:val="12"/>
            </w:pPr>
            <w:r>
              <w:t>保障退休人员待遇</w:t>
            </w:r>
          </w:p>
        </w:tc>
        <w:tc>
          <w:tcPr>
            <w:tcW w:w="1276" w:type="dxa"/>
            <w:vAlign w:val="center"/>
          </w:tcPr>
          <w:p>
            <w:pPr>
              <w:pStyle w:val="12"/>
            </w:pPr>
            <w:r>
              <w:t>保障退休人员待遇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保障退休人员待遇</w:t>
            </w:r>
          </w:p>
        </w:tc>
        <w:tc>
          <w:tcPr>
            <w:tcW w:w="5386" w:type="dxa"/>
            <w:vAlign w:val="center"/>
          </w:tcPr>
          <w:p>
            <w:pPr>
              <w:pStyle w:val="12"/>
            </w:pPr>
            <w:r>
              <w:t>保障退休人员待遇</w:t>
            </w:r>
          </w:p>
        </w:tc>
        <w:tc>
          <w:tcPr>
            <w:tcW w:w="2268" w:type="dxa"/>
            <w:vAlign w:val="center"/>
          </w:tcPr>
          <w:p>
            <w:pPr>
              <w:pStyle w:val="12"/>
            </w:pPr>
            <w:r>
              <w:t>保障退休人员待遇</w:t>
            </w:r>
          </w:p>
        </w:tc>
        <w:tc>
          <w:tcPr>
            <w:tcW w:w="1276" w:type="dxa"/>
            <w:vAlign w:val="center"/>
          </w:tcPr>
          <w:p>
            <w:pPr>
              <w:pStyle w:val="12"/>
            </w:pPr>
            <w:r>
              <w:t>保障退休人员待遇</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保障退休人员待遇</w:t>
            </w:r>
          </w:p>
        </w:tc>
        <w:tc>
          <w:tcPr>
            <w:tcW w:w="5386" w:type="dxa"/>
            <w:vAlign w:val="center"/>
          </w:tcPr>
          <w:p>
            <w:pPr>
              <w:pStyle w:val="12"/>
            </w:pPr>
            <w:r>
              <w:t>保障退休人员待遇</w:t>
            </w:r>
          </w:p>
        </w:tc>
        <w:tc>
          <w:tcPr>
            <w:tcW w:w="2268" w:type="dxa"/>
            <w:vAlign w:val="center"/>
          </w:tcPr>
          <w:p>
            <w:pPr>
              <w:pStyle w:val="12"/>
            </w:pPr>
            <w:r>
              <w:t>保障退休人员待遇</w:t>
            </w:r>
          </w:p>
        </w:tc>
        <w:tc>
          <w:tcPr>
            <w:tcW w:w="1276" w:type="dxa"/>
            <w:vAlign w:val="center"/>
          </w:tcPr>
          <w:p>
            <w:pPr>
              <w:pStyle w:val="12"/>
            </w:pPr>
            <w:r>
              <w:t>保障退休人员待遇</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保障退休人员待遇</w:t>
            </w:r>
          </w:p>
        </w:tc>
        <w:tc>
          <w:tcPr>
            <w:tcW w:w="5386" w:type="dxa"/>
            <w:vAlign w:val="center"/>
          </w:tcPr>
          <w:p>
            <w:pPr>
              <w:pStyle w:val="12"/>
            </w:pPr>
            <w:r>
              <w:t>保障退休人员待遇</w:t>
            </w:r>
          </w:p>
        </w:tc>
        <w:tc>
          <w:tcPr>
            <w:tcW w:w="2268" w:type="dxa"/>
            <w:vAlign w:val="center"/>
          </w:tcPr>
          <w:p>
            <w:pPr>
              <w:pStyle w:val="12"/>
            </w:pPr>
            <w:r>
              <w:t>保障退休人员待遇</w:t>
            </w:r>
          </w:p>
        </w:tc>
        <w:tc>
          <w:tcPr>
            <w:tcW w:w="1276" w:type="dxa"/>
            <w:vAlign w:val="center"/>
          </w:tcPr>
          <w:p>
            <w:pPr>
              <w:pStyle w:val="12"/>
            </w:pPr>
            <w:r>
              <w:t>保障退休人员待遇</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工作人员满意度</w:t>
            </w:r>
          </w:p>
        </w:tc>
        <w:tc>
          <w:tcPr>
            <w:tcW w:w="1276" w:type="dxa"/>
            <w:vAlign w:val="center"/>
          </w:tcPr>
          <w:p>
            <w:pPr>
              <w:pStyle w:val="12"/>
            </w:pPr>
            <w:r>
              <w:t>工作人员满意度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8、路灯电费绩效目标表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13011126P00000210012L</w:t>
            </w:r>
          </w:p>
        </w:tc>
        <w:tc>
          <w:tcPr>
            <w:tcW w:w="2835" w:type="dxa"/>
            <w:vAlign w:val="center"/>
          </w:tcPr>
          <w:p>
            <w:pPr>
              <w:pStyle w:val="10"/>
            </w:pPr>
            <w:r>
              <w:t>项目名称</w:t>
            </w:r>
          </w:p>
        </w:tc>
        <w:tc>
          <w:tcPr>
            <w:tcW w:w="6095" w:type="dxa"/>
            <w:gridSpan w:val="3"/>
            <w:vAlign w:val="center"/>
          </w:tcPr>
          <w:p>
            <w:pPr>
              <w:pStyle w:val="12"/>
            </w:pPr>
            <w:r>
              <w:t>路灯电费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eastAsiaTheme="minorEastAsia"/>
                <w:lang w:eastAsia="zh-CN"/>
              </w:rPr>
              <w:t>部门</w:t>
            </w:r>
            <w:r>
              <w:t>负责城区24条街道路灯、居民胡同照明共计3519杆、6402盏和亮化照明设施的维修维护工作，为使街道路灯和照明正常使用，并维修及时，保证亮化效果。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w:t>
            </w:r>
            <w:r>
              <w:rPr>
                <w:rFonts w:hint="eastAsia" w:eastAsiaTheme="minorEastAsia"/>
                <w:lang w:eastAsia="zh-CN"/>
              </w:rPr>
              <w:t>部门</w:t>
            </w:r>
            <w:r>
              <w:t>负责城区24条街道路灯、居民胡同照明共计3519杆、6402盏和亮化照明设施的维修维护工作，为使街道路灯和照明正常使用，并维修及时，保证亮化效果。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路灯数量</w:t>
            </w:r>
          </w:p>
        </w:tc>
        <w:tc>
          <w:tcPr>
            <w:tcW w:w="5386" w:type="dxa"/>
            <w:vAlign w:val="center"/>
          </w:tcPr>
          <w:p>
            <w:pPr>
              <w:pStyle w:val="12"/>
            </w:pPr>
            <w:r>
              <w:t>8094盏</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设施运转完好率</w:t>
            </w:r>
          </w:p>
        </w:tc>
        <w:tc>
          <w:tcPr>
            <w:tcW w:w="5386" w:type="dxa"/>
            <w:vAlign w:val="center"/>
          </w:tcPr>
          <w:p>
            <w:pPr>
              <w:pStyle w:val="12"/>
            </w:pPr>
            <w:r>
              <w:t>设施运转完好率</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w:t>
            </w:r>
          </w:p>
        </w:tc>
        <w:tc>
          <w:tcPr>
            <w:tcW w:w="5386" w:type="dxa"/>
            <w:vAlign w:val="center"/>
          </w:tcPr>
          <w:p>
            <w:pPr>
              <w:pStyle w:val="12"/>
            </w:pPr>
            <w:r>
              <w:t>及时</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不超预算</w:t>
            </w:r>
          </w:p>
        </w:tc>
        <w:tc>
          <w:tcPr>
            <w:tcW w:w="2268" w:type="dxa"/>
            <w:vAlign w:val="center"/>
          </w:tcPr>
          <w:p>
            <w:pPr>
              <w:pStyle w:val="12"/>
            </w:pPr>
            <w:r>
              <w:t>路灯管理办法</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提高居民出行安全度</w:t>
            </w:r>
          </w:p>
        </w:tc>
        <w:tc>
          <w:tcPr>
            <w:tcW w:w="5386" w:type="dxa"/>
            <w:vAlign w:val="center"/>
          </w:tcPr>
          <w:p>
            <w:pPr>
              <w:pStyle w:val="12"/>
            </w:pPr>
            <w:r>
              <w:t>为使街道路灯和照明正常使用</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提高居民出行安全度</w:t>
            </w:r>
          </w:p>
        </w:tc>
        <w:tc>
          <w:tcPr>
            <w:tcW w:w="5386" w:type="dxa"/>
            <w:vAlign w:val="center"/>
          </w:tcPr>
          <w:p>
            <w:pPr>
              <w:pStyle w:val="12"/>
            </w:pPr>
            <w:r>
              <w:t>为使街道路灯和照明正常使用</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提高居民出行安全度</w:t>
            </w:r>
          </w:p>
        </w:tc>
        <w:tc>
          <w:tcPr>
            <w:tcW w:w="5386" w:type="dxa"/>
            <w:vAlign w:val="center"/>
          </w:tcPr>
          <w:p>
            <w:pPr>
              <w:pStyle w:val="12"/>
            </w:pPr>
            <w:r>
              <w:t>为使街道路灯和照明正常使用</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提高居民出行安全度</w:t>
            </w:r>
          </w:p>
        </w:tc>
        <w:tc>
          <w:tcPr>
            <w:tcW w:w="5386" w:type="dxa"/>
            <w:vAlign w:val="center"/>
          </w:tcPr>
          <w:p>
            <w:pPr>
              <w:pStyle w:val="12"/>
            </w:pPr>
            <w:r>
              <w:t>为使街道路灯和照明正常使用</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服务群众满意度（%）</w:t>
            </w:r>
          </w:p>
        </w:tc>
        <w:tc>
          <w:tcPr>
            <w:tcW w:w="2268" w:type="dxa"/>
            <w:vAlign w:val="center"/>
          </w:tcPr>
          <w:p>
            <w:pPr>
              <w:pStyle w:val="12"/>
            </w:pPr>
            <w:r>
              <w:t>路灯管理办法</w:t>
            </w:r>
          </w:p>
        </w:tc>
        <w:tc>
          <w:tcPr>
            <w:tcW w:w="1276" w:type="dxa"/>
            <w:vAlign w:val="center"/>
          </w:tcPr>
          <w:p>
            <w:pPr>
              <w:pStyle w:val="12"/>
            </w:pPr>
            <w:r>
              <w:t>路灯管理办法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9、路灯电费及维修费绩效目标表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13011126P00000410899J</w:t>
            </w:r>
          </w:p>
        </w:tc>
        <w:tc>
          <w:tcPr>
            <w:tcW w:w="2835" w:type="dxa"/>
            <w:vAlign w:val="center"/>
          </w:tcPr>
          <w:p>
            <w:pPr>
              <w:pStyle w:val="10"/>
            </w:pPr>
            <w:r>
              <w:t>项目名称</w:t>
            </w:r>
          </w:p>
        </w:tc>
        <w:tc>
          <w:tcPr>
            <w:tcW w:w="6095" w:type="dxa"/>
            <w:gridSpan w:val="3"/>
            <w:vAlign w:val="center"/>
          </w:tcPr>
          <w:p>
            <w:pPr>
              <w:pStyle w:val="12"/>
            </w:pPr>
            <w:r>
              <w:t>路灯电费及维修费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460.00</w:t>
            </w:r>
          </w:p>
        </w:tc>
        <w:tc>
          <w:tcPr>
            <w:tcW w:w="2835" w:type="dxa"/>
            <w:vAlign w:val="center"/>
          </w:tcPr>
          <w:p>
            <w:pPr>
              <w:pStyle w:val="10"/>
            </w:pPr>
            <w:r>
              <w:t>其中：财政    资金</w:t>
            </w:r>
          </w:p>
        </w:tc>
        <w:tc>
          <w:tcPr>
            <w:tcW w:w="2551" w:type="dxa"/>
            <w:vAlign w:val="center"/>
          </w:tcPr>
          <w:p>
            <w:pPr>
              <w:pStyle w:val="12"/>
            </w:pPr>
            <w:r>
              <w:t>460.00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单位负责城区24条街道路灯、居民胡同照明共计3519杆、6402盏和亮化照明设施的维修维护工作，为使街道路灯和照明正常使用，并维修及时，保证亮化效果。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115.00</w:t>
            </w:r>
          </w:p>
        </w:tc>
        <w:tc>
          <w:tcPr>
            <w:tcW w:w="2835" w:type="dxa"/>
            <w:vAlign w:val="center"/>
          </w:tcPr>
          <w:p>
            <w:pPr>
              <w:pStyle w:val="13"/>
            </w:pPr>
            <w:r>
              <w:t>230.00</w:t>
            </w:r>
          </w:p>
        </w:tc>
        <w:tc>
          <w:tcPr>
            <w:tcW w:w="2551" w:type="dxa"/>
            <w:vAlign w:val="center"/>
          </w:tcPr>
          <w:p>
            <w:pPr>
              <w:pStyle w:val="13"/>
            </w:pPr>
            <w:r>
              <w:t>345.00</w:t>
            </w:r>
          </w:p>
        </w:tc>
        <w:tc>
          <w:tcPr>
            <w:tcW w:w="3544" w:type="dxa"/>
            <w:gridSpan w:val="2"/>
            <w:vAlign w:val="center"/>
          </w:tcPr>
          <w:p>
            <w:pPr>
              <w:pStyle w:val="13"/>
            </w:pPr>
            <w:r>
              <w:t>460.00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w:t>
            </w:r>
            <w:r>
              <w:rPr>
                <w:rFonts w:hint="eastAsia" w:eastAsiaTheme="minorEastAsia"/>
                <w:lang w:eastAsia="zh-CN"/>
              </w:rPr>
              <w:t>部门</w:t>
            </w:r>
            <w:r>
              <w:t>负责城区24条街道路灯、居民胡同照明共计3519杆、6402盏和亮化照明设施的维修维护工作，为使街道路灯和照明正常使用，并维修及时，保证亮化效果。</w:t>
            </w:r>
            <w:r>
              <w:tab/>
            </w:r>
            <w:r>
              <w:tab/>
            </w:r>
            <w:r>
              <w:tab/>
            </w:r>
            <w:r>
              <w:tab/>
            </w:r>
            <w:r>
              <w:tab/>
            </w:r>
            <w:r>
              <w:tab/>
            </w:r>
          </w:p>
          <w:p>
            <w:pPr>
              <w:pStyle w:val="12"/>
            </w:pP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路灯数量</w:t>
            </w:r>
          </w:p>
        </w:tc>
        <w:tc>
          <w:tcPr>
            <w:tcW w:w="5386" w:type="dxa"/>
            <w:vAlign w:val="center"/>
          </w:tcPr>
          <w:p>
            <w:pPr>
              <w:pStyle w:val="12"/>
            </w:pPr>
            <w:r>
              <w:t>8094盏</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设施运转完好率</w:t>
            </w:r>
          </w:p>
        </w:tc>
        <w:tc>
          <w:tcPr>
            <w:tcW w:w="5386" w:type="dxa"/>
            <w:vAlign w:val="center"/>
          </w:tcPr>
          <w:p>
            <w:pPr>
              <w:pStyle w:val="12"/>
            </w:pPr>
            <w:r>
              <w:t>设施运转完好率</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w:t>
            </w:r>
          </w:p>
        </w:tc>
        <w:tc>
          <w:tcPr>
            <w:tcW w:w="5386" w:type="dxa"/>
            <w:vAlign w:val="center"/>
          </w:tcPr>
          <w:p>
            <w:pPr>
              <w:pStyle w:val="12"/>
            </w:pPr>
            <w:r>
              <w:t>及时</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不超预算</w:t>
            </w:r>
          </w:p>
        </w:tc>
        <w:tc>
          <w:tcPr>
            <w:tcW w:w="2268" w:type="dxa"/>
            <w:vAlign w:val="center"/>
          </w:tcPr>
          <w:p>
            <w:pPr>
              <w:pStyle w:val="12"/>
            </w:pPr>
            <w:r>
              <w:t>路灯管理办法</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提高居民出行安全度</w:t>
            </w:r>
          </w:p>
        </w:tc>
        <w:tc>
          <w:tcPr>
            <w:tcW w:w="5386" w:type="dxa"/>
            <w:vAlign w:val="center"/>
          </w:tcPr>
          <w:p>
            <w:pPr>
              <w:pStyle w:val="12"/>
            </w:pPr>
            <w:r>
              <w:t>为使街道路灯和照明正常使用</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提高居民出行安全度</w:t>
            </w:r>
          </w:p>
        </w:tc>
        <w:tc>
          <w:tcPr>
            <w:tcW w:w="5386" w:type="dxa"/>
            <w:vAlign w:val="center"/>
          </w:tcPr>
          <w:p>
            <w:pPr>
              <w:pStyle w:val="12"/>
            </w:pPr>
            <w:r>
              <w:t>为使街道路灯和照明正常使用</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提高居民出行安全度</w:t>
            </w:r>
          </w:p>
        </w:tc>
        <w:tc>
          <w:tcPr>
            <w:tcW w:w="5386" w:type="dxa"/>
            <w:vAlign w:val="center"/>
          </w:tcPr>
          <w:p>
            <w:pPr>
              <w:pStyle w:val="12"/>
            </w:pPr>
            <w:r>
              <w:t>为使街道路灯和照明正常使用</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提高居民出行安全度</w:t>
            </w:r>
          </w:p>
        </w:tc>
        <w:tc>
          <w:tcPr>
            <w:tcW w:w="5386" w:type="dxa"/>
            <w:vAlign w:val="center"/>
          </w:tcPr>
          <w:p>
            <w:pPr>
              <w:pStyle w:val="12"/>
            </w:pPr>
            <w:r>
              <w:t>为使街道路灯和照明正常使用</w:t>
            </w:r>
          </w:p>
        </w:tc>
        <w:tc>
          <w:tcPr>
            <w:tcW w:w="2268" w:type="dxa"/>
            <w:vAlign w:val="center"/>
          </w:tcPr>
          <w:p>
            <w:pPr>
              <w:pStyle w:val="12"/>
            </w:pPr>
            <w:r>
              <w:t>路灯管理办法</w:t>
            </w:r>
          </w:p>
        </w:tc>
        <w:tc>
          <w:tcPr>
            <w:tcW w:w="1276" w:type="dxa"/>
            <w:vAlign w:val="center"/>
          </w:tcPr>
          <w:p>
            <w:pPr>
              <w:pStyle w:val="12"/>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服务群众满意度（%）</w:t>
            </w:r>
          </w:p>
        </w:tc>
        <w:tc>
          <w:tcPr>
            <w:tcW w:w="2268" w:type="dxa"/>
            <w:vAlign w:val="center"/>
          </w:tcPr>
          <w:p>
            <w:pPr>
              <w:pStyle w:val="12"/>
            </w:pPr>
            <w:r>
              <w:t>路灯管理办法</w:t>
            </w:r>
          </w:p>
        </w:tc>
        <w:tc>
          <w:tcPr>
            <w:tcW w:w="1276" w:type="dxa"/>
            <w:vAlign w:val="center"/>
          </w:tcPr>
          <w:p>
            <w:pPr>
              <w:pStyle w:val="12"/>
            </w:pPr>
            <w:r>
              <w:t>路灯管理办法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10、融雪剂费用绩效目标表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13011126P00000210240K</w:t>
            </w:r>
          </w:p>
        </w:tc>
        <w:tc>
          <w:tcPr>
            <w:tcW w:w="2835" w:type="dxa"/>
            <w:vAlign w:val="center"/>
          </w:tcPr>
          <w:p>
            <w:pPr>
              <w:pStyle w:val="10"/>
            </w:pPr>
            <w:r>
              <w:t>项目名称</w:t>
            </w:r>
          </w:p>
        </w:tc>
        <w:tc>
          <w:tcPr>
            <w:tcW w:w="6095" w:type="dxa"/>
            <w:gridSpan w:val="3"/>
            <w:vAlign w:val="center"/>
          </w:tcPr>
          <w:p>
            <w:pPr>
              <w:pStyle w:val="12"/>
            </w:pPr>
            <w:r>
              <w:t>融雪剂费用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融雪剂费用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1.为继续做好今年城区清雪工作，全力保障冬季城区道路安全畅通、市民出行便利以及城市环境整洁有序，根据往年清雪除冰工作经验和今年降雪形势预测以及结合当前我</w:t>
            </w:r>
            <w:r>
              <w:rPr>
                <w:rFonts w:hint="eastAsia" w:eastAsiaTheme="minorEastAsia"/>
                <w:lang w:eastAsia="zh-CN"/>
              </w:rPr>
              <w:t>部门</w:t>
            </w:r>
            <w:r>
              <w:t>融雪剂储备实际情况，现有融雪剂35吨，现有储备无法满足实际需求，现申请购买融雪剂专项费用30万元。</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执行公开率(%)</w:t>
            </w:r>
          </w:p>
        </w:tc>
        <w:tc>
          <w:tcPr>
            <w:tcW w:w="2268" w:type="dxa"/>
            <w:vAlign w:val="center"/>
          </w:tcPr>
          <w:p>
            <w:pPr>
              <w:pStyle w:val="12"/>
            </w:pPr>
            <w:r>
              <w:t>执行公开率(%)</w:t>
            </w:r>
          </w:p>
        </w:tc>
        <w:tc>
          <w:tcPr>
            <w:tcW w:w="1276" w:type="dxa"/>
            <w:vAlign w:val="center"/>
          </w:tcPr>
          <w:p>
            <w:pPr>
              <w:pStyle w:val="12"/>
            </w:pPr>
            <w:r>
              <w:t>执行公开率(%)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业务工作完成率（%）</w:t>
            </w:r>
          </w:p>
        </w:tc>
        <w:tc>
          <w:tcPr>
            <w:tcW w:w="1276" w:type="dxa"/>
            <w:vAlign w:val="center"/>
          </w:tcPr>
          <w:p>
            <w:pPr>
              <w:pStyle w:val="12"/>
            </w:pPr>
            <w:r>
              <w:t>业务工作完成率（%）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按时完成率</w:t>
            </w:r>
          </w:p>
        </w:tc>
        <w:tc>
          <w:tcPr>
            <w:tcW w:w="1276" w:type="dxa"/>
            <w:vAlign w:val="center"/>
          </w:tcPr>
          <w:p>
            <w:pPr>
              <w:pStyle w:val="12"/>
            </w:pPr>
            <w:r>
              <w:t>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项目总成本</w:t>
            </w:r>
          </w:p>
        </w:tc>
        <w:tc>
          <w:tcPr>
            <w:tcW w:w="1276" w:type="dxa"/>
            <w:vAlign w:val="center"/>
          </w:tcPr>
          <w:p>
            <w:pPr>
              <w:pStyle w:val="12"/>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w:t>
            </w:r>
          </w:p>
        </w:tc>
        <w:tc>
          <w:tcPr>
            <w:tcW w:w="5386" w:type="dxa"/>
            <w:vAlign w:val="center"/>
          </w:tcPr>
          <w:p>
            <w:pPr>
              <w:pStyle w:val="12"/>
            </w:pPr>
            <w:r>
              <w:t>环境改善</w:t>
            </w:r>
          </w:p>
        </w:tc>
        <w:tc>
          <w:tcPr>
            <w:tcW w:w="2268" w:type="dxa"/>
            <w:vAlign w:val="center"/>
          </w:tcPr>
          <w:p>
            <w:pPr>
              <w:pStyle w:val="12"/>
            </w:pPr>
            <w:r>
              <w:t>环境改善</w:t>
            </w:r>
          </w:p>
        </w:tc>
        <w:tc>
          <w:tcPr>
            <w:tcW w:w="1276" w:type="dxa"/>
            <w:vAlign w:val="center"/>
          </w:tcPr>
          <w:p>
            <w:pPr>
              <w:pStyle w:val="12"/>
            </w:pPr>
            <w:r>
              <w:t>环境改善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工作完成率</w:t>
            </w:r>
          </w:p>
        </w:tc>
        <w:tc>
          <w:tcPr>
            <w:tcW w:w="1276" w:type="dxa"/>
            <w:vAlign w:val="center"/>
          </w:tcPr>
          <w:p>
            <w:pPr>
              <w:pStyle w:val="12"/>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改善生态环境质量</w:t>
            </w:r>
          </w:p>
        </w:tc>
        <w:tc>
          <w:tcPr>
            <w:tcW w:w="1276" w:type="dxa"/>
            <w:vAlign w:val="center"/>
          </w:tcPr>
          <w:p>
            <w:pPr>
              <w:pStyle w:val="12"/>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综合利用率</w:t>
            </w:r>
          </w:p>
        </w:tc>
        <w:tc>
          <w:tcPr>
            <w:tcW w:w="1276" w:type="dxa"/>
            <w:vAlign w:val="center"/>
          </w:tcPr>
          <w:p>
            <w:pPr>
              <w:pStyle w:val="12"/>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服务对象的满意度</w:t>
            </w:r>
          </w:p>
        </w:tc>
        <w:tc>
          <w:tcPr>
            <w:tcW w:w="1276"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11、提前下达2025年市级农村垃圾治理工作奖补资金绩效目标表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13011125P000006100582</w:t>
            </w:r>
          </w:p>
        </w:tc>
        <w:tc>
          <w:tcPr>
            <w:tcW w:w="2835" w:type="dxa"/>
            <w:vAlign w:val="center"/>
          </w:tcPr>
          <w:p>
            <w:pPr>
              <w:pStyle w:val="10"/>
            </w:pPr>
            <w:r>
              <w:t>项目名称</w:t>
            </w:r>
          </w:p>
        </w:tc>
        <w:tc>
          <w:tcPr>
            <w:tcW w:w="6095" w:type="dxa"/>
            <w:gridSpan w:val="3"/>
            <w:vAlign w:val="center"/>
          </w:tcPr>
          <w:p>
            <w:pPr>
              <w:pStyle w:val="12"/>
            </w:pPr>
            <w:r>
              <w:t>提前下达2025年市级农村垃圾治理工作奖补资金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农村垃圾治理奖补资金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1.农村垃圾治理奖补资金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垃圾处置范围</w:t>
            </w:r>
          </w:p>
        </w:tc>
        <w:tc>
          <w:tcPr>
            <w:tcW w:w="5386" w:type="dxa"/>
            <w:vAlign w:val="center"/>
          </w:tcPr>
          <w:p>
            <w:pPr>
              <w:pStyle w:val="12"/>
            </w:pPr>
            <w:r>
              <w:t>对农村148个村落进行无害化垃圾处理</w:t>
            </w:r>
          </w:p>
        </w:tc>
        <w:tc>
          <w:tcPr>
            <w:tcW w:w="2268" w:type="dxa"/>
            <w:vAlign w:val="center"/>
          </w:tcPr>
          <w:p>
            <w:pPr>
              <w:pStyle w:val="12"/>
            </w:pPr>
            <w:r>
              <w:t>148个村落</w:t>
            </w:r>
          </w:p>
        </w:tc>
        <w:tc>
          <w:tcPr>
            <w:tcW w:w="1276" w:type="dxa"/>
            <w:vAlign w:val="center"/>
          </w:tcPr>
          <w:p>
            <w:pPr>
              <w:pStyle w:val="12"/>
            </w:pPr>
            <w:r>
              <w:t>大气污染指标及垃圾焚烧管理原则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处置率</w:t>
            </w:r>
          </w:p>
        </w:tc>
        <w:tc>
          <w:tcPr>
            <w:tcW w:w="5386" w:type="dxa"/>
            <w:vAlign w:val="center"/>
          </w:tcPr>
          <w:p>
            <w:pPr>
              <w:pStyle w:val="12"/>
            </w:pPr>
            <w:r>
              <w:t>服务标准</w:t>
            </w:r>
          </w:p>
        </w:tc>
        <w:tc>
          <w:tcPr>
            <w:tcW w:w="2268" w:type="dxa"/>
            <w:vAlign w:val="center"/>
          </w:tcPr>
          <w:p>
            <w:pPr>
              <w:pStyle w:val="12"/>
            </w:pPr>
            <w:r>
              <w:t>100业务工作完成率（%）</w:t>
            </w:r>
          </w:p>
        </w:tc>
        <w:tc>
          <w:tcPr>
            <w:tcW w:w="1276" w:type="dxa"/>
            <w:vAlign w:val="center"/>
          </w:tcPr>
          <w:p>
            <w:pPr>
              <w:pStyle w:val="12"/>
            </w:pPr>
            <w:r>
              <w:t>大气污染指标及垃圾焚烧管理原则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垃圾处置及时率</w:t>
            </w:r>
          </w:p>
        </w:tc>
        <w:tc>
          <w:tcPr>
            <w:tcW w:w="5386" w:type="dxa"/>
            <w:vAlign w:val="center"/>
          </w:tcPr>
          <w:p>
            <w:pPr>
              <w:pStyle w:val="12"/>
            </w:pPr>
            <w:r>
              <w:t>按计划及时处理</w:t>
            </w:r>
          </w:p>
        </w:tc>
        <w:tc>
          <w:tcPr>
            <w:tcW w:w="2268" w:type="dxa"/>
            <w:vAlign w:val="center"/>
          </w:tcPr>
          <w:p>
            <w:pPr>
              <w:pStyle w:val="12"/>
            </w:pPr>
            <w:r>
              <w:t>每天处理</w:t>
            </w:r>
          </w:p>
        </w:tc>
        <w:tc>
          <w:tcPr>
            <w:tcW w:w="1276" w:type="dxa"/>
            <w:vAlign w:val="center"/>
          </w:tcPr>
          <w:p>
            <w:pPr>
              <w:pStyle w:val="12"/>
            </w:pPr>
            <w:r>
              <w:t>大气污染指标及垃圾焚烧管理原则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不超预算</w:t>
            </w:r>
          </w:p>
        </w:tc>
        <w:tc>
          <w:tcPr>
            <w:tcW w:w="2268" w:type="dxa"/>
            <w:vAlign w:val="center"/>
          </w:tcPr>
          <w:p>
            <w:pPr>
              <w:pStyle w:val="12"/>
            </w:pPr>
            <w:r>
              <w:t>≤18项目总成本</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改善生态环境质量</w:t>
            </w:r>
          </w:p>
        </w:tc>
        <w:tc>
          <w:tcPr>
            <w:tcW w:w="1276" w:type="dxa"/>
            <w:vAlign w:val="center"/>
          </w:tcPr>
          <w:p>
            <w:pPr>
              <w:pStyle w:val="12"/>
            </w:pPr>
            <w:r>
              <w:t>大气污染指标及垃圾焚烧管理原则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服务群体满意度（%）</w:t>
            </w:r>
          </w:p>
        </w:tc>
        <w:tc>
          <w:tcPr>
            <w:tcW w:w="2268" w:type="dxa"/>
            <w:vAlign w:val="center"/>
          </w:tcPr>
          <w:p>
            <w:pPr>
              <w:pStyle w:val="12"/>
            </w:pPr>
            <w:r>
              <w:t>服务群体满意度（%）</w:t>
            </w:r>
          </w:p>
        </w:tc>
        <w:tc>
          <w:tcPr>
            <w:tcW w:w="1276" w:type="dxa"/>
            <w:vAlign w:val="center"/>
          </w:tcPr>
          <w:p>
            <w:pPr>
              <w:pStyle w:val="12"/>
            </w:pPr>
            <w:r>
              <w:t>群众满意指数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13011126P000004107586</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0.49</w:t>
            </w:r>
          </w:p>
        </w:tc>
        <w:tc>
          <w:tcPr>
            <w:tcW w:w="2835" w:type="dxa"/>
            <w:vAlign w:val="center"/>
          </w:tcPr>
          <w:p>
            <w:pPr>
              <w:pStyle w:val="10"/>
            </w:pPr>
            <w:r>
              <w:t>其中：财政    资金</w:t>
            </w:r>
          </w:p>
        </w:tc>
        <w:tc>
          <w:tcPr>
            <w:tcW w:w="2551" w:type="dxa"/>
            <w:vAlign w:val="center"/>
          </w:tcPr>
          <w:p>
            <w:pPr>
              <w:pStyle w:val="12"/>
            </w:pPr>
            <w:r>
              <w:t>0.49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0.12</w:t>
            </w:r>
          </w:p>
        </w:tc>
        <w:tc>
          <w:tcPr>
            <w:tcW w:w="2835" w:type="dxa"/>
            <w:vAlign w:val="center"/>
          </w:tcPr>
          <w:p>
            <w:pPr>
              <w:pStyle w:val="13"/>
            </w:pPr>
            <w:r>
              <w:t>0.24</w:t>
            </w:r>
          </w:p>
        </w:tc>
        <w:tc>
          <w:tcPr>
            <w:tcW w:w="2551" w:type="dxa"/>
            <w:vAlign w:val="center"/>
          </w:tcPr>
          <w:p>
            <w:pPr>
              <w:pStyle w:val="13"/>
            </w:pPr>
            <w:r>
              <w:t>0.36</w:t>
            </w:r>
          </w:p>
        </w:tc>
        <w:tc>
          <w:tcPr>
            <w:tcW w:w="3544" w:type="dxa"/>
            <w:gridSpan w:val="2"/>
            <w:vAlign w:val="center"/>
          </w:tcPr>
          <w:p>
            <w:pPr>
              <w:pStyle w:val="13"/>
            </w:pPr>
            <w:r>
              <w:t>0.49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执行公开率(%)</w:t>
            </w:r>
          </w:p>
        </w:tc>
        <w:tc>
          <w:tcPr>
            <w:tcW w:w="2268" w:type="dxa"/>
            <w:vAlign w:val="center"/>
          </w:tcPr>
          <w:p>
            <w:pPr>
              <w:pStyle w:val="12"/>
            </w:pPr>
            <w:r>
              <w:t>执行公开率(%)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业务工作完成率（%）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按期完成率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项目总成本</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运行成本</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工作完成率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结果准确性</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综合利用率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服务对象满意度（%）</w:t>
            </w:r>
          </w:p>
        </w:tc>
        <w:tc>
          <w:tcPr>
            <w:tcW w:w="1276" w:type="dxa"/>
            <w:vAlign w:val="center"/>
          </w:tcPr>
          <w:p>
            <w:pPr>
              <w:pStyle w:val="12"/>
            </w:pPr>
            <w:r>
              <w:t>行政事业单位应缴残保金</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13、自收自支人员遗属补助绩效目标表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13011126P00000410839B</w:t>
            </w:r>
          </w:p>
        </w:tc>
        <w:tc>
          <w:tcPr>
            <w:tcW w:w="2835" w:type="dxa"/>
            <w:vAlign w:val="center"/>
          </w:tcPr>
          <w:p>
            <w:pPr>
              <w:pStyle w:val="10"/>
            </w:pPr>
            <w:r>
              <w:t>项目名称</w:t>
            </w:r>
          </w:p>
        </w:tc>
        <w:tc>
          <w:tcPr>
            <w:tcW w:w="6095" w:type="dxa"/>
            <w:gridSpan w:val="3"/>
            <w:vAlign w:val="center"/>
          </w:tcPr>
          <w:p>
            <w:pPr>
              <w:pStyle w:val="12"/>
            </w:pPr>
            <w:r>
              <w:t>自收自支人员遗属补助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w:t>
            </w:r>
          </w:p>
        </w:tc>
        <w:tc>
          <w:tcPr>
            <w:tcW w:w="2835" w:type="dxa"/>
            <w:vAlign w:val="center"/>
          </w:tcPr>
          <w:p>
            <w:pPr>
              <w:pStyle w:val="10"/>
            </w:pPr>
            <w:r>
              <w:t>其中：财政    资金</w:t>
            </w:r>
          </w:p>
        </w:tc>
        <w:tc>
          <w:tcPr>
            <w:tcW w:w="2551" w:type="dxa"/>
            <w:vAlign w:val="center"/>
          </w:tcPr>
          <w:p>
            <w:pPr>
              <w:pStyle w:val="12"/>
            </w:pPr>
            <w:r>
              <w:t>1.06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自收自支人员遗属补助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0.26</w:t>
            </w:r>
          </w:p>
        </w:tc>
        <w:tc>
          <w:tcPr>
            <w:tcW w:w="2835" w:type="dxa"/>
            <w:vAlign w:val="center"/>
          </w:tcPr>
          <w:p>
            <w:pPr>
              <w:pStyle w:val="13"/>
            </w:pPr>
            <w:r>
              <w:t>0.53</w:t>
            </w:r>
          </w:p>
        </w:tc>
        <w:tc>
          <w:tcPr>
            <w:tcW w:w="2551" w:type="dxa"/>
            <w:vAlign w:val="center"/>
          </w:tcPr>
          <w:p>
            <w:pPr>
              <w:pStyle w:val="13"/>
            </w:pPr>
            <w:r>
              <w:t>0.79</w:t>
            </w:r>
          </w:p>
        </w:tc>
        <w:tc>
          <w:tcPr>
            <w:tcW w:w="3544" w:type="dxa"/>
            <w:gridSpan w:val="2"/>
            <w:vAlign w:val="center"/>
          </w:tcPr>
          <w:p>
            <w:pPr>
              <w:pStyle w:val="13"/>
            </w:pPr>
            <w:r>
              <w:t>1.06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1.自收自支人员遗属补助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执行公开率(%)</w:t>
            </w:r>
          </w:p>
        </w:tc>
        <w:tc>
          <w:tcPr>
            <w:tcW w:w="2268" w:type="dxa"/>
            <w:vAlign w:val="center"/>
          </w:tcPr>
          <w:p>
            <w:pPr>
              <w:pStyle w:val="12"/>
            </w:pPr>
            <w:r>
              <w:t>执行公开率(%)</w:t>
            </w:r>
          </w:p>
        </w:tc>
        <w:tc>
          <w:tcPr>
            <w:tcW w:w="1276" w:type="dxa"/>
            <w:vAlign w:val="center"/>
          </w:tcPr>
          <w:p>
            <w:pPr>
              <w:pStyle w:val="12"/>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业务工作完成率（%）</w:t>
            </w:r>
          </w:p>
        </w:tc>
        <w:tc>
          <w:tcPr>
            <w:tcW w:w="1276" w:type="dxa"/>
            <w:vAlign w:val="center"/>
          </w:tcPr>
          <w:p>
            <w:pPr>
              <w:pStyle w:val="12"/>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按期完成率</w:t>
            </w:r>
          </w:p>
        </w:tc>
        <w:tc>
          <w:tcPr>
            <w:tcW w:w="1276" w:type="dxa"/>
            <w:vAlign w:val="center"/>
          </w:tcPr>
          <w:p>
            <w:pPr>
              <w:pStyle w:val="12"/>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项目总成本</w:t>
            </w:r>
          </w:p>
        </w:tc>
        <w:tc>
          <w:tcPr>
            <w:tcW w:w="1276" w:type="dxa"/>
            <w:vAlign w:val="center"/>
          </w:tcPr>
          <w:p>
            <w:pPr>
              <w:pStyle w:val="12"/>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运行成本</w:t>
            </w:r>
          </w:p>
        </w:tc>
        <w:tc>
          <w:tcPr>
            <w:tcW w:w="1276" w:type="dxa"/>
            <w:vAlign w:val="center"/>
          </w:tcPr>
          <w:p>
            <w:pPr>
              <w:pStyle w:val="12"/>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工作完成率</w:t>
            </w:r>
          </w:p>
        </w:tc>
        <w:tc>
          <w:tcPr>
            <w:tcW w:w="1276" w:type="dxa"/>
            <w:vAlign w:val="center"/>
          </w:tcPr>
          <w:p>
            <w:pPr>
              <w:pStyle w:val="12"/>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结果准确性</w:t>
            </w:r>
          </w:p>
        </w:tc>
        <w:tc>
          <w:tcPr>
            <w:tcW w:w="1276" w:type="dxa"/>
            <w:vAlign w:val="center"/>
          </w:tcPr>
          <w:p>
            <w:pPr>
              <w:pStyle w:val="12"/>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综合利用率</w:t>
            </w:r>
          </w:p>
        </w:tc>
        <w:tc>
          <w:tcPr>
            <w:tcW w:w="1276" w:type="dxa"/>
            <w:vAlign w:val="center"/>
          </w:tcPr>
          <w:p>
            <w:pPr>
              <w:pStyle w:val="12"/>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服务对象满意度（%）</w:t>
            </w:r>
          </w:p>
        </w:tc>
        <w:tc>
          <w:tcPr>
            <w:tcW w:w="1276" w:type="dxa"/>
            <w:vAlign w:val="center"/>
          </w:tcPr>
          <w:p>
            <w:pPr>
              <w:pStyle w:val="12"/>
            </w:pPr>
            <w:r>
              <w:t>自收自支人员遗属补助</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13011126P00000410771L</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5.83</w:t>
            </w:r>
          </w:p>
        </w:tc>
        <w:tc>
          <w:tcPr>
            <w:tcW w:w="2835" w:type="dxa"/>
            <w:vAlign w:val="center"/>
          </w:tcPr>
          <w:p>
            <w:pPr>
              <w:pStyle w:val="10"/>
            </w:pPr>
            <w:r>
              <w:t>其中：财政    资金</w:t>
            </w:r>
          </w:p>
        </w:tc>
        <w:tc>
          <w:tcPr>
            <w:tcW w:w="2551" w:type="dxa"/>
            <w:vAlign w:val="center"/>
          </w:tcPr>
          <w:p>
            <w:pPr>
              <w:pStyle w:val="12"/>
            </w:pPr>
            <w:r>
              <w:t>5.83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1.46</w:t>
            </w:r>
          </w:p>
        </w:tc>
        <w:tc>
          <w:tcPr>
            <w:tcW w:w="2835" w:type="dxa"/>
            <w:vAlign w:val="center"/>
          </w:tcPr>
          <w:p>
            <w:pPr>
              <w:pStyle w:val="13"/>
            </w:pPr>
            <w:r>
              <w:t>2.91</w:t>
            </w:r>
          </w:p>
        </w:tc>
        <w:tc>
          <w:tcPr>
            <w:tcW w:w="2551" w:type="dxa"/>
            <w:vAlign w:val="center"/>
          </w:tcPr>
          <w:p>
            <w:pPr>
              <w:pStyle w:val="13"/>
            </w:pPr>
            <w:r>
              <w:t>4.37</w:t>
            </w:r>
          </w:p>
        </w:tc>
        <w:tc>
          <w:tcPr>
            <w:tcW w:w="3544" w:type="dxa"/>
            <w:gridSpan w:val="2"/>
            <w:vAlign w:val="center"/>
          </w:tcPr>
          <w:p>
            <w:pPr>
              <w:pStyle w:val="13"/>
            </w:pPr>
            <w:r>
              <w:t>5.83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执行公开率(%)</w:t>
            </w:r>
          </w:p>
        </w:tc>
        <w:tc>
          <w:tcPr>
            <w:tcW w:w="2268" w:type="dxa"/>
            <w:vAlign w:val="center"/>
          </w:tcPr>
          <w:p>
            <w:pPr>
              <w:pStyle w:val="12"/>
            </w:pPr>
            <w:r>
              <w:t>执行公开率(%)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业务工作完成率（%）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按期完成率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项目总成本</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运行成本</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工作完成率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结果准确性</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综合利用率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服务对象满意度（%）</w:t>
            </w:r>
          </w:p>
        </w:tc>
        <w:tc>
          <w:tcPr>
            <w:tcW w:w="1276" w:type="dxa"/>
            <w:vAlign w:val="center"/>
          </w:tcPr>
          <w:p>
            <w:pPr>
              <w:pStyle w:val="12"/>
            </w:pPr>
            <w:r>
              <w:t>行政事业单位应缴残保金</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13011126P00000410783P</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5.17</w:t>
            </w:r>
          </w:p>
        </w:tc>
        <w:tc>
          <w:tcPr>
            <w:tcW w:w="2835" w:type="dxa"/>
            <w:vAlign w:val="center"/>
          </w:tcPr>
          <w:p>
            <w:pPr>
              <w:pStyle w:val="10"/>
            </w:pPr>
            <w:r>
              <w:t>其中：财政    资金</w:t>
            </w:r>
          </w:p>
        </w:tc>
        <w:tc>
          <w:tcPr>
            <w:tcW w:w="2551" w:type="dxa"/>
            <w:vAlign w:val="center"/>
          </w:tcPr>
          <w:p>
            <w:pPr>
              <w:pStyle w:val="12"/>
            </w:pPr>
            <w:r>
              <w:t>5.17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1.29</w:t>
            </w:r>
          </w:p>
        </w:tc>
        <w:tc>
          <w:tcPr>
            <w:tcW w:w="2835" w:type="dxa"/>
            <w:vAlign w:val="center"/>
          </w:tcPr>
          <w:p>
            <w:pPr>
              <w:pStyle w:val="13"/>
            </w:pPr>
            <w:r>
              <w:t>2.58</w:t>
            </w:r>
          </w:p>
        </w:tc>
        <w:tc>
          <w:tcPr>
            <w:tcW w:w="2551" w:type="dxa"/>
            <w:vAlign w:val="center"/>
          </w:tcPr>
          <w:p>
            <w:pPr>
              <w:pStyle w:val="13"/>
            </w:pPr>
            <w:r>
              <w:t>3.87</w:t>
            </w:r>
          </w:p>
        </w:tc>
        <w:tc>
          <w:tcPr>
            <w:tcW w:w="3544" w:type="dxa"/>
            <w:gridSpan w:val="2"/>
            <w:vAlign w:val="center"/>
          </w:tcPr>
          <w:p>
            <w:pPr>
              <w:pStyle w:val="13"/>
            </w:pPr>
            <w:r>
              <w:t>5.17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执行公开率(%)</w:t>
            </w:r>
          </w:p>
        </w:tc>
        <w:tc>
          <w:tcPr>
            <w:tcW w:w="2268" w:type="dxa"/>
            <w:vAlign w:val="center"/>
          </w:tcPr>
          <w:p>
            <w:pPr>
              <w:pStyle w:val="12"/>
            </w:pPr>
            <w:r>
              <w:t>执行公开率(%)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业务工作完成率（%）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按期完成率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项目总成本</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运行成本</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工作完成率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结果准确性</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综合利用率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服务对象满意度（%）</w:t>
            </w:r>
          </w:p>
        </w:tc>
        <w:tc>
          <w:tcPr>
            <w:tcW w:w="1276" w:type="dxa"/>
            <w:vAlign w:val="center"/>
          </w:tcPr>
          <w:p>
            <w:pPr>
              <w:pStyle w:val="12"/>
            </w:pPr>
            <w:r>
              <w:t>行政事业单位应缴残保金</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13011126P00000410647D</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8.75</w:t>
            </w:r>
          </w:p>
        </w:tc>
        <w:tc>
          <w:tcPr>
            <w:tcW w:w="2835" w:type="dxa"/>
            <w:vAlign w:val="center"/>
          </w:tcPr>
          <w:p>
            <w:pPr>
              <w:pStyle w:val="13"/>
            </w:pPr>
            <w:r>
              <w:t>17.50</w:t>
            </w:r>
          </w:p>
        </w:tc>
        <w:tc>
          <w:tcPr>
            <w:tcW w:w="2551" w:type="dxa"/>
            <w:vAlign w:val="center"/>
          </w:tcPr>
          <w:p>
            <w:pPr>
              <w:pStyle w:val="13"/>
            </w:pPr>
            <w:r>
              <w:t>26.25</w:t>
            </w:r>
          </w:p>
        </w:tc>
        <w:tc>
          <w:tcPr>
            <w:tcW w:w="3544" w:type="dxa"/>
            <w:gridSpan w:val="2"/>
            <w:vAlign w:val="center"/>
          </w:tcPr>
          <w:p>
            <w:pPr>
              <w:pStyle w:val="13"/>
            </w:pPr>
            <w:r>
              <w:t>35.00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保障退休人员统筹外工资</w:t>
            </w:r>
          </w:p>
        </w:tc>
        <w:tc>
          <w:tcPr>
            <w:tcW w:w="2268" w:type="dxa"/>
            <w:vAlign w:val="center"/>
          </w:tcPr>
          <w:p>
            <w:pPr>
              <w:pStyle w:val="12"/>
            </w:pPr>
            <w:r>
              <w:t>根据测算</w:t>
            </w:r>
          </w:p>
        </w:tc>
        <w:tc>
          <w:tcPr>
            <w:tcW w:w="1276" w:type="dxa"/>
            <w:vAlign w:val="center"/>
          </w:tcPr>
          <w:p>
            <w:pPr>
              <w:pStyle w:val="12"/>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足额保障率</w:t>
            </w:r>
          </w:p>
        </w:tc>
        <w:tc>
          <w:tcPr>
            <w:tcW w:w="5386" w:type="dxa"/>
            <w:vAlign w:val="center"/>
          </w:tcPr>
          <w:p>
            <w:pPr>
              <w:pStyle w:val="12"/>
            </w:pPr>
            <w:r>
              <w:t>保障退休人员统筹外工资</w:t>
            </w:r>
          </w:p>
        </w:tc>
        <w:tc>
          <w:tcPr>
            <w:tcW w:w="2268" w:type="dxa"/>
            <w:vAlign w:val="center"/>
          </w:tcPr>
          <w:p>
            <w:pPr>
              <w:pStyle w:val="12"/>
            </w:pPr>
            <w:r>
              <w:t>根据测算</w:t>
            </w:r>
          </w:p>
        </w:tc>
        <w:tc>
          <w:tcPr>
            <w:tcW w:w="1276" w:type="dxa"/>
            <w:vAlign w:val="center"/>
          </w:tcPr>
          <w:p>
            <w:pPr>
              <w:pStyle w:val="12"/>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发放及时率</w:t>
            </w:r>
          </w:p>
        </w:tc>
        <w:tc>
          <w:tcPr>
            <w:tcW w:w="2268" w:type="dxa"/>
            <w:vAlign w:val="center"/>
          </w:tcPr>
          <w:p>
            <w:pPr>
              <w:pStyle w:val="12"/>
            </w:pPr>
            <w:r>
              <w:t>根据测算</w:t>
            </w:r>
          </w:p>
        </w:tc>
        <w:tc>
          <w:tcPr>
            <w:tcW w:w="1276" w:type="dxa"/>
            <w:vAlign w:val="center"/>
          </w:tcPr>
          <w:p>
            <w:pPr>
              <w:pStyle w:val="12"/>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人员总成本</w:t>
            </w:r>
          </w:p>
        </w:tc>
        <w:tc>
          <w:tcPr>
            <w:tcW w:w="5386" w:type="dxa"/>
            <w:vAlign w:val="center"/>
          </w:tcPr>
          <w:p>
            <w:pPr>
              <w:pStyle w:val="12"/>
            </w:pPr>
            <w:r>
              <w:t>人员工资等总成本</w:t>
            </w:r>
          </w:p>
        </w:tc>
        <w:tc>
          <w:tcPr>
            <w:tcW w:w="2268" w:type="dxa"/>
            <w:vAlign w:val="center"/>
          </w:tcPr>
          <w:p>
            <w:pPr>
              <w:pStyle w:val="12"/>
            </w:pPr>
            <w:r>
              <w:t>预算批复</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保障退休人员待遇</w:t>
            </w:r>
          </w:p>
        </w:tc>
        <w:tc>
          <w:tcPr>
            <w:tcW w:w="5386" w:type="dxa"/>
            <w:vAlign w:val="center"/>
          </w:tcPr>
          <w:p>
            <w:pPr>
              <w:pStyle w:val="12"/>
            </w:pPr>
            <w:r>
              <w:t>保障退休人员待遇</w:t>
            </w:r>
          </w:p>
        </w:tc>
        <w:tc>
          <w:tcPr>
            <w:tcW w:w="2268" w:type="dxa"/>
            <w:vAlign w:val="center"/>
          </w:tcPr>
          <w:p>
            <w:pPr>
              <w:pStyle w:val="12"/>
            </w:pPr>
            <w:r>
              <w:t>保障退休人员待遇</w:t>
            </w:r>
          </w:p>
        </w:tc>
        <w:tc>
          <w:tcPr>
            <w:tcW w:w="1276" w:type="dxa"/>
            <w:vAlign w:val="center"/>
          </w:tcPr>
          <w:p>
            <w:pPr>
              <w:pStyle w:val="12"/>
            </w:pPr>
            <w:r>
              <w:t>保障退休人员待遇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保障退休人员待遇</w:t>
            </w:r>
          </w:p>
        </w:tc>
        <w:tc>
          <w:tcPr>
            <w:tcW w:w="5386" w:type="dxa"/>
            <w:vAlign w:val="center"/>
          </w:tcPr>
          <w:p>
            <w:pPr>
              <w:pStyle w:val="12"/>
            </w:pPr>
            <w:r>
              <w:t>保障退休人员待遇</w:t>
            </w:r>
          </w:p>
        </w:tc>
        <w:tc>
          <w:tcPr>
            <w:tcW w:w="2268" w:type="dxa"/>
            <w:vAlign w:val="center"/>
          </w:tcPr>
          <w:p>
            <w:pPr>
              <w:pStyle w:val="12"/>
            </w:pPr>
            <w:r>
              <w:t>保障退休人员待遇</w:t>
            </w:r>
          </w:p>
        </w:tc>
        <w:tc>
          <w:tcPr>
            <w:tcW w:w="1276" w:type="dxa"/>
            <w:vAlign w:val="center"/>
          </w:tcPr>
          <w:p>
            <w:pPr>
              <w:pStyle w:val="12"/>
            </w:pPr>
            <w:r>
              <w:t>保障退休人员待遇</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保障退休人员待遇</w:t>
            </w:r>
          </w:p>
        </w:tc>
        <w:tc>
          <w:tcPr>
            <w:tcW w:w="5386" w:type="dxa"/>
            <w:vAlign w:val="center"/>
          </w:tcPr>
          <w:p>
            <w:pPr>
              <w:pStyle w:val="12"/>
            </w:pPr>
            <w:r>
              <w:t>保障退休人员待遇</w:t>
            </w:r>
          </w:p>
        </w:tc>
        <w:tc>
          <w:tcPr>
            <w:tcW w:w="2268" w:type="dxa"/>
            <w:vAlign w:val="center"/>
          </w:tcPr>
          <w:p>
            <w:pPr>
              <w:pStyle w:val="12"/>
            </w:pPr>
            <w:r>
              <w:t>保障退休人员待遇</w:t>
            </w:r>
          </w:p>
        </w:tc>
        <w:tc>
          <w:tcPr>
            <w:tcW w:w="1276" w:type="dxa"/>
            <w:vAlign w:val="center"/>
          </w:tcPr>
          <w:p>
            <w:pPr>
              <w:pStyle w:val="12"/>
            </w:pPr>
            <w:r>
              <w:t>保障退休人员待遇</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保障退休人员待遇</w:t>
            </w:r>
          </w:p>
        </w:tc>
        <w:tc>
          <w:tcPr>
            <w:tcW w:w="5386" w:type="dxa"/>
            <w:vAlign w:val="center"/>
          </w:tcPr>
          <w:p>
            <w:pPr>
              <w:pStyle w:val="12"/>
            </w:pPr>
            <w:r>
              <w:t>保障退休人员待遇</w:t>
            </w:r>
          </w:p>
        </w:tc>
        <w:tc>
          <w:tcPr>
            <w:tcW w:w="2268" w:type="dxa"/>
            <w:vAlign w:val="center"/>
          </w:tcPr>
          <w:p>
            <w:pPr>
              <w:pStyle w:val="12"/>
            </w:pPr>
            <w:r>
              <w:t>保障退休人员待遇</w:t>
            </w:r>
          </w:p>
        </w:tc>
        <w:tc>
          <w:tcPr>
            <w:tcW w:w="1276" w:type="dxa"/>
            <w:vAlign w:val="center"/>
          </w:tcPr>
          <w:p>
            <w:pPr>
              <w:pStyle w:val="12"/>
            </w:pPr>
            <w:r>
              <w:t>保障退休人员待遇</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工作人员满意度</w:t>
            </w:r>
          </w:p>
        </w:tc>
        <w:tc>
          <w:tcPr>
            <w:tcW w:w="1276" w:type="dxa"/>
            <w:vAlign w:val="center"/>
          </w:tcPr>
          <w:p>
            <w:pPr>
              <w:pStyle w:val="12"/>
            </w:pPr>
            <w:r>
              <w:t>工作人员满意度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17、市政维护所人员经费绩效目标表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13011126P00000410671B</w:t>
            </w:r>
          </w:p>
        </w:tc>
        <w:tc>
          <w:tcPr>
            <w:tcW w:w="2835" w:type="dxa"/>
            <w:vAlign w:val="center"/>
          </w:tcPr>
          <w:p>
            <w:pPr>
              <w:pStyle w:val="10"/>
            </w:pPr>
            <w:r>
              <w:t>项目名称</w:t>
            </w:r>
          </w:p>
        </w:tc>
        <w:tc>
          <w:tcPr>
            <w:tcW w:w="6095" w:type="dxa"/>
            <w:gridSpan w:val="3"/>
            <w:vAlign w:val="center"/>
          </w:tcPr>
          <w:p>
            <w:pPr>
              <w:pStyle w:val="12"/>
            </w:pPr>
            <w:r>
              <w:t>市政维护所人员经费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497.81</w:t>
            </w:r>
          </w:p>
        </w:tc>
        <w:tc>
          <w:tcPr>
            <w:tcW w:w="2835" w:type="dxa"/>
            <w:vAlign w:val="center"/>
          </w:tcPr>
          <w:p>
            <w:pPr>
              <w:pStyle w:val="10"/>
            </w:pPr>
            <w:r>
              <w:t>其中：财政    资金</w:t>
            </w:r>
          </w:p>
        </w:tc>
        <w:tc>
          <w:tcPr>
            <w:tcW w:w="2551" w:type="dxa"/>
            <w:vAlign w:val="center"/>
          </w:tcPr>
          <w:p>
            <w:pPr>
              <w:pStyle w:val="12"/>
            </w:pPr>
            <w:r>
              <w:t>497.81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565005市政维护所人员经费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124.45</w:t>
            </w:r>
          </w:p>
        </w:tc>
        <w:tc>
          <w:tcPr>
            <w:tcW w:w="2835" w:type="dxa"/>
            <w:vAlign w:val="center"/>
          </w:tcPr>
          <w:p>
            <w:pPr>
              <w:pStyle w:val="13"/>
            </w:pPr>
            <w:r>
              <w:t>248.91</w:t>
            </w:r>
          </w:p>
        </w:tc>
        <w:tc>
          <w:tcPr>
            <w:tcW w:w="2551" w:type="dxa"/>
            <w:vAlign w:val="center"/>
          </w:tcPr>
          <w:p>
            <w:pPr>
              <w:pStyle w:val="13"/>
            </w:pPr>
            <w:r>
              <w:t>373.36</w:t>
            </w:r>
          </w:p>
        </w:tc>
        <w:tc>
          <w:tcPr>
            <w:tcW w:w="3544" w:type="dxa"/>
            <w:gridSpan w:val="2"/>
            <w:vAlign w:val="center"/>
          </w:tcPr>
          <w:p>
            <w:pPr>
              <w:pStyle w:val="13"/>
            </w:pPr>
            <w:r>
              <w:t>497.81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w:t>
            </w:r>
            <w:r>
              <w:rPr>
                <w:rFonts w:hint="eastAsia" w:eastAsiaTheme="minorEastAsia"/>
                <w:lang w:eastAsia="zh-CN"/>
              </w:rPr>
              <w:t>部门</w:t>
            </w:r>
            <w:r>
              <w:t>现有自收自支人员34人，其中岗位工资，薪级工资，奖励性绩效，取暖费，及其保险全额拨款，基础性绩效拨款70%，平安奖，目标奖，精神文明奖拨款40%，</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发放人员数量</w:t>
            </w:r>
          </w:p>
        </w:tc>
        <w:tc>
          <w:tcPr>
            <w:tcW w:w="5386" w:type="dxa"/>
            <w:vAlign w:val="center"/>
          </w:tcPr>
          <w:p>
            <w:pPr>
              <w:pStyle w:val="12"/>
            </w:pPr>
            <w:r>
              <w:t>自收自支34人其中岗位工资薪级工资，奖励性绩效，取暖费，及其保险全额拨款，基础性绩效拨款70%，平安奖，目标奖，精神文明奖拨款40%</w:t>
            </w:r>
          </w:p>
        </w:tc>
        <w:tc>
          <w:tcPr>
            <w:tcW w:w="2268" w:type="dxa"/>
            <w:vAlign w:val="center"/>
          </w:tcPr>
          <w:p>
            <w:pPr>
              <w:pStyle w:val="12"/>
            </w:pPr>
            <w:r>
              <w:t>34人</w:t>
            </w:r>
          </w:p>
        </w:tc>
        <w:tc>
          <w:tcPr>
            <w:tcW w:w="1276" w:type="dxa"/>
            <w:vAlign w:val="center"/>
          </w:tcPr>
          <w:p>
            <w:pPr>
              <w:pStyle w:val="12"/>
            </w:pPr>
            <w:r>
              <w:t>在编人数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是否足额发放人员工资保险</w:t>
            </w:r>
          </w:p>
        </w:tc>
        <w:tc>
          <w:tcPr>
            <w:tcW w:w="2268" w:type="dxa"/>
            <w:vAlign w:val="center"/>
          </w:tcPr>
          <w:p>
            <w:pPr>
              <w:pStyle w:val="12"/>
            </w:pPr>
            <w:r>
              <w:t>按标准足额发放</w:t>
            </w:r>
          </w:p>
        </w:tc>
        <w:tc>
          <w:tcPr>
            <w:tcW w:w="1276" w:type="dxa"/>
            <w:vAlign w:val="center"/>
          </w:tcPr>
          <w:p>
            <w:pPr>
              <w:pStyle w:val="12"/>
            </w:pPr>
            <w:r>
              <w:t>工资标准文件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发放及时率</w:t>
            </w:r>
          </w:p>
        </w:tc>
        <w:tc>
          <w:tcPr>
            <w:tcW w:w="2268" w:type="dxa"/>
            <w:vAlign w:val="center"/>
          </w:tcPr>
          <w:p>
            <w:pPr>
              <w:pStyle w:val="12"/>
            </w:pPr>
            <w:r>
              <w:t>按月及时</w:t>
            </w:r>
          </w:p>
        </w:tc>
        <w:tc>
          <w:tcPr>
            <w:tcW w:w="1276" w:type="dxa"/>
            <w:vAlign w:val="center"/>
          </w:tcPr>
          <w:p>
            <w:pPr>
              <w:pStyle w:val="12"/>
            </w:pPr>
            <w:r>
              <w:t>工资标准文件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人员总成本</w:t>
            </w:r>
          </w:p>
        </w:tc>
        <w:tc>
          <w:tcPr>
            <w:tcW w:w="5386" w:type="dxa"/>
            <w:vAlign w:val="center"/>
          </w:tcPr>
          <w:p>
            <w:pPr>
              <w:pStyle w:val="12"/>
            </w:pPr>
            <w:r>
              <w:t>34人总成本</w:t>
            </w:r>
          </w:p>
        </w:tc>
        <w:tc>
          <w:tcPr>
            <w:tcW w:w="2268" w:type="dxa"/>
            <w:vAlign w:val="center"/>
          </w:tcPr>
          <w:p>
            <w:pPr>
              <w:pStyle w:val="12"/>
            </w:pPr>
            <w:r>
              <w:t>≤497.81</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保障管理所正常运转</w:t>
            </w:r>
          </w:p>
        </w:tc>
        <w:tc>
          <w:tcPr>
            <w:tcW w:w="5386" w:type="dxa"/>
            <w:vAlign w:val="center"/>
          </w:tcPr>
          <w:p>
            <w:pPr>
              <w:pStyle w:val="12"/>
            </w:pPr>
            <w:r>
              <w:t>保障工作正常开展、发挥管理职能</w:t>
            </w:r>
          </w:p>
        </w:tc>
        <w:tc>
          <w:tcPr>
            <w:tcW w:w="2268" w:type="dxa"/>
            <w:vAlign w:val="center"/>
          </w:tcPr>
          <w:p>
            <w:pPr>
              <w:pStyle w:val="12"/>
            </w:pPr>
            <w:r>
              <w:t>正常运转</w:t>
            </w:r>
          </w:p>
        </w:tc>
        <w:tc>
          <w:tcPr>
            <w:tcW w:w="1276" w:type="dxa"/>
            <w:vAlign w:val="center"/>
          </w:tcPr>
          <w:p>
            <w:pPr>
              <w:pStyle w:val="12"/>
            </w:pPr>
            <w:r>
              <w:t>工作计划及部门职责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推动工作长期开展</w:t>
            </w:r>
          </w:p>
        </w:tc>
        <w:tc>
          <w:tcPr>
            <w:tcW w:w="5386" w:type="dxa"/>
            <w:vAlign w:val="center"/>
          </w:tcPr>
          <w:p>
            <w:pPr>
              <w:pStyle w:val="12"/>
            </w:pPr>
            <w:r>
              <w:t>长期开展管理工作</w:t>
            </w:r>
          </w:p>
        </w:tc>
        <w:tc>
          <w:tcPr>
            <w:tcW w:w="2268" w:type="dxa"/>
            <w:vAlign w:val="center"/>
          </w:tcPr>
          <w:p>
            <w:pPr>
              <w:pStyle w:val="12"/>
            </w:pPr>
            <w:r>
              <w:t>长期有效管理</w:t>
            </w:r>
          </w:p>
        </w:tc>
        <w:tc>
          <w:tcPr>
            <w:tcW w:w="1276" w:type="dxa"/>
            <w:vAlign w:val="center"/>
          </w:tcPr>
          <w:p>
            <w:pPr>
              <w:pStyle w:val="12"/>
            </w:pPr>
            <w:r>
              <w:t>工作计划及部门职责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≥98</w:t>
            </w:r>
          </w:p>
        </w:tc>
        <w:tc>
          <w:tcPr>
            <w:tcW w:w="1276" w:type="dxa"/>
            <w:vAlign w:val="center"/>
          </w:tcPr>
          <w:p>
            <w:pPr>
              <w:pStyle w:val="12"/>
            </w:pPr>
            <w:r>
              <w:t>工作计划及部门职责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13011126P000004107947</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4.29</w:t>
            </w:r>
          </w:p>
        </w:tc>
        <w:tc>
          <w:tcPr>
            <w:tcW w:w="2835" w:type="dxa"/>
            <w:vAlign w:val="center"/>
          </w:tcPr>
          <w:p>
            <w:pPr>
              <w:pStyle w:val="10"/>
            </w:pPr>
            <w:r>
              <w:t>其中：财政    资金</w:t>
            </w:r>
          </w:p>
        </w:tc>
        <w:tc>
          <w:tcPr>
            <w:tcW w:w="2551" w:type="dxa"/>
            <w:vAlign w:val="center"/>
          </w:tcPr>
          <w:p>
            <w:pPr>
              <w:pStyle w:val="12"/>
            </w:pPr>
            <w:r>
              <w:t>4.29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1.07</w:t>
            </w:r>
          </w:p>
        </w:tc>
        <w:tc>
          <w:tcPr>
            <w:tcW w:w="2835" w:type="dxa"/>
            <w:vAlign w:val="center"/>
          </w:tcPr>
          <w:p>
            <w:pPr>
              <w:pStyle w:val="13"/>
            </w:pPr>
            <w:r>
              <w:t>2.14</w:t>
            </w:r>
          </w:p>
        </w:tc>
        <w:tc>
          <w:tcPr>
            <w:tcW w:w="2551" w:type="dxa"/>
            <w:vAlign w:val="center"/>
          </w:tcPr>
          <w:p>
            <w:pPr>
              <w:pStyle w:val="13"/>
            </w:pPr>
            <w:r>
              <w:t>3.22</w:t>
            </w:r>
          </w:p>
        </w:tc>
        <w:tc>
          <w:tcPr>
            <w:tcW w:w="3544" w:type="dxa"/>
            <w:gridSpan w:val="2"/>
            <w:vAlign w:val="center"/>
          </w:tcPr>
          <w:p>
            <w:pPr>
              <w:pStyle w:val="13"/>
            </w:pPr>
            <w:r>
              <w:t>4.29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执行公开率(%)</w:t>
            </w:r>
          </w:p>
        </w:tc>
        <w:tc>
          <w:tcPr>
            <w:tcW w:w="2268" w:type="dxa"/>
            <w:vAlign w:val="center"/>
          </w:tcPr>
          <w:p>
            <w:pPr>
              <w:pStyle w:val="12"/>
            </w:pPr>
            <w:r>
              <w:t>执行公开率(%)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业务工作完成率（%）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按期完成率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项目总成本</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运行成本</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工作完成率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结果准确性</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综合利用率</w:t>
            </w:r>
          </w:p>
        </w:tc>
        <w:tc>
          <w:tcPr>
            <w:tcW w:w="1276" w:type="dxa"/>
            <w:vAlign w:val="center"/>
          </w:tcPr>
          <w:p>
            <w:pPr>
              <w:pStyle w:val="12"/>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服务对象满意度（%）</w:t>
            </w:r>
          </w:p>
        </w:tc>
        <w:tc>
          <w:tcPr>
            <w:tcW w:w="1276" w:type="dxa"/>
            <w:vAlign w:val="center"/>
          </w:tcPr>
          <w:p>
            <w:pPr>
              <w:pStyle w:val="12"/>
            </w:pPr>
            <w:r>
              <w:t>行政事业单位应缴残保金</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2630.81</w:t>
            </w:r>
          </w:p>
        </w:tc>
        <w:tc>
          <w:tcPr>
            <w:tcW w:w="964" w:type="dxa"/>
            <w:vAlign w:val="center"/>
          </w:tcPr>
          <w:p>
            <w:pPr>
              <w:pStyle w:val="15"/>
            </w:pPr>
            <w:r>
              <w:t>1.00</w:t>
            </w:r>
          </w:p>
        </w:tc>
        <w:tc>
          <w:tcPr>
            <w:tcW w:w="964" w:type="dxa"/>
            <w:vAlign w:val="center"/>
          </w:tcPr>
          <w:p>
            <w:pPr>
              <w:pStyle w:val="15"/>
            </w:pPr>
            <w:r>
              <w:t>2629.81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2630.81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石家庄市栾城区城市管理综合行政执法局本级小计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2630.81</w:t>
            </w:r>
          </w:p>
        </w:tc>
        <w:tc>
          <w:tcPr>
            <w:tcW w:w="964" w:type="dxa"/>
            <w:vAlign w:val="center"/>
          </w:tcPr>
          <w:p>
            <w:pPr>
              <w:pStyle w:val="15"/>
            </w:pPr>
            <w:r>
              <w:t>1.00</w:t>
            </w:r>
          </w:p>
        </w:tc>
        <w:tc>
          <w:tcPr>
            <w:tcW w:w="964" w:type="dxa"/>
            <w:vAlign w:val="center"/>
          </w:tcPr>
          <w:p>
            <w:pPr>
              <w:pStyle w:val="15"/>
            </w:pPr>
            <w:r>
              <w:t>2629.81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2630.81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2.38</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(结转2024年专项债券）栾城区生活垃圾转运分拣站及附属设施项目</w:t>
            </w:r>
          </w:p>
        </w:tc>
        <w:tc>
          <w:tcPr>
            <w:tcW w:w="964" w:type="dxa"/>
            <w:vAlign w:val="center"/>
          </w:tcPr>
          <w:p>
            <w:pPr>
              <w:pStyle w:val="11"/>
            </w:pPr>
            <w:r>
              <w:t>195.85</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195.85</w:t>
            </w:r>
          </w:p>
        </w:tc>
        <w:tc>
          <w:tcPr>
            <w:tcW w:w="964" w:type="dxa"/>
            <w:vAlign w:val="center"/>
          </w:tcPr>
          <w:p>
            <w:pPr>
              <w:pStyle w:val="11"/>
            </w:pPr>
            <w:r>
              <w:t>195.85</w:t>
            </w:r>
          </w:p>
        </w:tc>
        <w:tc>
          <w:tcPr>
            <w:tcW w:w="964" w:type="dxa"/>
            <w:vAlign w:val="center"/>
          </w:tcPr>
          <w:p>
            <w:pPr>
              <w:pStyle w:val="11"/>
            </w:pPr>
          </w:p>
        </w:tc>
        <w:tc>
          <w:tcPr>
            <w:tcW w:w="964" w:type="dxa"/>
            <w:vAlign w:val="center"/>
          </w:tcPr>
          <w:p>
            <w:pPr>
              <w:pStyle w:val="11"/>
            </w:pPr>
            <w:r>
              <w:t>195.85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tcPr>
          <w:p>
            <w:pPr>
              <w:pStyle w:val="11"/>
            </w:pPr>
            <w:r>
              <w:t>195.85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（结转2023年专项债券）栾城区生活垃圾转运站及附属设施项目</w:t>
            </w:r>
          </w:p>
        </w:tc>
        <w:tc>
          <w:tcPr>
            <w:tcW w:w="964" w:type="dxa"/>
            <w:vAlign w:val="center"/>
          </w:tcPr>
          <w:p>
            <w:pPr>
              <w:pStyle w:val="11"/>
            </w:pPr>
            <w:r>
              <w:t>1254.81</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1254.81</w:t>
            </w:r>
          </w:p>
        </w:tc>
        <w:tc>
          <w:tcPr>
            <w:tcW w:w="964" w:type="dxa"/>
            <w:vAlign w:val="center"/>
          </w:tcPr>
          <w:p>
            <w:pPr>
              <w:pStyle w:val="11"/>
            </w:pPr>
            <w:r>
              <w:t>1254.81</w:t>
            </w:r>
          </w:p>
        </w:tc>
        <w:tc>
          <w:tcPr>
            <w:tcW w:w="964" w:type="dxa"/>
            <w:vAlign w:val="center"/>
          </w:tcPr>
          <w:p>
            <w:pPr>
              <w:pStyle w:val="11"/>
            </w:pPr>
          </w:p>
        </w:tc>
        <w:tc>
          <w:tcPr>
            <w:tcW w:w="964" w:type="dxa"/>
            <w:vAlign w:val="center"/>
          </w:tcPr>
          <w:p>
            <w:pPr>
              <w:pStyle w:val="11"/>
            </w:pPr>
            <w:r>
              <w:t>1254.81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tcPr>
          <w:p>
            <w:pPr>
              <w:pStyle w:val="11"/>
            </w:pPr>
            <w:r>
              <w:t>1254.81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（结转2024年专项债券）栾城城区污水管网提升改造及配套设施项目</w:t>
            </w:r>
          </w:p>
        </w:tc>
        <w:tc>
          <w:tcPr>
            <w:tcW w:w="964" w:type="dxa"/>
            <w:vAlign w:val="center"/>
          </w:tcPr>
          <w:p>
            <w:pPr>
              <w:pStyle w:val="11"/>
            </w:pPr>
            <w:r>
              <w:t>1179.15</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1179.15</w:t>
            </w:r>
          </w:p>
        </w:tc>
        <w:tc>
          <w:tcPr>
            <w:tcW w:w="964" w:type="dxa"/>
            <w:vAlign w:val="center"/>
          </w:tcPr>
          <w:p>
            <w:pPr>
              <w:pStyle w:val="11"/>
            </w:pPr>
            <w:r>
              <w:t>1179.15</w:t>
            </w:r>
          </w:p>
        </w:tc>
        <w:tc>
          <w:tcPr>
            <w:tcW w:w="964" w:type="dxa"/>
            <w:vAlign w:val="center"/>
          </w:tcPr>
          <w:p>
            <w:pPr>
              <w:pStyle w:val="11"/>
            </w:pPr>
          </w:p>
        </w:tc>
        <w:tc>
          <w:tcPr>
            <w:tcW w:w="964" w:type="dxa"/>
            <w:vAlign w:val="center"/>
          </w:tcPr>
          <w:p>
            <w:pPr>
              <w:pStyle w:val="11"/>
            </w:pPr>
            <w:r>
              <w:t>1179.15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tcPr>
          <w:p>
            <w:pPr>
              <w:pStyle w:val="11"/>
            </w:pPr>
            <w:r>
              <w:t>1179.15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石家庄市栾城区城市管理综合行政执法局（含所属单位）上年末固定资产金额为118.28万元（详见下表）。本年度拟购置固定资产总额为0.00万元，已按要求列入政府采购预算，详见政府采购预算表。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565石家庄市栾城区城市管理综合行政执法局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189.76</w:t>
            </w:r>
          </w:p>
        </w:tc>
        <w:tc>
          <w:tcPr>
            <w:tcW w:w="2835" w:type="dxa"/>
            <w:vAlign w:val="center"/>
          </w:tcPr>
          <w:p>
            <w:pPr>
              <w:pStyle w:val="11"/>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189.76</w:t>
            </w:r>
          </w:p>
        </w:tc>
        <w:tc>
          <w:tcPr>
            <w:tcW w:w="2835" w:type="dxa"/>
            <w:vAlign w:val="center"/>
          </w:tcPr>
          <w:p>
            <w:pPr>
              <w:pStyle w:val="11"/>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12</w:t>
            </w:r>
          </w:p>
        </w:tc>
        <w:tc>
          <w:tcPr>
            <w:tcW w:w="2835" w:type="dxa"/>
            <w:vAlign w:val="center"/>
          </w:tcPr>
          <w:p>
            <w:pPr>
              <w:pStyle w:val="11"/>
            </w:pPr>
            <w:r>
              <w:t>105.97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rPr>
          <w:lang w:eastAsia="zh-CN"/>
        </w:rPr>
      </w:pPr>
      <w:r>
        <w:rPr>
          <w:rFonts w:eastAsia="方正仿宋_GBK"/>
          <w:color w:val="000000"/>
          <w:sz w:val="28"/>
        </w:rPr>
        <w:t>我部门无其他需要说明的事项</w:t>
      </w:r>
      <w:r>
        <w:rPr>
          <w:rFonts w:hint="eastAsia"/>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F4052"/>
    <w:rsid w:val="002D0B0B"/>
    <w:rsid w:val="0031358A"/>
    <w:rsid w:val="00381570"/>
    <w:rsid w:val="00421C46"/>
    <w:rsid w:val="00533949"/>
    <w:rsid w:val="00540E08"/>
    <w:rsid w:val="006B2D56"/>
    <w:rsid w:val="00895AF5"/>
    <w:rsid w:val="00946E07"/>
    <w:rsid w:val="009F4052"/>
    <w:rsid w:val="00AA7F5D"/>
    <w:rsid w:val="00AB156E"/>
    <w:rsid w:val="00B70334"/>
    <w:rsid w:val="00BD2369"/>
    <w:rsid w:val="00CC7632"/>
    <w:rsid w:val="00D12FC6"/>
    <w:rsid w:val="00D86053"/>
    <w:rsid w:val="00DD5B32"/>
    <w:rsid w:val="00E17F15"/>
    <w:rsid w:val="390322E5"/>
    <w:rsid w:val="68C53C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sz w:val="18"/>
      <w:szCs w:val="18"/>
      <w:lang w:eastAsia="uk-UA"/>
    </w:rPr>
  </w:style>
  <w:style w:type="character" w:customStyle="1" w:styleId="34">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55</Pages>
  <Words>3888</Words>
  <Characters>22165</Characters>
  <Lines>184</Lines>
  <Paragraphs>52</Paragraphs>
  <TotalTime>32</TotalTime>
  <ScaleCrop>false</ScaleCrop>
  <LinksUpToDate>false</LinksUpToDate>
  <CharactersWithSpaces>26001</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2026-03-09T07:57:00Z</dcterms:created>
  <dc:creator>Administrator</dc:creator>
  <cp:lastModifiedBy>Administrator</cp:lastModifiedBy>
  <dcterms:modified xsi:type="dcterms:W3CDTF">2026-03-10T07:19:20Z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