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一、栾城区科学技术协会 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一、栾城区科学技术协会 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183.71</w:t>
            </w:r>
          </w:p>
        </w:tc>
        <w:tc>
          <w:tcPr>
            <w:tcW w:w="4535" w:type="dxa"/>
            <w:vAlign w:val="center"/>
          </w:tcPr>
          <w:p>
            <w:pPr>
              <w:pStyle w:val="12"/>
            </w:pPr>
            <w:r>
              <w:t>一、一般公共服务支出</w:t>
            </w:r>
          </w:p>
        </w:tc>
        <w:tc>
          <w:tcPr>
            <w:tcW w:w="2126"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183.71</w:t>
            </w:r>
          </w:p>
        </w:tc>
        <w:tc>
          <w:tcPr>
            <w:tcW w:w="4535" w:type="dxa"/>
            <w:vAlign w:val="center"/>
          </w:tcPr>
          <w:p>
            <w:pPr>
              <w:pStyle w:val="14"/>
            </w:pPr>
            <w:r>
              <w:t>本年支出合计</w:t>
            </w:r>
          </w:p>
        </w:tc>
        <w:tc>
          <w:tcPr>
            <w:tcW w:w="2126" w:type="dxa"/>
            <w:vAlign w:val="center"/>
          </w:tcPr>
          <w:p>
            <w:pPr>
              <w:pStyle w:val="15"/>
            </w:pPr>
            <w:r>
              <w:t>183.71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183.71</w:t>
            </w:r>
          </w:p>
        </w:tc>
        <w:tc>
          <w:tcPr>
            <w:tcW w:w="4535" w:type="dxa"/>
            <w:vAlign w:val="center"/>
          </w:tcPr>
          <w:p>
            <w:pPr>
              <w:pStyle w:val="14"/>
            </w:pPr>
            <w:r>
              <w:t>支出总计</w:t>
            </w:r>
          </w:p>
        </w:tc>
        <w:tc>
          <w:tcPr>
            <w:tcW w:w="2126" w:type="dxa"/>
            <w:vAlign w:val="center"/>
          </w:tcPr>
          <w:p>
            <w:pPr>
              <w:pStyle w:val="15"/>
            </w:pPr>
            <w:r>
              <w:t>183.71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731001栾城区科学技术协会 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183.71</w:t>
            </w:r>
          </w:p>
        </w:tc>
        <w:tc>
          <w:tcPr>
            <w:tcW w:w="1134" w:type="dxa"/>
            <w:vAlign w:val="center"/>
          </w:tcPr>
          <w:p>
            <w:pPr>
              <w:pStyle w:val="15"/>
            </w:pPr>
            <w:r>
              <w:t>183.71</w:t>
            </w:r>
          </w:p>
        </w:tc>
        <w:tc>
          <w:tcPr>
            <w:tcW w:w="1134" w:type="dxa"/>
            <w:vAlign w:val="center"/>
          </w:tcPr>
          <w:p>
            <w:pPr>
              <w:pStyle w:val="15"/>
            </w:pPr>
            <w:r>
              <w:t>183.71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20139</w:t>
            </w:r>
          </w:p>
        </w:tc>
        <w:tc>
          <w:tcPr>
            <w:tcW w:w="1559" w:type="dxa"/>
            <w:vAlign w:val="center"/>
          </w:tcPr>
          <w:p>
            <w:pPr>
              <w:pStyle w:val="12"/>
            </w:pPr>
            <w:r>
              <w:t>社会工作事务</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2013904</w:t>
            </w:r>
          </w:p>
        </w:tc>
        <w:tc>
          <w:tcPr>
            <w:tcW w:w="1559" w:type="dxa"/>
            <w:vAlign w:val="center"/>
          </w:tcPr>
          <w:p>
            <w:pPr>
              <w:pStyle w:val="12"/>
            </w:pPr>
            <w:r>
              <w:t>专项业务</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r>
              <w:t>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2060701</w:t>
            </w:r>
          </w:p>
        </w:tc>
        <w:tc>
          <w:tcPr>
            <w:tcW w:w="1559" w:type="dxa"/>
            <w:vAlign w:val="center"/>
          </w:tcPr>
          <w:p>
            <w:pPr>
              <w:pStyle w:val="12"/>
            </w:pPr>
            <w:r>
              <w:t>机构运行</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r>
              <w:t>156.70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19.68</w:t>
            </w:r>
          </w:p>
        </w:tc>
        <w:tc>
          <w:tcPr>
            <w:tcW w:w="1134" w:type="dxa"/>
            <w:vAlign w:val="center"/>
          </w:tcPr>
          <w:p>
            <w:pPr>
              <w:pStyle w:val="11"/>
            </w:pPr>
            <w:r>
              <w:t>19.68</w:t>
            </w:r>
          </w:p>
        </w:tc>
        <w:tc>
          <w:tcPr>
            <w:tcW w:w="1134" w:type="dxa"/>
            <w:vAlign w:val="center"/>
          </w:tcPr>
          <w:p>
            <w:pPr>
              <w:pStyle w:val="11"/>
            </w:pPr>
            <w:r>
              <w:t>19.68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12.44</w:t>
            </w:r>
          </w:p>
        </w:tc>
        <w:tc>
          <w:tcPr>
            <w:tcW w:w="1134" w:type="dxa"/>
            <w:vAlign w:val="center"/>
          </w:tcPr>
          <w:p>
            <w:pPr>
              <w:pStyle w:val="11"/>
            </w:pPr>
            <w:r>
              <w:t>12.44</w:t>
            </w:r>
          </w:p>
        </w:tc>
        <w:tc>
          <w:tcPr>
            <w:tcW w:w="1134" w:type="dxa"/>
            <w:vAlign w:val="center"/>
          </w:tcPr>
          <w:p>
            <w:pPr>
              <w:pStyle w:val="11"/>
            </w:pPr>
            <w:r>
              <w:t>12.44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12.44</w:t>
            </w:r>
          </w:p>
        </w:tc>
        <w:tc>
          <w:tcPr>
            <w:tcW w:w="1134" w:type="dxa"/>
            <w:vAlign w:val="center"/>
          </w:tcPr>
          <w:p>
            <w:pPr>
              <w:pStyle w:val="11"/>
            </w:pPr>
            <w:r>
              <w:t>12.44</w:t>
            </w:r>
          </w:p>
        </w:tc>
        <w:tc>
          <w:tcPr>
            <w:tcW w:w="1134" w:type="dxa"/>
            <w:vAlign w:val="center"/>
          </w:tcPr>
          <w:p>
            <w:pPr>
              <w:pStyle w:val="11"/>
            </w:pPr>
            <w:r>
              <w:t>12.44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r>
              <w:t>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r>
              <w:t>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183.71</w:t>
            </w:r>
          </w:p>
        </w:tc>
        <w:tc>
          <w:tcPr>
            <w:tcW w:w="1361" w:type="dxa"/>
            <w:vAlign w:val="center"/>
          </w:tcPr>
          <w:p>
            <w:pPr>
              <w:pStyle w:val="15"/>
            </w:pPr>
            <w:r>
              <w:t>175.26</w:t>
            </w:r>
          </w:p>
        </w:tc>
        <w:tc>
          <w:tcPr>
            <w:tcW w:w="1361" w:type="dxa"/>
            <w:vAlign w:val="center"/>
          </w:tcPr>
          <w:p>
            <w:pPr>
              <w:pStyle w:val="15"/>
            </w:pPr>
            <w:r>
              <w:t>8.45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20139</w:t>
            </w:r>
          </w:p>
        </w:tc>
        <w:tc>
          <w:tcPr>
            <w:tcW w:w="4535" w:type="dxa"/>
            <w:vAlign w:val="center"/>
          </w:tcPr>
          <w:p>
            <w:pPr>
              <w:pStyle w:val="12"/>
            </w:pPr>
            <w:r>
              <w:t>社会工作事务</w:t>
            </w: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2013904</w:t>
            </w:r>
          </w:p>
        </w:tc>
        <w:tc>
          <w:tcPr>
            <w:tcW w:w="4535" w:type="dxa"/>
            <w:vAlign w:val="center"/>
          </w:tcPr>
          <w:p>
            <w:pPr>
              <w:pStyle w:val="12"/>
            </w:pPr>
            <w:r>
              <w:t>专项业务</w:t>
            </w: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r>
              <w:t>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156.70</w:t>
            </w:r>
          </w:p>
        </w:tc>
        <w:tc>
          <w:tcPr>
            <w:tcW w:w="1361" w:type="dxa"/>
            <w:vAlign w:val="center"/>
          </w:tcPr>
          <w:p>
            <w:pPr>
              <w:pStyle w:val="11"/>
            </w:pPr>
            <w:r>
              <w:t>156.13</w:t>
            </w:r>
          </w:p>
        </w:tc>
        <w:tc>
          <w:tcPr>
            <w:tcW w:w="1361" w:type="dxa"/>
            <w:vAlign w:val="center"/>
          </w:tcPr>
          <w:p>
            <w:pPr>
              <w:pStyle w:val="11"/>
            </w:pPr>
            <w:r>
              <w:t>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1"/>
            </w:pPr>
            <w:r>
              <w:t>156.70</w:t>
            </w:r>
          </w:p>
        </w:tc>
        <w:tc>
          <w:tcPr>
            <w:tcW w:w="1361" w:type="dxa"/>
            <w:vAlign w:val="center"/>
          </w:tcPr>
          <w:p>
            <w:pPr>
              <w:pStyle w:val="11"/>
            </w:pPr>
            <w:r>
              <w:t>156.13</w:t>
            </w:r>
          </w:p>
        </w:tc>
        <w:tc>
          <w:tcPr>
            <w:tcW w:w="1361" w:type="dxa"/>
            <w:vAlign w:val="center"/>
          </w:tcPr>
          <w:p>
            <w:pPr>
              <w:pStyle w:val="11"/>
            </w:pPr>
            <w:r>
              <w:t>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2060701</w:t>
            </w:r>
          </w:p>
        </w:tc>
        <w:tc>
          <w:tcPr>
            <w:tcW w:w="4535" w:type="dxa"/>
            <w:vAlign w:val="center"/>
          </w:tcPr>
          <w:p>
            <w:pPr>
              <w:pStyle w:val="12"/>
            </w:pPr>
            <w:r>
              <w:t>机构运行</w:t>
            </w:r>
          </w:p>
        </w:tc>
        <w:tc>
          <w:tcPr>
            <w:tcW w:w="1361" w:type="dxa"/>
            <w:vAlign w:val="center"/>
          </w:tcPr>
          <w:p>
            <w:pPr>
              <w:pStyle w:val="11"/>
            </w:pPr>
            <w:r>
              <w:t>156.70</w:t>
            </w:r>
          </w:p>
        </w:tc>
        <w:tc>
          <w:tcPr>
            <w:tcW w:w="1361" w:type="dxa"/>
            <w:vAlign w:val="center"/>
          </w:tcPr>
          <w:p>
            <w:pPr>
              <w:pStyle w:val="11"/>
            </w:pPr>
            <w:r>
              <w:t>156.13</w:t>
            </w:r>
          </w:p>
        </w:tc>
        <w:tc>
          <w:tcPr>
            <w:tcW w:w="1361" w:type="dxa"/>
            <w:vAlign w:val="center"/>
          </w:tcPr>
          <w:p>
            <w:pPr>
              <w:pStyle w:val="11"/>
            </w:pPr>
            <w:r>
              <w:t>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19.68</w:t>
            </w:r>
          </w:p>
        </w:tc>
        <w:tc>
          <w:tcPr>
            <w:tcW w:w="1361" w:type="dxa"/>
            <w:vAlign w:val="center"/>
          </w:tcPr>
          <w:p>
            <w:pPr>
              <w:pStyle w:val="11"/>
            </w:pPr>
            <w:r>
              <w:t>12.75</w:t>
            </w: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12.44</w:t>
            </w:r>
          </w:p>
        </w:tc>
        <w:tc>
          <w:tcPr>
            <w:tcW w:w="1361" w:type="dxa"/>
            <w:vAlign w:val="center"/>
          </w:tcPr>
          <w:p>
            <w:pPr>
              <w:pStyle w:val="11"/>
            </w:pPr>
            <w:r>
              <w:t>12.44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12.44</w:t>
            </w:r>
          </w:p>
        </w:tc>
        <w:tc>
          <w:tcPr>
            <w:tcW w:w="1361" w:type="dxa"/>
            <w:vAlign w:val="center"/>
          </w:tcPr>
          <w:p>
            <w:pPr>
              <w:pStyle w:val="11"/>
            </w:pPr>
            <w:r>
              <w:t>12.44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r>
              <w:t>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6.39</w:t>
            </w:r>
          </w:p>
        </w:tc>
        <w:tc>
          <w:tcPr>
            <w:tcW w:w="1361" w:type="dxa"/>
            <w:vAlign w:val="center"/>
          </w:tcPr>
          <w:p>
            <w:pPr>
              <w:pStyle w:val="11"/>
            </w:pPr>
            <w:r>
              <w:t>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6.39</w:t>
            </w:r>
          </w:p>
        </w:tc>
        <w:tc>
          <w:tcPr>
            <w:tcW w:w="1361" w:type="dxa"/>
            <w:vAlign w:val="center"/>
          </w:tcPr>
          <w:p>
            <w:pPr>
              <w:pStyle w:val="11"/>
            </w:pPr>
            <w:r>
              <w:t>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6.39</w:t>
            </w:r>
          </w:p>
        </w:tc>
        <w:tc>
          <w:tcPr>
            <w:tcW w:w="1361" w:type="dxa"/>
            <w:vAlign w:val="center"/>
          </w:tcPr>
          <w:p>
            <w:pPr>
              <w:pStyle w:val="11"/>
            </w:pPr>
            <w:r>
              <w:t>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183.71</w:t>
            </w:r>
          </w:p>
        </w:tc>
        <w:tc>
          <w:tcPr>
            <w:tcW w:w="3402" w:type="dxa"/>
            <w:vAlign w:val="center"/>
          </w:tcPr>
          <w:p>
            <w:pPr>
              <w:pStyle w:val="12"/>
            </w:pPr>
            <w:r>
              <w:t>一、一般公共服务支出</w:t>
            </w:r>
          </w:p>
        </w:tc>
        <w:tc>
          <w:tcPr>
            <w:tcW w:w="1474" w:type="dxa"/>
            <w:vAlign w:val="center"/>
          </w:tcPr>
          <w:p>
            <w:pPr>
              <w:pStyle w:val="11"/>
            </w:pPr>
            <w:r>
              <w:t>0.95</w:t>
            </w:r>
          </w:p>
        </w:tc>
        <w:tc>
          <w:tcPr>
            <w:tcW w:w="1474" w:type="dxa"/>
            <w:vAlign w:val="center"/>
          </w:tcPr>
          <w:p>
            <w:pPr>
              <w:pStyle w:val="11"/>
            </w:pPr>
            <w:r>
              <w:t>0.95</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156.70</w:t>
            </w:r>
          </w:p>
        </w:tc>
        <w:tc>
          <w:tcPr>
            <w:tcW w:w="1474" w:type="dxa"/>
            <w:vAlign w:val="center"/>
          </w:tcPr>
          <w:p>
            <w:pPr>
              <w:pStyle w:val="11"/>
            </w:pPr>
            <w:r>
              <w:t>156.70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19.68</w:t>
            </w:r>
          </w:p>
        </w:tc>
        <w:tc>
          <w:tcPr>
            <w:tcW w:w="1474" w:type="dxa"/>
            <w:vAlign w:val="center"/>
          </w:tcPr>
          <w:p>
            <w:pPr>
              <w:pStyle w:val="11"/>
            </w:pPr>
            <w:r>
              <w:t>19.68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6.39</w:t>
            </w:r>
          </w:p>
        </w:tc>
        <w:tc>
          <w:tcPr>
            <w:tcW w:w="1474" w:type="dxa"/>
            <w:vAlign w:val="center"/>
          </w:tcPr>
          <w:p>
            <w:pPr>
              <w:pStyle w:val="11"/>
            </w:pPr>
            <w:r>
              <w:t>6.39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183.71</w:t>
            </w:r>
          </w:p>
        </w:tc>
        <w:tc>
          <w:tcPr>
            <w:tcW w:w="3402" w:type="dxa"/>
            <w:vAlign w:val="center"/>
          </w:tcPr>
          <w:p>
            <w:pPr>
              <w:pStyle w:val="14"/>
            </w:pPr>
            <w:r>
              <w:t>本年支出合计</w:t>
            </w:r>
          </w:p>
        </w:tc>
        <w:tc>
          <w:tcPr>
            <w:tcW w:w="1474" w:type="dxa"/>
            <w:vAlign w:val="center"/>
          </w:tcPr>
          <w:p>
            <w:pPr>
              <w:pStyle w:val="15"/>
            </w:pPr>
            <w:r>
              <w:t>183.71</w:t>
            </w:r>
          </w:p>
        </w:tc>
        <w:tc>
          <w:tcPr>
            <w:tcW w:w="1474" w:type="dxa"/>
            <w:vAlign w:val="center"/>
          </w:tcPr>
          <w:p>
            <w:pPr>
              <w:pStyle w:val="15"/>
            </w:pPr>
            <w:r>
              <w:t>183.71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183.71</w:t>
            </w:r>
          </w:p>
        </w:tc>
        <w:tc>
          <w:tcPr>
            <w:tcW w:w="3402" w:type="dxa"/>
            <w:vAlign w:val="center"/>
          </w:tcPr>
          <w:p>
            <w:pPr>
              <w:pStyle w:val="14"/>
            </w:pPr>
            <w:r>
              <w:t>支出总计</w:t>
            </w:r>
          </w:p>
        </w:tc>
        <w:tc>
          <w:tcPr>
            <w:tcW w:w="1474" w:type="dxa"/>
            <w:vAlign w:val="center"/>
          </w:tcPr>
          <w:p>
            <w:pPr>
              <w:pStyle w:val="15"/>
            </w:pPr>
            <w:r>
              <w:t>183.71</w:t>
            </w:r>
          </w:p>
        </w:tc>
        <w:tc>
          <w:tcPr>
            <w:tcW w:w="1474" w:type="dxa"/>
            <w:vAlign w:val="center"/>
          </w:tcPr>
          <w:p>
            <w:pPr>
              <w:pStyle w:val="15"/>
            </w:pPr>
            <w:r>
              <w:t>183.71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183.71</w:t>
            </w:r>
          </w:p>
        </w:tc>
        <w:tc>
          <w:tcPr>
            <w:tcW w:w="2551" w:type="dxa"/>
            <w:vAlign w:val="center"/>
          </w:tcPr>
          <w:p>
            <w:pPr>
              <w:pStyle w:val="15"/>
            </w:pPr>
            <w:r>
              <w:t>175.26</w:t>
            </w:r>
          </w:p>
        </w:tc>
        <w:tc>
          <w:tcPr>
            <w:tcW w:w="2551" w:type="dxa"/>
            <w:vAlign w:val="center"/>
          </w:tcPr>
          <w:p>
            <w:pPr>
              <w:pStyle w:val="15"/>
            </w:pPr>
            <w:r>
              <w:t>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0.95</w:t>
            </w:r>
          </w:p>
        </w:tc>
        <w:tc>
          <w:tcPr>
            <w:tcW w:w="2551" w:type="dxa"/>
            <w:vAlign w:val="center"/>
          </w:tcPr>
          <w:p>
            <w:pPr>
              <w:pStyle w:val="11"/>
            </w:pPr>
          </w:p>
        </w:tc>
        <w:tc>
          <w:tcPr>
            <w:tcW w:w="2551"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20139</w:t>
            </w:r>
          </w:p>
        </w:tc>
        <w:tc>
          <w:tcPr>
            <w:tcW w:w="4535" w:type="dxa"/>
            <w:vAlign w:val="center"/>
          </w:tcPr>
          <w:p>
            <w:pPr>
              <w:pStyle w:val="12"/>
            </w:pPr>
            <w:r>
              <w:t>社会工作事务</w:t>
            </w:r>
          </w:p>
        </w:tc>
        <w:tc>
          <w:tcPr>
            <w:tcW w:w="2551" w:type="dxa"/>
            <w:vAlign w:val="center"/>
          </w:tcPr>
          <w:p>
            <w:pPr>
              <w:pStyle w:val="11"/>
            </w:pPr>
            <w:r>
              <w:t>0.95</w:t>
            </w:r>
          </w:p>
        </w:tc>
        <w:tc>
          <w:tcPr>
            <w:tcW w:w="2551" w:type="dxa"/>
            <w:vAlign w:val="center"/>
          </w:tcPr>
          <w:p>
            <w:pPr>
              <w:pStyle w:val="11"/>
            </w:pPr>
          </w:p>
        </w:tc>
        <w:tc>
          <w:tcPr>
            <w:tcW w:w="2551"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2013904</w:t>
            </w:r>
          </w:p>
        </w:tc>
        <w:tc>
          <w:tcPr>
            <w:tcW w:w="4535" w:type="dxa"/>
            <w:vAlign w:val="center"/>
          </w:tcPr>
          <w:p>
            <w:pPr>
              <w:pStyle w:val="12"/>
            </w:pPr>
            <w:r>
              <w:t>专项业务</w:t>
            </w:r>
          </w:p>
        </w:tc>
        <w:tc>
          <w:tcPr>
            <w:tcW w:w="2551" w:type="dxa"/>
            <w:vAlign w:val="center"/>
          </w:tcPr>
          <w:p>
            <w:pPr>
              <w:pStyle w:val="11"/>
            </w:pPr>
            <w:r>
              <w:t>0.95</w:t>
            </w:r>
          </w:p>
        </w:tc>
        <w:tc>
          <w:tcPr>
            <w:tcW w:w="2551" w:type="dxa"/>
            <w:vAlign w:val="center"/>
          </w:tcPr>
          <w:p>
            <w:pPr>
              <w:pStyle w:val="11"/>
            </w:pPr>
          </w:p>
        </w:tc>
        <w:tc>
          <w:tcPr>
            <w:tcW w:w="2551"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156.70</w:t>
            </w:r>
          </w:p>
        </w:tc>
        <w:tc>
          <w:tcPr>
            <w:tcW w:w="2551" w:type="dxa"/>
            <w:vAlign w:val="center"/>
          </w:tcPr>
          <w:p>
            <w:pPr>
              <w:pStyle w:val="11"/>
            </w:pPr>
            <w:r>
              <w:t>156.13</w:t>
            </w: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156.70</w:t>
            </w:r>
          </w:p>
        </w:tc>
        <w:tc>
          <w:tcPr>
            <w:tcW w:w="2551" w:type="dxa"/>
            <w:vAlign w:val="center"/>
          </w:tcPr>
          <w:p>
            <w:pPr>
              <w:pStyle w:val="11"/>
            </w:pPr>
            <w:r>
              <w:t>156.13</w:t>
            </w: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2060701</w:t>
            </w:r>
          </w:p>
        </w:tc>
        <w:tc>
          <w:tcPr>
            <w:tcW w:w="4535" w:type="dxa"/>
            <w:vAlign w:val="center"/>
          </w:tcPr>
          <w:p>
            <w:pPr>
              <w:pStyle w:val="12"/>
            </w:pPr>
            <w:r>
              <w:t>机构运行</w:t>
            </w:r>
          </w:p>
        </w:tc>
        <w:tc>
          <w:tcPr>
            <w:tcW w:w="2551" w:type="dxa"/>
            <w:vAlign w:val="center"/>
          </w:tcPr>
          <w:p>
            <w:pPr>
              <w:pStyle w:val="11"/>
            </w:pPr>
            <w:r>
              <w:t>156.70</w:t>
            </w:r>
          </w:p>
        </w:tc>
        <w:tc>
          <w:tcPr>
            <w:tcW w:w="2551" w:type="dxa"/>
            <w:vAlign w:val="center"/>
          </w:tcPr>
          <w:p>
            <w:pPr>
              <w:pStyle w:val="11"/>
            </w:pPr>
            <w:r>
              <w:t>156.13</w:t>
            </w: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19.68</w:t>
            </w:r>
          </w:p>
        </w:tc>
        <w:tc>
          <w:tcPr>
            <w:tcW w:w="2551" w:type="dxa"/>
            <w:vAlign w:val="center"/>
          </w:tcPr>
          <w:p>
            <w:pPr>
              <w:pStyle w:val="11"/>
            </w:pPr>
            <w:r>
              <w:t>12.75</w:t>
            </w:r>
          </w:p>
        </w:tc>
        <w:tc>
          <w:tcPr>
            <w:tcW w:w="2551" w:type="dxa"/>
            <w:vAlign w:val="center"/>
          </w:tcPr>
          <w:p>
            <w:pPr>
              <w:pStyle w:val="11"/>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12.44</w:t>
            </w:r>
          </w:p>
        </w:tc>
        <w:tc>
          <w:tcPr>
            <w:tcW w:w="2551" w:type="dxa"/>
            <w:vAlign w:val="center"/>
          </w:tcPr>
          <w:p>
            <w:pPr>
              <w:pStyle w:val="11"/>
            </w:pPr>
            <w:r>
              <w:t>12.44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12.44</w:t>
            </w:r>
          </w:p>
        </w:tc>
        <w:tc>
          <w:tcPr>
            <w:tcW w:w="2551" w:type="dxa"/>
            <w:vAlign w:val="center"/>
          </w:tcPr>
          <w:p>
            <w:pPr>
              <w:pStyle w:val="11"/>
            </w:pPr>
            <w:r>
              <w:t>12.44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6.93</w:t>
            </w:r>
          </w:p>
        </w:tc>
        <w:tc>
          <w:tcPr>
            <w:tcW w:w="2551" w:type="dxa"/>
            <w:vAlign w:val="center"/>
          </w:tcPr>
          <w:p>
            <w:pPr>
              <w:pStyle w:val="11"/>
            </w:pPr>
          </w:p>
        </w:tc>
        <w:tc>
          <w:tcPr>
            <w:tcW w:w="2551" w:type="dxa"/>
            <w:vAlign w:val="center"/>
          </w:tcPr>
          <w:p>
            <w:pPr>
              <w:pStyle w:val="11"/>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6.93</w:t>
            </w:r>
          </w:p>
        </w:tc>
        <w:tc>
          <w:tcPr>
            <w:tcW w:w="2551" w:type="dxa"/>
            <w:vAlign w:val="center"/>
          </w:tcPr>
          <w:p>
            <w:pPr>
              <w:pStyle w:val="11"/>
            </w:pPr>
          </w:p>
        </w:tc>
        <w:tc>
          <w:tcPr>
            <w:tcW w:w="2551" w:type="dxa"/>
            <w:vAlign w:val="center"/>
          </w:tcPr>
          <w:p>
            <w:pPr>
              <w:pStyle w:val="11"/>
            </w:pPr>
            <w:r>
              <w:t>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175.26</w:t>
            </w:r>
          </w:p>
        </w:tc>
        <w:tc>
          <w:tcPr>
            <w:tcW w:w="2551" w:type="dxa"/>
            <w:vAlign w:val="center"/>
          </w:tcPr>
          <w:p>
            <w:pPr>
              <w:pStyle w:val="15"/>
            </w:pPr>
            <w:r>
              <w:t>160.24</w:t>
            </w:r>
          </w:p>
        </w:tc>
        <w:tc>
          <w:tcPr>
            <w:tcW w:w="2551" w:type="dxa"/>
            <w:vAlign w:val="center"/>
          </w:tcPr>
          <w:p>
            <w:pPr>
              <w:pStyle w:val="15"/>
            </w:pPr>
            <w:r>
              <w:t>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124.54</w:t>
            </w:r>
          </w:p>
        </w:tc>
        <w:tc>
          <w:tcPr>
            <w:tcW w:w="2551" w:type="dxa"/>
            <w:vAlign w:val="center"/>
          </w:tcPr>
          <w:p>
            <w:pPr>
              <w:pStyle w:val="11"/>
            </w:pPr>
            <w:r>
              <w:t>124.54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40.80</w:t>
            </w:r>
          </w:p>
        </w:tc>
        <w:tc>
          <w:tcPr>
            <w:tcW w:w="2551" w:type="dxa"/>
            <w:vAlign w:val="center"/>
          </w:tcPr>
          <w:p>
            <w:pPr>
              <w:pStyle w:val="11"/>
            </w:pPr>
            <w:r>
              <w:t>40.80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25.45</w:t>
            </w:r>
          </w:p>
        </w:tc>
        <w:tc>
          <w:tcPr>
            <w:tcW w:w="2551" w:type="dxa"/>
            <w:vAlign w:val="center"/>
          </w:tcPr>
          <w:p>
            <w:pPr>
              <w:pStyle w:val="11"/>
            </w:pPr>
            <w:r>
              <w:t>25.45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28.57</w:t>
            </w:r>
          </w:p>
        </w:tc>
        <w:tc>
          <w:tcPr>
            <w:tcW w:w="2551" w:type="dxa"/>
            <w:vAlign w:val="center"/>
          </w:tcPr>
          <w:p>
            <w:pPr>
              <w:pStyle w:val="11"/>
            </w:pPr>
            <w:r>
              <w:t>28.57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12.44</w:t>
            </w:r>
          </w:p>
        </w:tc>
        <w:tc>
          <w:tcPr>
            <w:tcW w:w="2551" w:type="dxa"/>
            <w:vAlign w:val="center"/>
          </w:tcPr>
          <w:p>
            <w:pPr>
              <w:pStyle w:val="11"/>
            </w:pPr>
            <w:r>
              <w:t>12.44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4.24</w:t>
            </w:r>
          </w:p>
        </w:tc>
        <w:tc>
          <w:tcPr>
            <w:tcW w:w="2551" w:type="dxa"/>
            <w:vAlign w:val="center"/>
          </w:tcPr>
          <w:p>
            <w:pPr>
              <w:pStyle w:val="11"/>
            </w:pPr>
            <w:r>
              <w:t>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2.15</w:t>
            </w:r>
          </w:p>
        </w:tc>
        <w:tc>
          <w:tcPr>
            <w:tcW w:w="2551" w:type="dxa"/>
            <w:vAlign w:val="center"/>
          </w:tcPr>
          <w:p>
            <w:pPr>
              <w:pStyle w:val="11"/>
            </w:pPr>
            <w:r>
              <w:t>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10.59</w:t>
            </w:r>
          </w:p>
        </w:tc>
        <w:tc>
          <w:tcPr>
            <w:tcW w:w="2551" w:type="dxa"/>
            <w:vAlign w:val="center"/>
          </w:tcPr>
          <w:p>
            <w:pPr>
              <w:pStyle w:val="11"/>
            </w:pPr>
            <w:r>
              <w:t>10.59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15.02</w:t>
            </w:r>
          </w:p>
        </w:tc>
        <w:tc>
          <w:tcPr>
            <w:tcW w:w="2551" w:type="dxa"/>
            <w:vAlign w:val="center"/>
          </w:tcPr>
          <w:p>
            <w:pPr>
              <w:pStyle w:val="11"/>
            </w:pPr>
          </w:p>
        </w:tc>
        <w:tc>
          <w:tcPr>
            <w:tcW w:w="2551" w:type="dxa"/>
            <w:vAlign w:val="center"/>
          </w:tcPr>
          <w:p>
            <w:pPr>
              <w:pStyle w:val="11"/>
            </w:pPr>
            <w:r>
              <w:t>15.02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3.68</w:t>
            </w:r>
          </w:p>
        </w:tc>
        <w:tc>
          <w:tcPr>
            <w:tcW w:w="2551" w:type="dxa"/>
            <w:vAlign w:val="center"/>
          </w:tcPr>
          <w:p>
            <w:pPr>
              <w:pStyle w:val="11"/>
            </w:pPr>
          </w:p>
        </w:tc>
        <w:tc>
          <w:tcPr>
            <w:tcW w:w="2551" w:type="dxa"/>
            <w:vAlign w:val="center"/>
          </w:tcPr>
          <w:p>
            <w:pPr>
              <w:pStyle w:val="11"/>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0.73</w:t>
            </w:r>
          </w:p>
        </w:tc>
        <w:tc>
          <w:tcPr>
            <w:tcW w:w="2551" w:type="dxa"/>
            <w:vAlign w:val="center"/>
          </w:tcPr>
          <w:p>
            <w:pPr>
              <w:pStyle w:val="11"/>
            </w:pPr>
          </w:p>
        </w:tc>
        <w:tc>
          <w:tcPr>
            <w:tcW w:w="2551" w:type="dxa"/>
            <w:vAlign w:val="center"/>
          </w:tcPr>
          <w:p>
            <w:pPr>
              <w:pStyle w:val="11"/>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1.34</w:t>
            </w:r>
          </w:p>
        </w:tc>
        <w:tc>
          <w:tcPr>
            <w:tcW w:w="2551" w:type="dxa"/>
            <w:vAlign w:val="center"/>
          </w:tcPr>
          <w:p>
            <w:pPr>
              <w:pStyle w:val="11"/>
            </w:pPr>
          </w:p>
        </w:tc>
        <w:tc>
          <w:tcPr>
            <w:tcW w:w="2551" w:type="dxa"/>
            <w:vAlign w:val="center"/>
          </w:tcPr>
          <w:p>
            <w:pPr>
              <w:pStyle w:val="11"/>
            </w:pPr>
            <w:r>
              <w:t>1.34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35.70</w:t>
            </w:r>
          </w:p>
        </w:tc>
        <w:tc>
          <w:tcPr>
            <w:tcW w:w="2551" w:type="dxa"/>
            <w:vAlign w:val="center"/>
          </w:tcPr>
          <w:p>
            <w:pPr>
              <w:pStyle w:val="11"/>
            </w:pPr>
            <w:r>
              <w:t>35.70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35.70</w:t>
            </w:r>
          </w:p>
        </w:tc>
        <w:tc>
          <w:tcPr>
            <w:tcW w:w="2551" w:type="dxa"/>
            <w:vAlign w:val="center"/>
          </w:tcPr>
          <w:p>
            <w:pPr>
              <w:pStyle w:val="11"/>
            </w:pPr>
            <w:r>
              <w:t>35.70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731001栾城区科学技术协会 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栾城区科学技术协会 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按照《中华人民共和国预算法》、《地方预决算公开操作规程》和《关于进一步推进预算公开工作的实施意见》规定，现将栾城区科学技术协会 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hint="eastAsia"/>
          <w:lang w:eastAsia="zh-CN"/>
        </w:rPr>
      </w:pPr>
      <w:r>
        <w:rPr>
          <w:rFonts w:ascii="方正楷体_GBK" w:hAnsi="方正楷体_GBK" w:eastAsia="方正楷体_GBK" w:cs="方正楷体_GBK"/>
          <w:b/>
          <w:color w:val="000000"/>
          <w:sz w:val="32"/>
        </w:rPr>
        <w:t>单位职责：</w:t>
      </w:r>
    </w:p>
    <w:p>
      <w:pPr>
        <w:pStyle w:val="17"/>
      </w:pPr>
      <w:r>
        <w:t>1、贯彻实施党和国家关于科学技术工作的方针、政策和法律法规，负责制定全区科学技术普及工作的总体规划及年度工作计划 ，并组织实施。</w:t>
      </w:r>
    </w:p>
    <w:p>
      <w:pPr>
        <w:pStyle w:val="17"/>
      </w:pPr>
      <w:r>
        <w:t>2.弘扬科学精神，普及科学精神，传播科学思想和科学方法，捍卫科学尊严，推广使用技术，开展青少年科技教育，提高全区人民群众的思想道德素质和科学文化素质</w:t>
      </w:r>
    </w:p>
    <w:p>
      <w:pPr>
        <w:pStyle w:val="17"/>
      </w:pPr>
      <w:r>
        <w:t>3、贯彻实施《全民科学素质行动计划纲要》，宣传《科学技术普及法》。</w:t>
      </w:r>
    </w:p>
    <w:p>
      <w:pPr>
        <w:pStyle w:val="17"/>
      </w:pPr>
      <w:r>
        <w:t>4、弘扬“尊重知识、尊重人才”的风尚，举荐人才，表彰奖励优秀学术论文、优秀科普作品、优秀科技工作者。</w:t>
      </w:r>
    </w:p>
    <w:p>
      <w:pPr>
        <w:pStyle w:val="17"/>
      </w:pPr>
      <w:r>
        <w:t>5、反映科技工作者的意见和建议，维护科技工作者的合法权益，为科技团体和科技工作者服务；组织科技工作者参与科技政策、法规的制定和重大事务的政治协商，科学决策、民主监督等工作。</w:t>
      </w:r>
    </w:p>
    <w:p>
      <w:pPr>
        <w:pStyle w:val="17"/>
      </w:pPr>
      <w:r>
        <w:t>6、开展科技论证、咨询服务，提出政策建议，促进科学技术成果的转化，接受委托的技术服务。</w:t>
      </w:r>
    </w:p>
    <w:p>
      <w:pPr>
        <w:pStyle w:val="17"/>
      </w:pPr>
      <w:r>
        <w:t>7、开展区内外和民间国际科技的交流与合作，促进科技工作为全区改革开放和经济建设服务。</w:t>
      </w:r>
    </w:p>
    <w:p>
      <w:pPr>
        <w:pStyle w:val="17"/>
      </w:pPr>
      <w:r>
        <w:t>8、负责对区直学会、协会、研究会、科普基地、基层科协进行管理和业务指导。</w:t>
      </w:r>
    </w:p>
    <w:p>
      <w:pPr>
        <w:pStyle w:val="17"/>
      </w:pPr>
      <w:r>
        <w:t>9、负责区委、区政府和上级科协交办的其他工作。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栾城区科学技术协会 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183.71万元，其中：一般公共预算收入183.71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收支预算总表支出栏、基本支出表、项目支出表按经济分类和支出功能分类科目编制，反映栾城区科学技术协会 本级年度单位预算中支出预算的总体情况。2026年支出预算183.71万元，其中基本支出175.26万元，包括人员经费160.24万元和日常公用经费15.02万元；项目支出8.45万元，主要为科学普及活动，科学素质提升，助力创新及发展；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2026年预算收支安排183.71万元，较2025年预算增加12.72万元，其中：基本支出增加6.34万元，主要为人员职级变动工资调整和社会保障项目支出增加6.38万元，主要为科学技术普及 科学素质提升、助力创新发展增加。预计下年使用的单位资金结余增加0.00万元。</w:t>
      </w:r>
    </w:p>
    <w:p>
      <w:pPr>
        <w:spacing w:before="10" w:after="10"/>
        <w:ind w:firstLine="640"/>
        <w:outlineLvl w:val="5"/>
        <w:rPr>
          <w:highlight w:val="none"/>
        </w:rPr>
      </w:pPr>
      <w:r>
        <w:rPr>
          <w:rFonts w:ascii="黑体" w:hAnsi="黑体" w:eastAsia="黑体" w:cs="黑体"/>
          <w:color w:val="000000"/>
          <w:sz w:val="32"/>
          <w:highlight w:val="none"/>
        </w:rPr>
        <w:t>三、机关运行经费安排情况</w:t>
      </w:r>
    </w:p>
    <w:p>
      <w:pPr>
        <w:pStyle w:val="19"/>
        <w:rPr>
          <w:highlight w:val="none"/>
        </w:rPr>
      </w:pPr>
      <w:r>
        <w:rPr>
          <w:rFonts w:hint="eastAsia"/>
          <w:highlight w:val="none"/>
        </w:rPr>
        <w:t>2026年，我单位机关运行经费共计安排15.02万元，主要用于日常维修、办公用房水电费、办公用房取暖费、 办公用房物业管理费等日常运行支出。</w:t>
      </w:r>
    </w:p>
    <w:p>
      <w:pPr>
        <w:spacing w:before="10" w:after="10"/>
        <w:ind w:firstLine="640"/>
        <w:outlineLvl w:val="5"/>
        <w:rPr>
          <w:highlight w:val="none"/>
        </w:rPr>
      </w:pPr>
      <w:r>
        <w:rPr>
          <w:rFonts w:ascii="黑体" w:hAnsi="黑体" w:eastAsia="黑体" w:cs="黑体"/>
          <w:color w:val="000000"/>
          <w:sz w:val="32"/>
          <w:highlight w:val="none"/>
        </w:rPr>
        <w:t>四、财政拨款“三公”经费预算情况及增减变化原因</w:t>
      </w:r>
    </w:p>
    <w:p>
      <w:pPr>
        <w:pStyle w:val="20"/>
        <w:rPr>
          <w:rFonts w:hint="eastAsia" w:eastAsia="方正仿宋_GBK"/>
          <w:highlight w:val="yellow"/>
          <w:lang w:eastAsia="zh-CN"/>
        </w:rPr>
      </w:pPr>
      <w:r>
        <w:rPr>
          <w:rFonts w:hint="eastAsia"/>
          <w:highlight w:val="none"/>
        </w:rPr>
        <w:t xml:space="preserve"> 2026年，我单位财政拨款“三公”经费预算安排0.00万元，其中因公出国（境）费0.00万元； 公务用车购置及运维费0.00万元（其中：公务用车购置费为0.00万元，公务用车运维费0.00万元)； 公务接待费0.00万元。与2025年相比增加0.00万元， </w:t>
      </w:r>
      <w:r>
        <w:rPr>
          <w:rFonts w:hint="eastAsia"/>
          <w:highlight w:val="none"/>
          <w:lang w:val="en-US" w:eastAsia="zh-CN"/>
        </w:rPr>
        <w:t>无</w:t>
      </w:r>
      <w:r>
        <w:rPr>
          <w:rFonts w:hint="eastAsia"/>
          <w:highlight w:val="none"/>
        </w:rPr>
        <w:t>增减变化</w:t>
      </w:r>
      <w:r>
        <w:rPr>
          <w:rFonts w:hint="eastAsia"/>
          <w:highlight w:val="none"/>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w:t>
      </w:r>
      <w:bookmarkStart w:id="1" w:name="_GoBack"/>
      <w:bookmarkEnd w:id="1"/>
      <w:r>
        <w:rPr>
          <w:rFonts w:ascii="黑体" w:hAnsi="黑体" w:eastAsia="黑体" w:cs="黑体"/>
          <w:color w:val="000000"/>
          <w:sz w:val="32"/>
        </w:rPr>
        <w:t>位项目预算安排情况及绩效目标</w:t>
      </w:r>
    </w:p>
    <w:p>
      <w:pPr>
        <w:ind w:firstLine="560"/>
      </w:pPr>
      <w:r>
        <w:rPr>
          <w:rFonts w:ascii="方正仿宋_GBK" w:hAnsi="方正仿宋_GBK" w:eastAsia="方正仿宋_GBK" w:cs="方正仿宋_GBK"/>
          <w:b/>
          <w:color w:val="000000"/>
          <w:sz w:val="28"/>
        </w:rPr>
        <w:t>1、2026年劳务派遣人员经费绩效目标表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13011126P000004106913</w:t>
            </w:r>
          </w:p>
        </w:tc>
        <w:tc>
          <w:tcPr>
            <w:tcW w:w="2835" w:type="dxa"/>
            <w:vAlign w:val="center"/>
          </w:tcPr>
          <w:p>
            <w:pPr>
              <w:pStyle w:val="10"/>
            </w:pPr>
            <w:r>
              <w:t>项目名称</w:t>
            </w:r>
          </w:p>
        </w:tc>
        <w:tc>
          <w:tcPr>
            <w:tcW w:w="6095" w:type="dxa"/>
            <w:gridSpan w:val="3"/>
            <w:vAlign w:val="center"/>
          </w:tcPr>
          <w:p>
            <w:pPr>
              <w:pStyle w:val="12"/>
            </w:pPr>
            <w:r>
              <w:t>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6.93</w:t>
            </w:r>
          </w:p>
        </w:tc>
        <w:tc>
          <w:tcPr>
            <w:tcW w:w="2835" w:type="dxa"/>
            <w:vAlign w:val="center"/>
          </w:tcPr>
          <w:p>
            <w:pPr>
              <w:pStyle w:val="10"/>
            </w:pPr>
            <w:r>
              <w:t>其中：财政    资金</w:t>
            </w:r>
          </w:p>
        </w:tc>
        <w:tc>
          <w:tcPr>
            <w:tcW w:w="2551" w:type="dxa"/>
            <w:vAlign w:val="center"/>
          </w:tcPr>
          <w:p>
            <w:pPr>
              <w:pStyle w:val="12"/>
            </w:pPr>
            <w:r>
              <w:t>6.93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2026年劳务派遣人员经费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1.73</w:t>
            </w:r>
          </w:p>
        </w:tc>
        <w:tc>
          <w:tcPr>
            <w:tcW w:w="2835" w:type="dxa"/>
            <w:vAlign w:val="center"/>
          </w:tcPr>
          <w:p>
            <w:pPr>
              <w:pStyle w:val="13"/>
            </w:pPr>
            <w:r>
              <w:t>1.73</w:t>
            </w:r>
          </w:p>
        </w:tc>
        <w:tc>
          <w:tcPr>
            <w:tcW w:w="2551" w:type="dxa"/>
            <w:vAlign w:val="center"/>
          </w:tcPr>
          <w:p>
            <w:pPr>
              <w:pStyle w:val="13"/>
            </w:pPr>
            <w:r>
              <w:t>1.73</w:t>
            </w:r>
          </w:p>
        </w:tc>
        <w:tc>
          <w:tcPr>
            <w:tcW w:w="3544" w:type="dxa"/>
            <w:gridSpan w:val="2"/>
            <w:vAlign w:val="center"/>
          </w:tcPr>
          <w:p>
            <w:pPr>
              <w:pStyle w:val="13"/>
            </w:pPr>
            <w:r>
              <w:t>1.73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1.目标内容12026年栾城区科协劳务派遣人员经费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培训人次</w:t>
            </w:r>
          </w:p>
        </w:tc>
        <w:tc>
          <w:tcPr>
            <w:tcW w:w="2268" w:type="dxa"/>
            <w:vAlign w:val="center"/>
          </w:tcPr>
          <w:p>
            <w:pPr>
              <w:pStyle w:val="12"/>
            </w:pPr>
            <w:r>
              <w:t>≥100参训次数不低于6次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≥100进一步增强区级社会影响力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≥98参训人员满意度</w:t>
            </w:r>
          </w:p>
        </w:tc>
        <w:tc>
          <w:tcPr>
            <w:tcW w:w="1276" w:type="dxa"/>
            <w:vAlign w:val="center"/>
          </w:tcPr>
          <w:p>
            <w:pPr>
              <w:pStyle w:val="12"/>
            </w:pPr>
            <w:r>
              <w:t>工作加护</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2、2026年离退休人员统筹外工资待遇绩效目标表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13011126P00000410661F</w:t>
            </w:r>
          </w:p>
        </w:tc>
        <w:tc>
          <w:tcPr>
            <w:tcW w:w="2835" w:type="dxa"/>
            <w:vAlign w:val="center"/>
          </w:tcPr>
          <w:p>
            <w:pPr>
              <w:pStyle w:val="10"/>
            </w:pPr>
            <w:r>
              <w:t>项目名称</w:t>
            </w:r>
          </w:p>
        </w:tc>
        <w:tc>
          <w:tcPr>
            <w:tcW w:w="6095" w:type="dxa"/>
            <w:gridSpan w:val="3"/>
            <w:vAlign w:val="center"/>
          </w:tcPr>
          <w:p>
            <w:pPr>
              <w:pStyle w:val="12"/>
            </w:pPr>
            <w:r>
              <w:t>2026年离退休人员统筹外工资待遇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0.14</w:t>
            </w:r>
          </w:p>
        </w:tc>
        <w:tc>
          <w:tcPr>
            <w:tcW w:w="2835" w:type="dxa"/>
            <w:vAlign w:val="center"/>
          </w:tcPr>
          <w:p>
            <w:pPr>
              <w:pStyle w:val="13"/>
            </w:pPr>
            <w:r>
              <w:t>0.14</w:t>
            </w:r>
          </w:p>
        </w:tc>
        <w:tc>
          <w:tcPr>
            <w:tcW w:w="2551" w:type="dxa"/>
            <w:vAlign w:val="center"/>
          </w:tcPr>
          <w:p>
            <w:pPr>
              <w:pStyle w:val="13"/>
            </w:pPr>
            <w:r>
              <w:t>0.14</w:t>
            </w:r>
          </w:p>
        </w:tc>
        <w:tc>
          <w:tcPr>
            <w:tcW w:w="3544" w:type="dxa"/>
            <w:gridSpan w:val="2"/>
            <w:vAlign w:val="center"/>
          </w:tcPr>
          <w:p>
            <w:pPr>
              <w:pStyle w:val="13"/>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1.目标内容12026年离退休人员统筹外工资待遇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培训人次</w:t>
            </w:r>
          </w:p>
        </w:tc>
        <w:tc>
          <w:tcPr>
            <w:tcW w:w="2268" w:type="dxa"/>
            <w:vAlign w:val="center"/>
          </w:tcPr>
          <w:p>
            <w:pPr>
              <w:pStyle w:val="12"/>
            </w:pPr>
            <w:r>
              <w:t>≥100参训人次不低于6次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≥100进一步增强区级社会影响力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≥98参训人员满意度</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3、2026年行政事业单位应缴残保金绩效目标表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13011126P00000410870A</w:t>
            </w:r>
          </w:p>
        </w:tc>
        <w:tc>
          <w:tcPr>
            <w:tcW w:w="2835" w:type="dxa"/>
            <w:vAlign w:val="center"/>
          </w:tcPr>
          <w:p>
            <w:pPr>
              <w:pStyle w:val="10"/>
            </w:pPr>
            <w:r>
              <w:t>项目名称</w:t>
            </w:r>
          </w:p>
        </w:tc>
        <w:tc>
          <w:tcPr>
            <w:tcW w:w="6095" w:type="dxa"/>
            <w:gridSpan w:val="3"/>
            <w:vAlign w:val="center"/>
          </w:tcPr>
          <w:p>
            <w:pPr>
              <w:pStyle w:val="12"/>
            </w:pPr>
            <w:r>
              <w:t>2026年行政事业单位应缴残保金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0.24</w:t>
            </w:r>
          </w:p>
        </w:tc>
        <w:tc>
          <w:tcPr>
            <w:tcW w:w="2835" w:type="dxa"/>
            <w:vAlign w:val="center"/>
          </w:tcPr>
          <w:p>
            <w:pPr>
              <w:pStyle w:val="13"/>
            </w:pPr>
            <w:r>
              <w:t>0.24</w:t>
            </w:r>
          </w:p>
        </w:tc>
        <w:tc>
          <w:tcPr>
            <w:tcW w:w="2551" w:type="dxa"/>
            <w:vAlign w:val="center"/>
          </w:tcPr>
          <w:p>
            <w:pPr>
              <w:pStyle w:val="13"/>
            </w:pPr>
            <w:r>
              <w:t>0.24</w:t>
            </w:r>
          </w:p>
        </w:tc>
        <w:tc>
          <w:tcPr>
            <w:tcW w:w="3544" w:type="dxa"/>
            <w:gridSpan w:val="2"/>
            <w:vAlign w:val="center"/>
          </w:tcPr>
          <w:p>
            <w:pPr>
              <w:pStyle w:val="13"/>
            </w:pPr>
            <w:r>
              <w:t>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1.目标内容12026年行政事业单位应缴残保金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386" w:type="dxa"/>
            <w:vAlign w:val="center"/>
          </w:tcPr>
          <w:p>
            <w:pPr>
              <w:pStyle w:val="12"/>
            </w:pPr>
            <w:r>
              <w:t>培训人次</w:t>
            </w:r>
          </w:p>
        </w:tc>
        <w:tc>
          <w:tcPr>
            <w:tcW w:w="2268" w:type="dxa"/>
            <w:vAlign w:val="center"/>
          </w:tcPr>
          <w:p>
            <w:pPr>
              <w:pStyle w:val="12"/>
            </w:pPr>
            <w:r>
              <w:t>≥100参训人次不低于6次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≥100进一步增强区级社会影响力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≥98参训人员满意度</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731001栾城区科学技术协会 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0.03</w:t>
            </w:r>
          </w:p>
        </w:tc>
        <w:tc>
          <w:tcPr>
            <w:tcW w:w="964" w:type="dxa"/>
            <w:vAlign w:val="center"/>
          </w:tcPr>
          <w:p>
            <w:pPr>
              <w:pStyle w:val="15"/>
            </w:pPr>
            <w:r>
              <w:t>0.03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栾城区科学技术协会 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0.03</w:t>
            </w:r>
          </w:p>
        </w:tc>
        <w:tc>
          <w:tcPr>
            <w:tcW w:w="964" w:type="dxa"/>
            <w:vAlign w:val="center"/>
          </w:tcPr>
          <w:p>
            <w:pPr>
              <w:pStyle w:val="15"/>
            </w:pPr>
            <w:r>
              <w:t>0.03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3.48</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包</w:t>
            </w:r>
          </w:p>
        </w:tc>
        <w:tc>
          <w:tcPr>
            <w:tcW w:w="850" w:type="dxa"/>
            <w:vAlign w:val="center"/>
          </w:tcPr>
          <w:p>
            <w:pPr>
              <w:pStyle w:val="11"/>
            </w:pPr>
            <w:r>
              <w:t>16</w:t>
            </w:r>
          </w:p>
        </w:tc>
        <w:tc>
          <w:tcPr>
            <w:tcW w:w="850" w:type="dxa"/>
            <w:vAlign w:val="center"/>
          </w:tcPr>
          <w:p>
            <w:pPr>
              <w:pStyle w:val="11"/>
            </w:pPr>
            <w:r>
              <w:t>0.00</w:t>
            </w:r>
          </w:p>
        </w:tc>
        <w:tc>
          <w:tcPr>
            <w:tcW w:w="964" w:type="dxa"/>
            <w:vAlign w:val="center"/>
          </w:tcPr>
          <w:p>
            <w:pPr>
              <w:pStyle w:val="11"/>
            </w:pPr>
            <w:r>
              <w:t>0.03</w:t>
            </w:r>
          </w:p>
        </w:tc>
        <w:tc>
          <w:tcPr>
            <w:tcW w:w="964" w:type="dxa"/>
            <w:vAlign w:val="center"/>
          </w:tcPr>
          <w:p>
            <w:pPr>
              <w:pStyle w:val="11"/>
            </w:pPr>
            <w:r>
              <w:t>0.03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栾城区科学技术协会 本级上年末固定资产金额为9.80万元（详见下表）。本年度拟购置固定资产总额为0.00万元，已按要求列入政府采购预算，详见政府采购预算表。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731001栾城区科学技术协会 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w:t>
            </w:r>
          </w:p>
        </w:tc>
        <w:tc>
          <w:tcPr>
            <w:tcW w:w="2835" w:type="dxa"/>
            <w:vAlign w:val="center"/>
          </w:tcPr>
          <w:p>
            <w:pPr>
              <w:pStyle w:val="11"/>
            </w:pPr>
            <w:r>
              <w:t>9.80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75AD"/>
    <w:rsid w:val="000775AD"/>
    <w:rsid w:val="00331C48"/>
    <w:rsid w:val="004730F6"/>
    <w:rsid w:val="005D4CC6"/>
    <w:rsid w:val="00C43712"/>
    <w:rsid w:val="264E03BC"/>
    <w:rsid w:val="7B9D087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24</Pages>
  <Words>1408</Words>
  <Characters>8030</Characters>
  <Lines>66</Lines>
  <Paragraphs>18</Paragraphs>
  <TotalTime>6</TotalTime>
  <ScaleCrop>false</ScaleCrop>
  <LinksUpToDate>false</LinksUpToDate>
  <CharactersWithSpaces>9420</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2026-03-10T02:26:00Z</dcterms:created>
  <dc:creator>lenovo</dc:creator>
  <cp:lastModifiedBy>Lenovo</cp:lastModifiedBy>
  <dcterms:modified xsi:type="dcterms:W3CDTF">2026-02-20T07:25:13Z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