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DB9770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jc w:val="center"/>
        <w:textAlignment w:val="auto"/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</w:pPr>
    </w:p>
    <w:p w14:paraId="5CD365FA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jc w:val="center"/>
        <w:textAlignment w:val="auto"/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</w:pPr>
    </w:p>
    <w:p w14:paraId="39D6AF05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firstLine="0"/>
        <w:jc w:val="center"/>
        <w:textAlignment w:val="auto"/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</w:pPr>
      <w:r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  <w:t>石家庄</w:t>
      </w:r>
      <w:r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  <w:lang w:val="en-US" w:eastAsia="zh-CN"/>
        </w:rPr>
        <w:t>市栾城区南高乡</w:t>
      </w:r>
      <w:r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  <w:t>市场监管系统2026</w:t>
      </w:r>
    </w:p>
    <w:p w14:paraId="21AC56BF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firstLine="0"/>
        <w:jc w:val="left"/>
        <w:textAlignment w:val="auto"/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</w:pPr>
      <w:bookmarkStart w:id="0" w:name="_GoBack"/>
      <w:bookmarkEnd w:id="0"/>
      <w:r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  <w:lang w:val="en-US" w:eastAsia="zh-CN"/>
        </w:rPr>
        <w:t>年</w:t>
      </w:r>
      <w:r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  <w:t>“双随机、一公开”监管工作实施方案</w:t>
      </w:r>
    </w:p>
    <w:p w14:paraId="5AF099D3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jc w:val="center"/>
        <w:textAlignment w:val="auto"/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</w:pPr>
    </w:p>
    <w:p w14:paraId="4657D24D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为深入贯彻落实党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中央、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国务院、省委省政府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市委市政府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和区委区政府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关于优化营商环境的决策部署，全面落实《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石家庄市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2026年“双随机、一公开”监管工作实施方案》各项要求，进一步规范涉企行政检查，提升监管效能，营造公平有序的市场环境，结合我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区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实际，制定本方案。</w:t>
      </w:r>
    </w:p>
    <w:p w14:paraId="74866315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right="0" w:firstLine="640" w:firstLineChars="200"/>
        <w:textAlignment w:val="auto"/>
        <w:rPr>
          <w:rStyle w:val="8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</w:pPr>
      <w:r>
        <w:rPr>
          <w:rStyle w:val="8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一、工作目标</w:t>
      </w:r>
    </w:p>
    <w:p w14:paraId="7548E8A9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持续规范涉企行政检查，提升行政检查效能，深入推进“双随机、一公开”监管常态化、精细化、智能化。推动市场监管系统内部联合抽查和跨部门联合抽查常态化，避免重复检查、多头检查；推行非现场检查，减少入企频次；深化信用风险分类管理，实施差异化、靶向化抽查，实现对守法者“无事不扰”，对违法者“无处不在”。</w:t>
      </w:r>
    </w:p>
    <w:p w14:paraId="3C53BF67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638" w:leftChars="304" w:right="0" w:firstLine="0" w:firstLine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Style w:val="8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二、</w:t>
      </w:r>
      <w:r>
        <w:rPr>
          <w:rStyle w:val="8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主要任务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（一）优化完善工作平台运用</w:t>
      </w:r>
    </w:p>
    <w:p w14:paraId="42FD8C9E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加强河北省双随机执法监管平台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以下简称省监管平台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的操作培训，确保所有行政检查全过程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高效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准确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。实现检查结果后续处置与列入经营异常名录、信用修复等环节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有效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衔接，形成“检查—处理—公示—修复”管理闭环。</w:t>
      </w:r>
    </w:p>
    <w:p w14:paraId="506FCCF4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3" w:firstLineChars="200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（二）规范管理“一单两库”</w:t>
      </w:r>
    </w:p>
    <w:p w14:paraId="7A71CF0A"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动态更新抽查事项清单：根据法律法规立改废情况及省局清单，动态调整并公示本级随机抽查事项清单，明确检查依据、内容与要求。</w:t>
      </w:r>
    </w:p>
    <w:p w14:paraId="193A315E"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精准维护检查对象名录库：及时在省监管平台认领新增检查对象，实施标签化管理，结合信用分类标注，实现监管对象精准索引。</w:t>
      </w:r>
    </w:p>
    <w:p w14:paraId="4C47009A"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优化执法人员名录库：及时更新执法人员信息，按业务专长、执法资质、回避范围等分类标注，实现“人、事”精准匹配。</w:t>
      </w:r>
    </w:p>
    <w:p w14:paraId="50D91F50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3" w:firstLineChars="200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（三）科学制定与实施抽查计划</w:t>
      </w:r>
    </w:p>
    <w:p w14:paraId="1A6A6378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统筹制定计划：依据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局部署和法定职责，结合辖区行业特点与风险状况，科学制定年度抽查计划，及时向社会公示。抽查企业比例不低于全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区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企业总数的3%，个体工商户、农民专业合作社比例结合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工作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实际确定。</w:t>
      </w:r>
    </w:p>
    <w:p w14:paraId="148C11CA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规范组织实施：严格执行“扫码入企”制度，出示执法证件，主动接受检查对象评价。严格按照计划时限开展检查，杜绝任务超期。</w:t>
      </w:r>
    </w:p>
    <w:p w14:paraId="2F338479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强化结果处置与闭环衔接：对检查结果的认定须依法、严谨、准确，确保程序规范、证据完整。特别是对通过登记住所（经营场所）无法联系的检查对象，必须严格按照《企业公示信息抽查办法》规定进行认定，做到检查结果公示、后续监管与信用惩戒有效衔接，实现闭环管理。</w:t>
      </w:r>
    </w:p>
    <w:p w14:paraId="2CDC443B">
      <w:pPr>
        <w:pStyle w:val="5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3" w:firstLineChars="200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深化联合抽查与差异化监管</w:t>
      </w:r>
    </w:p>
    <w:p w14:paraId="2E6D41BA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坚持“应合尽合、应联尽联”，发挥信用监管牵头作用，统筹推进系统内及跨部门联合抽查，深化“一业一查”模式。根据经营主体信用风险分类结果，实施差异化抽查：对信用风险低的企业，除法律法规另有规定外，本年度内原则上不重复抽查；对风险高的企业提高抽查比例和频次。</w:t>
      </w:r>
    </w:p>
    <w:p w14:paraId="43993AC7">
      <w:pPr>
        <w:pStyle w:val="5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firstLine="643" w:firstLineChars="200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推行非现场检查</w:t>
      </w:r>
    </w:p>
    <w:p w14:paraId="3AF0982C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对可通过远程监测、数据自动校验、风险预警等方式实现有效监管的事项，积极推行非现场检查。探索建立非现场检查程序规则，最大限度减少现场检查比例，减少对企业正常经营的干扰。</w:t>
      </w:r>
    </w:p>
    <w:p w14:paraId="6C24AC7D">
      <w:pPr>
        <w:pStyle w:val="5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firstLine="643" w:firstLineChars="200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开展风险靶向抽查</w:t>
      </w:r>
    </w:p>
    <w:p w14:paraId="57574370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结合投诉举报、舆情监测、风险预警及日常监管中发现的多发、易发风险隐患，组织开展靶向抽查。重点关注“零值年报”“一址多照”等风险线索，依法加大问题处置与惩戒力度，防范区域性、行业性风险。认真贯彻落实新修订《公司法》，做好登记事项、认缴实缴、即时信息公示等监管工作。</w:t>
      </w:r>
    </w:p>
    <w:p w14:paraId="33431A94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638" w:leftChars="304" w:right="0" w:rightChars="0" w:firstLine="0" w:firstLineChars="0"/>
        <w:textAlignment w:val="auto"/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Style w:val="8"/>
          <w:rFonts w:hint="eastAsia" w:ascii="黑体" w:hAnsi="黑体" w:eastAsia="黑体" w:cs="黑体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三、</w:t>
      </w:r>
      <w:r>
        <w:rPr>
          <w:rStyle w:val="8"/>
          <w:rFonts w:hint="eastAsia" w:ascii="黑体" w:hAnsi="黑体" w:eastAsia="黑体" w:cs="黑体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工作要求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br w:type="textWrapping"/>
      </w: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（一）加强统筹协调与督导</w:t>
      </w:r>
    </w:p>
    <w:p w14:paraId="39A583D5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市局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将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定期组织开展双随机抽查回访和调研。对抽查检查走形式、随意录入检查结果等问题，在一定范围内予以通报，并督促整改。各业务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股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室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需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加强对本条线抽查工作的指导，及时回应基层疑问。</w:t>
      </w:r>
    </w:p>
    <w:p w14:paraId="24BF337E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Chars="0" w:right="0" w:rightChars="0" w:firstLine="643" w:firstLineChars="200"/>
        <w:textAlignment w:val="auto"/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（</w:t>
      </w: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二</w:t>
      </w: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）</w:t>
      </w: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严肃检查纪律</w:t>
      </w:r>
    </w:p>
    <w:p w14:paraId="2AFD2BEB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严格落实涉企行政检查“五个严禁”“八个不得”要求，坚决杜绝任性检查、运动式检查和变相检查。对随意录入或修改检查结果、超期未完成抽查任务的单位和个人，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省市局将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依规进行约谈提醒。</w:t>
      </w:r>
    </w:p>
    <w:p w14:paraId="5E726868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Chars="0" w:right="0" w:rightChars="0" w:firstLine="643" w:firstLineChars="200"/>
        <w:textAlignment w:val="auto"/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（</w:t>
      </w: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三</w:t>
      </w: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）</w:t>
      </w:r>
      <w:r>
        <w:rPr>
          <w:rStyle w:val="8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及时反馈报送</w:t>
      </w:r>
    </w:p>
    <w:p w14:paraId="090B77C1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严格按照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市、区局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工作要求，按时报送工作进展、抽查数据、典型案例及经验做法。对监管平台使用、抽查实施中的问题与建议，及时向上级反馈。</w:t>
      </w:r>
    </w:p>
    <w:p w14:paraId="721818DA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55A7F5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CF00DDF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CF00DDF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7CCD367"/>
    <w:multiLevelType w:val="singleLevel"/>
    <w:tmpl w:val="F7CCD36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29A34033"/>
    <w:multiLevelType w:val="singleLevel"/>
    <w:tmpl w:val="29A34033"/>
    <w:lvl w:ilvl="0" w:tentative="0">
      <w:start w:val="4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36D0A0F7"/>
    <w:multiLevelType w:val="singleLevel"/>
    <w:tmpl w:val="36D0A0F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1F3198"/>
    <w:rsid w:val="0E1D4B35"/>
    <w:rsid w:val="0E945A78"/>
    <w:rsid w:val="1E237E7E"/>
    <w:rsid w:val="24647022"/>
    <w:rsid w:val="24845F66"/>
    <w:rsid w:val="26E47F8F"/>
    <w:rsid w:val="39A673A1"/>
    <w:rsid w:val="3CFE3C20"/>
    <w:rsid w:val="4E1F3198"/>
    <w:rsid w:val="51611D91"/>
    <w:rsid w:val="552E632C"/>
    <w:rsid w:val="56592200"/>
    <w:rsid w:val="5A6331F7"/>
    <w:rsid w:val="5E2152FD"/>
    <w:rsid w:val="601F7341"/>
    <w:rsid w:val="6682703B"/>
    <w:rsid w:val="72414F83"/>
    <w:rsid w:val="72606732"/>
    <w:rsid w:val="72B6017C"/>
    <w:rsid w:val="76101441"/>
    <w:rsid w:val="79052B9F"/>
    <w:rsid w:val="7D0E7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rPr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1542</Words>
  <Characters>1549</Characters>
  <Lines>0</Lines>
  <Paragraphs>0</Paragraphs>
  <TotalTime>10</TotalTime>
  <ScaleCrop>false</ScaleCrop>
  <LinksUpToDate>false</LinksUpToDate>
  <CharactersWithSpaces>1549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2026-02-04T02:48:00Z</dcterms:created>
  <dc:creator>宁森淼</dc:creator>
  <cp:lastModifiedBy>剧亚运</cp:lastModifiedBy>
  <cp:lastPrinted>2026-02-11T01:12:00Z</cp:lastPrinted>
  <dcterms:modified xsi:type="dcterms:W3CDTF">2026-05-13T03:35:08Z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4F025488FFD14C499FB636E0CE01F3A8_13</vt:lpwstr>
  </property>
  <property fmtid="{D5CDD505-2E9C-101B-9397-08002B2CF9AE}" pid="4" name="KSOTemplateDocerSaveRecord">
    <vt:lpwstr>eyJoZGlkIjoiODM3M2VjYjg0YmRkZTcwNjM4MGQ5MDViOGJmZTMzMDgiLCJ1c2VySWQiOiIxMDUxMTYzMjIyIn0=</vt:lpwstr>
  </property>
</Properties>
</file>