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463378">
      <w:pPr>
        <w:adjustRightInd w:val="0"/>
        <w:snapToGrid w:val="0"/>
        <w:spacing w:line="560" w:lineRule="exact"/>
        <w:jc w:val="both"/>
        <w:rPr>
          <w:rFonts w:hint="eastAsia" w:ascii="宋体" w:hAnsi="宋体" w:eastAsia="宋体" w:cs="宋体"/>
          <w:sz w:val="44"/>
          <w:szCs w:val="44"/>
          <w:lang w:eastAsia="zh-CN"/>
        </w:rPr>
      </w:pPr>
      <w:bookmarkStart w:id="2" w:name="_GoBack"/>
      <w:bookmarkEnd w:id="2"/>
      <w:bookmarkStart w:id="0" w:name="TITLE"/>
    </w:p>
    <w:p w14:paraId="07896D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line="560" w:lineRule="exact"/>
        <w:jc w:val="center"/>
        <w:textAlignment w:val="auto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石家庄市栾城区应急管理局</w:t>
      </w:r>
    </w:p>
    <w:p w14:paraId="4FD34FA7">
      <w:pPr>
        <w:adjustRightInd w:val="0"/>
        <w:snapToGrid w:val="0"/>
        <w:spacing w:line="560" w:lineRule="exact"/>
        <w:jc w:val="center"/>
        <w:rPr>
          <w:rFonts w:hint="eastAsia" w:ascii="方正小标宋简体" w:hAnsi="仿宋" w:eastAsia="方正小标宋简体" w:cs="仿宋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2026年“双随机、一公开”监管工作实施方案</w:t>
      </w:r>
      <w:bookmarkEnd w:id="0"/>
    </w:p>
    <w:p w14:paraId="67CC4196">
      <w:pPr>
        <w:adjustRightInd w:val="0"/>
        <w:snapToGrid w:val="0"/>
        <w:jc w:val="center"/>
        <w:rPr>
          <w:rFonts w:ascii="仿宋_GB2312" w:hAnsi="仿宋_GB2312" w:cs="仿宋_GB2312"/>
          <w:w w:val="70"/>
          <w:sz w:val="44"/>
          <w:szCs w:val="44"/>
        </w:rPr>
      </w:pPr>
    </w:p>
    <w:p w14:paraId="2281B4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bookmarkStart w:id="1" w:name="ZHUSONG"/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局各相关股室、中队：</w:t>
      </w:r>
      <w:bookmarkEnd w:id="1"/>
    </w:p>
    <w:p w14:paraId="4657D24D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为深入贯彻落实党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中央、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国务院、省委省政府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市委市政府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和区委区政府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关于优化营商环境的决策部署，全面落实《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石家庄市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2026年“双随机、一公开”监管工作实施方案》各项要求，进一步规范涉企行政检查，提升监管效能，营造公平有序的市场环境，结合我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局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实际，制定本方案。</w:t>
      </w:r>
    </w:p>
    <w:p w14:paraId="590C4BC1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一、工作思路</w:t>
      </w:r>
    </w:p>
    <w:p w14:paraId="54DA1A33"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420" w:firstLine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强化部门联合抽查效能，全面推行“一业一查”部门联合模式，切实减少涉企检查频次。</w:t>
      </w:r>
    </w:p>
    <w:p w14:paraId="1F6D9860"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420" w:firstLine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深化信用风险差异化抽查，常态化运用企业信用风险分类结果，提升监管精准性和效能。</w:t>
      </w:r>
    </w:p>
    <w:p w14:paraId="3DD04FD7"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420" w:firstLine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进一步严格工作标准和流程，规范抽查行为，回应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经营主体和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社会关切，有效防止多头检查、重复检查。</w:t>
      </w:r>
    </w:p>
    <w:p w14:paraId="229C9A7A"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420" w:firstLine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牢固树立寓服务于监管的理念，在抽查检查过程中开展政策宣讲和合规指导。</w:t>
      </w:r>
    </w:p>
    <w:p w14:paraId="3C53BF67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638" w:leftChars="304" w:right="0" w:firstLine="0" w:firstLineChars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Style w:val="12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二、</w:t>
      </w:r>
      <w:r>
        <w:rPr>
          <w:rStyle w:val="12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主要任务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（一）优化完善工作平台运用</w:t>
      </w:r>
    </w:p>
    <w:p w14:paraId="42FD8C9E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依托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河北省双随机执法监管平台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以下简称省监管平台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，确保所有行政检查全过程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高效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准确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。实现检查结果后续处置与列入经营异常名录、信用修复等环节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有效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衔接，形成“检查—处理—公示—修复”管理闭环。</w:t>
      </w:r>
    </w:p>
    <w:p w14:paraId="506FCCF4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（二）规范管理“一单两库”</w:t>
      </w:r>
    </w:p>
    <w:p w14:paraId="7A71CF0A">
      <w:pPr>
        <w:pStyle w:val="9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动态更新抽查事项清单：根据法律法规立改废情况，动态调整并公示本级随机抽查事项清单，明确检查依据、内容与要求。</w:t>
      </w:r>
    </w:p>
    <w:p w14:paraId="193A315E">
      <w:pPr>
        <w:pStyle w:val="9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精准维护检查对象名录库：及时在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本级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监管平台认领新增检查对象，实施标签化管理，结合信用分类标注，实现监管对象精准索引。</w:t>
      </w:r>
    </w:p>
    <w:p w14:paraId="4C47009A">
      <w:pPr>
        <w:pStyle w:val="9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优化执法人员名录库：及时更新执法人员信息，按业务专长、执法资质、回避范围等分类标注，实现“人、事”精准匹配。</w:t>
      </w:r>
    </w:p>
    <w:p w14:paraId="50D91F50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（三）科学制定与实施抽查计划</w:t>
      </w:r>
    </w:p>
    <w:p w14:paraId="1A6A6378">
      <w:pPr>
        <w:pStyle w:val="9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统筹制定计划：依据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区市场监管局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部署和法定职责，结合辖区行业特点与风险状况，科学制定年度抽查计划，及时向社会公示。抽查企业比例不低于全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val="en-US" w:eastAsia="zh-CN"/>
        </w:rPr>
        <w:t>区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企业总数的3%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。</w:t>
      </w:r>
    </w:p>
    <w:p w14:paraId="148C11CA">
      <w:pPr>
        <w:pStyle w:val="9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规范组织实施：严格执行“扫码入企”制度，出示执法证件，主动接受检查对象评价。严格按照计划时限开展检查，杜绝任务超期。</w:t>
      </w:r>
    </w:p>
    <w:p w14:paraId="2F338479">
      <w:pPr>
        <w:pStyle w:val="9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强化结果处置与闭环衔接：对检查结果的认定须依法、严谨、准确，确保程序规范、证据完整。特别是对通过登记住所（经营场所）无法联系的检查对象，必须严格按照《企业公示信息抽查办法》规定进行认定，做到检查结果公示、后续监管与信用惩戒有效衔接，实现闭环管理。</w:t>
      </w:r>
    </w:p>
    <w:p w14:paraId="2CDC443B">
      <w:pPr>
        <w:pStyle w:val="9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深化联合抽查与差异化监管</w:t>
      </w:r>
    </w:p>
    <w:p w14:paraId="2E6D41BA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坚持“应合尽合、应联尽联”，发挥信用监管牵头作用，统筹推进系统内及跨部门联合抽查，深化“一业一查”模式。根据经营主体信用风险分类结果，实施差异化抽查：对信用风险低的企业，除法律法规另有规定外，本年度内原则上不重复抽查；对风险高的企业提高抽查比例和频次。</w:t>
      </w:r>
    </w:p>
    <w:p w14:paraId="43993AC7">
      <w:pPr>
        <w:pStyle w:val="9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643" w:firstLineChars="200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推行非现场检查</w:t>
      </w:r>
    </w:p>
    <w:p w14:paraId="3AF0982C"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Chars="0" w:right="0" w:rightChars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对可通过远程监测、数据自动校验、风险预警等方式实现有效监管的事项，积极推行非现场检查。探索建立非现场检查程序规则，最大限度减少现场检查比例，减少对企业正常经营的干扰。</w:t>
      </w:r>
    </w:p>
    <w:p w14:paraId="3758E592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638" w:leftChars="304" w:right="0" w:firstLine="0" w:firstLineChars="0"/>
        <w:textAlignment w:val="auto"/>
        <w:rPr>
          <w:rStyle w:val="12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</w:pPr>
      <w:r>
        <w:rPr>
          <w:rStyle w:val="12"/>
          <w:rFonts w:hint="eastAsia" w:ascii="黑体" w:hAnsi="黑体" w:eastAsia="黑体" w:cs="黑体"/>
          <w:b w:val="0"/>
          <w:bCs w:val="0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三、工作要求</w:t>
      </w:r>
    </w:p>
    <w:p w14:paraId="656CD5A4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Style w:val="12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（一）提高认识，加强领导。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要充分认识“双随机、一公开”监管对优化营商环境、构建新型监管机制的重要意义，加强组织领导，健全工作机制，细化举措，压实责任，确保各项任务落地见效。</w:t>
      </w:r>
    </w:p>
    <w:p w14:paraId="3A73D93D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  <w:r>
        <w:rPr>
          <w:rStyle w:val="12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（二）履职尽责，协同推进。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区应急管理局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要发挥好牵头协调作用，加强统筹调度。要强化大局意识，牢固树立“一盘棋”思想，主动履职，密切配合，形成工作合力。</w:t>
      </w:r>
    </w:p>
    <w:p w14:paraId="380B4F71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43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</w:pPr>
      <w:r>
        <w:rPr>
          <w:rStyle w:val="12"/>
          <w:rFonts w:hint="eastAsia" w:ascii="仿宋" w:hAnsi="仿宋" w:eastAsia="仿宋" w:cs="仿宋"/>
          <w:b/>
          <w:bCs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（三）严肃纪律，跟踪问效。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要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严格按照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《国务院办公厅关于严格规范涉企行政检查的意见》（国办发〔2024〕54号）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中“五个严禁”、“八个不得”的要求，强化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</w:rPr>
        <w:t>随机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  <w:shd w:val="clear" w:fill="FFFFFF"/>
          <w:lang w:eastAsia="zh-CN"/>
        </w:rPr>
        <w:t>抽查工作全流程管控，严格规范公正文明，切实提升随机抽查工作效能。</w:t>
      </w:r>
    </w:p>
    <w:p w14:paraId="2453BD62">
      <w:pPr>
        <w:pStyle w:val="14"/>
        <w:rPr>
          <w:rFonts w:hint="eastAsia" w:ascii="仿宋" w:hAnsi="仿宋" w:eastAsia="仿宋" w:cs="仿宋"/>
          <w:bCs/>
          <w:szCs w:val="32"/>
        </w:rPr>
      </w:pPr>
    </w:p>
    <w:p w14:paraId="4FEB8F52">
      <w:pPr>
        <w:keepNext w:val="0"/>
        <w:keepLines w:val="0"/>
        <w:pageBreakBefore w:val="0"/>
        <w:widowControl w:val="0"/>
        <w:tabs>
          <w:tab w:val="left" w:pos="878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4480" w:firstLineChars="1400"/>
        <w:textAlignment w:val="auto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 w:bidi="ar-SA"/>
        </w:rPr>
        <w:t>石家庄市栾城区应急管理局</w:t>
      </w:r>
    </w:p>
    <w:p w14:paraId="5312EA2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5440" w:firstLineChars="1700"/>
        <w:textAlignment w:val="auto"/>
        <w:rPr>
          <w:rFonts w:hint="default" w:ascii="仿宋_GB2312" w:hAnsi="仿宋_GB2312" w:eastAsia="仿宋_GB2312" w:cs="仿宋_GB2312"/>
          <w:color w:val="000000"/>
          <w:kern w:val="6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 w:bidi="ar-SA"/>
        </w:rPr>
        <w:t>202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 w:bidi="ar-SA"/>
        </w:rPr>
        <w:t>年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val="en-US" w:eastAsia="zh-CN" w:bidi="ar-SA"/>
        </w:rPr>
        <w:t>5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 w:bidi="ar-SA"/>
        </w:rPr>
        <w:t>月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val="en-US" w:eastAsia="zh-CN" w:bidi="ar-SA"/>
        </w:rPr>
        <w:t>11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 w:bidi="ar-SA"/>
        </w:rPr>
        <w:t>日</w:t>
      </w:r>
    </w:p>
    <w:p w14:paraId="0E63C0AA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32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5A7F5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F00DDF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CF00DDF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7CCD367"/>
    <w:multiLevelType w:val="singleLevel"/>
    <w:tmpl w:val="F7CCD36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9A34033"/>
    <w:multiLevelType w:val="singleLevel"/>
    <w:tmpl w:val="29A34033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6D0A0F7"/>
    <w:multiLevelType w:val="singleLevel"/>
    <w:tmpl w:val="36D0A0F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52ADC247"/>
    <w:multiLevelType w:val="singleLevel"/>
    <w:tmpl w:val="52ADC247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QxMDBmMzQxY2YwZGRhYTM3YTQ2YmYyMTIyZmVmOWYifQ=="/>
  </w:docVars>
  <w:rsids>
    <w:rsidRoot w:val="4E1F3198"/>
    <w:rsid w:val="093C74AB"/>
    <w:rsid w:val="0AF03B82"/>
    <w:rsid w:val="0D1A79C8"/>
    <w:rsid w:val="0E1D4B35"/>
    <w:rsid w:val="0E945A78"/>
    <w:rsid w:val="16AB27FD"/>
    <w:rsid w:val="1E237E7E"/>
    <w:rsid w:val="24647022"/>
    <w:rsid w:val="24845F66"/>
    <w:rsid w:val="26094761"/>
    <w:rsid w:val="26E47F8F"/>
    <w:rsid w:val="28722A91"/>
    <w:rsid w:val="35E46651"/>
    <w:rsid w:val="39A673A1"/>
    <w:rsid w:val="3A4A561C"/>
    <w:rsid w:val="3CFE3C20"/>
    <w:rsid w:val="3DBB413B"/>
    <w:rsid w:val="439B2A45"/>
    <w:rsid w:val="4E1F3198"/>
    <w:rsid w:val="51611D91"/>
    <w:rsid w:val="51F9353F"/>
    <w:rsid w:val="53157708"/>
    <w:rsid w:val="54A84FC1"/>
    <w:rsid w:val="552E632C"/>
    <w:rsid w:val="5870229A"/>
    <w:rsid w:val="5A6331F7"/>
    <w:rsid w:val="5E2152FD"/>
    <w:rsid w:val="601F7341"/>
    <w:rsid w:val="6682703B"/>
    <w:rsid w:val="6C847C6A"/>
    <w:rsid w:val="6EBA7973"/>
    <w:rsid w:val="6FB06AE6"/>
    <w:rsid w:val="72414F83"/>
    <w:rsid w:val="72606732"/>
    <w:rsid w:val="72B6017C"/>
    <w:rsid w:val="732641F0"/>
    <w:rsid w:val="76101441"/>
    <w:rsid w:val="79052B9F"/>
    <w:rsid w:val="7D0E7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200" w:firstLineChars="200"/>
    </w:pPr>
    <w:rPr>
      <w:rFonts w:eastAsia="仿宋_GB2312"/>
      <w:sz w:val="30"/>
    </w:rPr>
  </w:style>
  <w:style w:type="paragraph" w:styleId="3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/>
      <w:b/>
      <w:bCs/>
      <w:kern w:val="28"/>
      <w:sz w:val="44"/>
      <w:szCs w:val="44"/>
    </w:rPr>
  </w:style>
  <w:style w:type="paragraph" w:styleId="5">
    <w:name w:val="Body Text"/>
    <w:basedOn w:val="1"/>
    <w:next w:val="6"/>
    <w:qFormat/>
    <w:uiPriority w:val="1"/>
    <w:pPr>
      <w:ind w:left="108"/>
    </w:pPr>
    <w:rPr>
      <w:rFonts w:ascii="宋体" w:eastAsia="宋体" w:cs="宋体"/>
      <w:szCs w:val="32"/>
    </w:rPr>
  </w:style>
  <w:style w:type="paragraph" w:styleId="6">
    <w:name w:val="Title"/>
    <w:basedOn w:val="1"/>
    <w:next w:val="1"/>
    <w:qFormat/>
    <w:uiPriority w:val="0"/>
    <w:pPr>
      <w:spacing w:before="3"/>
      <w:ind w:left="65" w:right="164"/>
      <w:jc w:val="center"/>
    </w:pPr>
    <w:rPr>
      <w:rFonts w:ascii="宋体" w:hAnsi="宋体" w:eastAsia="宋体" w:cs="宋体"/>
      <w:sz w:val="100"/>
      <w:szCs w:val="100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qFormat/>
    <w:uiPriority w:val="0"/>
    <w:rPr>
      <w:sz w:val="24"/>
    </w:r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paragraph" w:customStyle="1" w:styleId="14">
    <w:name w:val="正文首行缩进 21"/>
    <w:basedOn w:val="15"/>
    <w:next w:val="16"/>
    <w:autoRedefine/>
    <w:qFormat/>
    <w:uiPriority w:val="0"/>
    <w:pPr>
      <w:ind w:firstLine="420" w:firstLineChars="200"/>
    </w:pPr>
    <w:rPr>
      <w:rFonts w:eastAsia="宋体"/>
      <w:w w:val="88"/>
      <w:szCs w:val="21"/>
    </w:rPr>
  </w:style>
  <w:style w:type="paragraph" w:customStyle="1" w:styleId="15">
    <w:name w:val="正文文本缩进1"/>
    <w:basedOn w:val="1"/>
    <w:autoRedefine/>
    <w:qFormat/>
    <w:uiPriority w:val="0"/>
    <w:pPr>
      <w:spacing w:after="120"/>
      <w:ind w:left="420" w:leftChars="200"/>
    </w:pPr>
  </w:style>
  <w:style w:type="paragraph" w:customStyle="1" w:styleId="16">
    <w:name w:val="正文首行缩进1"/>
    <w:basedOn w:val="5"/>
    <w:next w:val="1"/>
    <w:autoRedefine/>
    <w:qFormat/>
    <w:uiPriority w:val="0"/>
    <w:pPr>
      <w:spacing w:line="500" w:lineRule="exact"/>
      <w:ind w:firstLine="420"/>
    </w:pPr>
    <w:rPr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1408</Words>
  <Characters>1423</Characters>
  <Lines>0</Lines>
  <Paragraphs>0</Paragraphs>
  <TotalTime>5</TotalTime>
  <ScaleCrop>false</ScaleCrop>
  <LinksUpToDate>false</LinksUpToDate>
  <CharactersWithSpaces>1423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2026-02-04T02:48:00Z</dcterms:created>
  <dc:creator>宁森淼</dc:creator>
  <cp:lastModifiedBy>lenovo</cp:lastModifiedBy>
  <cp:lastPrinted>2026-05-11T07:30:26Z</cp:lastPrinted>
  <dcterms:modified xsi:type="dcterms:W3CDTF">2026-05-11T07:31:42Z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4F025488FFD14C499FB636E0CE01F3A8_13</vt:lpwstr>
  </property>
  <property fmtid="{D5CDD505-2E9C-101B-9397-08002B2CF9AE}" pid="4" name="KSOTemplateDocerSaveRecord">
    <vt:lpwstr>eyJoZGlkIjoiYjNmN2ZlOGJkMDYyNjZiMzA3YWVkZGI5OWM3MjIyMzMiLCJ1c2VySWQiOiIxNTM5NzY1OTM4In0=</vt:lpwstr>
  </property>
</Properties>
</file>